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450A1B" w14:textId="77777777" w:rsidR="003F2288" w:rsidRDefault="003F2288" w:rsidP="003F2288">
      <w:pPr>
        <w:jc w:val="center"/>
        <w:rPr>
          <w:rFonts w:cs="Times New Roman"/>
          <w:b/>
          <w:bCs/>
          <w:sz w:val="32"/>
          <w:szCs w:val="32"/>
        </w:rPr>
      </w:pPr>
      <w:r>
        <w:rPr>
          <w:noProof/>
          <w:lang w:val="en-GB" w:eastAsia="en-GB"/>
        </w:rPr>
        <w:drawing>
          <wp:anchor distT="0" distB="0" distL="114300" distR="114300" simplePos="0" relativeHeight="251659264" behindDoc="0" locked="0" layoutInCell="1" allowOverlap="1" wp14:anchorId="1C8DA359" wp14:editId="00C03DF7">
            <wp:simplePos x="0" y="0"/>
            <wp:positionH relativeFrom="column">
              <wp:posOffset>1428750</wp:posOffset>
            </wp:positionH>
            <wp:positionV relativeFrom="paragraph">
              <wp:posOffset>0</wp:posOffset>
            </wp:positionV>
            <wp:extent cx="1905000" cy="857250"/>
            <wp:effectExtent l="0" t="0" r="0" b="0"/>
            <wp:wrapThrough wrapText="bothSides">
              <wp:wrapPolygon edited="0">
                <wp:start x="0" y="0"/>
                <wp:lineTo x="0" y="21120"/>
                <wp:lineTo x="21384" y="21120"/>
                <wp:lineTo x="21384" y="0"/>
                <wp:lineTo x="0" y="0"/>
              </wp:wrapPolygon>
            </wp:wrapThrough>
            <wp:docPr id="1"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Logistics Education"/>
                    <pic:cNvPicPr>
                      <a:picLocks noChangeAspect="1" noChangeArrowheads="1"/>
                    </pic:cNvPicPr>
                  </pic:nvPicPr>
                  <pic:blipFill>
                    <a:blip r:embed="rId4">
                      <a:extLst>
                        <a:ext uri="{28A0092B-C50C-407E-A947-70E740481C1C}">
                          <a14:useLocalDpi xmlns:a14="http://schemas.microsoft.com/office/drawing/2010/main" val="0"/>
                        </a:ext>
                      </a:extLst>
                    </a:blip>
                    <a:srcRect t="7111" b="11111"/>
                    <a:stretch>
                      <a:fillRect/>
                    </a:stretch>
                  </pic:blipFill>
                  <pic:spPr bwMode="auto">
                    <a:xfrm>
                      <a:off x="0" y="0"/>
                      <a:ext cx="1905000" cy="857250"/>
                    </a:xfrm>
                    <a:prstGeom prst="rect">
                      <a:avLst/>
                    </a:prstGeom>
                    <a:noFill/>
                  </pic:spPr>
                </pic:pic>
              </a:graphicData>
            </a:graphic>
            <wp14:sizeRelH relativeFrom="page">
              <wp14:pctWidth>0</wp14:pctWidth>
            </wp14:sizeRelH>
            <wp14:sizeRelV relativeFrom="margin">
              <wp14:pctHeight>0</wp14:pctHeight>
            </wp14:sizeRelV>
          </wp:anchor>
        </w:drawing>
      </w:r>
    </w:p>
    <w:p w14:paraId="1EA17644" w14:textId="77777777" w:rsidR="003F2288" w:rsidRDefault="003F2288" w:rsidP="003F2288">
      <w:pPr>
        <w:jc w:val="center"/>
        <w:rPr>
          <w:rFonts w:cs="Times New Roman"/>
          <w:b/>
          <w:bCs/>
          <w:sz w:val="32"/>
          <w:szCs w:val="32"/>
        </w:rPr>
      </w:pPr>
    </w:p>
    <w:p w14:paraId="3342DAFB" w14:textId="77777777" w:rsidR="003F2288" w:rsidRDefault="003F2288" w:rsidP="003F2288">
      <w:pPr>
        <w:spacing w:before="0" w:after="160" w:line="259" w:lineRule="auto"/>
        <w:jc w:val="left"/>
      </w:pPr>
    </w:p>
    <w:p w14:paraId="26D7A594" w14:textId="77777777" w:rsidR="003F2288" w:rsidRDefault="003F2288" w:rsidP="003F2288">
      <w:pPr>
        <w:spacing w:before="0" w:after="160" w:line="259" w:lineRule="auto"/>
        <w:jc w:val="center"/>
        <w:rPr>
          <w:b/>
          <w:bCs/>
          <w:sz w:val="32"/>
          <w:szCs w:val="32"/>
        </w:rPr>
      </w:pPr>
      <w:r w:rsidRPr="00E50A09">
        <w:rPr>
          <w:b/>
          <w:bCs/>
          <w:sz w:val="32"/>
          <w:szCs w:val="32"/>
        </w:rPr>
        <w:br/>
        <w:t xml:space="preserve">Contemporary Themes </w:t>
      </w:r>
      <w:proofErr w:type="gramStart"/>
      <w:r w:rsidRPr="00E50A09">
        <w:rPr>
          <w:b/>
          <w:bCs/>
          <w:sz w:val="32"/>
          <w:szCs w:val="32"/>
        </w:rPr>
        <w:t>In</w:t>
      </w:r>
      <w:proofErr w:type="gramEnd"/>
      <w:r w:rsidRPr="00E50A09">
        <w:rPr>
          <w:b/>
          <w:bCs/>
          <w:sz w:val="32"/>
          <w:szCs w:val="32"/>
        </w:rPr>
        <w:t xml:space="preserve"> the Hotel and Hospitality Sector</w:t>
      </w:r>
      <w:r w:rsidRPr="00E50A09">
        <w:rPr>
          <w:b/>
          <w:bCs/>
          <w:sz w:val="32"/>
          <w:szCs w:val="32"/>
        </w:rPr>
        <w:br/>
        <w:t>Chosen Contemporary Theme: Sustainability</w:t>
      </w:r>
    </w:p>
    <w:p w14:paraId="39F7E2CD" w14:textId="77777777" w:rsidR="003F2288" w:rsidRDefault="003F2288" w:rsidP="003F2288">
      <w:pPr>
        <w:spacing w:before="0" w:after="160" w:line="259" w:lineRule="auto"/>
        <w:jc w:val="center"/>
        <w:rPr>
          <w:b/>
          <w:bCs/>
          <w:sz w:val="32"/>
          <w:szCs w:val="32"/>
        </w:rPr>
      </w:pPr>
      <w:r w:rsidRPr="00E50A09">
        <w:rPr>
          <w:b/>
          <w:bCs/>
          <w:sz w:val="32"/>
          <w:szCs w:val="32"/>
        </w:rPr>
        <w:t>BMIH6001</w:t>
      </w:r>
    </w:p>
    <w:p w14:paraId="75C4A99C" w14:textId="77777777" w:rsidR="003F2288" w:rsidRDefault="003F2288" w:rsidP="003F2288">
      <w:pPr>
        <w:spacing w:before="0" w:after="160" w:line="259" w:lineRule="auto"/>
        <w:jc w:val="center"/>
        <w:rPr>
          <w:b/>
          <w:bCs/>
          <w:sz w:val="32"/>
          <w:szCs w:val="32"/>
        </w:rPr>
      </w:pPr>
    </w:p>
    <w:p w14:paraId="14ABCF65" w14:textId="77777777" w:rsidR="003F2288" w:rsidRDefault="003F2288" w:rsidP="003F2288">
      <w:pPr>
        <w:spacing w:before="0" w:after="160" w:line="259" w:lineRule="auto"/>
        <w:jc w:val="center"/>
        <w:rPr>
          <w:b/>
          <w:bCs/>
          <w:sz w:val="32"/>
          <w:szCs w:val="32"/>
        </w:rPr>
      </w:pPr>
    </w:p>
    <w:p w14:paraId="1E4003C6" w14:textId="77777777" w:rsidR="003F2288" w:rsidRPr="00E50A09" w:rsidRDefault="003F2288" w:rsidP="003F2288">
      <w:pPr>
        <w:spacing w:before="0" w:after="160" w:line="259" w:lineRule="auto"/>
        <w:jc w:val="center"/>
        <w:rPr>
          <w:b/>
          <w:bCs/>
          <w:sz w:val="32"/>
          <w:szCs w:val="32"/>
        </w:rPr>
      </w:pPr>
    </w:p>
    <w:p w14:paraId="18DD919B" w14:textId="77777777" w:rsidR="003F2288" w:rsidRPr="00E50A09" w:rsidRDefault="003F2288" w:rsidP="003F2288">
      <w:pPr>
        <w:spacing w:before="0" w:after="160" w:line="259" w:lineRule="auto"/>
        <w:jc w:val="center"/>
        <w:rPr>
          <w:b/>
          <w:bCs/>
          <w:sz w:val="32"/>
          <w:szCs w:val="32"/>
        </w:rPr>
      </w:pPr>
      <w:r w:rsidRPr="00E50A09">
        <w:rPr>
          <w:rFonts w:cs="Times New Roman"/>
          <w:bCs/>
          <w:sz w:val="32"/>
          <w:szCs w:val="32"/>
        </w:rPr>
        <w:t>Lecturers:</w:t>
      </w:r>
      <w:r w:rsidRPr="00E50A09">
        <w:rPr>
          <w:rFonts w:cs="Times New Roman"/>
          <w:sz w:val="32"/>
          <w:szCs w:val="32"/>
        </w:rPr>
        <w:t xml:space="preserve"> Natalie Brailsford</w:t>
      </w:r>
    </w:p>
    <w:p w14:paraId="0727B683" w14:textId="77777777" w:rsidR="003F2288" w:rsidRPr="00E50A09" w:rsidRDefault="003F2288" w:rsidP="003F2288">
      <w:pPr>
        <w:spacing w:before="0" w:after="160" w:line="259" w:lineRule="auto"/>
        <w:jc w:val="center"/>
        <w:rPr>
          <w:sz w:val="32"/>
          <w:szCs w:val="32"/>
          <w:lang w:val="en-GB"/>
        </w:rPr>
      </w:pPr>
      <w:r w:rsidRPr="00E50A09">
        <w:rPr>
          <w:sz w:val="32"/>
          <w:szCs w:val="32"/>
          <w:lang w:val="en-GB"/>
        </w:rPr>
        <w:t>Name: Khaled Chowdhury</w:t>
      </w:r>
    </w:p>
    <w:p w14:paraId="199172D8" w14:textId="77777777" w:rsidR="003F2288" w:rsidRPr="00E50A09" w:rsidRDefault="003F2288" w:rsidP="003F2288">
      <w:pPr>
        <w:spacing w:before="0" w:after="160" w:line="259" w:lineRule="auto"/>
        <w:jc w:val="center"/>
        <w:rPr>
          <w:sz w:val="32"/>
          <w:szCs w:val="32"/>
          <w:lang w:val="en-GB"/>
        </w:rPr>
      </w:pPr>
      <w:r w:rsidRPr="00E50A09">
        <w:rPr>
          <w:sz w:val="32"/>
          <w:szCs w:val="32"/>
          <w:lang w:val="en-GB"/>
        </w:rPr>
        <w:t>Student ID: 2112453</w:t>
      </w:r>
    </w:p>
    <w:p w14:paraId="7BEF853B" w14:textId="77777777" w:rsidR="003F2288" w:rsidRDefault="003F2288" w:rsidP="003F2288">
      <w:pPr>
        <w:spacing w:before="0" w:after="160" w:line="259" w:lineRule="auto"/>
        <w:jc w:val="left"/>
        <w:rPr>
          <w:lang w:val="en-GB"/>
        </w:rPr>
      </w:pPr>
    </w:p>
    <w:p w14:paraId="2ED7348D" w14:textId="77777777" w:rsidR="003F2288" w:rsidRDefault="003F2288" w:rsidP="003F2288">
      <w:pPr>
        <w:spacing w:before="0" w:after="160" w:line="259" w:lineRule="auto"/>
        <w:jc w:val="left"/>
        <w:rPr>
          <w:lang w:val="en-GB"/>
        </w:rPr>
      </w:pPr>
    </w:p>
    <w:p w14:paraId="1107D27A" w14:textId="77777777" w:rsidR="003F2288" w:rsidRDefault="003F2288" w:rsidP="003F2288">
      <w:pPr>
        <w:spacing w:before="0" w:after="160" w:line="259" w:lineRule="auto"/>
        <w:jc w:val="left"/>
        <w:rPr>
          <w:lang w:val="en-GB"/>
        </w:rPr>
      </w:pPr>
    </w:p>
    <w:p w14:paraId="74225035" w14:textId="77777777" w:rsidR="003F2288" w:rsidRDefault="003F2288" w:rsidP="003F2288">
      <w:pPr>
        <w:spacing w:before="0" w:after="160" w:line="259" w:lineRule="auto"/>
        <w:jc w:val="left"/>
        <w:rPr>
          <w:lang w:val="en-GB"/>
        </w:rPr>
      </w:pPr>
    </w:p>
    <w:p w14:paraId="636C02CE" w14:textId="77777777" w:rsidR="003F2288" w:rsidRDefault="003F2288" w:rsidP="003F2288">
      <w:pPr>
        <w:spacing w:before="0" w:after="160" w:line="259" w:lineRule="auto"/>
        <w:jc w:val="left"/>
        <w:rPr>
          <w:lang w:val="en-GB"/>
        </w:rPr>
      </w:pPr>
    </w:p>
    <w:p w14:paraId="41B474EC" w14:textId="77777777" w:rsidR="003F2288" w:rsidRDefault="003F2288" w:rsidP="003F2288">
      <w:pPr>
        <w:spacing w:before="0" w:after="160" w:line="259" w:lineRule="auto"/>
        <w:jc w:val="left"/>
        <w:rPr>
          <w:lang w:val="en-GB"/>
        </w:rPr>
      </w:pPr>
    </w:p>
    <w:p w14:paraId="42F664A4" w14:textId="77777777" w:rsidR="003F2288" w:rsidRDefault="003F2288" w:rsidP="003F2288">
      <w:pPr>
        <w:spacing w:before="0" w:after="160" w:line="259" w:lineRule="auto"/>
        <w:jc w:val="left"/>
        <w:rPr>
          <w:lang w:val="en-GB"/>
        </w:rPr>
      </w:pPr>
    </w:p>
    <w:p w14:paraId="017FB86E" w14:textId="77777777" w:rsidR="003F2288" w:rsidRDefault="003F2288" w:rsidP="003F2288">
      <w:pPr>
        <w:spacing w:before="0" w:after="160" w:line="259" w:lineRule="auto"/>
        <w:jc w:val="left"/>
        <w:rPr>
          <w:lang w:val="en-GB"/>
        </w:rPr>
      </w:pPr>
    </w:p>
    <w:p w14:paraId="1BD30711" w14:textId="77777777" w:rsidR="003F2288" w:rsidRDefault="003F2288" w:rsidP="003F2288">
      <w:pPr>
        <w:spacing w:before="0" w:after="160" w:line="259" w:lineRule="auto"/>
        <w:jc w:val="left"/>
        <w:rPr>
          <w:lang w:val="en-GB"/>
        </w:rPr>
      </w:pPr>
    </w:p>
    <w:p w14:paraId="09C2C603" w14:textId="77777777" w:rsidR="003F2288" w:rsidRPr="00E50A09" w:rsidRDefault="003F2288" w:rsidP="003F2288">
      <w:pPr>
        <w:spacing w:before="0" w:after="160" w:line="259" w:lineRule="auto"/>
        <w:jc w:val="left"/>
        <w:rPr>
          <w:lang w:val="en-GB"/>
        </w:rPr>
      </w:pPr>
    </w:p>
    <w:p w14:paraId="10330DDD" w14:textId="77777777" w:rsidR="003F2288" w:rsidRDefault="003F2288" w:rsidP="003F2288">
      <w:pPr>
        <w:spacing w:before="0" w:after="160" w:line="259" w:lineRule="auto"/>
        <w:jc w:val="left"/>
      </w:pPr>
    </w:p>
    <w:p w14:paraId="11A78BED" w14:textId="77777777" w:rsidR="003F2288" w:rsidRDefault="003F2288" w:rsidP="003F2288">
      <w:r>
        <w:rPr>
          <w:noProof/>
        </w:rPr>
        <w:lastRenderedPageBreak/>
        <w:drawing>
          <wp:inline distT="0" distB="0" distL="0" distR="0" wp14:anchorId="6A15DBC8" wp14:editId="639D8A8E">
            <wp:extent cx="5943600" cy="3343275"/>
            <wp:effectExtent l="0" t="0" r="0" b="9525"/>
            <wp:docPr id="5525776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77688"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63AFBA81" w14:textId="77777777" w:rsidR="003F2288" w:rsidRDefault="003F2288" w:rsidP="003F2288">
      <w:r w:rsidRPr="0093765D">
        <w:rPr>
          <w:noProof/>
        </w:rPr>
        <w:drawing>
          <wp:inline distT="0" distB="0" distL="0" distR="0" wp14:anchorId="2DD95B67" wp14:editId="069454E4">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6792E048" w14:textId="77777777" w:rsidR="003F2288" w:rsidRDefault="003F2288" w:rsidP="003F2288">
      <w:r w:rsidRPr="0093765D">
        <w:rPr>
          <w:noProof/>
        </w:rPr>
        <w:lastRenderedPageBreak/>
        <w:drawing>
          <wp:inline distT="0" distB="0" distL="0" distR="0" wp14:anchorId="03895379" wp14:editId="4653F59D">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08B32498" w14:textId="77777777" w:rsidR="003F2288" w:rsidRDefault="003F2288" w:rsidP="003F2288">
      <w:pPr>
        <w:rPr>
          <w:lang w:val="en-GB"/>
        </w:rPr>
      </w:pPr>
      <w:r w:rsidRPr="0093765D">
        <w:rPr>
          <w:lang w:val="en-GB"/>
        </w:rPr>
        <w:t xml:space="preserve">The hotel and hospitality industry values sustainability, or meeting present demands without compromising future needs (Mensah, 2019). Customer awareness of environmental issues, regulations, and sustainable practices' economic rewards emphasizes its relevance. Sustainability is used at Mercure Sheffield Kenwood Hall and Spa in Nether Edge, Sheffield, UK. This research will examine hotel sustainability, including theoretical frameworks, industry reactions, and policy recommendations. </w:t>
      </w:r>
    </w:p>
    <w:p w14:paraId="5B8F870D" w14:textId="77777777" w:rsidR="003F2288" w:rsidRDefault="003F2288" w:rsidP="003F2288">
      <w:pPr>
        <w:rPr>
          <w:lang w:val="en-GB"/>
        </w:rPr>
      </w:pPr>
      <w:r w:rsidRPr="0093765D">
        <w:rPr>
          <w:noProof/>
          <w:lang w:val="en-GB"/>
        </w:rPr>
        <w:lastRenderedPageBreak/>
        <w:drawing>
          <wp:inline distT="0" distB="0" distL="0" distR="0" wp14:anchorId="1E026BC4" wp14:editId="5DED0EF9">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2C3CE187" w14:textId="77777777" w:rsidR="003F2288" w:rsidRDefault="003F2288" w:rsidP="003F2288">
      <w:pPr>
        <w:rPr>
          <w:lang w:val="en-GB"/>
        </w:rPr>
      </w:pPr>
      <w:r w:rsidRPr="0093765D">
        <w:rPr>
          <w:lang w:val="en-GB"/>
        </w:rPr>
        <w:t xml:space="preserve">Sustainable hospitality can be investigated using many theories. Companies must manage economic, social, and environmental issues using the Triple Bottom Line (TBL) (Cavagnaro, 2018). This argues that firms should consider profits, environmental, and social implications. With TBL, hotels may save money, boost brand reputation, and gain customer loyalty. Another prominent topic is CSR, which integrates ethics into corporate strategies (Cerchione and Bansal, 2019). Hotel eco-friendliness can boost reputation and attract socially concerned customers. CSR can </w:t>
      </w:r>
      <w:proofErr w:type="gramStart"/>
      <w:r w:rsidRPr="0093765D">
        <w:rPr>
          <w:lang w:val="en-GB"/>
        </w:rPr>
        <w:t>boosts</w:t>
      </w:r>
      <w:proofErr w:type="gramEnd"/>
      <w:r w:rsidRPr="0093765D">
        <w:rPr>
          <w:lang w:val="en-GB"/>
        </w:rPr>
        <w:t xml:space="preserve"> efficiency and competitiveness. </w:t>
      </w:r>
    </w:p>
    <w:p w14:paraId="36A4CFC9" w14:textId="77777777" w:rsidR="003F2288" w:rsidRDefault="003F2288" w:rsidP="003F2288">
      <w:pPr>
        <w:rPr>
          <w:lang w:val="en-GB"/>
        </w:rPr>
      </w:pPr>
      <w:r w:rsidRPr="0093765D">
        <w:rPr>
          <w:noProof/>
          <w:lang w:val="en-GB"/>
        </w:rPr>
        <w:lastRenderedPageBreak/>
        <w:drawing>
          <wp:inline distT="0" distB="0" distL="0" distR="0" wp14:anchorId="6A645F50" wp14:editId="27A97FB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6BC42064" w14:textId="77777777" w:rsidR="003F2288" w:rsidRDefault="003F2288" w:rsidP="003F2288">
      <w:pPr>
        <w:rPr>
          <w:lang w:val="en-GB"/>
        </w:rPr>
      </w:pPr>
      <w:r w:rsidRPr="0093765D">
        <w:rPr>
          <w:lang w:val="en-GB"/>
        </w:rPr>
        <w:t xml:space="preserve">The Natural Resource-Based View (NRBV) says sustainable skills give organizations an edge (Moliner et al., 2021). Energy-efficient technologies, rubbish minimization, and sustainable sourcing distinguish hotels, says this theory. The solutions reduce environmental impact and boost operational efficiency and profitability, according to studies. Company planning should prioritize sustainability, according to new research. Green building standards like LEED save energy and money (Ali, 2020). Consumer behaviour research demonstrates a growing demand for eco-friendly hotels, which can influence hotel selection. These theories and statistics suggest that hospitality strategy and operations require sustainability. </w:t>
      </w:r>
    </w:p>
    <w:p w14:paraId="5E1B9C61" w14:textId="77777777" w:rsidR="003F2288" w:rsidRDefault="003F2288" w:rsidP="003F2288">
      <w:pPr>
        <w:rPr>
          <w:lang w:val="en-GB"/>
        </w:rPr>
      </w:pPr>
      <w:r w:rsidRPr="0093765D">
        <w:rPr>
          <w:noProof/>
          <w:lang w:val="en-GB"/>
        </w:rPr>
        <w:lastRenderedPageBreak/>
        <w:drawing>
          <wp:inline distT="0" distB="0" distL="0" distR="0" wp14:anchorId="2C966348" wp14:editId="206B9108">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44B1F69" w14:textId="77777777" w:rsidR="003F2288" w:rsidRDefault="003F2288" w:rsidP="003F2288">
      <w:pPr>
        <w:rPr>
          <w:lang w:val="en-GB"/>
        </w:rPr>
      </w:pPr>
      <w:r w:rsidRPr="0093765D">
        <w:rPr>
          <w:lang w:val="en-GB"/>
        </w:rPr>
        <w:t xml:space="preserve">Sustainability affects hotels, as per PESTEL. Environmental rules are pressuring politicians to use sustainable methods (Calisto </w:t>
      </w:r>
      <w:r w:rsidRPr="00CE5A1D">
        <w:rPr>
          <w:i/>
          <w:iCs/>
          <w:lang w:val="en-GB"/>
        </w:rPr>
        <w:t>et al.,</w:t>
      </w:r>
      <w:r w:rsidRPr="0093765D">
        <w:rPr>
          <w:lang w:val="en-GB"/>
        </w:rPr>
        <w:t xml:space="preserve"> 2021). UK waste management and energy efficiency legislation require green hotels. Sustainable methods save cash. Energy-efficient technologies and garbage reduction lower costs and attract eco-conscious customers willing to pay more. Energy-efficient lighting and HVAC boost hotel profits. Ecology is becoming more popular </w:t>
      </w:r>
      <w:r w:rsidRPr="0093765D">
        <w:t>(Reem, Rasoolimanesh and Sara, 2022)</w:t>
      </w:r>
      <w:r w:rsidRPr="0093765D">
        <w:rPr>
          <w:lang w:val="en-GB"/>
        </w:rPr>
        <w:t xml:space="preserve">. Sustainable hotels attract eco-conscious tourists. Sustainable and eco-friendly hotels retain guests, according to research. Renewable and energy management solutions minimize hotels' carbon footprint and increase efficiency. </w:t>
      </w:r>
    </w:p>
    <w:p w14:paraId="3100E7BF" w14:textId="77777777" w:rsidR="003F2288" w:rsidRDefault="003F2288" w:rsidP="003F2288">
      <w:pPr>
        <w:rPr>
          <w:lang w:val="en-GB"/>
        </w:rPr>
      </w:pPr>
      <w:r w:rsidRPr="0093765D">
        <w:rPr>
          <w:noProof/>
          <w:lang w:val="en-GB"/>
        </w:rPr>
        <w:lastRenderedPageBreak/>
        <w:drawing>
          <wp:inline distT="0" distB="0" distL="0" distR="0" wp14:anchorId="59A7AB82" wp14:editId="106B7EA2">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0AC753BF" w14:textId="77777777" w:rsidR="003F2288" w:rsidRDefault="003F2288" w:rsidP="003F2288">
      <w:pPr>
        <w:rPr>
          <w:lang w:val="en-GB"/>
        </w:rPr>
      </w:pPr>
      <w:r w:rsidRPr="0093765D">
        <w:rPr>
          <w:lang w:val="en-GB"/>
        </w:rPr>
        <w:t xml:space="preserve">Reduced resource use and GHG emissions affect hotels. Water conservation, recycling, and sustainable procurement help hotels lessen their environmental impact. Maintain environmental standards to avoid fines and brand damage </w:t>
      </w:r>
      <w:r w:rsidRPr="0093765D">
        <w:t>(Abdou, Hassan and Dief, 2020)</w:t>
      </w:r>
      <w:r w:rsidRPr="0093765D">
        <w:rPr>
          <w:lang w:val="en-GB"/>
        </w:rPr>
        <w:t xml:space="preserve">. UK Carbon Reduction Commitment (CRC) hotels are sustainable. Industry sustainability responses vary in breadth and efficacy. Hotels like Mercure Sheffield Kenwood Hall and Spa use energy-efficient appliances, eliminate single-use plastics, and source local cuisine. A comprehensive recycling program and water-saving devices demonstrate the hotel's sustainability (Berjozkina and Melanthiou, 2021). These approaches may fail. Hotels with sustainable technology and green practices minimize expenses and environmental effect, yet others struggle. </w:t>
      </w:r>
    </w:p>
    <w:p w14:paraId="1BE47332" w14:textId="77777777" w:rsidR="003F2288" w:rsidRDefault="003F2288" w:rsidP="003F2288">
      <w:pPr>
        <w:rPr>
          <w:lang w:val="en-GB"/>
        </w:rPr>
      </w:pPr>
      <w:r w:rsidRPr="0093765D">
        <w:rPr>
          <w:noProof/>
          <w:lang w:val="en-GB"/>
        </w:rPr>
        <w:lastRenderedPageBreak/>
        <w:drawing>
          <wp:inline distT="0" distB="0" distL="0" distR="0" wp14:anchorId="06E5CF9E" wp14:editId="395A8DCE">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6241078" w14:textId="77777777" w:rsidR="003F2288" w:rsidRDefault="003F2288" w:rsidP="003F2288">
      <w:pPr>
        <w:rPr>
          <w:lang w:val="en-GB"/>
        </w:rPr>
      </w:pPr>
      <w:r w:rsidRPr="0093765D">
        <w:rPr>
          <w:lang w:val="en-GB"/>
        </w:rPr>
        <w:t xml:space="preserve">Hotel sustainability regulations and certifications should be stronger. Hotels monitor sustainability with LEED and Green Key certifications (Oriade </w:t>
      </w:r>
      <w:r w:rsidRPr="00CE5A1D">
        <w:rPr>
          <w:i/>
          <w:iCs/>
          <w:lang w:val="en-GB"/>
        </w:rPr>
        <w:t>et al.,</w:t>
      </w:r>
      <w:r w:rsidRPr="0093765D">
        <w:rPr>
          <w:lang w:val="en-GB"/>
        </w:rPr>
        <w:t xml:space="preserve"> 2021). Wind and solar power reduce non-renewable energy use and expenses. Staff sustainability training must grow to maintain implementation and involvement. Sustainability education and eco-friendly practises in daily operations can increase environmental performance. A sustainable organizational culture boosts green practice innovation (Guix and Font, 2020). Local supplier-community partnerships boost sustainability. Hotels may lower their carbon footprint and boost the local economy by buying local food and materials. Local partnerships aid environmental and social responsibility programs. Additionally, hotels should use technology to reduce their environmental impact. EMSs maximize energy use and reduce waste. Real-time data from energy monitoring and management systems helps find and fix inefficiencies. Smart building technology like smart lighting and heating saves money and energy. Future government policies should encourage sustainability (Kılıç </w:t>
      </w:r>
      <w:r w:rsidRPr="00CE5A1D">
        <w:rPr>
          <w:i/>
          <w:iCs/>
          <w:lang w:val="en-GB"/>
        </w:rPr>
        <w:t>et al.,</w:t>
      </w:r>
      <w:r w:rsidRPr="0093765D">
        <w:rPr>
          <w:lang w:val="en-GB"/>
        </w:rPr>
        <w:t xml:space="preserve"> 2021). Green hotels may receive subsidies, tax advantages, and technological awards. Hotel organizations may create and support environmental best practices. </w:t>
      </w:r>
    </w:p>
    <w:p w14:paraId="50989420" w14:textId="77777777" w:rsidR="003F2288" w:rsidRDefault="003F2288" w:rsidP="003F2288">
      <w:pPr>
        <w:rPr>
          <w:lang w:val="en-GB"/>
        </w:rPr>
      </w:pPr>
      <w:r w:rsidRPr="0093765D">
        <w:rPr>
          <w:noProof/>
          <w:lang w:val="en-GB"/>
        </w:rPr>
        <w:lastRenderedPageBreak/>
        <w:drawing>
          <wp:inline distT="0" distB="0" distL="0" distR="0" wp14:anchorId="61FEF485" wp14:editId="0CF7869C">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087762E0" w14:textId="77777777" w:rsidR="003F2288" w:rsidRDefault="003F2288" w:rsidP="003F2288">
      <w:pPr>
        <w:rPr>
          <w:lang w:val="en-GB"/>
        </w:rPr>
      </w:pPr>
      <w:r w:rsidRPr="0093765D">
        <w:rPr>
          <w:lang w:val="en-GB"/>
        </w:rPr>
        <w:t xml:space="preserve">The research shows that hotel operations, client preferences, and regulatory compliance depend on sustainability. Sustainable solutions save money, improve reputation, and provide you an edge. This research shows the benefits of sustainability, encouraging the sector to adopt these practises for a sustainable future. The Mercure Sheffield Kenwood Hall and Spa shows how sustainability benefits hotels. Hotels may meet regulatory and consumer standards and enhance operational efficiency and profitability with complete sustainability programs. The future of hotels and hospitality depends on sustainability. </w:t>
      </w:r>
    </w:p>
    <w:p w14:paraId="6718D748" w14:textId="77777777" w:rsidR="003F2288" w:rsidRDefault="003F2288" w:rsidP="003F2288">
      <w:pPr>
        <w:rPr>
          <w:lang w:val="en-GB"/>
        </w:rPr>
      </w:pPr>
      <w:r w:rsidRPr="0093765D">
        <w:rPr>
          <w:noProof/>
          <w:lang w:val="en-GB"/>
        </w:rPr>
        <w:lastRenderedPageBreak/>
        <w:drawing>
          <wp:inline distT="0" distB="0" distL="0" distR="0" wp14:anchorId="0EF3BE8E" wp14:editId="37E203AF">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3F07CFEE" w14:textId="77777777" w:rsidR="003F2288" w:rsidRDefault="003F2288" w:rsidP="003F2288">
      <w:pPr>
        <w:pStyle w:val="Heading1"/>
        <w:rPr>
          <w:rFonts w:ascii="Times New Roman" w:hAnsi="Times New Roman"/>
        </w:rPr>
      </w:pPr>
      <w:r>
        <w:t>References</w:t>
      </w:r>
    </w:p>
    <w:p w14:paraId="29C0B115"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Abdou, A.H., Hassan, T.H. and Dief, M.M.E. (2020). A Description of Green Hotel Practices and Their Role in Achieving Sustainable Development. </w:t>
      </w:r>
      <w:r w:rsidRPr="0093765D">
        <w:rPr>
          <w:rFonts w:ascii="Arial" w:hAnsi="Arial" w:cs="Arial"/>
          <w:i/>
          <w:iCs/>
        </w:rPr>
        <w:t>Sustainability</w:t>
      </w:r>
      <w:r w:rsidRPr="0093765D">
        <w:rPr>
          <w:rFonts w:ascii="Arial" w:hAnsi="Arial" w:cs="Arial"/>
        </w:rPr>
        <w:t xml:space="preserve">, [online] 12(22), p.9624. </w:t>
      </w:r>
      <w:proofErr w:type="gramStart"/>
      <w:r w:rsidRPr="0093765D">
        <w:rPr>
          <w:rFonts w:ascii="Arial" w:hAnsi="Arial" w:cs="Arial"/>
        </w:rPr>
        <w:t>doi:https://doi.org/10.3390/su12229624</w:t>
      </w:r>
      <w:proofErr w:type="gramEnd"/>
      <w:r w:rsidRPr="0093765D">
        <w:rPr>
          <w:rFonts w:ascii="Arial" w:hAnsi="Arial" w:cs="Arial"/>
        </w:rPr>
        <w:t>.</w:t>
      </w:r>
    </w:p>
    <w:p w14:paraId="60564160"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Ali, A. (2020). Technology in Tourism and Hospitality to Achieve Sustainable Development Goals (SDGs)(Editorial) Technology in Tourism and Hospitality to Achieve Sustainable Development Goals (SDGs). </w:t>
      </w:r>
      <w:r w:rsidRPr="0093765D">
        <w:rPr>
          <w:rFonts w:ascii="Arial" w:hAnsi="Arial" w:cs="Arial"/>
          <w:i/>
          <w:iCs/>
        </w:rPr>
        <w:t>Journal of Hospitality and Tourism Technology</w:t>
      </w:r>
      <w:r w:rsidRPr="0093765D">
        <w:rPr>
          <w:rFonts w:ascii="Arial" w:hAnsi="Arial" w:cs="Arial"/>
        </w:rPr>
        <w:t>, [online] 11(2), pp.177–181. Available at: https://shura.shu.ac.uk/26757/9/Ali_TechnologyTourismHospitality%28AM%29.pdf.</w:t>
      </w:r>
    </w:p>
    <w:p w14:paraId="6816FC67"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Berjozkina, G. and Melanthiou, Y. (2021). Is tourism and hospitality education supporting sustainability? </w:t>
      </w:r>
      <w:r w:rsidRPr="0093765D">
        <w:rPr>
          <w:rFonts w:ascii="Arial" w:hAnsi="Arial" w:cs="Arial"/>
          <w:i/>
          <w:iCs/>
        </w:rPr>
        <w:t>Worldwide Hospitality and Tourism Themes</w:t>
      </w:r>
      <w:r w:rsidRPr="0093765D">
        <w:rPr>
          <w:rFonts w:ascii="Arial" w:hAnsi="Arial" w:cs="Arial"/>
        </w:rPr>
        <w:t xml:space="preserve">, ahead-of-print(ahead-of-print). </w:t>
      </w:r>
      <w:proofErr w:type="gramStart"/>
      <w:r w:rsidRPr="0093765D">
        <w:rPr>
          <w:rFonts w:ascii="Arial" w:hAnsi="Arial" w:cs="Arial"/>
        </w:rPr>
        <w:t>doi:https://doi.org/10.1108/whatt-07-2021-0101</w:t>
      </w:r>
      <w:proofErr w:type="gramEnd"/>
      <w:r w:rsidRPr="0093765D">
        <w:rPr>
          <w:rFonts w:ascii="Arial" w:hAnsi="Arial" w:cs="Arial"/>
        </w:rPr>
        <w:t>.</w:t>
      </w:r>
    </w:p>
    <w:p w14:paraId="54DDF746"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Calisto, M. de L., Umbelino, J., Gonçalves, A. and Viegas, C. (2021). Environmental Sustainability Strategies for Smaller Companies in the Hotel Industry: Doing the Right </w:t>
      </w:r>
      <w:r w:rsidRPr="0093765D">
        <w:rPr>
          <w:rFonts w:ascii="Arial" w:hAnsi="Arial" w:cs="Arial"/>
        </w:rPr>
        <w:lastRenderedPageBreak/>
        <w:t xml:space="preserve">Thing or Doing Things Right? </w:t>
      </w:r>
      <w:r w:rsidRPr="0093765D">
        <w:rPr>
          <w:rFonts w:ascii="Arial" w:hAnsi="Arial" w:cs="Arial"/>
          <w:i/>
          <w:iCs/>
        </w:rPr>
        <w:t>Sustainability</w:t>
      </w:r>
      <w:r w:rsidRPr="0093765D">
        <w:rPr>
          <w:rFonts w:ascii="Arial" w:hAnsi="Arial" w:cs="Arial"/>
        </w:rPr>
        <w:t xml:space="preserve">, [online] 13(18), p.10380. </w:t>
      </w:r>
      <w:proofErr w:type="gramStart"/>
      <w:r w:rsidRPr="0093765D">
        <w:rPr>
          <w:rFonts w:ascii="Arial" w:hAnsi="Arial" w:cs="Arial"/>
        </w:rPr>
        <w:t>doi:https://doi.org/10.3390/su131810380</w:t>
      </w:r>
      <w:proofErr w:type="gramEnd"/>
      <w:r w:rsidRPr="0093765D">
        <w:rPr>
          <w:rFonts w:ascii="Arial" w:hAnsi="Arial" w:cs="Arial"/>
        </w:rPr>
        <w:t>.</w:t>
      </w:r>
    </w:p>
    <w:p w14:paraId="62641BEF"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Cavagnaro, E. (2018). </w:t>
      </w:r>
      <w:r w:rsidRPr="0093765D">
        <w:rPr>
          <w:rFonts w:ascii="Arial" w:hAnsi="Arial" w:cs="Arial"/>
          <w:i/>
          <w:iCs/>
        </w:rPr>
        <w:t xml:space="preserve">Sustainable value creation in </w:t>
      </w:r>
      <w:proofErr w:type="gramStart"/>
      <w:r w:rsidRPr="0093765D">
        <w:rPr>
          <w:rFonts w:ascii="Arial" w:hAnsi="Arial" w:cs="Arial"/>
          <w:i/>
          <w:iCs/>
        </w:rPr>
        <w:t>hospitality :</w:t>
      </w:r>
      <w:proofErr w:type="gramEnd"/>
      <w:r w:rsidRPr="0093765D">
        <w:rPr>
          <w:rFonts w:ascii="Arial" w:hAnsi="Arial" w:cs="Arial"/>
          <w:i/>
          <w:iCs/>
        </w:rPr>
        <w:t xml:space="preserve"> guests on earth</w:t>
      </w:r>
      <w:r w:rsidRPr="0093765D">
        <w:rPr>
          <w:rFonts w:ascii="Arial" w:hAnsi="Arial" w:cs="Arial"/>
        </w:rPr>
        <w:t>. Wolvercote, Oxford: Goodfellow Publishers Limited.</w:t>
      </w:r>
    </w:p>
    <w:p w14:paraId="3590820E"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Cerchione, R. and Bansal, H. (2019). Measuring the impact of sustainability policy and practices in tourism and hospitality industry. </w:t>
      </w:r>
      <w:r w:rsidRPr="0093765D">
        <w:rPr>
          <w:rFonts w:ascii="Arial" w:hAnsi="Arial" w:cs="Arial"/>
          <w:i/>
          <w:iCs/>
        </w:rPr>
        <w:t>Business Strategy and the Environment</w:t>
      </w:r>
      <w:r w:rsidRPr="0093765D">
        <w:rPr>
          <w:rFonts w:ascii="Arial" w:hAnsi="Arial" w:cs="Arial"/>
        </w:rPr>
        <w:t xml:space="preserve">, 29(3). </w:t>
      </w:r>
      <w:proofErr w:type="gramStart"/>
      <w:r w:rsidRPr="0093765D">
        <w:rPr>
          <w:rFonts w:ascii="Arial" w:hAnsi="Arial" w:cs="Arial"/>
        </w:rPr>
        <w:t>doi:https://doi.org/10.1002/bse.2420</w:t>
      </w:r>
      <w:proofErr w:type="gramEnd"/>
      <w:r w:rsidRPr="0093765D">
        <w:rPr>
          <w:rFonts w:ascii="Arial" w:hAnsi="Arial" w:cs="Arial"/>
        </w:rPr>
        <w:t>.</w:t>
      </w:r>
    </w:p>
    <w:p w14:paraId="03DA31F3"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Duric, Z. and Topler, J. (2021). The Role of Performance and Environmental Sustainability Indicators in Hotel Competitiveness. </w:t>
      </w:r>
      <w:r w:rsidRPr="0093765D">
        <w:rPr>
          <w:rFonts w:ascii="Arial" w:hAnsi="Arial" w:cs="Arial"/>
          <w:i/>
          <w:iCs/>
        </w:rPr>
        <w:t>Sustainability</w:t>
      </w:r>
      <w:r w:rsidRPr="0093765D">
        <w:rPr>
          <w:rFonts w:ascii="Arial" w:hAnsi="Arial" w:cs="Arial"/>
        </w:rPr>
        <w:t xml:space="preserve">, [online] 13(12), p.6574. </w:t>
      </w:r>
      <w:proofErr w:type="gramStart"/>
      <w:r w:rsidRPr="0093765D">
        <w:rPr>
          <w:rFonts w:ascii="Arial" w:hAnsi="Arial" w:cs="Arial"/>
        </w:rPr>
        <w:t>doi:https://doi.org/10.3390/su13126574</w:t>
      </w:r>
      <w:proofErr w:type="gramEnd"/>
      <w:r w:rsidRPr="0093765D">
        <w:rPr>
          <w:rFonts w:ascii="Arial" w:hAnsi="Arial" w:cs="Arial"/>
        </w:rPr>
        <w:t>.</w:t>
      </w:r>
    </w:p>
    <w:p w14:paraId="64BAE91A"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Fonseca, A.P. and Carnicelli, S. (2021). Corporate Social Responsibility and Sustainability in a Hospitality Family Business. </w:t>
      </w:r>
      <w:r w:rsidRPr="0093765D">
        <w:rPr>
          <w:rFonts w:ascii="Arial" w:hAnsi="Arial" w:cs="Arial"/>
          <w:i/>
          <w:iCs/>
        </w:rPr>
        <w:t>Sustainability</w:t>
      </w:r>
      <w:r w:rsidRPr="0093765D">
        <w:rPr>
          <w:rFonts w:ascii="Arial" w:hAnsi="Arial" w:cs="Arial"/>
        </w:rPr>
        <w:t xml:space="preserve">, 13(13), p.7091. </w:t>
      </w:r>
      <w:proofErr w:type="gramStart"/>
      <w:r w:rsidRPr="0093765D">
        <w:rPr>
          <w:rFonts w:ascii="Arial" w:hAnsi="Arial" w:cs="Arial"/>
        </w:rPr>
        <w:t>doi:https://doi.org/10.3390/su13137091</w:t>
      </w:r>
      <w:proofErr w:type="gramEnd"/>
      <w:r w:rsidRPr="0093765D">
        <w:rPr>
          <w:rFonts w:ascii="Arial" w:hAnsi="Arial" w:cs="Arial"/>
        </w:rPr>
        <w:t>.</w:t>
      </w:r>
    </w:p>
    <w:p w14:paraId="718D82A1"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Guix, M. and Font, X. (2020). The Materiality Balanced Scorecard: A framework for stakeholder-led integration of sustainable hospitality management and reporting. </w:t>
      </w:r>
      <w:r w:rsidRPr="0093765D">
        <w:rPr>
          <w:rFonts w:ascii="Arial" w:hAnsi="Arial" w:cs="Arial"/>
          <w:i/>
          <w:iCs/>
        </w:rPr>
        <w:t>International Journal of Hospitality Management</w:t>
      </w:r>
      <w:r w:rsidRPr="0093765D">
        <w:rPr>
          <w:rFonts w:ascii="Arial" w:hAnsi="Arial" w:cs="Arial"/>
        </w:rPr>
        <w:t xml:space="preserve">, 91, p.102634. </w:t>
      </w:r>
      <w:proofErr w:type="gramStart"/>
      <w:r w:rsidRPr="0093765D">
        <w:rPr>
          <w:rFonts w:ascii="Arial" w:hAnsi="Arial" w:cs="Arial"/>
        </w:rPr>
        <w:t>doi:https://doi.org/10.1016/j.ijhm.2020.102634</w:t>
      </w:r>
      <w:proofErr w:type="gramEnd"/>
      <w:r w:rsidRPr="0093765D">
        <w:rPr>
          <w:rFonts w:ascii="Arial" w:hAnsi="Arial" w:cs="Arial"/>
        </w:rPr>
        <w:t>.</w:t>
      </w:r>
    </w:p>
    <w:p w14:paraId="5CD941D0"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Jauhari, V. (2021). </w:t>
      </w:r>
      <w:r w:rsidRPr="0093765D">
        <w:rPr>
          <w:rFonts w:ascii="Arial" w:hAnsi="Arial" w:cs="Arial"/>
          <w:i/>
          <w:iCs/>
        </w:rPr>
        <w:t xml:space="preserve">Managing sustainability in the hospitality and tourism </w:t>
      </w:r>
      <w:proofErr w:type="gramStart"/>
      <w:r w:rsidRPr="0093765D">
        <w:rPr>
          <w:rFonts w:ascii="Arial" w:hAnsi="Arial" w:cs="Arial"/>
          <w:i/>
          <w:iCs/>
        </w:rPr>
        <w:t>industry :</w:t>
      </w:r>
      <w:proofErr w:type="gramEnd"/>
      <w:r w:rsidRPr="0093765D">
        <w:rPr>
          <w:rFonts w:ascii="Arial" w:hAnsi="Arial" w:cs="Arial"/>
          <w:i/>
          <w:iCs/>
        </w:rPr>
        <w:t xml:space="preserve"> paradigms and directions for the future</w:t>
      </w:r>
      <w:r w:rsidRPr="0093765D">
        <w:rPr>
          <w:rFonts w:ascii="Arial" w:hAnsi="Arial" w:cs="Arial"/>
        </w:rPr>
        <w:t>. Oakville, Ontario: Apple Academic Press.</w:t>
      </w:r>
    </w:p>
    <w:p w14:paraId="15BEB4FD"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Jones, P. and Comfort, D. (2020). The COVID-19 crisis and sustainability in the hospitality industry. </w:t>
      </w:r>
      <w:r w:rsidRPr="0093765D">
        <w:rPr>
          <w:rFonts w:ascii="Arial" w:hAnsi="Arial" w:cs="Arial"/>
          <w:i/>
          <w:iCs/>
        </w:rPr>
        <w:t>International Journal of Contemporary Hospitality Management</w:t>
      </w:r>
      <w:r w:rsidRPr="0093765D">
        <w:rPr>
          <w:rFonts w:ascii="Arial" w:hAnsi="Arial" w:cs="Arial"/>
        </w:rPr>
        <w:t xml:space="preserve">, [online] 32(10), pp.3037–3050. </w:t>
      </w:r>
      <w:proofErr w:type="gramStart"/>
      <w:r w:rsidRPr="0093765D">
        <w:rPr>
          <w:rFonts w:ascii="Arial" w:hAnsi="Arial" w:cs="Arial"/>
        </w:rPr>
        <w:t>doi:https://doi.org/10.1108/ijchm-04-2020-0357</w:t>
      </w:r>
      <w:proofErr w:type="gramEnd"/>
      <w:r w:rsidRPr="0093765D">
        <w:rPr>
          <w:rFonts w:ascii="Arial" w:hAnsi="Arial" w:cs="Arial"/>
        </w:rPr>
        <w:t>.</w:t>
      </w:r>
    </w:p>
    <w:p w14:paraId="5031FB04"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Kılıç, M., Uyar, A., Kuzey, C. and Karaman, A.S. (2021). Drivers and consequences of sustainability committee existence? Evidence from the hospitality and tourism industry. </w:t>
      </w:r>
      <w:r w:rsidRPr="0093765D">
        <w:rPr>
          <w:rFonts w:ascii="Arial" w:hAnsi="Arial" w:cs="Arial"/>
          <w:i/>
          <w:iCs/>
        </w:rPr>
        <w:t>International Journal of Hospitality Management</w:t>
      </w:r>
      <w:r w:rsidRPr="0093765D">
        <w:rPr>
          <w:rFonts w:ascii="Arial" w:hAnsi="Arial" w:cs="Arial"/>
        </w:rPr>
        <w:t xml:space="preserve">, 92, p.102753. </w:t>
      </w:r>
      <w:proofErr w:type="gramStart"/>
      <w:r w:rsidRPr="0093765D">
        <w:rPr>
          <w:rFonts w:ascii="Arial" w:hAnsi="Arial" w:cs="Arial"/>
        </w:rPr>
        <w:t>doi:https://doi.org/10.1016/j.ijhm.2020.102753</w:t>
      </w:r>
      <w:proofErr w:type="gramEnd"/>
      <w:r w:rsidRPr="0093765D">
        <w:rPr>
          <w:rFonts w:ascii="Arial" w:hAnsi="Arial" w:cs="Arial"/>
        </w:rPr>
        <w:t>.</w:t>
      </w:r>
    </w:p>
    <w:p w14:paraId="2877AFA2"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lastRenderedPageBreak/>
        <w:t xml:space="preserve">Legrand, W., Chen, J.S. and Gabriel (2022). </w:t>
      </w:r>
      <w:r w:rsidRPr="0093765D">
        <w:rPr>
          <w:rFonts w:ascii="Arial" w:hAnsi="Arial" w:cs="Arial"/>
          <w:i/>
          <w:iCs/>
        </w:rPr>
        <w:t>Sustainability in the Hospitality Industry</w:t>
      </w:r>
      <w:r w:rsidRPr="0093765D">
        <w:rPr>
          <w:rFonts w:ascii="Arial" w:hAnsi="Arial" w:cs="Arial"/>
        </w:rPr>
        <w:t>. Taylor &amp; Francis.</w:t>
      </w:r>
    </w:p>
    <w:p w14:paraId="129991E7"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Mensah, I. (2019). </w:t>
      </w:r>
      <w:r w:rsidRPr="0093765D">
        <w:rPr>
          <w:rFonts w:ascii="Arial" w:hAnsi="Arial" w:cs="Arial"/>
          <w:i/>
          <w:iCs/>
        </w:rPr>
        <w:t>Environmental management concepts and practices for the hospitality industry</w:t>
      </w:r>
      <w:r w:rsidRPr="0093765D">
        <w:rPr>
          <w:rFonts w:ascii="Arial" w:hAnsi="Arial" w:cs="Arial"/>
        </w:rPr>
        <w:t>. Newcastle-upon-Tyne: Cambridge Scholars Publisher.</w:t>
      </w:r>
    </w:p>
    <w:p w14:paraId="287EF94D"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Moliner, J., López-Gamero, M.D., Font, X., Molina-Azorín, J.F., Tarí, J.J. and Pertusa-Ortega, E.M. (2021). Sustainability, Competitive Advantages and Performance in the Hotel Industry: A Synergistic Relationship. </w:t>
      </w:r>
      <w:r w:rsidRPr="0093765D">
        <w:rPr>
          <w:rFonts w:ascii="Arial" w:hAnsi="Arial" w:cs="Arial"/>
          <w:i/>
          <w:iCs/>
        </w:rPr>
        <w:t>Journal of Tourism and Services</w:t>
      </w:r>
      <w:r w:rsidRPr="0093765D">
        <w:rPr>
          <w:rFonts w:ascii="Arial" w:hAnsi="Arial" w:cs="Arial"/>
        </w:rPr>
        <w:t xml:space="preserve">, 12(23), pp.132–149. </w:t>
      </w:r>
      <w:proofErr w:type="gramStart"/>
      <w:r w:rsidRPr="0093765D">
        <w:rPr>
          <w:rFonts w:ascii="Arial" w:hAnsi="Arial" w:cs="Arial"/>
        </w:rPr>
        <w:t>doi:https://doi.org/10.29036/jots.v12i23.282</w:t>
      </w:r>
      <w:proofErr w:type="gramEnd"/>
      <w:r w:rsidRPr="0093765D">
        <w:rPr>
          <w:rFonts w:ascii="Arial" w:hAnsi="Arial" w:cs="Arial"/>
        </w:rPr>
        <w:t>.</w:t>
      </w:r>
    </w:p>
    <w:p w14:paraId="2A2EC329"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Mzembe, A.N., Lindgreen, A., Idemudia, U. and Melissen, F. (2020). A club perspective of sustainability certification schemes in the tourism and hospitality industry. </w:t>
      </w:r>
      <w:r w:rsidRPr="0093765D">
        <w:rPr>
          <w:rFonts w:ascii="Arial" w:hAnsi="Arial" w:cs="Arial"/>
          <w:i/>
          <w:iCs/>
        </w:rPr>
        <w:t>Journal of Sustainable Tourism</w:t>
      </w:r>
      <w:r w:rsidRPr="0093765D">
        <w:rPr>
          <w:rFonts w:ascii="Arial" w:hAnsi="Arial" w:cs="Arial"/>
        </w:rPr>
        <w:t xml:space="preserve">, 28(9), pp.1332–1350. </w:t>
      </w:r>
      <w:proofErr w:type="gramStart"/>
      <w:r w:rsidRPr="0093765D">
        <w:rPr>
          <w:rFonts w:ascii="Arial" w:hAnsi="Arial" w:cs="Arial"/>
        </w:rPr>
        <w:t>doi:https://doi.org/10.1080/09669582.2020.1737092</w:t>
      </w:r>
      <w:proofErr w:type="gramEnd"/>
      <w:r w:rsidRPr="0093765D">
        <w:rPr>
          <w:rFonts w:ascii="Arial" w:hAnsi="Arial" w:cs="Arial"/>
        </w:rPr>
        <w:t>.</w:t>
      </w:r>
    </w:p>
    <w:p w14:paraId="5F01BA9C"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Oriade, A., Osinaike, A., Aduhene, K. and Wang, Y. (2021). Sustainability awareness, management practices and organisational culture in hotels: Evidence from developing countries. </w:t>
      </w:r>
      <w:r w:rsidRPr="0093765D">
        <w:rPr>
          <w:rFonts w:ascii="Arial" w:hAnsi="Arial" w:cs="Arial"/>
          <w:i/>
          <w:iCs/>
        </w:rPr>
        <w:t>International Journal of Hospitality Management</w:t>
      </w:r>
      <w:r w:rsidRPr="0093765D">
        <w:rPr>
          <w:rFonts w:ascii="Arial" w:hAnsi="Arial" w:cs="Arial"/>
        </w:rPr>
        <w:t>, 92, p.102699.</w:t>
      </w:r>
    </w:p>
    <w:p w14:paraId="6060CDC8"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Reem, M., Rasoolimanesh, S. and Sara, N. (2022). Sustainability indicators in hotels: A systematic literature review. </w:t>
      </w:r>
      <w:r w:rsidRPr="0093765D">
        <w:rPr>
          <w:rFonts w:ascii="Arial" w:hAnsi="Arial" w:cs="Arial"/>
          <w:i/>
          <w:iCs/>
        </w:rPr>
        <w:t>Asia-Pacific Journal of Innovation in Hospitality and Tourism</w:t>
      </w:r>
      <w:r w:rsidRPr="0093765D">
        <w:rPr>
          <w:rFonts w:ascii="Arial" w:hAnsi="Arial" w:cs="Arial"/>
        </w:rPr>
        <w:t>, [online] 11(1), pp.149–178. Available at: https://fslmjournals.taylors.edu.my/wp-content/uploads/APJIHT/APJIHT-2022-11-1/APJIHT-111_P7.pdf.</w:t>
      </w:r>
    </w:p>
    <w:p w14:paraId="7CC36D0F"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Sloan, P., Legrand, W. and Chen, J.S. (2021). </w:t>
      </w:r>
      <w:r w:rsidRPr="0093765D">
        <w:rPr>
          <w:rFonts w:ascii="Arial" w:hAnsi="Arial" w:cs="Arial"/>
          <w:i/>
          <w:iCs/>
        </w:rPr>
        <w:t xml:space="preserve">Sustainability in the hospitality </w:t>
      </w:r>
      <w:proofErr w:type="gramStart"/>
      <w:r w:rsidRPr="0093765D">
        <w:rPr>
          <w:rFonts w:ascii="Arial" w:hAnsi="Arial" w:cs="Arial"/>
          <w:i/>
          <w:iCs/>
        </w:rPr>
        <w:t>industry :</w:t>
      </w:r>
      <w:proofErr w:type="gramEnd"/>
      <w:r w:rsidRPr="0093765D">
        <w:rPr>
          <w:rFonts w:ascii="Arial" w:hAnsi="Arial" w:cs="Arial"/>
          <w:i/>
          <w:iCs/>
        </w:rPr>
        <w:t xml:space="preserve"> principles of sustainable operations</w:t>
      </w:r>
      <w:r w:rsidRPr="0093765D">
        <w:rPr>
          <w:rFonts w:ascii="Arial" w:hAnsi="Arial" w:cs="Arial"/>
        </w:rPr>
        <w:t xml:space="preserve">. 3rd ed. </w:t>
      </w:r>
      <w:proofErr w:type="gramStart"/>
      <w:r w:rsidRPr="0093765D">
        <w:rPr>
          <w:rFonts w:ascii="Arial" w:hAnsi="Arial" w:cs="Arial"/>
        </w:rPr>
        <w:t>London ;</w:t>
      </w:r>
      <w:proofErr w:type="gramEnd"/>
      <w:r w:rsidRPr="0093765D">
        <w:rPr>
          <w:rFonts w:ascii="Arial" w:hAnsi="Arial" w:cs="Arial"/>
        </w:rPr>
        <w:t xml:space="preserve"> New York: Routledge, , Cop.</w:t>
      </w:r>
    </w:p>
    <w:p w14:paraId="703BDEDE" w14:textId="77777777" w:rsidR="003F2288" w:rsidRPr="0093765D" w:rsidRDefault="003F2288" w:rsidP="003F2288">
      <w:pPr>
        <w:pStyle w:val="NormalWeb"/>
        <w:spacing w:before="0" w:beforeAutospacing="0" w:after="240" w:afterAutospacing="0" w:line="360" w:lineRule="auto"/>
        <w:jc w:val="both"/>
        <w:rPr>
          <w:rFonts w:ascii="Arial" w:hAnsi="Arial" w:cs="Arial"/>
        </w:rPr>
      </w:pPr>
      <w:r w:rsidRPr="0093765D">
        <w:rPr>
          <w:rFonts w:ascii="Arial" w:hAnsi="Arial" w:cs="Arial"/>
        </w:rPr>
        <w:t xml:space="preserve">Su, C.-H. (Joan) and Chen, C.-D. (2020). Does sustainability index matter to the hospitality industry? </w:t>
      </w:r>
      <w:r w:rsidRPr="0093765D">
        <w:rPr>
          <w:rFonts w:ascii="Arial" w:hAnsi="Arial" w:cs="Arial"/>
          <w:i/>
          <w:iCs/>
        </w:rPr>
        <w:t>Tourism Management</w:t>
      </w:r>
      <w:r w:rsidRPr="0093765D">
        <w:rPr>
          <w:rFonts w:ascii="Arial" w:hAnsi="Arial" w:cs="Arial"/>
        </w:rPr>
        <w:t xml:space="preserve">, 81, p.104158. </w:t>
      </w:r>
      <w:proofErr w:type="gramStart"/>
      <w:r w:rsidRPr="0093765D">
        <w:rPr>
          <w:rFonts w:ascii="Arial" w:hAnsi="Arial" w:cs="Arial"/>
        </w:rPr>
        <w:t>doi:https://doi.org/10.1016/j.tourman.2020.104158</w:t>
      </w:r>
      <w:proofErr w:type="gramEnd"/>
      <w:r w:rsidRPr="0093765D">
        <w:rPr>
          <w:rFonts w:ascii="Arial" w:hAnsi="Arial" w:cs="Arial"/>
        </w:rPr>
        <w:t>.</w:t>
      </w:r>
    </w:p>
    <w:p w14:paraId="43E1E5C1" w14:textId="77777777" w:rsidR="003F2288" w:rsidRPr="0093765D" w:rsidRDefault="003F2288" w:rsidP="003F2288">
      <w:pPr>
        <w:rPr>
          <w:rFonts w:cs="Arial"/>
          <w:lang w:val="en-GB"/>
        </w:rPr>
      </w:pPr>
    </w:p>
    <w:p w14:paraId="4C3807BC" w14:textId="77777777" w:rsidR="003F2288" w:rsidRDefault="003F2288" w:rsidP="003F2288"/>
    <w:p w14:paraId="11C1411C" w14:textId="77777777" w:rsidR="00FF010C" w:rsidRDefault="00FF010C"/>
    <w:sectPr w:rsidR="00FF010C" w:rsidSect="003F2288">
      <w:footerReference w:type="default" r:id="rId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7811126"/>
      <w:docPartObj>
        <w:docPartGallery w:val="Page Numbers (Bottom of Page)"/>
        <w:docPartUnique/>
      </w:docPartObj>
    </w:sdtPr>
    <w:sdtEndPr>
      <w:rPr>
        <w:noProof/>
      </w:rPr>
    </w:sdtEndPr>
    <w:sdtContent>
      <w:p w14:paraId="74B42FF4" w14:textId="77777777" w:rsidR="00000000" w:rsidRDefault="00000000">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3FA0AC9C"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288"/>
    <w:rsid w:val="003F2288"/>
    <w:rsid w:val="00F30E9C"/>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B6BAF"/>
  <w15:chartTrackingRefBased/>
  <w15:docId w15:val="{D42CC797-2014-4710-B5A9-F822C2666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288"/>
    <w:pPr>
      <w:spacing w:before="120" w:after="120" w:line="360" w:lineRule="auto"/>
      <w:jc w:val="both"/>
    </w:pPr>
    <w:rPr>
      <w:rFonts w:ascii="Arial" w:hAnsi="Arial"/>
      <w:kern w:val="0"/>
      <w:sz w:val="24"/>
      <w:lang w:val="en-US"/>
      <w14:ligatures w14:val="none"/>
    </w:rPr>
  </w:style>
  <w:style w:type="paragraph" w:styleId="Heading1">
    <w:name w:val="heading 1"/>
    <w:basedOn w:val="Normal"/>
    <w:next w:val="Normal"/>
    <w:link w:val="Heading1Char"/>
    <w:uiPriority w:val="1"/>
    <w:qFormat/>
    <w:rsid w:val="003F2288"/>
    <w:pPr>
      <w:keepNext/>
      <w:keepLines/>
      <w:spacing w:before="24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3F2288"/>
    <w:rPr>
      <w:rFonts w:ascii="Arial" w:eastAsiaTheme="majorEastAsia" w:hAnsi="Arial" w:cstheme="majorBidi"/>
      <w:b/>
      <w:kern w:val="0"/>
      <w:sz w:val="32"/>
      <w:szCs w:val="32"/>
      <w:lang w:val="en-US"/>
      <w14:ligatures w14:val="none"/>
    </w:rPr>
  </w:style>
  <w:style w:type="paragraph" w:styleId="Footer">
    <w:name w:val="footer"/>
    <w:basedOn w:val="Normal"/>
    <w:link w:val="FooterChar"/>
    <w:uiPriority w:val="99"/>
    <w:unhideWhenUsed/>
    <w:rsid w:val="003F228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F2288"/>
    <w:rPr>
      <w:rFonts w:ascii="Arial" w:hAnsi="Arial"/>
      <w:kern w:val="0"/>
      <w:sz w:val="24"/>
      <w:lang w:val="en-US"/>
      <w14:ligatures w14:val="none"/>
    </w:rPr>
  </w:style>
  <w:style w:type="paragraph" w:styleId="NormalWeb">
    <w:name w:val="Normal (Web)"/>
    <w:basedOn w:val="Normal"/>
    <w:uiPriority w:val="99"/>
    <w:semiHidden/>
    <w:unhideWhenUsed/>
    <w:rsid w:val="003F2288"/>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1502</Words>
  <Characters>8567</Characters>
  <Application>Microsoft Office Word</Application>
  <DocSecurity>0</DocSecurity>
  <Lines>71</Lines>
  <Paragraphs>20</Paragraphs>
  <ScaleCrop>false</ScaleCrop>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khaled123rayan@gmail.com</dc:creator>
  <cp:keywords/>
  <dc:description/>
  <cp:lastModifiedBy>khaled123rayan@gmail.com</cp:lastModifiedBy>
  <cp:revision>1</cp:revision>
  <dcterms:created xsi:type="dcterms:W3CDTF">2024-05-31T16:25:00Z</dcterms:created>
  <dcterms:modified xsi:type="dcterms:W3CDTF">2024-05-31T16:25:00Z</dcterms:modified>
</cp:coreProperties>
</file>