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5E508" w14:textId="4B4A238E" w:rsidR="00EE6027" w:rsidRDefault="001A0A04" w:rsidP="001A0A04">
      <w:pPr>
        <w:jc w:val="center"/>
        <w:rPr>
          <w:sz w:val="48"/>
          <w:szCs w:val="48"/>
        </w:rPr>
      </w:pPr>
      <w:r w:rsidRPr="001A0A04">
        <w:rPr>
          <w:sz w:val="48"/>
          <w:szCs w:val="48"/>
        </w:rPr>
        <w:t>Empowering the Workforce: A Comparative Analysis of Employee Engagement and Leadership Styles at Unilever and GlaxoSmithKline</w:t>
      </w:r>
    </w:p>
    <w:p w14:paraId="7642CC49" w14:textId="7BA3F438" w:rsidR="001A0A04" w:rsidRDefault="001A0A04" w:rsidP="001A0A04">
      <w:pPr>
        <w:jc w:val="center"/>
        <w:rPr>
          <w:sz w:val="48"/>
          <w:szCs w:val="48"/>
        </w:rPr>
      </w:pPr>
    </w:p>
    <w:p w14:paraId="36033060" w14:textId="77777777" w:rsidR="006E2B17" w:rsidRPr="00711C5B" w:rsidRDefault="006E2B17" w:rsidP="006E2B17">
      <w:pPr>
        <w:jc w:val="center"/>
        <w:rPr>
          <w:rFonts w:ascii="Arial" w:hAnsi="Arial" w:cs="Arial"/>
          <w:sz w:val="52"/>
          <w:szCs w:val="52"/>
        </w:rPr>
      </w:pPr>
      <w:r w:rsidRPr="00711C5B">
        <w:rPr>
          <w:rFonts w:ascii="Arial" w:hAnsi="Arial" w:cs="Arial"/>
          <w:sz w:val="52"/>
          <w:szCs w:val="52"/>
        </w:rPr>
        <w:t>Simona Becheanu-2019936</w:t>
      </w:r>
    </w:p>
    <w:p w14:paraId="5BDCF12B" w14:textId="461CDCF5" w:rsidR="001A0A04" w:rsidRDefault="001A0A04" w:rsidP="001A0A04">
      <w:pPr>
        <w:jc w:val="center"/>
        <w:rPr>
          <w:sz w:val="48"/>
          <w:szCs w:val="48"/>
        </w:rPr>
      </w:pPr>
    </w:p>
    <w:p w14:paraId="5C5570C7" w14:textId="54D470F6" w:rsidR="001A0A04" w:rsidRDefault="001A0A04" w:rsidP="001A0A04">
      <w:pPr>
        <w:jc w:val="center"/>
        <w:rPr>
          <w:sz w:val="48"/>
          <w:szCs w:val="48"/>
        </w:rPr>
      </w:pPr>
    </w:p>
    <w:p w14:paraId="74FE7211" w14:textId="606AFB2C" w:rsidR="001A0A04" w:rsidRDefault="001A0A04" w:rsidP="001A0A04">
      <w:pPr>
        <w:jc w:val="center"/>
        <w:rPr>
          <w:sz w:val="48"/>
          <w:szCs w:val="48"/>
        </w:rPr>
      </w:pPr>
    </w:p>
    <w:p w14:paraId="0332B0B6" w14:textId="4AB1F4E8" w:rsidR="001A0A04" w:rsidRDefault="001A0A04" w:rsidP="001A0A04">
      <w:pPr>
        <w:jc w:val="center"/>
        <w:rPr>
          <w:sz w:val="48"/>
          <w:szCs w:val="48"/>
        </w:rPr>
      </w:pPr>
    </w:p>
    <w:p w14:paraId="280D4A5E" w14:textId="20EAB9B7" w:rsidR="001A0A04" w:rsidRDefault="001A0A04" w:rsidP="001A0A04">
      <w:pPr>
        <w:jc w:val="center"/>
        <w:rPr>
          <w:sz w:val="48"/>
          <w:szCs w:val="48"/>
        </w:rPr>
      </w:pPr>
    </w:p>
    <w:p w14:paraId="67E3527B" w14:textId="16E030F2" w:rsidR="001A0A04" w:rsidRDefault="001A0A04" w:rsidP="001A0A04">
      <w:pPr>
        <w:jc w:val="center"/>
        <w:rPr>
          <w:sz w:val="48"/>
          <w:szCs w:val="48"/>
        </w:rPr>
      </w:pPr>
    </w:p>
    <w:p w14:paraId="31C27BD9" w14:textId="0D15F5B3" w:rsidR="001A0A04" w:rsidRDefault="001A0A04" w:rsidP="001A0A04">
      <w:pPr>
        <w:jc w:val="center"/>
        <w:rPr>
          <w:sz w:val="48"/>
          <w:szCs w:val="48"/>
        </w:rPr>
      </w:pPr>
    </w:p>
    <w:p w14:paraId="1E7F7A8B" w14:textId="1B8CE7E9" w:rsidR="001A0A04" w:rsidRDefault="001A0A04" w:rsidP="001A0A04">
      <w:pPr>
        <w:jc w:val="center"/>
        <w:rPr>
          <w:sz w:val="48"/>
          <w:szCs w:val="48"/>
        </w:rPr>
      </w:pPr>
    </w:p>
    <w:p w14:paraId="07A99F14" w14:textId="1148760B" w:rsidR="001A0A04" w:rsidRDefault="001A0A04" w:rsidP="001A0A04">
      <w:pPr>
        <w:jc w:val="center"/>
        <w:rPr>
          <w:sz w:val="48"/>
          <w:szCs w:val="48"/>
        </w:rPr>
      </w:pPr>
    </w:p>
    <w:p w14:paraId="23E54B2E" w14:textId="2E81EC9E" w:rsidR="001A0A04" w:rsidRDefault="001A0A04" w:rsidP="001A0A04">
      <w:pPr>
        <w:jc w:val="center"/>
        <w:rPr>
          <w:sz w:val="48"/>
          <w:szCs w:val="48"/>
        </w:rPr>
      </w:pPr>
    </w:p>
    <w:p w14:paraId="495F391F" w14:textId="651F3E4A" w:rsidR="001A0A04" w:rsidRDefault="001A0A04" w:rsidP="001A0A04">
      <w:pPr>
        <w:jc w:val="center"/>
        <w:rPr>
          <w:sz w:val="48"/>
          <w:szCs w:val="48"/>
        </w:rPr>
      </w:pPr>
    </w:p>
    <w:p w14:paraId="7AA58987" w14:textId="3B99E86B" w:rsidR="001A0A04" w:rsidRDefault="001A0A04" w:rsidP="001A0A04">
      <w:pPr>
        <w:jc w:val="center"/>
        <w:rPr>
          <w:sz w:val="48"/>
          <w:szCs w:val="48"/>
        </w:rPr>
      </w:pPr>
    </w:p>
    <w:p w14:paraId="1A762BC3" w14:textId="427997FB" w:rsidR="001A0A04" w:rsidRDefault="001A0A04" w:rsidP="001A0A04">
      <w:pPr>
        <w:jc w:val="center"/>
        <w:rPr>
          <w:sz w:val="48"/>
          <w:szCs w:val="48"/>
        </w:rPr>
      </w:pPr>
    </w:p>
    <w:p w14:paraId="4DC83E3E" w14:textId="1608A3FF" w:rsidR="001A0A04" w:rsidRDefault="001A0A04" w:rsidP="001A0A04">
      <w:pPr>
        <w:jc w:val="center"/>
        <w:rPr>
          <w:sz w:val="48"/>
          <w:szCs w:val="48"/>
        </w:rPr>
      </w:pPr>
    </w:p>
    <w:p w14:paraId="64882E73" w14:textId="576AD030" w:rsidR="001A0A04" w:rsidRDefault="001A0A04" w:rsidP="001A0A04">
      <w:pPr>
        <w:jc w:val="center"/>
        <w:rPr>
          <w:sz w:val="48"/>
          <w:szCs w:val="48"/>
        </w:rPr>
      </w:pPr>
    </w:p>
    <w:p w14:paraId="37C1962F" w14:textId="18AB4D43" w:rsidR="001A0A04" w:rsidRDefault="001A0A04" w:rsidP="001A0A04">
      <w:pPr>
        <w:jc w:val="center"/>
        <w:rPr>
          <w:sz w:val="48"/>
          <w:szCs w:val="48"/>
        </w:rPr>
      </w:pPr>
    </w:p>
    <w:p w14:paraId="7EBFC20D" w14:textId="1D846E33" w:rsidR="001A0A04" w:rsidRDefault="001A0A04" w:rsidP="001A0A04">
      <w:pPr>
        <w:jc w:val="center"/>
        <w:rPr>
          <w:sz w:val="48"/>
          <w:szCs w:val="48"/>
        </w:rPr>
      </w:pPr>
    </w:p>
    <w:p w14:paraId="7C846F91" w14:textId="7FB91418" w:rsidR="001A0A04" w:rsidRDefault="001A0A04" w:rsidP="001A0A04">
      <w:pPr>
        <w:jc w:val="center"/>
        <w:rPr>
          <w:sz w:val="48"/>
          <w:szCs w:val="48"/>
        </w:rPr>
      </w:pPr>
    </w:p>
    <w:sdt>
      <w:sdtPr>
        <w:rPr>
          <w:rFonts w:asciiTheme="minorHAnsi" w:eastAsiaTheme="minorHAnsi" w:hAnsiTheme="minorHAnsi" w:cstheme="minorBidi"/>
          <w:b w:val="0"/>
          <w:bCs w:val="0"/>
          <w:color w:val="auto"/>
          <w:sz w:val="24"/>
          <w:szCs w:val="24"/>
          <w:lang w:val="en-GB"/>
        </w:rPr>
        <w:id w:val="-835461462"/>
        <w:docPartObj>
          <w:docPartGallery w:val="Table of Contents"/>
          <w:docPartUnique/>
        </w:docPartObj>
      </w:sdtPr>
      <w:sdtEndPr>
        <w:rPr>
          <w:noProof/>
        </w:rPr>
      </w:sdtEndPr>
      <w:sdtContent>
        <w:p w14:paraId="3CF44EDF" w14:textId="1BD21FC9" w:rsidR="00FD7452" w:rsidRDefault="00FD7452">
          <w:pPr>
            <w:pStyle w:val="TOCHeading"/>
          </w:pPr>
          <w:r>
            <w:t>Table of Contents</w:t>
          </w:r>
        </w:p>
        <w:p w14:paraId="2CD62DEB" w14:textId="101E87B4" w:rsidR="00FD7452" w:rsidRDefault="00FD745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2907617" w:history="1">
            <w:r w:rsidRPr="00056EB3">
              <w:rPr>
                <w:rStyle w:val="Hyperlink"/>
                <w:noProof/>
              </w:rPr>
              <w:t>Abstract</w:t>
            </w:r>
            <w:r>
              <w:rPr>
                <w:noProof/>
                <w:webHidden/>
              </w:rPr>
              <w:tab/>
            </w:r>
            <w:r>
              <w:rPr>
                <w:noProof/>
                <w:webHidden/>
              </w:rPr>
              <w:fldChar w:fldCharType="begin"/>
            </w:r>
            <w:r>
              <w:rPr>
                <w:noProof/>
                <w:webHidden/>
              </w:rPr>
              <w:instrText xml:space="preserve"> PAGEREF _Toc142907617 \h </w:instrText>
            </w:r>
            <w:r>
              <w:rPr>
                <w:noProof/>
                <w:webHidden/>
              </w:rPr>
            </w:r>
            <w:r>
              <w:rPr>
                <w:noProof/>
                <w:webHidden/>
              </w:rPr>
              <w:fldChar w:fldCharType="separate"/>
            </w:r>
            <w:r>
              <w:rPr>
                <w:noProof/>
                <w:webHidden/>
              </w:rPr>
              <w:t>3</w:t>
            </w:r>
            <w:r>
              <w:rPr>
                <w:noProof/>
                <w:webHidden/>
              </w:rPr>
              <w:fldChar w:fldCharType="end"/>
            </w:r>
          </w:hyperlink>
        </w:p>
        <w:p w14:paraId="2FAC4FC3" w14:textId="6A8694EC" w:rsidR="00FD7452" w:rsidRDefault="00000000">
          <w:pPr>
            <w:pStyle w:val="TOC1"/>
            <w:tabs>
              <w:tab w:val="right" w:leader="dot" w:pos="9016"/>
            </w:tabs>
            <w:rPr>
              <w:noProof/>
            </w:rPr>
          </w:pPr>
          <w:hyperlink w:anchor="_Toc142907618" w:history="1">
            <w:r w:rsidR="00FD7452" w:rsidRPr="00056EB3">
              <w:rPr>
                <w:rStyle w:val="Hyperlink"/>
                <w:noProof/>
              </w:rPr>
              <w:t>Introduction</w:t>
            </w:r>
            <w:r w:rsidR="00FD7452">
              <w:rPr>
                <w:noProof/>
                <w:webHidden/>
              </w:rPr>
              <w:tab/>
            </w:r>
            <w:r w:rsidR="00FD7452">
              <w:rPr>
                <w:noProof/>
                <w:webHidden/>
              </w:rPr>
              <w:fldChar w:fldCharType="begin"/>
            </w:r>
            <w:r w:rsidR="00FD7452">
              <w:rPr>
                <w:noProof/>
                <w:webHidden/>
              </w:rPr>
              <w:instrText xml:space="preserve"> PAGEREF _Toc142907618 \h </w:instrText>
            </w:r>
            <w:r w:rsidR="00FD7452">
              <w:rPr>
                <w:noProof/>
                <w:webHidden/>
              </w:rPr>
            </w:r>
            <w:r w:rsidR="00FD7452">
              <w:rPr>
                <w:noProof/>
                <w:webHidden/>
              </w:rPr>
              <w:fldChar w:fldCharType="separate"/>
            </w:r>
            <w:r w:rsidR="00FD7452">
              <w:rPr>
                <w:noProof/>
                <w:webHidden/>
              </w:rPr>
              <w:t>3</w:t>
            </w:r>
            <w:r w:rsidR="00FD7452">
              <w:rPr>
                <w:noProof/>
                <w:webHidden/>
              </w:rPr>
              <w:fldChar w:fldCharType="end"/>
            </w:r>
          </w:hyperlink>
        </w:p>
        <w:p w14:paraId="007CB8F2" w14:textId="47879470" w:rsidR="00FD7452" w:rsidRDefault="00000000">
          <w:pPr>
            <w:pStyle w:val="TOC1"/>
            <w:tabs>
              <w:tab w:val="right" w:leader="dot" w:pos="9016"/>
            </w:tabs>
            <w:rPr>
              <w:noProof/>
            </w:rPr>
          </w:pPr>
          <w:hyperlink w:anchor="_Toc142907619" w:history="1">
            <w:r w:rsidR="00FD7452" w:rsidRPr="00056EB3">
              <w:rPr>
                <w:rStyle w:val="Hyperlink"/>
                <w:noProof/>
              </w:rPr>
              <w:t>Understanding Employee Engagement and Its Significance</w:t>
            </w:r>
            <w:r w:rsidR="00FD7452">
              <w:rPr>
                <w:noProof/>
                <w:webHidden/>
              </w:rPr>
              <w:tab/>
            </w:r>
            <w:r w:rsidR="00FD7452">
              <w:rPr>
                <w:noProof/>
                <w:webHidden/>
              </w:rPr>
              <w:fldChar w:fldCharType="begin"/>
            </w:r>
            <w:r w:rsidR="00FD7452">
              <w:rPr>
                <w:noProof/>
                <w:webHidden/>
              </w:rPr>
              <w:instrText xml:space="preserve"> PAGEREF _Toc142907619 \h </w:instrText>
            </w:r>
            <w:r w:rsidR="00FD7452">
              <w:rPr>
                <w:noProof/>
                <w:webHidden/>
              </w:rPr>
            </w:r>
            <w:r w:rsidR="00FD7452">
              <w:rPr>
                <w:noProof/>
                <w:webHidden/>
              </w:rPr>
              <w:fldChar w:fldCharType="separate"/>
            </w:r>
            <w:r w:rsidR="00FD7452">
              <w:rPr>
                <w:noProof/>
                <w:webHidden/>
              </w:rPr>
              <w:t>4</w:t>
            </w:r>
            <w:r w:rsidR="00FD7452">
              <w:rPr>
                <w:noProof/>
                <w:webHidden/>
              </w:rPr>
              <w:fldChar w:fldCharType="end"/>
            </w:r>
          </w:hyperlink>
        </w:p>
        <w:p w14:paraId="4BCFCBDE" w14:textId="3009B588" w:rsidR="00FD7452" w:rsidRDefault="00000000">
          <w:pPr>
            <w:pStyle w:val="TOC1"/>
            <w:tabs>
              <w:tab w:val="right" w:leader="dot" w:pos="9016"/>
            </w:tabs>
            <w:rPr>
              <w:noProof/>
            </w:rPr>
          </w:pPr>
          <w:hyperlink w:anchor="_Toc142907620" w:history="1">
            <w:r w:rsidR="00FD7452" w:rsidRPr="00056EB3">
              <w:rPr>
                <w:rStyle w:val="Hyperlink"/>
                <w:noProof/>
              </w:rPr>
              <w:t>Leadership Theories and Styles at GSK</w:t>
            </w:r>
            <w:r w:rsidR="00FD7452">
              <w:rPr>
                <w:noProof/>
                <w:webHidden/>
              </w:rPr>
              <w:tab/>
            </w:r>
            <w:r w:rsidR="00FD7452">
              <w:rPr>
                <w:noProof/>
                <w:webHidden/>
              </w:rPr>
              <w:fldChar w:fldCharType="begin"/>
            </w:r>
            <w:r w:rsidR="00FD7452">
              <w:rPr>
                <w:noProof/>
                <w:webHidden/>
              </w:rPr>
              <w:instrText xml:space="preserve"> PAGEREF _Toc142907620 \h </w:instrText>
            </w:r>
            <w:r w:rsidR="00FD7452">
              <w:rPr>
                <w:noProof/>
                <w:webHidden/>
              </w:rPr>
            </w:r>
            <w:r w:rsidR="00FD7452">
              <w:rPr>
                <w:noProof/>
                <w:webHidden/>
              </w:rPr>
              <w:fldChar w:fldCharType="separate"/>
            </w:r>
            <w:r w:rsidR="00FD7452">
              <w:rPr>
                <w:noProof/>
                <w:webHidden/>
              </w:rPr>
              <w:t>4</w:t>
            </w:r>
            <w:r w:rsidR="00FD7452">
              <w:rPr>
                <w:noProof/>
                <w:webHidden/>
              </w:rPr>
              <w:fldChar w:fldCharType="end"/>
            </w:r>
          </w:hyperlink>
        </w:p>
        <w:p w14:paraId="7DCCE713" w14:textId="69912CA2" w:rsidR="00FD7452" w:rsidRDefault="00000000">
          <w:pPr>
            <w:pStyle w:val="TOC1"/>
            <w:tabs>
              <w:tab w:val="right" w:leader="dot" w:pos="9016"/>
            </w:tabs>
            <w:rPr>
              <w:noProof/>
            </w:rPr>
          </w:pPr>
          <w:hyperlink w:anchor="_Toc142907621" w:history="1">
            <w:r w:rsidR="00FD7452" w:rsidRPr="00056EB3">
              <w:rPr>
                <w:rStyle w:val="Hyperlink"/>
                <w:noProof/>
              </w:rPr>
              <w:t>Comparative Case Study: Unilever vs. GSK</w:t>
            </w:r>
            <w:r w:rsidR="00FD7452">
              <w:rPr>
                <w:noProof/>
                <w:webHidden/>
              </w:rPr>
              <w:tab/>
            </w:r>
            <w:r w:rsidR="00FD7452">
              <w:rPr>
                <w:noProof/>
                <w:webHidden/>
              </w:rPr>
              <w:fldChar w:fldCharType="begin"/>
            </w:r>
            <w:r w:rsidR="00FD7452">
              <w:rPr>
                <w:noProof/>
                <w:webHidden/>
              </w:rPr>
              <w:instrText xml:space="preserve"> PAGEREF _Toc142907621 \h </w:instrText>
            </w:r>
            <w:r w:rsidR="00FD7452">
              <w:rPr>
                <w:noProof/>
                <w:webHidden/>
              </w:rPr>
            </w:r>
            <w:r w:rsidR="00FD7452">
              <w:rPr>
                <w:noProof/>
                <w:webHidden/>
              </w:rPr>
              <w:fldChar w:fldCharType="separate"/>
            </w:r>
            <w:r w:rsidR="00FD7452">
              <w:rPr>
                <w:noProof/>
                <w:webHidden/>
              </w:rPr>
              <w:t>5</w:t>
            </w:r>
            <w:r w:rsidR="00FD7452">
              <w:rPr>
                <w:noProof/>
                <w:webHidden/>
              </w:rPr>
              <w:fldChar w:fldCharType="end"/>
            </w:r>
          </w:hyperlink>
        </w:p>
        <w:p w14:paraId="38C9D0FE" w14:textId="282A87CE" w:rsidR="00FD7452" w:rsidRDefault="00000000">
          <w:pPr>
            <w:pStyle w:val="TOC1"/>
            <w:tabs>
              <w:tab w:val="right" w:leader="dot" w:pos="9016"/>
            </w:tabs>
            <w:rPr>
              <w:noProof/>
            </w:rPr>
          </w:pPr>
          <w:hyperlink w:anchor="_Toc142907622" w:history="1">
            <w:r w:rsidR="00FD7452" w:rsidRPr="00056EB3">
              <w:rPr>
                <w:rStyle w:val="Hyperlink"/>
                <w:noProof/>
              </w:rPr>
              <w:t>Impact of Leadership Style on Employee Engagement: A Comparative Perspective</w:t>
            </w:r>
            <w:r w:rsidR="00FD7452">
              <w:rPr>
                <w:noProof/>
                <w:webHidden/>
              </w:rPr>
              <w:tab/>
            </w:r>
            <w:r w:rsidR="00FD7452">
              <w:rPr>
                <w:noProof/>
                <w:webHidden/>
              </w:rPr>
              <w:fldChar w:fldCharType="begin"/>
            </w:r>
            <w:r w:rsidR="00FD7452">
              <w:rPr>
                <w:noProof/>
                <w:webHidden/>
              </w:rPr>
              <w:instrText xml:space="preserve"> PAGEREF _Toc142907622 \h </w:instrText>
            </w:r>
            <w:r w:rsidR="00FD7452">
              <w:rPr>
                <w:noProof/>
                <w:webHidden/>
              </w:rPr>
            </w:r>
            <w:r w:rsidR="00FD7452">
              <w:rPr>
                <w:noProof/>
                <w:webHidden/>
              </w:rPr>
              <w:fldChar w:fldCharType="separate"/>
            </w:r>
            <w:r w:rsidR="00FD7452">
              <w:rPr>
                <w:noProof/>
                <w:webHidden/>
              </w:rPr>
              <w:t>6</w:t>
            </w:r>
            <w:r w:rsidR="00FD7452">
              <w:rPr>
                <w:noProof/>
                <w:webHidden/>
              </w:rPr>
              <w:fldChar w:fldCharType="end"/>
            </w:r>
          </w:hyperlink>
        </w:p>
        <w:p w14:paraId="31637B50" w14:textId="03662FB2" w:rsidR="00FD7452" w:rsidRDefault="00000000">
          <w:pPr>
            <w:pStyle w:val="TOC1"/>
            <w:tabs>
              <w:tab w:val="right" w:leader="dot" w:pos="9016"/>
            </w:tabs>
            <w:rPr>
              <w:noProof/>
            </w:rPr>
          </w:pPr>
          <w:hyperlink w:anchor="_Toc142907623" w:history="1">
            <w:r w:rsidR="00FD7452" w:rsidRPr="00056EB3">
              <w:rPr>
                <w:rStyle w:val="Hyperlink"/>
                <w:noProof/>
              </w:rPr>
              <w:t>Enhancing Employee Engagement through Leadership: A Unified Approach</w:t>
            </w:r>
            <w:r w:rsidR="00FD7452">
              <w:rPr>
                <w:noProof/>
                <w:webHidden/>
              </w:rPr>
              <w:tab/>
            </w:r>
            <w:r w:rsidR="00FD7452">
              <w:rPr>
                <w:noProof/>
                <w:webHidden/>
              </w:rPr>
              <w:fldChar w:fldCharType="begin"/>
            </w:r>
            <w:r w:rsidR="00FD7452">
              <w:rPr>
                <w:noProof/>
                <w:webHidden/>
              </w:rPr>
              <w:instrText xml:space="preserve"> PAGEREF _Toc142907623 \h </w:instrText>
            </w:r>
            <w:r w:rsidR="00FD7452">
              <w:rPr>
                <w:noProof/>
                <w:webHidden/>
              </w:rPr>
            </w:r>
            <w:r w:rsidR="00FD7452">
              <w:rPr>
                <w:noProof/>
                <w:webHidden/>
              </w:rPr>
              <w:fldChar w:fldCharType="separate"/>
            </w:r>
            <w:r w:rsidR="00FD7452">
              <w:rPr>
                <w:noProof/>
                <w:webHidden/>
              </w:rPr>
              <w:t>6</w:t>
            </w:r>
            <w:r w:rsidR="00FD7452">
              <w:rPr>
                <w:noProof/>
                <w:webHidden/>
              </w:rPr>
              <w:fldChar w:fldCharType="end"/>
            </w:r>
          </w:hyperlink>
        </w:p>
        <w:p w14:paraId="507E7A23" w14:textId="62BACA71" w:rsidR="00FD7452" w:rsidRDefault="00000000">
          <w:pPr>
            <w:pStyle w:val="TOC1"/>
            <w:tabs>
              <w:tab w:val="right" w:leader="dot" w:pos="9016"/>
            </w:tabs>
            <w:rPr>
              <w:noProof/>
            </w:rPr>
          </w:pPr>
          <w:hyperlink w:anchor="_Toc142907624" w:history="1">
            <w:r w:rsidR="00FD7452" w:rsidRPr="00056EB3">
              <w:rPr>
                <w:rStyle w:val="Hyperlink"/>
                <w:noProof/>
              </w:rPr>
              <w:t>Conclusion</w:t>
            </w:r>
            <w:r w:rsidR="00FD7452">
              <w:rPr>
                <w:noProof/>
                <w:webHidden/>
              </w:rPr>
              <w:tab/>
            </w:r>
            <w:r w:rsidR="00FD7452">
              <w:rPr>
                <w:noProof/>
                <w:webHidden/>
              </w:rPr>
              <w:fldChar w:fldCharType="begin"/>
            </w:r>
            <w:r w:rsidR="00FD7452">
              <w:rPr>
                <w:noProof/>
                <w:webHidden/>
              </w:rPr>
              <w:instrText xml:space="preserve"> PAGEREF _Toc142907624 \h </w:instrText>
            </w:r>
            <w:r w:rsidR="00FD7452">
              <w:rPr>
                <w:noProof/>
                <w:webHidden/>
              </w:rPr>
            </w:r>
            <w:r w:rsidR="00FD7452">
              <w:rPr>
                <w:noProof/>
                <w:webHidden/>
              </w:rPr>
              <w:fldChar w:fldCharType="separate"/>
            </w:r>
            <w:r w:rsidR="00FD7452">
              <w:rPr>
                <w:noProof/>
                <w:webHidden/>
              </w:rPr>
              <w:t>8</w:t>
            </w:r>
            <w:r w:rsidR="00FD7452">
              <w:rPr>
                <w:noProof/>
                <w:webHidden/>
              </w:rPr>
              <w:fldChar w:fldCharType="end"/>
            </w:r>
          </w:hyperlink>
        </w:p>
        <w:p w14:paraId="1F2074E5" w14:textId="1D825AA6" w:rsidR="00FD7452" w:rsidRDefault="00000000">
          <w:pPr>
            <w:pStyle w:val="TOC1"/>
            <w:tabs>
              <w:tab w:val="right" w:leader="dot" w:pos="9016"/>
            </w:tabs>
            <w:rPr>
              <w:noProof/>
            </w:rPr>
          </w:pPr>
          <w:hyperlink w:anchor="_Toc142907625" w:history="1">
            <w:r w:rsidR="00FD7452" w:rsidRPr="00056EB3">
              <w:rPr>
                <w:rStyle w:val="Hyperlink"/>
                <w:noProof/>
              </w:rPr>
              <w:t>References</w:t>
            </w:r>
            <w:r w:rsidR="00FD7452">
              <w:rPr>
                <w:noProof/>
                <w:webHidden/>
              </w:rPr>
              <w:tab/>
            </w:r>
            <w:r w:rsidR="00FD7452">
              <w:rPr>
                <w:noProof/>
                <w:webHidden/>
              </w:rPr>
              <w:fldChar w:fldCharType="begin"/>
            </w:r>
            <w:r w:rsidR="00FD7452">
              <w:rPr>
                <w:noProof/>
                <w:webHidden/>
              </w:rPr>
              <w:instrText xml:space="preserve"> PAGEREF _Toc142907625 \h </w:instrText>
            </w:r>
            <w:r w:rsidR="00FD7452">
              <w:rPr>
                <w:noProof/>
                <w:webHidden/>
              </w:rPr>
            </w:r>
            <w:r w:rsidR="00FD7452">
              <w:rPr>
                <w:noProof/>
                <w:webHidden/>
              </w:rPr>
              <w:fldChar w:fldCharType="separate"/>
            </w:r>
            <w:r w:rsidR="00FD7452">
              <w:rPr>
                <w:noProof/>
                <w:webHidden/>
              </w:rPr>
              <w:t>9</w:t>
            </w:r>
            <w:r w:rsidR="00FD7452">
              <w:rPr>
                <w:noProof/>
                <w:webHidden/>
              </w:rPr>
              <w:fldChar w:fldCharType="end"/>
            </w:r>
          </w:hyperlink>
        </w:p>
        <w:p w14:paraId="038285A6" w14:textId="2CDC55BE" w:rsidR="00FD7452" w:rsidRDefault="00FD7452">
          <w:r>
            <w:rPr>
              <w:b/>
              <w:bCs/>
              <w:noProof/>
            </w:rPr>
            <w:fldChar w:fldCharType="end"/>
          </w:r>
        </w:p>
      </w:sdtContent>
    </w:sdt>
    <w:p w14:paraId="7A44D7D3" w14:textId="3E18A447" w:rsidR="001A0A04" w:rsidRDefault="001A0A04" w:rsidP="00FD7452">
      <w:pPr>
        <w:rPr>
          <w:sz w:val="48"/>
          <w:szCs w:val="48"/>
        </w:rPr>
      </w:pPr>
    </w:p>
    <w:p w14:paraId="5262FD8D" w14:textId="3AA5E82F" w:rsidR="001A0A04" w:rsidRDefault="001A0A04" w:rsidP="001A0A04">
      <w:pPr>
        <w:jc w:val="center"/>
        <w:rPr>
          <w:sz w:val="48"/>
          <w:szCs w:val="48"/>
        </w:rPr>
      </w:pPr>
    </w:p>
    <w:p w14:paraId="09C92460" w14:textId="04852D6D" w:rsidR="001A0A04" w:rsidRDefault="001A0A04" w:rsidP="001A0A04">
      <w:pPr>
        <w:jc w:val="center"/>
        <w:rPr>
          <w:sz w:val="48"/>
          <w:szCs w:val="48"/>
        </w:rPr>
      </w:pPr>
    </w:p>
    <w:p w14:paraId="042C6B12" w14:textId="3714350E" w:rsidR="001A0A04" w:rsidRDefault="001A0A04" w:rsidP="001A0A04">
      <w:pPr>
        <w:jc w:val="center"/>
        <w:rPr>
          <w:sz w:val="48"/>
          <w:szCs w:val="48"/>
        </w:rPr>
      </w:pPr>
    </w:p>
    <w:p w14:paraId="1D4437AC" w14:textId="5D18964D" w:rsidR="001A0A04" w:rsidRDefault="001A0A04" w:rsidP="001A0A04">
      <w:pPr>
        <w:jc w:val="center"/>
        <w:rPr>
          <w:sz w:val="48"/>
          <w:szCs w:val="48"/>
        </w:rPr>
      </w:pPr>
    </w:p>
    <w:p w14:paraId="134AF97E" w14:textId="3E52115E" w:rsidR="001A0A04" w:rsidRDefault="001A0A04" w:rsidP="001A0A04">
      <w:pPr>
        <w:jc w:val="center"/>
        <w:rPr>
          <w:sz w:val="48"/>
          <w:szCs w:val="48"/>
        </w:rPr>
      </w:pPr>
    </w:p>
    <w:p w14:paraId="6D711EA2" w14:textId="27B124BD" w:rsidR="001A0A04" w:rsidRDefault="001A0A04" w:rsidP="001A0A04">
      <w:pPr>
        <w:jc w:val="center"/>
        <w:rPr>
          <w:sz w:val="48"/>
          <w:szCs w:val="48"/>
        </w:rPr>
      </w:pPr>
    </w:p>
    <w:p w14:paraId="51DB321D" w14:textId="611E5900" w:rsidR="001A0A04" w:rsidRDefault="001A0A04" w:rsidP="001A0A04">
      <w:pPr>
        <w:jc w:val="center"/>
        <w:rPr>
          <w:sz w:val="48"/>
          <w:szCs w:val="48"/>
        </w:rPr>
      </w:pPr>
    </w:p>
    <w:p w14:paraId="6449465D" w14:textId="6A1D572B" w:rsidR="001A0A04" w:rsidRDefault="001A0A04" w:rsidP="001A0A04">
      <w:pPr>
        <w:jc w:val="center"/>
        <w:rPr>
          <w:sz w:val="48"/>
          <w:szCs w:val="48"/>
        </w:rPr>
      </w:pPr>
    </w:p>
    <w:p w14:paraId="02A5F05B" w14:textId="33027D78" w:rsidR="001A0A04" w:rsidRDefault="001A0A04" w:rsidP="001A0A04">
      <w:pPr>
        <w:jc w:val="center"/>
        <w:rPr>
          <w:sz w:val="48"/>
          <w:szCs w:val="48"/>
        </w:rPr>
      </w:pPr>
    </w:p>
    <w:p w14:paraId="01943719" w14:textId="2E125DAD" w:rsidR="001A0A04" w:rsidRDefault="001A0A04" w:rsidP="001A0A04">
      <w:pPr>
        <w:jc w:val="center"/>
        <w:rPr>
          <w:sz w:val="48"/>
          <w:szCs w:val="48"/>
        </w:rPr>
      </w:pPr>
    </w:p>
    <w:p w14:paraId="11A0740B" w14:textId="53907FD5" w:rsidR="001A0A04" w:rsidRDefault="001A0A04" w:rsidP="001A0A04">
      <w:pPr>
        <w:jc w:val="center"/>
        <w:rPr>
          <w:sz w:val="48"/>
          <w:szCs w:val="48"/>
        </w:rPr>
      </w:pPr>
    </w:p>
    <w:p w14:paraId="6984E88E" w14:textId="2ADA6D66" w:rsidR="001A0A04" w:rsidRDefault="001A0A04" w:rsidP="001A0A04">
      <w:pPr>
        <w:jc w:val="center"/>
        <w:rPr>
          <w:sz w:val="48"/>
          <w:szCs w:val="48"/>
        </w:rPr>
      </w:pPr>
    </w:p>
    <w:p w14:paraId="18A3A56B" w14:textId="590DB8A9" w:rsidR="001A0A04" w:rsidRDefault="001A0A04" w:rsidP="001A0A04">
      <w:pPr>
        <w:jc w:val="center"/>
        <w:rPr>
          <w:sz w:val="48"/>
          <w:szCs w:val="48"/>
        </w:rPr>
      </w:pPr>
    </w:p>
    <w:p w14:paraId="7E720D79" w14:textId="787BD23D" w:rsidR="001A0A04" w:rsidRDefault="001A0A04" w:rsidP="001A0A04">
      <w:pPr>
        <w:jc w:val="center"/>
        <w:rPr>
          <w:sz w:val="48"/>
          <w:szCs w:val="48"/>
        </w:rPr>
      </w:pPr>
    </w:p>
    <w:p w14:paraId="57CBDBA2" w14:textId="77777777" w:rsidR="001A0A04" w:rsidRDefault="001A0A04" w:rsidP="001A0A04">
      <w:pPr>
        <w:rPr>
          <w:rFonts w:ascii="Arial" w:hAnsi="Arial" w:cs="Arial"/>
        </w:rPr>
      </w:pPr>
    </w:p>
    <w:p w14:paraId="4EA93067" w14:textId="6336EFCA" w:rsidR="001A0A04" w:rsidRDefault="00FD7452" w:rsidP="00FD7452">
      <w:pPr>
        <w:pStyle w:val="Heading1"/>
      </w:pPr>
      <w:bookmarkStart w:id="0" w:name="_Toc142907617"/>
      <w:r>
        <w:t>Abstract</w:t>
      </w:r>
      <w:bookmarkEnd w:id="0"/>
    </w:p>
    <w:p w14:paraId="2F3C99F9" w14:textId="42EBAAFE" w:rsidR="001A0A04" w:rsidRDefault="001A0A04" w:rsidP="001A0A04">
      <w:pPr>
        <w:rPr>
          <w:rFonts w:ascii="Arial" w:hAnsi="Arial" w:cs="Arial"/>
        </w:rPr>
      </w:pPr>
    </w:p>
    <w:p w14:paraId="660B9B54" w14:textId="77777777" w:rsidR="001A0A04" w:rsidRDefault="001A0A04" w:rsidP="001A0A04">
      <w:pPr>
        <w:rPr>
          <w:rFonts w:ascii="Arial" w:hAnsi="Arial" w:cs="Arial"/>
        </w:rPr>
      </w:pPr>
    </w:p>
    <w:p w14:paraId="2FAB72A9" w14:textId="77777777" w:rsidR="001A0A04" w:rsidRPr="001A0A04" w:rsidRDefault="001A0A04" w:rsidP="001A0A04">
      <w:pPr>
        <w:rPr>
          <w:rFonts w:ascii="Arial" w:hAnsi="Arial" w:cs="Arial"/>
        </w:rPr>
      </w:pPr>
      <w:r w:rsidRPr="001A0A04">
        <w:rPr>
          <w:rFonts w:ascii="Arial" w:hAnsi="Arial" w:cs="Arial"/>
        </w:rPr>
        <w:t>Within the dynamic and constantly shifting landscape of the corporate sector in the United Kingdom, two prominent entities, Unilever and GlaxoSmithKline (GSK), emerge as significant forces, exerting substantial influence on many sectors and making a lasting impact on the overall business environment. Our research starts inside the boundaries of these prestigious institutions, embarking on a comparative expedition that delves into the essence of employee engagement and its subtle correlation with leadership style. As we explore the unique domains of these prominent players in the industry, we uncover a wealth of relevant knowledge that extends beyond their specific areas of expertise. This knowledge sheds light on strategies for fostering empowerment, motivation, and cultivating a highly engaged workforce.</w:t>
      </w:r>
    </w:p>
    <w:p w14:paraId="27CEDA91" w14:textId="77777777" w:rsidR="001A0A04" w:rsidRPr="001A0A04" w:rsidRDefault="001A0A04" w:rsidP="001A0A04">
      <w:pPr>
        <w:rPr>
          <w:rFonts w:ascii="Arial" w:hAnsi="Arial" w:cs="Arial"/>
        </w:rPr>
      </w:pPr>
    </w:p>
    <w:p w14:paraId="45A3A65F" w14:textId="77777777" w:rsidR="001A0A04" w:rsidRPr="001A0A04" w:rsidRDefault="001A0A04" w:rsidP="001A0A04">
      <w:pPr>
        <w:rPr>
          <w:rFonts w:ascii="Arial" w:hAnsi="Arial" w:cs="Arial"/>
        </w:rPr>
      </w:pPr>
      <w:r w:rsidRPr="001A0A04">
        <w:rPr>
          <w:rFonts w:ascii="Arial" w:hAnsi="Arial" w:cs="Arial"/>
        </w:rPr>
        <w:t>Through an examination of the narratives of Unilever and GSK, this study aims to uncover the fundamental ideas that underpin their organisational ethos, the philosophies that shape their leadership approaches, and the subsequent effects on employee engagement levels seen inside their respective organisations. By using a strategic comparison of their methodologies, we use a critical analytical framework to identify the fundamental components that drive these organisations to achieve prominence in their respective sectors.</w:t>
      </w:r>
    </w:p>
    <w:p w14:paraId="32325F1B" w14:textId="77777777" w:rsidR="001A0A04" w:rsidRPr="001A0A04" w:rsidRDefault="001A0A04" w:rsidP="001A0A04">
      <w:pPr>
        <w:rPr>
          <w:rFonts w:ascii="Arial" w:hAnsi="Arial" w:cs="Arial"/>
        </w:rPr>
      </w:pPr>
    </w:p>
    <w:p w14:paraId="34A1209E" w14:textId="77777777" w:rsidR="00FD7452" w:rsidRDefault="00FD7452" w:rsidP="00FD7452">
      <w:pPr>
        <w:pStyle w:val="Heading1"/>
      </w:pPr>
      <w:bookmarkStart w:id="1" w:name="_Toc142907618"/>
      <w:r>
        <w:t>Introduction</w:t>
      </w:r>
      <w:bookmarkEnd w:id="1"/>
      <w:r>
        <w:t xml:space="preserve"> </w:t>
      </w:r>
    </w:p>
    <w:p w14:paraId="6D60D530" w14:textId="333EF510" w:rsidR="001A0A04" w:rsidRDefault="001A0A04" w:rsidP="001A0A04">
      <w:pPr>
        <w:rPr>
          <w:rFonts w:ascii="Arial" w:hAnsi="Arial" w:cs="Arial"/>
        </w:rPr>
      </w:pPr>
    </w:p>
    <w:p w14:paraId="114C3BDC" w14:textId="77777777" w:rsidR="00FD7452" w:rsidRPr="001A0A04" w:rsidRDefault="00FD7452" w:rsidP="001A0A04">
      <w:pPr>
        <w:rPr>
          <w:rFonts w:ascii="Arial" w:hAnsi="Arial" w:cs="Arial"/>
        </w:rPr>
      </w:pPr>
    </w:p>
    <w:p w14:paraId="36DF932A" w14:textId="77777777" w:rsidR="001A0A04" w:rsidRPr="001A0A04" w:rsidRDefault="001A0A04" w:rsidP="001A0A04">
      <w:pPr>
        <w:rPr>
          <w:rFonts w:ascii="Arial" w:hAnsi="Arial" w:cs="Arial"/>
        </w:rPr>
      </w:pPr>
      <w:r w:rsidRPr="001A0A04">
        <w:rPr>
          <w:rFonts w:ascii="Arial" w:hAnsi="Arial" w:cs="Arial"/>
        </w:rPr>
        <w:t>In this study, we will analyse the unique shades of leadership that are interwoven throughout the structure of these organisations. This paper aims to explore the concept of transformational leadership, whereby visionary leaders motivate and empower their employees to achieve greatness, promoting creativity and building togetherness. This study aims to investigate the concept of servant leadership, which prioritises the well-being of workers and fosters a culture characterised by trust, loyalty, and mutual support. Furthermore, we will examine the industry-specific intricacies that might influence the implementation of these leadership styles, providing insight into their effects on employee engagement across different organisational settings.</w:t>
      </w:r>
    </w:p>
    <w:p w14:paraId="3A1D8E7F" w14:textId="77777777" w:rsidR="001A0A04" w:rsidRPr="001A0A04" w:rsidRDefault="001A0A04" w:rsidP="001A0A04">
      <w:pPr>
        <w:rPr>
          <w:rFonts w:ascii="Arial" w:hAnsi="Arial" w:cs="Arial"/>
        </w:rPr>
      </w:pPr>
    </w:p>
    <w:p w14:paraId="1AF0689E" w14:textId="77777777" w:rsidR="001A0A04" w:rsidRPr="001A0A04" w:rsidRDefault="001A0A04" w:rsidP="001A0A04">
      <w:pPr>
        <w:rPr>
          <w:rFonts w:ascii="Arial" w:hAnsi="Arial" w:cs="Arial"/>
        </w:rPr>
      </w:pPr>
      <w:r w:rsidRPr="001A0A04">
        <w:rPr>
          <w:rFonts w:ascii="Arial" w:hAnsi="Arial" w:cs="Arial"/>
        </w:rPr>
        <w:t xml:space="preserve">As the examination progresses, we provide an invitation to readers to observe the dynamic relationship between leadership and engagement, and to comprehend the need of harmonising these essential components within the complex framework of a contemporary labour force. The knowledge acquired from our expedition transcends theoretical boundaries and possesses practical significance, offering guidance to organisations seeking to cultivate an atmosphere in which every employee is not merely a contributor but a catalyst, where dedication to the organization's vision </w:t>
      </w:r>
      <w:r w:rsidRPr="001A0A04">
        <w:rPr>
          <w:rFonts w:ascii="Arial" w:hAnsi="Arial" w:cs="Arial"/>
        </w:rPr>
        <w:lastRenderedPageBreak/>
        <w:t>remains steadfast, and where the pursuit of excellence is a collective endeavour rather than an individual pursuit.</w:t>
      </w:r>
    </w:p>
    <w:p w14:paraId="13EA3E02" w14:textId="77777777" w:rsidR="001A0A04" w:rsidRPr="001A0A04" w:rsidRDefault="001A0A04" w:rsidP="001A0A04">
      <w:pPr>
        <w:rPr>
          <w:rFonts w:ascii="Arial" w:hAnsi="Arial" w:cs="Arial"/>
        </w:rPr>
      </w:pPr>
    </w:p>
    <w:p w14:paraId="071C9DCD" w14:textId="1C598694" w:rsidR="001A0A04" w:rsidRDefault="001A0A04" w:rsidP="001A0A04">
      <w:pPr>
        <w:rPr>
          <w:rFonts w:ascii="Arial" w:hAnsi="Arial" w:cs="Arial"/>
        </w:rPr>
      </w:pPr>
      <w:r w:rsidRPr="001A0A04">
        <w:rPr>
          <w:rFonts w:ascii="Arial" w:hAnsi="Arial" w:cs="Arial"/>
        </w:rPr>
        <w:t>This investigation tries to provide guidance for organisations, leaders, and individuals driving change, by illuminating an alternative trajectory that surpasses traditional management methodologies. The route under consideration is characterised by the harmonic alignment of leadership style and employee engagement. On this road, empowerment is nurtured, motivation is fostered, and a workforce that is highly engaged assumes a pivotal role in promoting organisational resilience, driving innovation, and achieving sustainable success.</w:t>
      </w:r>
    </w:p>
    <w:p w14:paraId="73150A58" w14:textId="77777777" w:rsidR="001A0A04" w:rsidRDefault="001A0A04" w:rsidP="001A0A04">
      <w:pPr>
        <w:rPr>
          <w:rFonts w:ascii="Arial" w:hAnsi="Arial" w:cs="Arial"/>
        </w:rPr>
      </w:pPr>
    </w:p>
    <w:p w14:paraId="28760DA1" w14:textId="77777777" w:rsidR="001A0A04" w:rsidRPr="001A0A04" w:rsidRDefault="001A0A04" w:rsidP="001A0A04">
      <w:pPr>
        <w:pStyle w:val="Heading1"/>
      </w:pPr>
      <w:bookmarkStart w:id="2" w:name="_Toc142907619"/>
      <w:r w:rsidRPr="001A0A04">
        <w:t>Understanding Employee Engagement and Its Significance</w:t>
      </w:r>
      <w:bookmarkEnd w:id="2"/>
    </w:p>
    <w:p w14:paraId="53F594D5" w14:textId="77777777" w:rsidR="001A0A04" w:rsidRPr="001A0A04" w:rsidRDefault="001A0A04" w:rsidP="001A0A04">
      <w:pPr>
        <w:rPr>
          <w:rFonts w:ascii="Arial" w:hAnsi="Arial" w:cs="Arial"/>
        </w:rPr>
      </w:pPr>
    </w:p>
    <w:p w14:paraId="0F5B83D4" w14:textId="77777777" w:rsidR="001A0A04" w:rsidRPr="001A0A04" w:rsidRDefault="001A0A04" w:rsidP="001A0A04">
      <w:pPr>
        <w:rPr>
          <w:rFonts w:ascii="Arial" w:hAnsi="Arial" w:cs="Arial"/>
        </w:rPr>
      </w:pPr>
      <w:r w:rsidRPr="001A0A04">
        <w:rPr>
          <w:rFonts w:ascii="Arial" w:hAnsi="Arial" w:cs="Arial"/>
        </w:rPr>
        <w:t>Employee engagement is a crucial and significant idea that extends beyond basic work pleasure. The aforementioned statement denotes the emotional investment and unwavering loyalty that individuals exhibit towards their professional duties and the overall institution. Employees that are actively involved in their job have a higher likelihood of displaying commitment to their positions, producing work of superior quality, and making valuable contributions to the overall success of the organisation. Numerous studies have repeatedly shown a significant beneficial relationship between heightened employee engagement and other favourable outcomes, such as increased work satisfaction, decreased turnover rates, and overall better performance (Bhattacharyya, 2017). GSK, akin to Unilever, acknowledges the importance of this factor and prioritises employee engagement as a fundamental aspect of its organisational strategy.</w:t>
      </w:r>
    </w:p>
    <w:p w14:paraId="44DD0454" w14:textId="77777777" w:rsidR="001A0A04" w:rsidRPr="001A0A04" w:rsidRDefault="001A0A04" w:rsidP="001A0A04">
      <w:pPr>
        <w:rPr>
          <w:rFonts w:ascii="Arial" w:hAnsi="Arial" w:cs="Arial"/>
        </w:rPr>
      </w:pPr>
    </w:p>
    <w:p w14:paraId="6DFBD9B6" w14:textId="77777777" w:rsidR="001A0A04" w:rsidRPr="001A0A04" w:rsidRDefault="001A0A04" w:rsidP="001A0A04">
      <w:pPr>
        <w:rPr>
          <w:rFonts w:ascii="Arial" w:hAnsi="Arial" w:cs="Arial"/>
        </w:rPr>
      </w:pPr>
      <w:r w:rsidRPr="001A0A04">
        <w:rPr>
          <w:rFonts w:ascii="Arial" w:hAnsi="Arial" w:cs="Arial"/>
        </w:rPr>
        <w:t>Engaged people at GSK play a pivotal role in driving innovation and achieving organisational goals. These personnel have a high level of emotional commitment to the company's purpose and values, exhibiting a willingness to go above and beyond in their efforts to contribute to the overall success of the organisation. The multifaceted benefits of increased employee engagement at GSK are significant. To begin with, this phenomenon results in the establishment of a steadfast and devoted staff, hence reducing expenses associated with employee turnover and guaranteeing the organization's retention of its skilled pool of personnel (Eisenberger et al., 1986). Furthermore, workers who are actively involved in their work serve as advocates for the brand, exerting a beneficial impact on the organization's standing and drawing in high-caliber individuals (Smith, 2019). This dedication also cultivates a culture of ongoing enhancement and novelty, which is a crucial advantage in GSK's endeavour to sustain a competitive advantage within the ever-changing pharmaceutical sector (Hall, 2013).</w:t>
      </w:r>
    </w:p>
    <w:p w14:paraId="71DC1B18" w14:textId="77777777" w:rsidR="001A0A04" w:rsidRPr="001A0A04" w:rsidRDefault="001A0A04" w:rsidP="001A0A04">
      <w:pPr>
        <w:rPr>
          <w:rFonts w:ascii="Arial" w:hAnsi="Arial" w:cs="Arial"/>
        </w:rPr>
      </w:pPr>
    </w:p>
    <w:p w14:paraId="24084ADA" w14:textId="77777777" w:rsidR="001A0A04" w:rsidRPr="001A0A04" w:rsidRDefault="001A0A04" w:rsidP="001A0A04">
      <w:pPr>
        <w:pStyle w:val="Heading1"/>
      </w:pPr>
      <w:bookmarkStart w:id="3" w:name="_Toc142907620"/>
      <w:r w:rsidRPr="001A0A04">
        <w:t>Leadership Theories and Styles at GSK</w:t>
      </w:r>
      <w:bookmarkEnd w:id="3"/>
    </w:p>
    <w:p w14:paraId="6D2C4CA8" w14:textId="77777777" w:rsidR="001A0A04" w:rsidRPr="001A0A04" w:rsidRDefault="001A0A04" w:rsidP="001A0A04">
      <w:pPr>
        <w:rPr>
          <w:rFonts w:ascii="Arial" w:hAnsi="Arial" w:cs="Arial"/>
        </w:rPr>
      </w:pPr>
    </w:p>
    <w:p w14:paraId="5785C377" w14:textId="77777777" w:rsidR="001A0A04" w:rsidRPr="001A0A04" w:rsidRDefault="001A0A04" w:rsidP="001A0A04">
      <w:pPr>
        <w:rPr>
          <w:rFonts w:ascii="Arial" w:hAnsi="Arial" w:cs="Arial"/>
        </w:rPr>
      </w:pPr>
      <w:r w:rsidRPr="001A0A04">
        <w:rPr>
          <w:rFonts w:ascii="Arial" w:hAnsi="Arial" w:cs="Arial"/>
        </w:rPr>
        <w:t xml:space="preserve">The leadership styles used by GSK are thoughtfully designed to effectively tackle the distinctive problems encountered within the pharmaceutical industry. The concept of transformational leadership is very influential inside GSK, since leaders effectively motivate workers to unite behind a compelling goal, hence promoting creativity and cultivating a sense of ownership (Hawkins, 2017). This particular leadership style </w:t>
      </w:r>
      <w:r w:rsidRPr="001A0A04">
        <w:rPr>
          <w:rFonts w:ascii="Arial" w:hAnsi="Arial" w:cs="Arial"/>
        </w:rPr>
        <w:lastRenderedPageBreak/>
        <w:t>fosters a feeling of cohesion, nurturing a collective sense of purpose and dedication, which is crucial for enhancing employee engagement to unprecedented levels.</w:t>
      </w:r>
    </w:p>
    <w:p w14:paraId="41A87E94" w14:textId="77777777" w:rsidR="001A0A04" w:rsidRPr="001A0A04" w:rsidRDefault="001A0A04" w:rsidP="001A0A04">
      <w:pPr>
        <w:rPr>
          <w:rFonts w:ascii="Arial" w:hAnsi="Arial" w:cs="Arial"/>
        </w:rPr>
      </w:pPr>
    </w:p>
    <w:p w14:paraId="780CBF24" w14:textId="77777777" w:rsidR="001A0A04" w:rsidRPr="001A0A04" w:rsidRDefault="001A0A04" w:rsidP="001A0A04">
      <w:pPr>
        <w:rPr>
          <w:rFonts w:ascii="Arial" w:hAnsi="Arial" w:cs="Arial"/>
        </w:rPr>
      </w:pPr>
      <w:r w:rsidRPr="001A0A04">
        <w:rPr>
          <w:rFonts w:ascii="Arial" w:hAnsi="Arial" w:cs="Arial"/>
        </w:rPr>
        <w:t>GSK also advocates for the use of servant leadership as an additional leadership style. The mindset espoused by GSK is in perfect harmony with its fundamental principles, which prioritise the welfare of employees, attentive consideration of their concerns, and the establishment of a supportive and caring workplace environment (Riggio, 2019). At GSK, servant leaders play a crucial role in fostering trust, loyalty, and a good organisational culture, hence creating an environment conducive to increased employee engagement.</w:t>
      </w:r>
    </w:p>
    <w:p w14:paraId="1C0DBDF1" w14:textId="77777777" w:rsidR="001A0A04" w:rsidRPr="001A0A04" w:rsidRDefault="001A0A04" w:rsidP="001A0A04">
      <w:pPr>
        <w:rPr>
          <w:rFonts w:ascii="Arial" w:hAnsi="Arial" w:cs="Arial"/>
        </w:rPr>
      </w:pPr>
    </w:p>
    <w:p w14:paraId="563C95C0" w14:textId="77777777" w:rsidR="001A0A04" w:rsidRPr="001A0A04" w:rsidRDefault="001A0A04" w:rsidP="001A0A04">
      <w:pPr>
        <w:rPr>
          <w:rFonts w:ascii="Arial" w:hAnsi="Arial" w:cs="Arial"/>
        </w:rPr>
      </w:pPr>
      <w:r w:rsidRPr="001A0A04">
        <w:rPr>
          <w:rFonts w:ascii="Arial" w:hAnsi="Arial" w:cs="Arial"/>
        </w:rPr>
        <w:t>The remarkable aspect of GSK's leadership style lies in its adaptability. Similar to Unilever, GSK acknowledges the significance of adaptation within a sector that is undergoing fast evolution (Day, 2001). The leaders at GSK exhibit the capacity to adapt their leadership styles, successfully addressing a range of issues and taking advantage of opportunities. This strategic aptitude highlights the dynamic character of GSK's approach to managing its human resources.</w:t>
      </w:r>
    </w:p>
    <w:p w14:paraId="6D49C05D" w14:textId="77777777" w:rsidR="001A0A04" w:rsidRPr="001A0A04" w:rsidRDefault="001A0A04" w:rsidP="001A0A04">
      <w:pPr>
        <w:rPr>
          <w:rFonts w:ascii="Arial" w:hAnsi="Arial" w:cs="Arial"/>
        </w:rPr>
      </w:pPr>
    </w:p>
    <w:p w14:paraId="416592EA" w14:textId="77777777" w:rsidR="001A0A04" w:rsidRPr="001A0A04" w:rsidRDefault="001A0A04" w:rsidP="001A0A04">
      <w:pPr>
        <w:pStyle w:val="Heading1"/>
      </w:pPr>
      <w:bookmarkStart w:id="4" w:name="_Toc142907621"/>
      <w:r w:rsidRPr="001A0A04">
        <w:t>Comparative Case Study: Unilever vs. GSK</w:t>
      </w:r>
      <w:bookmarkEnd w:id="4"/>
    </w:p>
    <w:p w14:paraId="70C200D5" w14:textId="77777777" w:rsidR="001A0A04" w:rsidRPr="001A0A04" w:rsidRDefault="001A0A04" w:rsidP="001A0A04">
      <w:pPr>
        <w:rPr>
          <w:rFonts w:ascii="Arial" w:hAnsi="Arial" w:cs="Arial"/>
        </w:rPr>
      </w:pPr>
    </w:p>
    <w:p w14:paraId="5DA6E5CF" w14:textId="77777777" w:rsidR="001A0A04" w:rsidRPr="001A0A04" w:rsidRDefault="001A0A04" w:rsidP="001A0A04">
      <w:pPr>
        <w:rPr>
          <w:rFonts w:ascii="Arial" w:hAnsi="Arial" w:cs="Arial"/>
        </w:rPr>
      </w:pPr>
      <w:r w:rsidRPr="001A0A04">
        <w:rPr>
          <w:rFonts w:ascii="Arial" w:hAnsi="Arial" w:cs="Arial"/>
        </w:rPr>
        <w:t>The comparative case study revealed interesting trends that surfaced during the analysis of the influence of leadership styles on employee engagement at both Unilever and GSK. Both organisations are active in industries characterised by constant change and innovation. However, there are subtle variations in the impact of leadership styles that may be seen.</w:t>
      </w:r>
    </w:p>
    <w:p w14:paraId="66CB2EE8" w14:textId="77777777" w:rsidR="001A0A04" w:rsidRPr="001A0A04" w:rsidRDefault="001A0A04" w:rsidP="001A0A04">
      <w:pPr>
        <w:rPr>
          <w:rFonts w:ascii="Arial" w:hAnsi="Arial" w:cs="Arial"/>
        </w:rPr>
      </w:pPr>
    </w:p>
    <w:p w14:paraId="1BD36C06" w14:textId="77777777" w:rsidR="001A0A04" w:rsidRPr="001A0A04" w:rsidRDefault="001A0A04" w:rsidP="001A0A04">
      <w:pPr>
        <w:rPr>
          <w:rFonts w:ascii="Arial" w:hAnsi="Arial" w:cs="Arial"/>
        </w:rPr>
      </w:pPr>
      <w:r w:rsidRPr="001A0A04">
        <w:rPr>
          <w:rFonts w:ascii="Arial" w:hAnsi="Arial" w:cs="Arial"/>
        </w:rPr>
        <w:t>Transformational leadership is a fundamental aspect of both Unilever and GSK, since it cultivates a climate that promotes collaboration and innovation (Higgins &amp; Kram, 2001). The departments at GSK that operate under the framework of transformational leadership exhibit similar characteristics to those found at Unilever. In both organisations, leaders effectively foster a sense of high employee engagement by effectively communicating a compelling vision and giving people the autonomy and authority to make decisions. The aforementioned connection highlights the broad effectiveness of transformative leadership in promoting employee engagement, beyond the limitations imposed by specific industries.</w:t>
      </w:r>
    </w:p>
    <w:p w14:paraId="18E3F1AE" w14:textId="77777777" w:rsidR="001A0A04" w:rsidRPr="001A0A04" w:rsidRDefault="001A0A04" w:rsidP="001A0A04">
      <w:pPr>
        <w:rPr>
          <w:rFonts w:ascii="Arial" w:hAnsi="Arial" w:cs="Arial"/>
        </w:rPr>
      </w:pPr>
    </w:p>
    <w:p w14:paraId="7BBB6F55" w14:textId="77777777" w:rsidR="001A0A04" w:rsidRPr="001A0A04" w:rsidRDefault="001A0A04" w:rsidP="001A0A04">
      <w:pPr>
        <w:rPr>
          <w:rFonts w:ascii="Arial" w:hAnsi="Arial" w:cs="Arial"/>
        </w:rPr>
      </w:pPr>
      <w:r w:rsidRPr="001A0A04">
        <w:rPr>
          <w:rFonts w:ascii="Arial" w:hAnsi="Arial" w:cs="Arial"/>
        </w:rPr>
        <w:t>Nevertheless, when scrutinising authoritarian leadership styles, subtle distinctions emerge. Unilever presented examples illustrating the negative impact of authoritarian leadership on employee engagement levels. However, GSK may face situations in which this approach is increasingly common, as a result of the intricate regulatory complications inside the pharmaceutical business. The influence on employee engagement may differ within these zones. The acceptance of autocratic leadership, particularly in cases where it is driven by the need for regulatory compliance, may be higher, while it might potentially have negative effects on employee motivation (Mayfield, 2019).</w:t>
      </w:r>
    </w:p>
    <w:p w14:paraId="60AB08E3" w14:textId="77777777" w:rsidR="001A0A04" w:rsidRPr="001A0A04" w:rsidRDefault="001A0A04" w:rsidP="001A0A04">
      <w:pPr>
        <w:rPr>
          <w:rFonts w:ascii="Arial" w:hAnsi="Arial" w:cs="Arial"/>
        </w:rPr>
      </w:pPr>
    </w:p>
    <w:p w14:paraId="1C80D3CB" w14:textId="77777777" w:rsidR="001A0A04" w:rsidRPr="001A0A04" w:rsidRDefault="001A0A04" w:rsidP="001A0A04">
      <w:pPr>
        <w:rPr>
          <w:rFonts w:ascii="Arial" w:hAnsi="Arial" w:cs="Arial"/>
        </w:rPr>
      </w:pPr>
      <w:r w:rsidRPr="001A0A04">
        <w:rPr>
          <w:rFonts w:ascii="Arial" w:hAnsi="Arial" w:cs="Arial"/>
        </w:rPr>
        <w:t xml:space="preserve">Servant leadership is notably distinguished as a prominent driver of elevated levels of employee engagement at both Unilever and GSK. The cultivation of trust, loyalty, and a caring atmosphere is seen inside the departments of GSK, which are guided </w:t>
      </w:r>
      <w:r w:rsidRPr="001A0A04">
        <w:rPr>
          <w:rFonts w:ascii="Arial" w:hAnsi="Arial" w:cs="Arial"/>
        </w:rPr>
        <w:lastRenderedPageBreak/>
        <w:t>by servant leaders. This phenomenon has resemblance to the experiences observed at Unilever. The aforementioned alignment highlights the significant impact of servant leadership in promoting employee engagement, beyond the limitations of certain industries (Conger &amp; Kanungo, 1988).</w:t>
      </w:r>
    </w:p>
    <w:p w14:paraId="1549D8BB" w14:textId="77777777" w:rsidR="001A0A04" w:rsidRPr="001A0A04" w:rsidRDefault="001A0A04" w:rsidP="001A0A04">
      <w:pPr>
        <w:rPr>
          <w:rFonts w:ascii="Arial" w:hAnsi="Arial" w:cs="Arial"/>
        </w:rPr>
      </w:pPr>
    </w:p>
    <w:p w14:paraId="4D0C4A6F" w14:textId="77777777" w:rsidR="001A0A04" w:rsidRPr="001A0A04" w:rsidRDefault="001A0A04" w:rsidP="001A0A04">
      <w:pPr>
        <w:pStyle w:val="Heading1"/>
      </w:pPr>
      <w:bookmarkStart w:id="5" w:name="_Toc142907622"/>
      <w:r w:rsidRPr="001A0A04">
        <w:t>Impact of Leadership Style on Employee Engagement: A Comparative Perspective</w:t>
      </w:r>
      <w:bookmarkEnd w:id="5"/>
    </w:p>
    <w:p w14:paraId="6B906F9F" w14:textId="77777777" w:rsidR="001A0A04" w:rsidRPr="001A0A04" w:rsidRDefault="001A0A04" w:rsidP="001A0A04">
      <w:pPr>
        <w:rPr>
          <w:rFonts w:ascii="Arial" w:hAnsi="Arial" w:cs="Arial"/>
        </w:rPr>
      </w:pPr>
    </w:p>
    <w:p w14:paraId="1F1704CD" w14:textId="77777777" w:rsidR="001A0A04" w:rsidRPr="001A0A04" w:rsidRDefault="001A0A04" w:rsidP="001A0A04">
      <w:pPr>
        <w:rPr>
          <w:rFonts w:ascii="Arial" w:hAnsi="Arial" w:cs="Arial"/>
        </w:rPr>
      </w:pPr>
      <w:r w:rsidRPr="001A0A04">
        <w:rPr>
          <w:rFonts w:ascii="Arial" w:hAnsi="Arial" w:cs="Arial"/>
        </w:rPr>
        <w:t>Both Unilever and GSK acknowledge the importance of employee involvement; nevertheless, the effect of leadership styles is shaped by industry-specific subtleties.</w:t>
      </w:r>
    </w:p>
    <w:p w14:paraId="511FDE73" w14:textId="77777777" w:rsidR="001A0A04" w:rsidRPr="001A0A04" w:rsidRDefault="001A0A04" w:rsidP="001A0A04">
      <w:pPr>
        <w:rPr>
          <w:rFonts w:ascii="Arial" w:hAnsi="Arial" w:cs="Arial"/>
        </w:rPr>
      </w:pPr>
    </w:p>
    <w:p w14:paraId="4EA5C189" w14:textId="77777777" w:rsidR="001A0A04" w:rsidRPr="001A0A04" w:rsidRDefault="001A0A04" w:rsidP="001A0A04">
      <w:pPr>
        <w:rPr>
          <w:rFonts w:ascii="Arial" w:hAnsi="Arial" w:cs="Arial"/>
        </w:rPr>
      </w:pPr>
      <w:r w:rsidRPr="001A0A04">
        <w:rPr>
          <w:rFonts w:ascii="Arial" w:hAnsi="Arial" w:cs="Arial"/>
        </w:rPr>
        <w:t>The use of the transformational leadership style, as shown by both organisations, is seen as a potent driver for increased levels of employee engagement in many industries. According to Stevens (2019), leaders that effectively cultivate a sense of purpose, promote creativity, and empower their people create an environment that facilitates engagement. This, in turn, establishes a foundation for fostering innovation, cooperation, and achieving shared success.</w:t>
      </w:r>
    </w:p>
    <w:p w14:paraId="47FE83DA" w14:textId="77777777" w:rsidR="001A0A04" w:rsidRPr="001A0A04" w:rsidRDefault="001A0A04" w:rsidP="001A0A04">
      <w:pPr>
        <w:rPr>
          <w:rFonts w:ascii="Arial" w:hAnsi="Arial" w:cs="Arial"/>
        </w:rPr>
      </w:pPr>
    </w:p>
    <w:p w14:paraId="0A152F4B" w14:textId="77777777" w:rsidR="001A0A04" w:rsidRPr="001A0A04" w:rsidRDefault="001A0A04" w:rsidP="001A0A04">
      <w:pPr>
        <w:rPr>
          <w:rFonts w:ascii="Arial" w:hAnsi="Arial" w:cs="Arial"/>
        </w:rPr>
      </w:pPr>
      <w:r w:rsidRPr="001A0A04">
        <w:rPr>
          <w:rFonts w:ascii="Arial" w:hAnsi="Arial" w:cs="Arial"/>
        </w:rPr>
        <w:t>In situations when authoritarian leadership becomes necessary due to regulatory limitations, as seen in the case of GSK, a more nuanced viewpoint is needed. Although this approach may be effective in achieving certain goals in the short term, it is advisable for GSK, similar to Unilever, to strive for a harmonious blend of leadership styles across all aspects of the company. This will help ensure that workers continue to feel appreciated, listened to, and included in the decision-making procedures.</w:t>
      </w:r>
    </w:p>
    <w:p w14:paraId="69C415B4" w14:textId="77777777" w:rsidR="001A0A04" w:rsidRPr="001A0A04" w:rsidRDefault="001A0A04" w:rsidP="001A0A04">
      <w:pPr>
        <w:rPr>
          <w:rFonts w:ascii="Arial" w:hAnsi="Arial" w:cs="Arial"/>
        </w:rPr>
      </w:pPr>
    </w:p>
    <w:p w14:paraId="228182D8" w14:textId="77777777" w:rsidR="001A0A04" w:rsidRPr="001A0A04" w:rsidRDefault="001A0A04" w:rsidP="001A0A04">
      <w:pPr>
        <w:rPr>
          <w:rFonts w:ascii="Arial" w:hAnsi="Arial" w:cs="Arial"/>
        </w:rPr>
      </w:pPr>
      <w:r w:rsidRPr="001A0A04">
        <w:rPr>
          <w:rFonts w:ascii="Arial" w:hAnsi="Arial" w:cs="Arial"/>
        </w:rPr>
        <w:t>Servant leadership is seen as a universally beneficial factor that enhances employee engagement, beyond the limitations imposed by industry distinctions. Leaders that place a high priority on the well-being of their employees, demonstrate active listening skills, and establish supportive work settings continually cultivate circumstances that enhance levels of employee engagement, irrespective of the industry in which they are situated.</w:t>
      </w:r>
    </w:p>
    <w:p w14:paraId="5D8553E3" w14:textId="77777777" w:rsidR="001A0A04" w:rsidRPr="001A0A04" w:rsidRDefault="001A0A04" w:rsidP="001A0A04">
      <w:pPr>
        <w:rPr>
          <w:rFonts w:ascii="Arial" w:hAnsi="Arial" w:cs="Arial"/>
        </w:rPr>
      </w:pPr>
    </w:p>
    <w:p w14:paraId="5EF006E0" w14:textId="77777777" w:rsidR="001A0A04" w:rsidRPr="001A0A04" w:rsidRDefault="001A0A04" w:rsidP="001A0A04">
      <w:pPr>
        <w:pStyle w:val="Heading1"/>
      </w:pPr>
      <w:bookmarkStart w:id="6" w:name="_Toc142907623"/>
      <w:r w:rsidRPr="001A0A04">
        <w:t>Enhancing Employee Engagement through Leadership: A Unified Approach</w:t>
      </w:r>
      <w:bookmarkEnd w:id="6"/>
    </w:p>
    <w:p w14:paraId="3944B04B" w14:textId="77777777" w:rsidR="001A0A04" w:rsidRPr="001A0A04" w:rsidRDefault="001A0A04" w:rsidP="001A0A04">
      <w:pPr>
        <w:rPr>
          <w:rFonts w:ascii="Arial" w:hAnsi="Arial" w:cs="Arial"/>
        </w:rPr>
      </w:pPr>
    </w:p>
    <w:p w14:paraId="1B2BFCD3" w14:textId="77777777" w:rsidR="001A0A04" w:rsidRPr="001A0A04" w:rsidRDefault="001A0A04" w:rsidP="001A0A04">
      <w:pPr>
        <w:rPr>
          <w:rFonts w:ascii="Arial" w:hAnsi="Arial" w:cs="Arial"/>
        </w:rPr>
      </w:pPr>
      <w:r w:rsidRPr="001A0A04">
        <w:rPr>
          <w:rFonts w:ascii="Arial" w:hAnsi="Arial" w:cs="Arial"/>
        </w:rPr>
        <w:t>Drawing on the comparative analysis of Unilever and GSK, this study presents a complete set of suggestions aimed at improving employee engagement by implementing effective leadership practises.</w:t>
      </w:r>
    </w:p>
    <w:p w14:paraId="018EDA63" w14:textId="77777777" w:rsidR="001A0A04" w:rsidRPr="001A0A04" w:rsidRDefault="001A0A04" w:rsidP="001A0A04">
      <w:pPr>
        <w:rPr>
          <w:rFonts w:ascii="Arial" w:hAnsi="Arial" w:cs="Arial"/>
        </w:rPr>
      </w:pPr>
    </w:p>
    <w:p w14:paraId="605CB020" w14:textId="77777777" w:rsidR="001A0A04" w:rsidRPr="001A0A04" w:rsidRDefault="001A0A04" w:rsidP="001A0A04">
      <w:pPr>
        <w:rPr>
          <w:rFonts w:ascii="Arial" w:hAnsi="Arial" w:cs="Arial"/>
        </w:rPr>
      </w:pPr>
      <w:r w:rsidRPr="001A0A04">
        <w:rPr>
          <w:rFonts w:ascii="Arial" w:hAnsi="Arial" w:cs="Arial"/>
        </w:rPr>
        <w:t xml:space="preserve">1.Both Unilever and GSK need to allocate resources towards the implementation of comprehensive leadership development programmes. These programmes should aim to provide existing and prospective leaders with the required abilities to effectively embrace transformational and servant leadership approaches. According to Mumford et al. (2000), it is recommended that these programmes include a strong emphasis on fostering effective communication, developing emotional intelligence, and cultivating a healthy work culture. Avolio et al. (2009) argue that equipping </w:t>
      </w:r>
      <w:r w:rsidRPr="001A0A04">
        <w:rPr>
          <w:rFonts w:ascii="Arial" w:hAnsi="Arial" w:cs="Arial"/>
        </w:rPr>
        <w:lastRenderedPageBreak/>
        <w:t>leaders with the necessary resources to inspire and empower their teams may create a work atmosphere in which workers see themselves as appreciated and are driven to provide their utmost contributions.</w:t>
      </w:r>
    </w:p>
    <w:p w14:paraId="5EDDA340" w14:textId="77777777" w:rsidR="001A0A04" w:rsidRPr="001A0A04" w:rsidRDefault="001A0A04" w:rsidP="001A0A04">
      <w:pPr>
        <w:rPr>
          <w:rFonts w:ascii="Arial" w:hAnsi="Arial" w:cs="Arial"/>
        </w:rPr>
      </w:pPr>
    </w:p>
    <w:p w14:paraId="77CCBB91" w14:textId="77777777" w:rsidR="001A0A04" w:rsidRPr="001A0A04" w:rsidRDefault="001A0A04" w:rsidP="001A0A04">
      <w:pPr>
        <w:rPr>
          <w:rFonts w:ascii="Arial" w:hAnsi="Arial" w:cs="Arial"/>
        </w:rPr>
      </w:pPr>
      <w:r w:rsidRPr="001A0A04">
        <w:rPr>
          <w:rFonts w:ascii="Arial" w:hAnsi="Arial" w:cs="Arial"/>
        </w:rPr>
        <w:t>2.The implementation of comprehensive recognition and incentive systems may have a substantial impact on enhancing employee engagement inside Unilever and GSK (Coffey &amp; Cole, 2017). Publicly acknowledging and valuing the efforts of workers cultivates a work environment that promotes a sense of achievement, whereby employees perceive that their contributions are duly recognised (Kaplan et al., 2014). Furthermore, it is essential for leaders to actively recognise and commemorate the accomplishments of their employees, therefore fostering a culture of gratitude and recognition (Kuvaas, 2007).</w:t>
      </w:r>
    </w:p>
    <w:p w14:paraId="0444AA68" w14:textId="77777777" w:rsidR="001A0A04" w:rsidRPr="001A0A04" w:rsidRDefault="001A0A04" w:rsidP="001A0A04">
      <w:pPr>
        <w:rPr>
          <w:rFonts w:ascii="Arial" w:hAnsi="Arial" w:cs="Arial"/>
        </w:rPr>
      </w:pPr>
    </w:p>
    <w:p w14:paraId="594A0DA7" w14:textId="77777777" w:rsidR="001A0A04" w:rsidRPr="001A0A04" w:rsidRDefault="001A0A04" w:rsidP="001A0A04">
      <w:pPr>
        <w:rPr>
          <w:rFonts w:ascii="Arial" w:hAnsi="Arial" w:cs="Arial"/>
        </w:rPr>
      </w:pPr>
      <w:r w:rsidRPr="001A0A04">
        <w:rPr>
          <w:rFonts w:ascii="Arial" w:hAnsi="Arial" w:cs="Arial"/>
        </w:rPr>
        <w:t>3.Employee empowerment is a crucial aspect that should be promoted within the leadership of both Unilever and GSK. It is essential for leaders to actively engage workers in the decision-making processes, therefore soliciting their valuable insights and perspectives on significant organisational issues (Edmondson, 2012). According to Eisenberger et al. (2010), providing workers with the opportunity to participate in decision-making processes about the company's future may enhance their feeling of ownership, dedication, and alignment with common objectives. According to Dolente (2016), when workers are given the opportunity to participate in decision-making processes that have an impact on them, they tend to experience higher levels of engagement and commitment towards the resulting results.</w:t>
      </w:r>
    </w:p>
    <w:p w14:paraId="08FAB083" w14:textId="77777777" w:rsidR="001A0A04" w:rsidRPr="001A0A04" w:rsidRDefault="001A0A04" w:rsidP="001A0A04">
      <w:pPr>
        <w:rPr>
          <w:rFonts w:ascii="Arial" w:hAnsi="Arial" w:cs="Arial"/>
        </w:rPr>
      </w:pPr>
    </w:p>
    <w:p w14:paraId="14525A33" w14:textId="77777777" w:rsidR="001A0A04" w:rsidRPr="001A0A04" w:rsidRDefault="001A0A04" w:rsidP="001A0A04">
      <w:pPr>
        <w:rPr>
          <w:rFonts w:ascii="Arial" w:hAnsi="Arial" w:cs="Arial"/>
        </w:rPr>
      </w:pPr>
      <w:r w:rsidRPr="001A0A04">
        <w:rPr>
          <w:rFonts w:ascii="Arial" w:hAnsi="Arial" w:cs="Arial"/>
        </w:rPr>
        <w:t>4.Transparent communication is a crucial aspect that both Unilever and GSK should prioritise, as emphasised by Bordia et al. (2004). It is important for both organisations to establish and maintain open and transparent lines of communication between their executives and staff. According to DeConinck (2010), the consistent dissemination of information on firm performance, objectives, and difficulties fosters trust and promotes alignment among employees. According to Eisenberger et al. (2001), the practise of transparent communication enables workers to get a comprehensive understanding of the organization's strategic direction and their individual contributions towards attaining its goals. This, in turn, strengthens their feeling of purpose and level of involvement.</w:t>
      </w:r>
    </w:p>
    <w:p w14:paraId="365B0A61" w14:textId="77777777" w:rsidR="001A0A04" w:rsidRPr="001A0A04" w:rsidRDefault="001A0A04" w:rsidP="001A0A04">
      <w:pPr>
        <w:rPr>
          <w:rFonts w:ascii="Arial" w:hAnsi="Arial" w:cs="Arial"/>
        </w:rPr>
      </w:pPr>
    </w:p>
    <w:p w14:paraId="5DA9F963" w14:textId="77777777" w:rsidR="001A0A04" w:rsidRPr="001A0A04" w:rsidRDefault="001A0A04" w:rsidP="001A0A04">
      <w:pPr>
        <w:rPr>
          <w:rFonts w:ascii="Arial" w:hAnsi="Arial" w:cs="Arial"/>
        </w:rPr>
      </w:pPr>
      <w:r w:rsidRPr="001A0A04">
        <w:rPr>
          <w:rFonts w:ascii="Arial" w:hAnsi="Arial" w:cs="Arial"/>
        </w:rPr>
        <w:t>5.One approach to fostering continuous growth and development within Unilever and GSK is via the implementation of mentorship and coaching programmes. By encouraging leaders within both organisations to assume the role of mentors and coaches for their team members, the potential for ongoing personal and professional advancement is enhanced (Kram, 1985). According to Ragins and Scandura (1997), mentorship programmes provide workers significant direction, support, and opportunity for enhancing their skill sets. According to Diedrich and Dressler (2015), leaders have the ability to facilitate employee growth and enhance their performance by offering constructive criticism. This coaching approach not only reinforces workers' dedication to achieving collective success but also enables them to flourish in their own jobs.</w:t>
      </w:r>
    </w:p>
    <w:p w14:paraId="5CD1361C" w14:textId="77777777" w:rsidR="001A0A04" w:rsidRPr="001A0A04" w:rsidRDefault="001A0A04" w:rsidP="001A0A04">
      <w:pPr>
        <w:rPr>
          <w:rFonts w:ascii="Arial" w:hAnsi="Arial" w:cs="Arial"/>
        </w:rPr>
      </w:pPr>
    </w:p>
    <w:p w14:paraId="6115C6A2" w14:textId="77777777" w:rsidR="001A0A04" w:rsidRPr="001A0A04" w:rsidRDefault="001A0A04" w:rsidP="001A0A04">
      <w:pPr>
        <w:rPr>
          <w:rFonts w:ascii="Arial" w:hAnsi="Arial" w:cs="Arial"/>
        </w:rPr>
      </w:pPr>
      <w:r w:rsidRPr="001A0A04">
        <w:rPr>
          <w:rFonts w:ascii="Arial" w:hAnsi="Arial" w:cs="Arial"/>
        </w:rPr>
        <w:t xml:space="preserve">6.Both Unilever and GSK stand to gain advantages by adopting extensive staff wellness programmes (Chapman et al., 2008). The aforementioned programmes prioritise the enhancement of physical, mental, and emotional well-being, fostering </w:t>
      </w:r>
      <w:r w:rsidRPr="001A0A04">
        <w:rPr>
          <w:rFonts w:ascii="Arial" w:hAnsi="Arial" w:cs="Arial"/>
        </w:rPr>
        <w:lastRenderedPageBreak/>
        <w:t>an atmosphere that encourages the maintenance of a harmonious equilibrium between work and personal life (Strazdins et al., 2004). According to Kelliher and Anderson (2010), there is a positive correlation between employees perceiving that their well-being is given priority by the organisation and their level of engagement and productivity.</w:t>
      </w:r>
    </w:p>
    <w:p w14:paraId="1B72155D" w14:textId="77777777" w:rsidR="001A0A04" w:rsidRPr="001A0A04" w:rsidRDefault="001A0A04" w:rsidP="001A0A04">
      <w:pPr>
        <w:rPr>
          <w:rFonts w:ascii="Arial" w:hAnsi="Arial" w:cs="Arial"/>
        </w:rPr>
      </w:pPr>
    </w:p>
    <w:p w14:paraId="02AA4277" w14:textId="77777777" w:rsidR="001A0A04" w:rsidRPr="001A0A04" w:rsidRDefault="001A0A04" w:rsidP="001A0A04">
      <w:pPr>
        <w:rPr>
          <w:rFonts w:ascii="Arial" w:hAnsi="Arial" w:cs="Arial"/>
        </w:rPr>
      </w:pPr>
      <w:r w:rsidRPr="001A0A04">
        <w:rPr>
          <w:rFonts w:ascii="Arial" w:hAnsi="Arial" w:cs="Arial"/>
        </w:rPr>
        <w:t>7.The establishment of a culture of constant feedback and improvement is seen crucial at both Unilever and GSK, as highlighted by Edmondson (2018). According to Harter et al. (2002), the practise of actively seeking and implementing feedback from workers serves as an indication that their viewpoints have significance. According to Gallup (2021), the use of this iterative process not only serves to boost engagement, but also plays a role in fostering the general development and flexibility of the organisation.</w:t>
      </w:r>
    </w:p>
    <w:p w14:paraId="58C4931D" w14:textId="77777777" w:rsidR="001A0A04" w:rsidRPr="001A0A04" w:rsidRDefault="001A0A04" w:rsidP="001A0A04">
      <w:pPr>
        <w:rPr>
          <w:rFonts w:ascii="Arial" w:hAnsi="Arial" w:cs="Arial"/>
        </w:rPr>
      </w:pPr>
    </w:p>
    <w:p w14:paraId="084CAF1C" w14:textId="77777777" w:rsidR="001A0A04" w:rsidRPr="001A0A04" w:rsidRDefault="001A0A04" w:rsidP="001A0A04">
      <w:pPr>
        <w:rPr>
          <w:rFonts w:ascii="Arial" w:hAnsi="Arial" w:cs="Arial"/>
        </w:rPr>
      </w:pPr>
      <w:r w:rsidRPr="001A0A04">
        <w:rPr>
          <w:rFonts w:ascii="Arial" w:hAnsi="Arial" w:cs="Arial"/>
        </w:rPr>
        <w:t>8. It is essential for both Unilever and GSK to provide utmost importance to their diversity and inclusion initiatives, as emphasised by Cox and Blake (1991). The cultivation of a heterogeneous and all-encompassing work environment engenders a feeling of affiliation and regard among the workforce (Roberson et al., 2003). It is essential for leaders to actively advocate for diversity, provide fair chances, and acknowledge and appreciate the distinct viewpoints that every employee contributes (Nembhard &amp; Edmondson, 2006).</w:t>
      </w:r>
    </w:p>
    <w:p w14:paraId="00E67B0D" w14:textId="77777777" w:rsidR="001A0A04" w:rsidRPr="001A0A04" w:rsidRDefault="001A0A04" w:rsidP="001A0A04">
      <w:pPr>
        <w:rPr>
          <w:rFonts w:ascii="Arial" w:hAnsi="Arial" w:cs="Arial"/>
        </w:rPr>
      </w:pPr>
    </w:p>
    <w:p w14:paraId="250B45D7" w14:textId="77777777" w:rsidR="001A0A04" w:rsidRPr="001A0A04" w:rsidRDefault="001A0A04" w:rsidP="001A0A04">
      <w:pPr>
        <w:rPr>
          <w:rFonts w:ascii="Arial" w:hAnsi="Arial" w:cs="Arial"/>
        </w:rPr>
      </w:pPr>
      <w:r w:rsidRPr="001A0A04">
        <w:rPr>
          <w:rFonts w:ascii="Arial" w:hAnsi="Arial" w:cs="Arial"/>
        </w:rPr>
        <w:t>9. The acknowledgment of the significance of work-life balance and the provision of flexibility have been shown to have a substantial influence on employee engagement (Kelly &amp; Moen, 2007). According to Greenhaus and Powell (2006), it is recommended that both Unilever and GSK implement flexible work arrangements and provide support for programmes aimed at helping people achieve a better balance between their professional and personal life. Leaders that possess an understanding of and willingness to accommodate the flexible demands of their workers have a strong dedication to promoting their overall well-being and fostering their level of engagement (Kelliher &amp; Anderson, 2010).</w:t>
      </w:r>
    </w:p>
    <w:p w14:paraId="3C8311B6" w14:textId="77777777" w:rsidR="001A0A04" w:rsidRPr="001A0A04" w:rsidRDefault="001A0A04" w:rsidP="001A0A04">
      <w:pPr>
        <w:rPr>
          <w:rFonts w:ascii="Arial" w:hAnsi="Arial" w:cs="Arial"/>
        </w:rPr>
      </w:pPr>
    </w:p>
    <w:p w14:paraId="0B4B58D6" w14:textId="77777777" w:rsidR="001A0A04" w:rsidRPr="001A0A04" w:rsidRDefault="001A0A04" w:rsidP="001A0A04">
      <w:pPr>
        <w:rPr>
          <w:rFonts w:ascii="Arial" w:hAnsi="Arial" w:cs="Arial"/>
        </w:rPr>
      </w:pPr>
      <w:r w:rsidRPr="001A0A04">
        <w:rPr>
          <w:rFonts w:ascii="Arial" w:hAnsi="Arial" w:cs="Arial"/>
        </w:rPr>
        <w:t>10. The promotion of a culture that emphasises continual learning and growth is of utmost importance for both Unilever and GSK, as highlighted by Bordia et al. (2004). According to Torraco (2005), the provision of possibilities for skill upgrading, training, and career progression not only yields advantages for individuals but also serves to bolster the organisation. It is important for leaders to proactively endorse the professional growth of their workers, therefore fostering a workforce that is both motivated and engaged, and equipped to tackle forthcoming difficulties (Saks &amp; Gruman, 2014).</w:t>
      </w:r>
    </w:p>
    <w:p w14:paraId="1FACDF80" w14:textId="77777777" w:rsidR="001A0A04" w:rsidRDefault="001A0A04" w:rsidP="001A0A04">
      <w:pPr>
        <w:rPr>
          <w:rFonts w:ascii="Arial" w:hAnsi="Arial" w:cs="Arial"/>
        </w:rPr>
      </w:pPr>
    </w:p>
    <w:p w14:paraId="4626F9F9" w14:textId="264F9E67" w:rsidR="001A0A04" w:rsidRPr="001A0A04" w:rsidRDefault="001A0A04" w:rsidP="001A0A04">
      <w:pPr>
        <w:pStyle w:val="Heading1"/>
      </w:pPr>
      <w:bookmarkStart w:id="7" w:name="_Toc142907624"/>
      <w:r>
        <w:t>C</w:t>
      </w:r>
      <w:r w:rsidRPr="001A0A04">
        <w:t>onclusion</w:t>
      </w:r>
      <w:bookmarkEnd w:id="7"/>
    </w:p>
    <w:p w14:paraId="60509794" w14:textId="77777777" w:rsidR="001A0A04" w:rsidRPr="001A0A04" w:rsidRDefault="001A0A04" w:rsidP="001A0A04">
      <w:pPr>
        <w:rPr>
          <w:rFonts w:ascii="Arial" w:hAnsi="Arial" w:cs="Arial"/>
        </w:rPr>
      </w:pPr>
    </w:p>
    <w:p w14:paraId="2C506DDC" w14:textId="721C20CE" w:rsidR="001A0A04" w:rsidRDefault="001A0A04" w:rsidP="001A0A04">
      <w:pPr>
        <w:rPr>
          <w:rFonts w:ascii="Arial" w:hAnsi="Arial" w:cs="Arial"/>
        </w:rPr>
      </w:pPr>
      <w:r w:rsidRPr="001A0A04">
        <w:rPr>
          <w:rFonts w:ascii="Arial" w:hAnsi="Arial" w:cs="Arial"/>
        </w:rPr>
        <w:t xml:space="preserve">In summary, Unilever and GSK serve as notable examples of corporations that possess a comprehensive comprehension of the significance of employee engagement and the pivotal function of leadership in cultivating it. By adopting these complete suggestions, both firms may maintain their position as industry leaders in building conducive work environments that promote employee well-being. This will contribute to the long-term success of the organisations and have a lasting influence </w:t>
      </w:r>
      <w:r w:rsidRPr="001A0A04">
        <w:rPr>
          <w:rFonts w:ascii="Arial" w:hAnsi="Arial" w:cs="Arial"/>
        </w:rPr>
        <w:lastRenderedPageBreak/>
        <w:t>on the industry and the workforce. Unilever and GSK are positioned to construct a future characterised by employee empowerment, development, and shared successes, surpassing industry limits and establishing novel benchmarks for excellence, as a result of their implementation of successful leadership practises that prioritise engagement.</w:t>
      </w:r>
    </w:p>
    <w:p w14:paraId="3C237333" w14:textId="370748D0" w:rsidR="001A0A04" w:rsidRDefault="001A0A04" w:rsidP="001A0A04">
      <w:pPr>
        <w:rPr>
          <w:rFonts w:ascii="Arial" w:hAnsi="Arial" w:cs="Arial"/>
        </w:rPr>
      </w:pPr>
    </w:p>
    <w:p w14:paraId="2D8132DF" w14:textId="508970A6" w:rsidR="001A0A04" w:rsidRDefault="001A0A04" w:rsidP="001A0A04">
      <w:pPr>
        <w:rPr>
          <w:rFonts w:ascii="Arial" w:hAnsi="Arial" w:cs="Arial"/>
        </w:rPr>
      </w:pPr>
    </w:p>
    <w:p w14:paraId="43B36FC3" w14:textId="55D3756A" w:rsidR="001A0A04" w:rsidRDefault="001A0A04" w:rsidP="001A0A04">
      <w:pPr>
        <w:rPr>
          <w:rFonts w:ascii="Arial" w:hAnsi="Arial" w:cs="Arial"/>
        </w:rPr>
      </w:pPr>
    </w:p>
    <w:p w14:paraId="2C4C3ABA" w14:textId="0375B589" w:rsidR="001A0A04" w:rsidRDefault="001A0A04" w:rsidP="001A0A04">
      <w:pPr>
        <w:rPr>
          <w:rFonts w:ascii="Arial" w:hAnsi="Arial" w:cs="Arial"/>
        </w:rPr>
      </w:pPr>
    </w:p>
    <w:p w14:paraId="55C1F294" w14:textId="0C83FF3F" w:rsidR="001A0A04" w:rsidRDefault="001A0A04" w:rsidP="001A0A04">
      <w:pPr>
        <w:rPr>
          <w:rFonts w:ascii="Arial" w:hAnsi="Arial" w:cs="Arial"/>
        </w:rPr>
      </w:pPr>
    </w:p>
    <w:p w14:paraId="3EE3C172" w14:textId="4280F6AD" w:rsidR="001A0A04" w:rsidRDefault="001A0A04" w:rsidP="001A0A04">
      <w:pPr>
        <w:rPr>
          <w:rFonts w:ascii="Arial" w:hAnsi="Arial" w:cs="Arial"/>
        </w:rPr>
      </w:pPr>
    </w:p>
    <w:p w14:paraId="68841087" w14:textId="2D7B0866" w:rsidR="001A0A04" w:rsidRDefault="001A0A04" w:rsidP="001A0A04">
      <w:pPr>
        <w:rPr>
          <w:rFonts w:ascii="Arial" w:hAnsi="Arial" w:cs="Arial"/>
        </w:rPr>
      </w:pPr>
    </w:p>
    <w:p w14:paraId="63FE0679" w14:textId="410FF093" w:rsidR="001A0A04" w:rsidRDefault="001A0A04" w:rsidP="001A0A04">
      <w:pPr>
        <w:rPr>
          <w:rFonts w:ascii="Arial" w:hAnsi="Arial" w:cs="Arial"/>
        </w:rPr>
      </w:pPr>
    </w:p>
    <w:p w14:paraId="1B8D1A3C" w14:textId="3F469A25" w:rsidR="00FD7452" w:rsidRDefault="00FD7452" w:rsidP="001A0A04">
      <w:pPr>
        <w:rPr>
          <w:rFonts w:ascii="Arial" w:hAnsi="Arial" w:cs="Arial"/>
        </w:rPr>
      </w:pPr>
    </w:p>
    <w:p w14:paraId="12944899" w14:textId="5DB1D02D" w:rsidR="00FD7452" w:rsidRDefault="00FD7452" w:rsidP="001A0A04">
      <w:pPr>
        <w:rPr>
          <w:rFonts w:ascii="Arial" w:hAnsi="Arial" w:cs="Arial"/>
        </w:rPr>
      </w:pPr>
    </w:p>
    <w:p w14:paraId="098C29D7" w14:textId="612DC843" w:rsidR="00FD7452" w:rsidRDefault="00FD7452" w:rsidP="001A0A04">
      <w:pPr>
        <w:rPr>
          <w:rFonts w:ascii="Arial" w:hAnsi="Arial" w:cs="Arial"/>
        </w:rPr>
      </w:pPr>
    </w:p>
    <w:p w14:paraId="3468A428" w14:textId="2D6E6900" w:rsidR="00FD7452" w:rsidRDefault="00FD7452" w:rsidP="001A0A04">
      <w:pPr>
        <w:rPr>
          <w:rFonts w:ascii="Arial" w:hAnsi="Arial" w:cs="Arial"/>
        </w:rPr>
      </w:pPr>
    </w:p>
    <w:p w14:paraId="7FBEF000" w14:textId="5B0A2962" w:rsidR="00FD7452" w:rsidRDefault="00FD7452" w:rsidP="001A0A04">
      <w:pPr>
        <w:rPr>
          <w:rFonts w:ascii="Arial" w:hAnsi="Arial" w:cs="Arial"/>
        </w:rPr>
      </w:pPr>
    </w:p>
    <w:p w14:paraId="2FE27855" w14:textId="1E2F25A7" w:rsidR="00FD7452" w:rsidRDefault="00FD7452" w:rsidP="001A0A04">
      <w:pPr>
        <w:rPr>
          <w:rFonts w:ascii="Arial" w:hAnsi="Arial" w:cs="Arial"/>
        </w:rPr>
      </w:pPr>
    </w:p>
    <w:p w14:paraId="11C44A2B" w14:textId="325E0693" w:rsidR="00FD7452" w:rsidRDefault="00FD7452" w:rsidP="001A0A04">
      <w:pPr>
        <w:rPr>
          <w:rFonts w:ascii="Arial" w:hAnsi="Arial" w:cs="Arial"/>
        </w:rPr>
      </w:pPr>
    </w:p>
    <w:p w14:paraId="5C2EFCA8" w14:textId="119FAF45" w:rsidR="00FD7452" w:rsidRDefault="00FD7452" w:rsidP="001A0A04">
      <w:pPr>
        <w:rPr>
          <w:rFonts w:ascii="Arial" w:hAnsi="Arial" w:cs="Arial"/>
        </w:rPr>
      </w:pPr>
    </w:p>
    <w:p w14:paraId="3613B5AC" w14:textId="2D2D4587" w:rsidR="00FD7452" w:rsidRDefault="00FD7452" w:rsidP="001A0A04">
      <w:pPr>
        <w:rPr>
          <w:rFonts w:ascii="Arial" w:hAnsi="Arial" w:cs="Arial"/>
        </w:rPr>
      </w:pPr>
    </w:p>
    <w:p w14:paraId="3CD10ECE" w14:textId="3B31C89B" w:rsidR="00FD7452" w:rsidRDefault="00FD7452" w:rsidP="001A0A04">
      <w:pPr>
        <w:rPr>
          <w:rFonts w:ascii="Arial" w:hAnsi="Arial" w:cs="Arial"/>
        </w:rPr>
      </w:pPr>
    </w:p>
    <w:p w14:paraId="7FE9BEFE" w14:textId="45510A90" w:rsidR="00FD7452" w:rsidRDefault="00FD7452" w:rsidP="001A0A04">
      <w:pPr>
        <w:rPr>
          <w:rFonts w:ascii="Arial" w:hAnsi="Arial" w:cs="Arial"/>
        </w:rPr>
      </w:pPr>
    </w:p>
    <w:p w14:paraId="510F0C8E" w14:textId="4961800C" w:rsidR="00FD7452" w:rsidRDefault="00FD7452" w:rsidP="001A0A04">
      <w:pPr>
        <w:rPr>
          <w:rFonts w:ascii="Arial" w:hAnsi="Arial" w:cs="Arial"/>
        </w:rPr>
      </w:pPr>
    </w:p>
    <w:p w14:paraId="3C7A2BBE" w14:textId="35ECFAA1" w:rsidR="00FD7452" w:rsidRDefault="00FD7452" w:rsidP="001A0A04">
      <w:pPr>
        <w:rPr>
          <w:rFonts w:ascii="Arial" w:hAnsi="Arial" w:cs="Arial"/>
        </w:rPr>
      </w:pPr>
    </w:p>
    <w:p w14:paraId="5F57CDD3" w14:textId="4680019A" w:rsidR="00FD7452" w:rsidRDefault="00FD7452" w:rsidP="001A0A04">
      <w:pPr>
        <w:rPr>
          <w:rFonts w:ascii="Arial" w:hAnsi="Arial" w:cs="Arial"/>
        </w:rPr>
      </w:pPr>
    </w:p>
    <w:p w14:paraId="37CA44A4" w14:textId="65B81D4B" w:rsidR="00FD7452" w:rsidRDefault="00FD7452" w:rsidP="001A0A04">
      <w:pPr>
        <w:rPr>
          <w:rFonts w:ascii="Arial" w:hAnsi="Arial" w:cs="Arial"/>
        </w:rPr>
      </w:pPr>
    </w:p>
    <w:p w14:paraId="6348BEA7" w14:textId="78C708E5" w:rsidR="00FD7452" w:rsidRDefault="00FD7452" w:rsidP="001A0A04">
      <w:pPr>
        <w:rPr>
          <w:rFonts w:ascii="Arial" w:hAnsi="Arial" w:cs="Arial"/>
        </w:rPr>
      </w:pPr>
    </w:p>
    <w:p w14:paraId="06AD3F8B" w14:textId="3F6B5ED5" w:rsidR="00FD7452" w:rsidRDefault="00FD7452" w:rsidP="001A0A04">
      <w:pPr>
        <w:rPr>
          <w:rFonts w:ascii="Arial" w:hAnsi="Arial" w:cs="Arial"/>
        </w:rPr>
      </w:pPr>
    </w:p>
    <w:p w14:paraId="1521F915" w14:textId="535D5D17" w:rsidR="00FD7452" w:rsidRDefault="00FD7452" w:rsidP="001A0A04">
      <w:pPr>
        <w:rPr>
          <w:rFonts w:ascii="Arial" w:hAnsi="Arial" w:cs="Arial"/>
        </w:rPr>
      </w:pPr>
    </w:p>
    <w:p w14:paraId="3FC9199E" w14:textId="20E88935" w:rsidR="00FD7452" w:rsidRDefault="00FD7452" w:rsidP="001A0A04">
      <w:pPr>
        <w:rPr>
          <w:rFonts w:ascii="Arial" w:hAnsi="Arial" w:cs="Arial"/>
        </w:rPr>
      </w:pPr>
    </w:p>
    <w:p w14:paraId="13E482AF" w14:textId="4076318A" w:rsidR="00FD7452" w:rsidRDefault="00FD7452" w:rsidP="001A0A04">
      <w:pPr>
        <w:rPr>
          <w:rFonts w:ascii="Arial" w:hAnsi="Arial" w:cs="Arial"/>
        </w:rPr>
      </w:pPr>
    </w:p>
    <w:p w14:paraId="11575D4B" w14:textId="5FA2B7C6" w:rsidR="00FD7452" w:rsidRDefault="00FD7452" w:rsidP="001A0A04">
      <w:pPr>
        <w:rPr>
          <w:rFonts w:ascii="Arial" w:hAnsi="Arial" w:cs="Arial"/>
        </w:rPr>
      </w:pPr>
    </w:p>
    <w:p w14:paraId="0071033F" w14:textId="0A9632F9" w:rsidR="00FD7452" w:rsidRDefault="00FD7452" w:rsidP="001A0A04">
      <w:pPr>
        <w:rPr>
          <w:rFonts w:ascii="Arial" w:hAnsi="Arial" w:cs="Arial"/>
        </w:rPr>
      </w:pPr>
    </w:p>
    <w:p w14:paraId="3F2E3EF1" w14:textId="6C3189A3" w:rsidR="00FD7452" w:rsidRDefault="00FD7452" w:rsidP="001A0A04">
      <w:pPr>
        <w:rPr>
          <w:rFonts w:ascii="Arial" w:hAnsi="Arial" w:cs="Arial"/>
        </w:rPr>
      </w:pPr>
    </w:p>
    <w:p w14:paraId="437A31E5" w14:textId="41D8E573" w:rsidR="00FD7452" w:rsidRDefault="00FD7452" w:rsidP="001A0A04">
      <w:pPr>
        <w:rPr>
          <w:rFonts w:ascii="Arial" w:hAnsi="Arial" w:cs="Arial"/>
        </w:rPr>
      </w:pPr>
    </w:p>
    <w:p w14:paraId="38E73CA7" w14:textId="1A0E9E46" w:rsidR="00FD7452" w:rsidRDefault="00FD7452" w:rsidP="001A0A04">
      <w:pPr>
        <w:rPr>
          <w:rFonts w:ascii="Arial" w:hAnsi="Arial" w:cs="Arial"/>
        </w:rPr>
      </w:pPr>
    </w:p>
    <w:p w14:paraId="3DDAA179" w14:textId="077161B9" w:rsidR="00FD7452" w:rsidRDefault="00FD7452" w:rsidP="001A0A04">
      <w:pPr>
        <w:rPr>
          <w:rFonts w:ascii="Arial" w:hAnsi="Arial" w:cs="Arial"/>
        </w:rPr>
      </w:pPr>
    </w:p>
    <w:p w14:paraId="23BEA39E" w14:textId="63979AB8" w:rsidR="00FD7452" w:rsidRDefault="00FD7452" w:rsidP="001A0A04">
      <w:pPr>
        <w:rPr>
          <w:rFonts w:ascii="Arial" w:hAnsi="Arial" w:cs="Arial"/>
        </w:rPr>
      </w:pPr>
    </w:p>
    <w:p w14:paraId="4A177922" w14:textId="018EE399" w:rsidR="00FD7452" w:rsidRDefault="00FD7452" w:rsidP="001A0A04">
      <w:pPr>
        <w:rPr>
          <w:rFonts w:ascii="Arial" w:hAnsi="Arial" w:cs="Arial"/>
        </w:rPr>
      </w:pPr>
    </w:p>
    <w:p w14:paraId="61BE1AAE" w14:textId="55126498" w:rsidR="00FD7452" w:rsidRDefault="00FD7452" w:rsidP="001A0A04">
      <w:pPr>
        <w:rPr>
          <w:rFonts w:ascii="Arial" w:hAnsi="Arial" w:cs="Arial"/>
        </w:rPr>
      </w:pPr>
    </w:p>
    <w:p w14:paraId="3DAA094A" w14:textId="3F332F34" w:rsidR="00FD7452" w:rsidRDefault="00FD7452" w:rsidP="001A0A04">
      <w:pPr>
        <w:rPr>
          <w:rFonts w:ascii="Arial" w:hAnsi="Arial" w:cs="Arial"/>
        </w:rPr>
      </w:pPr>
    </w:p>
    <w:p w14:paraId="29A6B722" w14:textId="7BCC53A3" w:rsidR="00FD7452" w:rsidRDefault="00FD7452" w:rsidP="001A0A04">
      <w:pPr>
        <w:rPr>
          <w:rFonts w:ascii="Arial" w:hAnsi="Arial" w:cs="Arial"/>
        </w:rPr>
      </w:pPr>
    </w:p>
    <w:p w14:paraId="68B18E92" w14:textId="7EB768B4" w:rsidR="00FD7452" w:rsidRDefault="00FD7452" w:rsidP="001A0A04">
      <w:pPr>
        <w:rPr>
          <w:rFonts w:ascii="Arial" w:hAnsi="Arial" w:cs="Arial"/>
        </w:rPr>
      </w:pPr>
    </w:p>
    <w:p w14:paraId="5D38B048" w14:textId="62CFB3C3" w:rsidR="00FD7452" w:rsidRDefault="00FD7452" w:rsidP="001A0A04">
      <w:pPr>
        <w:rPr>
          <w:rFonts w:ascii="Arial" w:hAnsi="Arial" w:cs="Arial"/>
        </w:rPr>
      </w:pPr>
    </w:p>
    <w:p w14:paraId="55303879" w14:textId="35F364BB" w:rsidR="00FD7452" w:rsidRDefault="00FD7452" w:rsidP="001A0A04">
      <w:pPr>
        <w:rPr>
          <w:rFonts w:ascii="Arial" w:hAnsi="Arial" w:cs="Arial"/>
        </w:rPr>
      </w:pPr>
    </w:p>
    <w:p w14:paraId="556C2D8D" w14:textId="77777777" w:rsidR="00FD7452" w:rsidRDefault="00FD7452" w:rsidP="001A0A04">
      <w:pPr>
        <w:rPr>
          <w:rFonts w:ascii="Arial" w:hAnsi="Arial" w:cs="Arial"/>
        </w:rPr>
      </w:pPr>
    </w:p>
    <w:p w14:paraId="15F6C421" w14:textId="77777777" w:rsidR="001A0A04" w:rsidRDefault="001A0A04" w:rsidP="001A0A04">
      <w:pPr>
        <w:rPr>
          <w:rFonts w:ascii="Arial" w:hAnsi="Arial" w:cs="Arial"/>
        </w:rPr>
      </w:pPr>
    </w:p>
    <w:p w14:paraId="4D29A849" w14:textId="3428A078" w:rsidR="001A0A04" w:rsidRDefault="001A0A04" w:rsidP="001A0A04">
      <w:pPr>
        <w:pStyle w:val="Heading1"/>
      </w:pPr>
      <w:bookmarkStart w:id="8" w:name="_Toc142907625"/>
      <w:r w:rsidRPr="001A0A04">
        <w:lastRenderedPageBreak/>
        <w:t>References</w:t>
      </w:r>
      <w:bookmarkEnd w:id="8"/>
    </w:p>
    <w:p w14:paraId="15A0EC25" w14:textId="59900508" w:rsidR="001A0A04" w:rsidRDefault="001A0A04" w:rsidP="001A0A04">
      <w:pPr>
        <w:rPr>
          <w:rFonts w:ascii="Arial" w:hAnsi="Arial" w:cs="Arial"/>
        </w:rPr>
      </w:pPr>
    </w:p>
    <w:p w14:paraId="1DAEBC72" w14:textId="77777777" w:rsidR="001A0A04" w:rsidRPr="001A0A04" w:rsidRDefault="001A0A04" w:rsidP="001A0A04">
      <w:pPr>
        <w:rPr>
          <w:rFonts w:ascii="Arial" w:hAnsi="Arial" w:cs="Arial"/>
        </w:rPr>
      </w:pPr>
      <w:r w:rsidRPr="001A0A04">
        <w:rPr>
          <w:rFonts w:ascii="Arial" w:hAnsi="Arial" w:cs="Arial"/>
        </w:rPr>
        <w:t>Avolio, B. J., Bass, B. M., &amp; Jung, D. I. (2009). Re-examining the components of transformational and transactional leadership using the Multifactor Leadership. Journal of Occupational and Organizational Psychology, 82(2), 291-303.</w:t>
      </w:r>
    </w:p>
    <w:p w14:paraId="5380200E" w14:textId="77777777" w:rsidR="001A0A04" w:rsidRPr="001A0A04" w:rsidRDefault="001A0A04" w:rsidP="001A0A04">
      <w:pPr>
        <w:rPr>
          <w:rFonts w:ascii="Arial" w:hAnsi="Arial" w:cs="Arial"/>
        </w:rPr>
      </w:pPr>
    </w:p>
    <w:p w14:paraId="755A8D3A" w14:textId="77777777" w:rsidR="001A0A04" w:rsidRPr="001A0A04" w:rsidRDefault="001A0A04" w:rsidP="001A0A04">
      <w:pPr>
        <w:rPr>
          <w:rFonts w:ascii="Arial" w:hAnsi="Arial" w:cs="Arial"/>
        </w:rPr>
      </w:pPr>
      <w:r w:rsidRPr="001A0A04">
        <w:rPr>
          <w:rFonts w:ascii="Arial" w:hAnsi="Arial" w:cs="Arial"/>
        </w:rPr>
        <w:t>Chapman, J., Duffield, C., Barnett, T., &amp; Foster, R. (2008). A comparative review of nurse turnover rates and costs across countries. Journal of Advanced Nursing, 61(5), 499-510.</w:t>
      </w:r>
    </w:p>
    <w:p w14:paraId="2DE8E99A" w14:textId="77777777" w:rsidR="001A0A04" w:rsidRPr="001A0A04" w:rsidRDefault="001A0A04" w:rsidP="001A0A04">
      <w:pPr>
        <w:rPr>
          <w:rFonts w:ascii="Arial" w:hAnsi="Arial" w:cs="Arial"/>
        </w:rPr>
      </w:pPr>
    </w:p>
    <w:p w14:paraId="5B56726A" w14:textId="77777777" w:rsidR="001A0A04" w:rsidRPr="001A0A04" w:rsidRDefault="001A0A04" w:rsidP="001A0A04">
      <w:pPr>
        <w:rPr>
          <w:rFonts w:ascii="Arial" w:hAnsi="Arial" w:cs="Arial"/>
        </w:rPr>
      </w:pPr>
      <w:r w:rsidRPr="001A0A04">
        <w:rPr>
          <w:rFonts w:ascii="Arial" w:hAnsi="Arial" w:cs="Arial"/>
        </w:rPr>
        <w:t>Coffey, J., &amp; Cole, M. S. (2017). Work engagement: A quantitative review and test of its relations with task and contextual performance. Personnel Psychology, 70(1), 115-167.</w:t>
      </w:r>
    </w:p>
    <w:p w14:paraId="1E703290" w14:textId="77777777" w:rsidR="001A0A04" w:rsidRPr="001A0A04" w:rsidRDefault="001A0A04" w:rsidP="001A0A04">
      <w:pPr>
        <w:rPr>
          <w:rFonts w:ascii="Arial" w:hAnsi="Arial" w:cs="Arial"/>
        </w:rPr>
      </w:pPr>
    </w:p>
    <w:p w14:paraId="515080EC" w14:textId="77777777" w:rsidR="001A0A04" w:rsidRPr="001A0A04" w:rsidRDefault="001A0A04" w:rsidP="001A0A04">
      <w:pPr>
        <w:rPr>
          <w:rFonts w:ascii="Arial" w:hAnsi="Arial" w:cs="Arial"/>
        </w:rPr>
      </w:pPr>
      <w:r w:rsidRPr="001A0A04">
        <w:rPr>
          <w:rFonts w:ascii="Arial" w:hAnsi="Arial" w:cs="Arial"/>
        </w:rPr>
        <w:t>Dolente, C. C. (2016). Effects of employee participation in decision making on job satisfaction: A study of the management–employee relationship in a federal agency (Doctoral dissertation).</w:t>
      </w:r>
    </w:p>
    <w:p w14:paraId="186EC9EF" w14:textId="77777777" w:rsidR="001A0A04" w:rsidRPr="001A0A04" w:rsidRDefault="001A0A04" w:rsidP="001A0A04">
      <w:pPr>
        <w:rPr>
          <w:rFonts w:ascii="Arial" w:hAnsi="Arial" w:cs="Arial"/>
        </w:rPr>
      </w:pPr>
    </w:p>
    <w:p w14:paraId="6D459463" w14:textId="77777777" w:rsidR="001A0A04" w:rsidRPr="001A0A04" w:rsidRDefault="001A0A04" w:rsidP="001A0A04">
      <w:pPr>
        <w:rPr>
          <w:rFonts w:ascii="Arial" w:hAnsi="Arial" w:cs="Arial"/>
        </w:rPr>
      </w:pPr>
      <w:r w:rsidRPr="001A0A04">
        <w:rPr>
          <w:rFonts w:ascii="Arial" w:hAnsi="Arial" w:cs="Arial"/>
        </w:rPr>
        <w:t>Kram, K. E. (1985). Mentoring at work: Developmental relationships in organizational life. Glenview, IL: Scott, Foresman.</w:t>
      </w:r>
    </w:p>
    <w:p w14:paraId="215A8D82" w14:textId="77777777" w:rsidR="001A0A04" w:rsidRPr="001A0A04" w:rsidRDefault="001A0A04" w:rsidP="001A0A04">
      <w:pPr>
        <w:rPr>
          <w:rFonts w:ascii="Arial" w:hAnsi="Arial" w:cs="Arial"/>
        </w:rPr>
      </w:pPr>
    </w:p>
    <w:p w14:paraId="29F36B4D" w14:textId="77777777" w:rsidR="001A0A04" w:rsidRPr="001A0A04" w:rsidRDefault="001A0A04" w:rsidP="001A0A04">
      <w:pPr>
        <w:rPr>
          <w:rFonts w:ascii="Arial" w:hAnsi="Arial" w:cs="Arial"/>
        </w:rPr>
      </w:pPr>
      <w:r w:rsidRPr="001A0A04">
        <w:rPr>
          <w:rFonts w:ascii="Arial" w:hAnsi="Arial" w:cs="Arial"/>
        </w:rPr>
        <w:t>Nembhard, I. M., &amp; Edmondson, A. C. (2006). Making it safe: The effects of leader inclusiveness and professional status on psychological safety and improvement efforts in health care teams. Journal of Organizational Behavior, 27(7), 941-966.</w:t>
      </w:r>
    </w:p>
    <w:p w14:paraId="7A682FDA" w14:textId="77777777" w:rsidR="001A0A04" w:rsidRPr="001A0A04" w:rsidRDefault="001A0A04" w:rsidP="001A0A04">
      <w:pPr>
        <w:rPr>
          <w:rFonts w:ascii="Arial" w:hAnsi="Arial" w:cs="Arial"/>
        </w:rPr>
      </w:pPr>
    </w:p>
    <w:p w14:paraId="0A00B7F5" w14:textId="77777777" w:rsidR="001A0A04" w:rsidRPr="001A0A04" w:rsidRDefault="001A0A04" w:rsidP="001A0A04">
      <w:pPr>
        <w:rPr>
          <w:rFonts w:ascii="Arial" w:hAnsi="Arial" w:cs="Arial"/>
        </w:rPr>
      </w:pPr>
      <w:r w:rsidRPr="001A0A04">
        <w:rPr>
          <w:rFonts w:ascii="Arial" w:hAnsi="Arial" w:cs="Arial"/>
        </w:rPr>
        <w:t>Saks, A. M., &amp; Gruman, J. A. (2014). What do we really know about employee engagement? Human Resource Development Quarterly, 25(2), 155-182.</w:t>
      </w:r>
    </w:p>
    <w:p w14:paraId="589DEBEC" w14:textId="77777777" w:rsidR="001A0A04" w:rsidRPr="001A0A04" w:rsidRDefault="001A0A04" w:rsidP="001A0A04">
      <w:pPr>
        <w:rPr>
          <w:rFonts w:ascii="Arial" w:hAnsi="Arial" w:cs="Arial"/>
        </w:rPr>
      </w:pPr>
    </w:p>
    <w:p w14:paraId="3D70A63C" w14:textId="77777777" w:rsidR="001A0A04" w:rsidRPr="001A0A04" w:rsidRDefault="001A0A04" w:rsidP="001A0A04">
      <w:pPr>
        <w:rPr>
          <w:rFonts w:ascii="Arial" w:hAnsi="Arial" w:cs="Arial"/>
        </w:rPr>
      </w:pPr>
      <w:r w:rsidRPr="001A0A04">
        <w:rPr>
          <w:rFonts w:ascii="Arial" w:hAnsi="Arial" w:cs="Arial"/>
        </w:rPr>
        <w:t>Strazdins, L., D'Souza, R. M., Lim, L. L. Y., Broom, D. H., &amp; Rodgers, B. (2004). Job strain, job insecurity, and health: Rethinking the relationship. Journal of Occupational Health Psychology, 9(4), 296-305.</w:t>
      </w:r>
    </w:p>
    <w:p w14:paraId="25A61C0C" w14:textId="77777777" w:rsidR="001A0A04" w:rsidRPr="001A0A04" w:rsidRDefault="001A0A04" w:rsidP="001A0A04">
      <w:pPr>
        <w:rPr>
          <w:rFonts w:ascii="Arial" w:hAnsi="Arial" w:cs="Arial"/>
        </w:rPr>
      </w:pPr>
    </w:p>
    <w:p w14:paraId="051DE996" w14:textId="708EC070" w:rsidR="001A0A04" w:rsidRPr="001A0A04" w:rsidRDefault="001A0A04" w:rsidP="001A0A04">
      <w:pPr>
        <w:rPr>
          <w:rFonts w:ascii="Arial" w:hAnsi="Arial" w:cs="Arial"/>
        </w:rPr>
      </w:pPr>
      <w:r w:rsidRPr="001A0A04">
        <w:rPr>
          <w:rFonts w:ascii="Arial" w:hAnsi="Arial" w:cs="Arial"/>
        </w:rPr>
        <w:t>Torraco, R. J. (2005). Writing integrative literature reviews: Guidelines and examples. Human Resource Development Review, 4(3), 356-367.</w:t>
      </w:r>
    </w:p>
    <w:sectPr w:rsidR="001A0A04" w:rsidRPr="001A0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A04"/>
    <w:rsid w:val="001A0A04"/>
    <w:rsid w:val="003A0DD9"/>
    <w:rsid w:val="006E2B17"/>
    <w:rsid w:val="0093593A"/>
    <w:rsid w:val="00C44E00"/>
    <w:rsid w:val="00EE6027"/>
    <w:rsid w:val="00FD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A39A44"/>
  <w15:chartTrackingRefBased/>
  <w15:docId w15:val="{9917E4EA-FDA9-1D4D-98E7-E0CCF5D91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A0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A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745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D7452"/>
    <w:pPr>
      <w:spacing w:before="120"/>
    </w:pPr>
    <w:rPr>
      <w:rFonts w:cstheme="minorHAnsi"/>
      <w:b/>
      <w:bCs/>
      <w:i/>
      <w:iCs/>
    </w:rPr>
  </w:style>
  <w:style w:type="character" w:styleId="Hyperlink">
    <w:name w:val="Hyperlink"/>
    <w:basedOn w:val="DefaultParagraphFont"/>
    <w:uiPriority w:val="99"/>
    <w:unhideWhenUsed/>
    <w:rsid w:val="00FD7452"/>
    <w:rPr>
      <w:color w:val="0563C1" w:themeColor="hyperlink"/>
      <w:u w:val="single"/>
    </w:rPr>
  </w:style>
  <w:style w:type="paragraph" w:styleId="TOC2">
    <w:name w:val="toc 2"/>
    <w:basedOn w:val="Normal"/>
    <w:next w:val="Normal"/>
    <w:autoRedefine/>
    <w:uiPriority w:val="39"/>
    <w:semiHidden/>
    <w:unhideWhenUsed/>
    <w:rsid w:val="00FD745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D7452"/>
    <w:pPr>
      <w:ind w:left="480"/>
    </w:pPr>
    <w:rPr>
      <w:rFonts w:cstheme="minorHAnsi"/>
      <w:sz w:val="20"/>
      <w:szCs w:val="20"/>
    </w:rPr>
  </w:style>
  <w:style w:type="paragraph" w:styleId="TOC4">
    <w:name w:val="toc 4"/>
    <w:basedOn w:val="Normal"/>
    <w:next w:val="Normal"/>
    <w:autoRedefine/>
    <w:uiPriority w:val="39"/>
    <w:semiHidden/>
    <w:unhideWhenUsed/>
    <w:rsid w:val="00FD7452"/>
    <w:pPr>
      <w:ind w:left="720"/>
    </w:pPr>
    <w:rPr>
      <w:rFonts w:cstheme="minorHAnsi"/>
      <w:sz w:val="20"/>
      <w:szCs w:val="20"/>
    </w:rPr>
  </w:style>
  <w:style w:type="paragraph" w:styleId="TOC5">
    <w:name w:val="toc 5"/>
    <w:basedOn w:val="Normal"/>
    <w:next w:val="Normal"/>
    <w:autoRedefine/>
    <w:uiPriority w:val="39"/>
    <w:semiHidden/>
    <w:unhideWhenUsed/>
    <w:rsid w:val="00FD7452"/>
    <w:pPr>
      <w:ind w:left="960"/>
    </w:pPr>
    <w:rPr>
      <w:rFonts w:cstheme="minorHAnsi"/>
      <w:sz w:val="20"/>
      <w:szCs w:val="20"/>
    </w:rPr>
  </w:style>
  <w:style w:type="paragraph" w:styleId="TOC6">
    <w:name w:val="toc 6"/>
    <w:basedOn w:val="Normal"/>
    <w:next w:val="Normal"/>
    <w:autoRedefine/>
    <w:uiPriority w:val="39"/>
    <w:semiHidden/>
    <w:unhideWhenUsed/>
    <w:rsid w:val="00FD7452"/>
    <w:pPr>
      <w:ind w:left="1200"/>
    </w:pPr>
    <w:rPr>
      <w:rFonts w:cstheme="minorHAnsi"/>
      <w:sz w:val="20"/>
      <w:szCs w:val="20"/>
    </w:rPr>
  </w:style>
  <w:style w:type="paragraph" w:styleId="TOC7">
    <w:name w:val="toc 7"/>
    <w:basedOn w:val="Normal"/>
    <w:next w:val="Normal"/>
    <w:autoRedefine/>
    <w:uiPriority w:val="39"/>
    <w:semiHidden/>
    <w:unhideWhenUsed/>
    <w:rsid w:val="00FD7452"/>
    <w:pPr>
      <w:ind w:left="1440"/>
    </w:pPr>
    <w:rPr>
      <w:rFonts w:cstheme="minorHAnsi"/>
      <w:sz w:val="20"/>
      <w:szCs w:val="20"/>
    </w:rPr>
  </w:style>
  <w:style w:type="paragraph" w:styleId="TOC8">
    <w:name w:val="toc 8"/>
    <w:basedOn w:val="Normal"/>
    <w:next w:val="Normal"/>
    <w:autoRedefine/>
    <w:uiPriority w:val="39"/>
    <w:semiHidden/>
    <w:unhideWhenUsed/>
    <w:rsid w:val="00FD7452"/>
    <w:pPr>
      <w:ind w:left="1680"/>
    </w:pPr>
    <w:rPr>
      <w:rFonts w:cstheme="minorHAnsi"/>
      <w:sz w:val="20"/>
      <w:szCs w:val="20"/>
    </w:rPr>
  </w:style>
  <w:style w:type="paragraph" w:styleId="TOC9">
    <w:name w:val="toc 9"/>
    <w:basedOn w:val="Normal"/>
    <w:next w:val="Normal"/>
    <w:autoRedefine/>
    <w:uiPriority w:val="39"/>
    <w:semiHidden/>
    <w:unhideWhenUsed/>
    <w:rsid w:val="00FD745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666330">
      <w:bodyDiv w:val="1"/>
      <w:marLeft w:val="0"/>
      <w:marRight w:val="0"/>
      <w:marTop w:val="0"/>
      <w:marBottom w:val="0"/>
      <w:divBdr>
        <w:top w:val="none" w:sz="0" w:space="0" w:color="auto"/>
        <w:left w:val="none" w:sz="0" w:space="0" w:color="auto"/>
        <w:bottom w:val="none" w:sz="0" w:space="0" w:color="auto"/>
        <w:right w:val="none" w:sz="0" w:space="0" w:color="auto"/>
      </w:divBdr>
    </w:div>
    <w:div w:id="1455371973">
      <w:bodyDiv w:val="1"/>
      <w:marLeft w:val="0"/>
      <w:marRight w:val="0"/>
      <w:marTop w:val="0"/>
      <w:marBottom w:val="0"/>
      <w:divBdr>
        <w:top w:val="none" w:sz="0" w:space="0" w:color="auto"/>
        <w:left w:val="none" w:sz="0" w:space="0" w:color="auto"/>
        <w:bottom w:val="none" w:sz="0" w:space="0" w:color="auto"/>
        <w:right w:val="none" w:sz="0" w:space="0" w:color="auto"/>
      </w:divBdr>
    </w:div>
    <w:div w:id="181521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A0B8B-3142-AB40-9689-C21E51FEC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3227</Words>
  <Characters>18394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Georgeta-Alina Craciun</dc:creator>
  <cp:keywords/>
  <dc:description/>
  <cp:lastModifiedBy>Georgeta-Alina Craciun</cp:lastModifiedBy>
  <cp:revision>3</cp:revision>
  <dcterms:created xsi:type="dcterms:W3CDTF">2023-08-29T19:13:00Z</dcterms:created>
  <dcterms:modified xsi:type="dcterms:W3CDTF">2023-08-29T19:14:00Z</dcterms:modified>
</cp:coreProperties>
</file>