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E9F3B8" w14:textId="1900107C" w:rsidR="00C61438" w:rsidRPr="008759D5" w:rsidRDefault="008759D5" w:rsidP="008759D5">
      <w:pPr>
        <w:pStyle w:val="TOCHeading"/>
        <w:spacing w:line="360" w:lineRule="auto"/>
        <w:rPr>
          <w:rFonts w:ascii="Elephant" w:eastAsiaTheme="minorHAnsi" w:hAnsi="Elephant" w:cstheme="minorBidi"/>
          <w:color w:val="auto"/>
          <w:kern w:val="2"/>
          <w:sz w:val="24"/>
          <w:szCs w:val="24"/>
          <w:lang w:val="en-GB"/>
          <w14:ligatures w14:val="standardContextual"/>
        </w:rPr>
      </w:pPr>
      <w:r w:rsidRPr="008759D5">
        <w:rPr>
          <w:rFonts w:ascii="Elephant" w:eastAsiaTheme="minorHAnsi" w:hAnsi="Elephant" w:cstheme="minorBidi"/>
          <w:color w:val="auto"/>
          <w:kern w:val="2"/>
          <w:sz w:val="24"/>
          <w:szCs w:val="24"/>
          <w:lang w:val="en-GB"/>
          <w14:ligatures w14:val="standardContextual"/>
        </w:rPr>
        <w:t xml:space="preserve">                               COMMUNITY CARE AND DEVELOPMENT </w:t>
      </w:r>
    </w:p>
    <w:p w14:paraId="2C950605" w14:textId="2BC3C009" w:rsidR="00C61438" w:rsidRDefault="008759D5" w:rsidP="007868AB">
      <w:pPr>
        <w:spacing w:line="360" w:lineRule="auto"/>
        <w:rPr>
          <w:rFonts w:ascii="Elephant" w:hAnsi="Elephant"/>
        </w:rPr>
      </w:pPr>
      <w:r w:rsidRPr="008759D5">
        <w:rPr>
          <w:rFonts w:ascii="Elephant" w:hAnsi="Elephant"/>
        </w:rPr>
        <w:t xml:space="preserve">                                               ASSESSMENT: 2 REPORT </w:t>
      </w:r>
    </w:p>
    <w:p w14:paraId="51508183" w14:textId="77777777" w:rsidR="00A45046" w:rsidRDefault="00A45046" w:rsidP="007868AB">
      <w:pPr>
        <w:spacing w:line="360" w:lineRule="auto"/>
        <w:rPr>
          <w:rFonts w:ascii="Elephant" w:hAnsi="Elephant"/>
        </w:rPr>
      </w:pPr>
    </w:p>
    <w:p w14:paraId="43753541" w14:textId="77777777" w:rsidR="00322126" w:rsidRDefault="00322126" w:rsidP="007868AB">
      <w:pPr>
        <w:spacing w:line="360" w:lineRule="auto"/>
        <w:rPr>
          <w:rFonts w:ascii="Arial" w:hAnsi="Arial" w:cs="Arial"/>
        </w:rPr>
      </w:pPr>
    </w:p>
    <w:p w14:paraId="0AF12BAF" w14:textId="55270E46" w:rsidR="002B2E8F" w:rsidRPr="004C2233" w:rsidRDefault="00322126" w:rsidP="007868AB">
      <w:pPr>
        <w:spacing w:line="360" w:lineRule="auto"/>
        <w:rPr>
          <w:rFonts w:ascii="Arial" w:hAnsi="Arial" w:cs="Arial"/>
        </w:rPr>
      </w:pPr>
      <w:r w:rsidRPr="004C2233">
        <w:rPr>
          <w:rFonts w:ascii="Arial" w:hAnsi="Arial" w:cs="Arial"/>
        </w:rPr>
        <w:t xml:space="preserve">MODULE CODE: </w:t>
      </w:r>
      <w:r w:rsidR="00D20787" w:rsidRPr="004C2233">
        <w:rPr>
          <w:rFonts w:ascii="Arial" w:hAnsi="Arial" w:cs="Arial"/>
        </w:rPr>
        <w:t>BMHP6022_LON</w:t>
      </w:r>
    </w:p>
    <w:p w14:paraId="573C8AEA" w14:textId="381EE87E" w:rsidR="002B2E8F" w:rsidRDefault="002B2E8F" w:rsidP="007868AB">
      <w:pPr>
        <w:spacing w:line="360" w:lineRule="auto"/>
        <w:rPr>
          <w:rFonts w:ascii="Arial" w:hAnsi="Arial" w:cs="Arial"/>
        </w:rPr>
      </w:pPr>
      <w:r>
        <w:rPr>
          <w:rFonts w:ascii="Arial" w:hAnsi="Arial" w:cs="Arial"/>
        </w:rPr>
        <w:t xml:space="preserve">STUDENT: </w:t>
      </w:r>
      <w:r w:rsidR="00322126">
        <w:rPr>
          <w:rFonts w:ascii="Arial" w:hAnsi="Arial" w:cs="Arial"/>
        </w:rPr>
        <w:t>Patricia Beatriz Marin Artigas</w:t>
      </w:r>
    </w:p>
    <w:p w14:paraId="6DAC60A5" w14:textId="293F39DC" w:rsidR="002B2E8F" w:rsidRDefault="002B2E8F" w:rsidP="007868AB">
      <w:pPr>
        <w:spacing w:line="360" w:lineRule="auto"/>
        <w:rPr>
          <w:rFonts w:ascii="Arial" w:hAnsi="Arial" w:cs="Arial"/>
        </w:rPr>
      </w:pPr>
      <w:r>
        <w:rPr>
          <w:rFonts w:ascii="Arial" w:hAnsi="Arial" w:cs="Arial"/>
        </w:rPr>
        <w:t>ID:</w:t>
      </w:r>
      <w:r w:rsidR="00322126">
        <w:rPr>
          <w:rFonts w:ascii="Arial" w:hAnsi="Arial" w:cs="Arial"/>
        </w:rPr>
        <w:t xml:space="preserve"> </w:t>
      </w:r>
      <w:r w:rsidR="00391721">
        <w:rPr>
          <w:rFonts w:ascii="Arial" w:hAnsi="Arial" w:cs="Arial"/>
        </w:rPr>
        <w:t>2113585</w:t>
      </w:r>
    </w:p>
    <w:p w14:paraId="5879F994" w14:textId="07804206" w:rsidR="00322126" w:rsidRDefault="00322126" w:rsidP="007868AB">
      <w:pPr>
        <w:spacing w:line="360" w:lineRule="auto"/>
        <w:rPr>
          <w:rFonts w:ascii="Arial" w:hAnsi="Arial" w:cs="Arial"/>
        </w:rPr>
      </w:pPr>
      <w:r>
        <w:rPr>
          <w:rFonts w:ascii="Arial" w:hAnsi="Arial" w:cs="Arial"/>
        </w:rPr>
        <w:t xml:space="preserve">LECTURER: </w:t>
      </w:r>
      <w:r w:rsidR="004C2233" w:rsidRPr="004C2233">
        <w:rPr>
          <w:rFonts w:ascii="Arial" w:hAnsi="Arial" w:cs="Arial"/>
        </w:rPr>
        <w:t>Jolly Nwankwo</w:t>
      </w:r>
    </w:p>
    <w:p w14:paraId="7F8E54E2" w14:textId="77777777" w:rsidR="002B2E8F" w:rsidRDefault="002B2E8F" w:rsidP="007868AB">
      <w:pPr>
        <w:spacing w:line="360" w:lineRule="auto"/>
        <w:rPr>
          <w:rFonts w:ascii="Arial" w:hAnsi="Arial" w:cs="Arial"/>
        </w:rPr>
      </w:pPr>
    </w:p>
    <w:p w14:paraId="38C665AF" w14:textId="77777777" w:rsidR="00322126" w:rsidRDefault="00322126" w:rsidP="007868AB">
      <w:pPr>
        <w:spacing w:line="360" w:lineRule="auto"/>
        <w:rPr>
          <w:rFonts w:ascii="Arial" w:hAnsi="Arial" w:cs="Arial"/>
        </w:rPr>
      </w:pPr>
    </w:p>
    <w:p w14:paraId="29DEE60E" w14:textId="77777777" w:rsidR="00322126" w:rsidRDefault="00322126" w:rsidP="007868AB">
      <w:pPr>
        <w:spacing w:line="360" w:lineRule="auto"/>
        <w:rPr>
          <w:rFonts w:ascii="Arial" w:hAnsi="Arial" w:cs="Arial"/>
        </w:rPr>
      </w:pPr>
    </w:p>
    <w:p w14:paraId="303882D5" w14:textId="77777777" w:rsidR="00322126" w:rsidRDefault="00322126" w:rsidP="007868AB">
      <w:pPr>
        <w:spacing w:line="360" w:lineRule="auto"/>
        <w:rPr>
          <w:rFonts w:ascii="Arial" w:hAnsi="Arial" w:cs="Arial"/>
        </w:rPr>
      </w:pPr>
    </w:p>
    <w:p w14:paraId="310043C0" w14:textId="77777777" w:rsidR="00322126" w:rsidRDefault="00322126" w:rsidP="007868AB">
      <w:pPr>
        <w:spacing w:line="360" w:lineRule="auto"/>
        <w:rPr>
          <w:rFonts w:ascii="Arial" w:hAnsi="Arial" w:cs="Arial"/>
        </w:rPr>
      </w:pPr>
    </w:p>
    <w:p w14:paraId="4DFB0DDE" w14:textId="77777777" w:rsidR="00322126" w:rsidRDefault="00322126" w:rsidP="007868AB">
      <w:pPr>
        <w:spacing w:line="360" w:lineRule="auto"/>
        <w:rPr>
          <w:rFonts w:ascii="Arial" w:hAnsi="Arial" w:cs="Arial"/>
        </w:rPr>
      </w:pPr>
    </w:p>
    <w:p w14:paraId="1921A70D" w14:textId="77777777" w:rsidR="00322126" w:rsidRDefault="00322126" w:rsidP="007868AB">
      <w:pPr>
        <w:spacing w:line="360" w:lineRule="auto"/>
        <w:rPr>
          <w:rFonts w:ascii="Arial" w:hAnsi="Arial" w:cs="Arial"/>
        </w:rPr>
      </w:pPr>
    </w:p>
    <w:p w14:paraId="497F9AAA" w14:textId="77777777" w:rsidR="00322126" w:rsidRDefault="00322126" w:rsidP="007868AB">
      <w:pPr>
        <w:spacing w:line="360" w:lineRule="auto"/>
        <w:rPr>
          <w:rFonts w:ascii="Arial" w:hAnsi="Arial" w:cs="Arial"/>
        </w:rPr>
      </w:pPr>
    </w:p>
    <w:p w14:paraId="5D5C01FB" w14:textId="77777777" w:rsidR="00A3050C" w:rsidRDefault="00A3050C" w:rsidP="007868AB">
      <w:pPr>
        <w:spacing w:line="360" w:lineRule="auto"/>
        <w:rPr>
          <w:rFonts w:ascii="Arial" w:hAnsi="Arial" w:cs="Arial"/>
        </w:rPr>
      </w:pPr>
    </w:p>
    <w:p w14:paraId="72D5DE0C" w14:textId="77777777" w:rsidR="00A3050C" w:rsidRDefault="00A3050C" w:rsidP="007868AB">
      <w:pPr>
        <w:spacing w:line="360" w:lineRule="auto"/>
        <w:rPr>
          <w:rFonts w:ascii="Arial" w:hAnsi="Arial" w:cs="Arial"/>
        </w:rPr>
      </w:pPr>
    </w:p>
    <w:p w14:paraId="518ABC45" w14:textId="77777777" w:rsidR="00A3050C" w:rsidRDefault="00A3050C" w:rsidP="007868AB">
      <w:pPr>
        <w:spacing w:line="360" w:lineRule="auto"/>
        <w:rPr>
          <w:rFonts w:ascii="Arial" w:hAnsi="Arial" w:cs="Arial"/>
        </w:rPr>
      </w:pPr>
    </w:p>
    <w:p w14:paraId="1B923527" w14:textId="77777777" w:rsidR="00A3050C" w:rsidRDefault="00A3050C" w:rsidP="007868AB">
      <w:pPr>
        <w:spacing w:line="360" w:lineRule="auto"/>
        <w:rPr>
          <w:rFonts w:ascii="Arial" w:hAnsi="Arial" w:cs="Arial"/>
        </w:rPr>
      </w:pPr>
    </w:p>
    <w:p w14:paraId="5578F034" w14:textId="77777777" w:rsidR="00A3050C" w:rsidRDefault="00A3050C" w:rsidP="007868AB">
      <w:pPr>
        <w:spacing w:line="360" w:lineRule="auto"/>
        <w:rPr>
          <w:rFonts w:ascii="Arial" w:hAnsi="Arial" w:cs="Arial"/>
        </w:rPr>
      </w:pPr>
    </w:p>
    <w:p w14:paraId="7A46D785" w14:textId="77777777" w:rsidR="00A3050C" w:rsidRDefault="00A3050C" w:rsidP="007868AB">
      <w:pPr>
        <w:spacing w:line="360" w:lineRule="auto"/>
        <w:rPr>
          <w:rFonts w:ascii="Arial" w:hAnsi="Arial" w:cs="Arial"/>
        </w:rPr>
      </w:pPr>
    </w:p>
    <w:p w14:paraId="10DEE3D4" w14:textId="77777777" w:rsidR="00A3050C" w:rsidRDefault="00A3050C" w:rsidP="007868AB">
      <w:pPr>
        <w:spacing w:line="360" w:lineRule="auto"/>
        <w:rPr>
          <w:rFonts w:ascii="Arial" w:hAnsi="Arial" w:cs="Arial"/>
        </w:rPr>
      </w:pPr>
    </w:p>
    <w:p w14:paraId="77AE56FA" w14:textId="77777777" w:rsidR="00322126" w:rsidRPr="002B2E8F" w:rsidRDefault="00322126" w:rsidP="007868AB">
      <w:pPr>
        <w:spacing w:line="360" w:lineRule="auto"/>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320270908"/>
        <w:docPartObj>
          <w:docPartGallery w:val="Table of Contents"/>
          <w:docPartUnique/>
        </w:docPartObj>
      </w:sdtPr>
      <w:sdtEndPr>
        <w:rPr>
          <w:b/>
          <w:bCs/>
          <w:noProof/>
        </w:rPr>
      </w:sdtEndPr>
      <w:sdtContent>
        <w:p w14:paraId="1DE2BF67" w14:textId="5A37DFE4" w:rsidR="00BA5E0B" w:rsidRDefault="00BA5E0B">
          <w:pPr>
            <w:pStyle w:val="TOCHeading"/>
          </w:pPr>
          <w:r>
            <w:t>Table of Contents</w:t>
          </w:r>
        </w:p>
        <w:p w14:paraId="5D98D538" w14:textId="020A337B" w:rsidR="002540DD" w:rsidRDefault="00BA5E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4374208" w:history="1">
            <w:r w:rsidR="002540DD" w:rsidRPr="009B51BE">
              <w:rPr>
                <w:rStyle w:val="Hyperlink"/>
                <w:rFonts w:ascii="Arial" w:hAnsi="Arial" w:cs="Arial"/>
                <w:b/>
                <w:bCs/>
                <w:noProof/>
              </w:rPr>
              <w:t>INTRODUCTION</w:t>
            </w:r>
            <w:r w:rsidR="002540DD">
              <w:rPr>
                <w:noProof/>
                <w:webHidden/>
              </w:rPr>
              <w:tab/>
            </w:r>
            <w:r w:rsidR="002540DD">
              <w:rPr>
                <w:noProof/>
                <w:webHidden/>
              </w:rPr>
              <w:fldChar w:fldCharType="begin"/>
            </w:r>
            <w:r w:rsidR="002540DD">
              <w:rPr>
                <w:noProof/>
                <w:webHidden/>
              </w:rPr>
              <w:instrText xml:space="preserve"> PAGEREF _Toc174374208 \h </w:instrText>
            </w:r>
            <w:r w:rsidR="002540DD">
              <w:rPr>
                <w:noProof/>
                <w:webHidden/>
              </w:rPr>
            </w:r>
            <w:r w:rsidR="002540DD">
              <w:rPr>
                <w:noProof/>
                <w:webHidden/>
              </w:rPr>
              <w:fldChar w:fldCharType="separate"/>
            </w:r>
            <w:r w:rsidR="002540DD">
              <w:rPr>
                <w:noProof/>
                <w:webHidden/>
              </w:rPr>
              <w:t>3</w:t>
            </w:r>
            <w:r w:rsidR="002540DD">
              <w:rPr>
                <w:noProof/>
                <w:webHidden/>
              </w:rPr>
              <w:fldChar w:fldCharType="end"/>
            </w:r>
          </w:hyperlink>
        </w:p>
        <w:p w14:paraId="4B38ACAB" w14:textId="54A07441" w:rsidR="002540DD" w:rsidRDefault="002540DD">
          <w:pPr>
            <w:pStyle w:val="TOC1"/>
            <w:tabs>
              <w:tab w:val="right" w:leader="dot" w:pos="9016"/>
            </w:tabs>
            <w:rPr>
              <w:rFonts w:eastAsiaTheme="minorEastAsia"/>
              <w:noProof/>
              <w:lang w:eastAsia="en-GB"/>
            </w:rPr>
          </w:pPr>
          <w:hyperlink w:anchor="_Toc174374209" w:history="1">
            <w:r w:rsidRPr="009B51BE">
              <w:rPr>
                <w:rStyle w:val="Hyperlink"/>
                <w:rFonts w:ascii="Arial" w:hAnsi="Arial" w:cs="Arial"/>
                <w:b/>
                <w:bCs/>
                <w:noProof/>
              </w:rPr>
              <w:t>DEMOGRAPHICS</w:t>
            </w:r>
            <w:r>
              <w:rPr>
                <w:noProof/>
                <w:webHidden/>
              </w:rPr>
              <w:tab/>
            </w:r>
            <w:r>
              <w:rPr>
                <w:noProof/>
                <w:webHidden/>
              </w:rPr>
              <w:fldChar w:fldCharType="begin"/>
            </w:r>
            <w:r>
              <w:rPr>
                <w:noProof/>
                <w:webHidden/>
              </w:rPr>
              <w:instrText xml:space="preserve"> PAGEREF _Toc174374209 \h </w:instrText>
            </w:r>
            <w:r>
              <w:rPr>
                <w:noProof/>
                <w:webHidden/>
              </w:rPr>
            </w:r>
            <w:r>
              <w:rPr>
                <w:noProof/>
                <w:webHidden/>
              </w:rPr>
              <w:fldChar w:fldCharType="separate"/>
            </w:r>
            <w:r>
              <w:rPr>
                <w:noProof/>
                <w:webHidden/>
              </w:rPr>
              <w:t>3</w:t>
            </w:r>
            <w:r>
              <w:rPr>
                <w:noProof/>
                <w:webHidden/>
              </w:rPr>
              <w:fldChar w:fldCharType="end"/>
            </w:r>
          </w:hyperlink>
        </w:p>
        <w:p w14:paraId="58450877" w14:textId="3F18A015" w:rsidR="002540DD" w:rsidRDefault="002540DD">
          <w:pPr>
            <w:pStyle w:val="TOC1"/>
            <w:tabs>
              <w:tab w:val="right" w:leader="dot" w:pos="9016"/>
            </w:tabs>
            <w:rPr>
              <w:rFonts w:eastAsiaTheme="minorEastAsia"/>
              <w:noProof/>
              <w:lang w:eastAsia="en-GB"/>
            </w:rPr>
          </w:pPr>
          <w:hyperlink w:anchor="_Toc174374210" w:history="1">
            <w:r w:rsidRPr="009B51BE">
              <w:rPr>
                <w:rStyle w:val="Hyperlink"/>
                <w:rFonts w:ascii="Arial" w:hAnsi="Arial" w:cs="Arial"/>
                <w:b/>
                <w:bCs/>
                <w:noProof/>
              </w:rPr>
              <w:t>HEALTH AND SOCIAL CARE NEEDS IN NEWHAM</w:t>
            </w:r>
            <w:r>
              <w:rPr>
                <w:noProof/>
                <w:webHidden/>
              </w:rPr>
              <w:tab/>
            </w:r>
            <w:r>
              <w:rPr>
                <w:noProof/>
                <w:webHidden/>
              </w:rPr>
              <w:fldChar w:fldCharType="begin"/>
            </w:r>
            <w:r>
              <w:rPr>
                <w:noProof/>
                <w:webHidden/>
              </w:rPr>
              <w:instrText xml:space="preserve"> PAGEREF _Toc174374210 \h </w:instrText>
            </w:r>
            <w:r>
              <w:rPr>
                <w:noProof/>
                <w:webHidden/>
              </w:rPr>
            </w:r>
            <w:r>
              <w:rPr>
                <w:noProof/>
                <w:webHidden/>
              </w:rPr>
              <w:fldChar w:fldCharType="separate"/>
            </w:r>
            <w:r>
              <w:rPr>
                <w:noProof/>
                <w:webHidden/>
              </w:rPr>
              <w:t>3</w:t>
            </w:r>
            <w:r>
              <w:rPr>
                <w:noProof/>
                <w:webHidden/>
              </w:rPr>
              <w:fldChar w:fldCharType="end"/>
            </w:r>
          </w:hyperlink>
        </w:p>
        <w:p w14:paraId="6B62B018" w14:textId="49963AAC" w:rsidR="002540DD" w:rsidRDefault="002540DD">
          <w:pPr>
            <w:pStyle w:val="TOC1"/>
            <w:tabs>
              <w:tab w:val="right" w:leader="dot" w:pos="9016"/>
            </w:tabs>
            <w:rPr>
              <w:rFonts w:eastAsiaTheme="minorEastAsia"/>
              <w:noProof/>
              <w:lang w:eastAsia="en-GB"/>
            </w:rPr>
          </w:pPr>
          <w:hyperlink w:anchor="_Toc174374211" w:history="1">
            <w:r w:rsidRPr="009B51BE">
              <w:rPr>
                <w:rStyle w:val="Hyperlink"/>
                <w:rFonts w:ascii="Arial" w:hAnsi="Arial" w:cs="Arial"/>
                <w:b/>
                <w:bCs/>
                <w:noProof/>
              </w:rPr>
              <w:t>LEGISLATION AND POLICIES ADOPTED</w:t>
            </w:r>
            <w:r>
              <w:rPr>
                <w:noProof/>
                <w:webHidden/>
              </w:rPr>
              <w:tab/>
            </w:r>
            <w:r>
              <w:rPr>
                <w:noProof/>
                <w:webHidden/>
              </w:rPr>
              <w:fldChar w:fldCharType="begin"/>
            </w:r>
            <w:r>
              <w:rPr>
                <w:noProof/>
                <w:webHidden/>
              </w:rPr>
              <w:instrText xml:space="preserve"> PAGEREF _Toc174374211 \h </w:instrText>
            </w:r>
            <w:r>
              <w:rPr>
                <w:noProof/>
                <w:webHidden/>
              </w:rPr>
            </w:r>
            <w:r>
              <w:rPr>
                <w:noProof/>
                <w:webHidden/>
              </w:rPr>
              <w:fldChar w:fldCharType="separate"/>
            </w:r>
            <w:r>
              <w:rPr>
                <w:noProof/>
                <w:webHidden/>
              </w:rPr>
              <w:t>4</w:t>
            </w:r>
            <w:r>
              <w:rPr>
                <w:noProof/>
                <w:webHidden/>
              </w:rPr>
              <w:fldChar w:fldCharType="end"/>
            </w:r>
          </w:hyperlink>
        </w:p>
        <w:p w14:paraId="440A7404" w14:textId="3EF09CE2" w:rsidR="002540DD" w:rsidRDefault="002540DD">
          <w:pPr>
            <w:pStyle w:val="TOC1"/>
            <w:tabs>
              <w:tab w:val="right" w:leader="dot" w:pos="9016"/>
            </w:tabs>
            <w:rPr>
              <w:rFonts w:eastAsiaTheme="minorEastAsia"/>
              <w:noProof/>
              <w:lang w:eastAsia="en-GB"/>
            </w:rPr>
          </w:pPr>
          <w:hyperlink w:anchor="_Toc174374212" w:history="1">
            <w:r w:rsidRPr="009B51BE">
              <w:rPr>
                <w:rStyle w:val="Hyperlink"/>
                <w:rFonts w:ascii="Arial" w:hAnsi="Arial" w:cs="Arial"/>
                <w:b/>
                <w:bCs/>
                <w:noProof/>
              </w:rPr>
              <w:t>THEORITICAL APPROACH</w:t>
            </w:r>
            <w:r>
              <w:rPr>
                <w:noProof/>
                <w:webHidden/>
              </w:rPr>
              <w:tab/>
            </w:r>
            <w:r>
              <w:rPr>
                <w:noProof/>
                <w:webHidden/>
              </w:rPr>
              <w:fldChar w:fldCharType="begin"/>
            </w:r>
            <w:r>
              <w:rPr>
                <w:noProof/>
                <w:webHidden/>
              </w:rPr>
              <w:instrText xml:space="preserve"> PAGEREF _Toc174374212 \h </w:instrText>
            </w:r>
            <w:r>
              <w:rPr>
                <w:noProof/>
                <w:webHidden/>
              </w:rPr>
            </w:r>
            <w:r>
              <w:rPr>
                <w:noProof/>
                <w:webHidden/>
              </w:rPr>
              <w:fldChar w:fldCharType="separate"/>
            </w:r>
            <w:r>
              <w:rPr>
                <w:noProof/>
                <w:webHidden/>
              </w:rPr>
              <w:t>5</w:t>
            </w:r>
            <w:r>
              <w:rPr>
                <w:noProof/>
                <w:webHidden/>
              </w:rPr>
              <w:fldChar w:fldCharType="end"/>
            </w:r>
          </w:hyperlink>
        </w:p>
        <w:p w14:paraId="60119B7D" w14:textId="561D7A44" w:rsidR="002540DD" w:rsidRDefault="002540DD">
          <w:pPr>
            <w:pStyle w:val="TOC1"/>
            <w:tabs>
              <w:tab w:val="right" w:leader="dot" w:pos="9016"/>
            </w:tabs>
            <w:rPr>
              <w:rFonts w:eastAsiaTheme="minorEastAsia"/>
              <w:noProof/>
              <w:lang w:eastAsia="en-GB"/>
            </w:rPr>
          </w:pPr>
          <w:hyperlink w:anchor="_Toc174374213" w:history="1">
            <w:r w:rsidRPr="009B51BE">
              <w:rPr>
                <w:rStyle w:val="Hyperlink"/>
                <w:rFonts w:ascii="Arial" w:hAnsi="Arial" w:cs="Arial"/>
                <w:b/>
                <w:bCs/>
                <w:noProof/>
              </w:rPr>
              <w:t>THE USE OF MEDIA AND SOCIAL COMMUNICATION TO PROMOTE HEALTHY EATING HABITS IN NEWHAM</w:t>
            </w:r>
            <w:r>
              <w:rPr>
                <w:noProof/>
                <w:webHidden/>
              </w:rPr>
              <w:tab/>
            </w:r>
            <w:r>
              <w:rPr>
                <w:noProof/>
                <w:webHidden/>
              </w:rPr>
              <w:fldChar w:fldCharType="begin"/>
            </w:r>
            <w:r>
              <w:rPr>
                <w:noProof/>
                <w:webHidden/>
              </w:rPr>
              <w:instrText xml:space="preserve"> PAGEREF _Toc174374213 \h </w:instrText>
            </w:r>
            <w:r>
              <w:rPr>
                <w:noProof/>
                <w:webHidden/>
              </w:rPr>
            </w:r>
            <w:r>
              <w:rPr>
                <w:noProof/>
                <w:webHidden/>
              </w:rPr>
              <w:fldChar w:fldCharType="separate"/>
            </w:r>
            <w:r>
              <w:rPr>
                <w:noProof/>
                <w:webHidden/>
              </w:rPr>
              <w:t>5</w:t>
            </w:r>
            <w:r>
              <w:rPr>
                <w:noProof/>
                <w:webHidden/>
              </w:rPr>
              <w:fldChar w:fldCharType="end"/>
            </w:r>
          </w:hyperlink>
        </w:p>
        <w:p w14:paraId="1E86E2AE" w14:textId="709828D1" w:rsidR="002540DD" w:rsidRDefault="002540DD">
          <w:pPr>
            <w:pStyle w:val="TOC1"/>
            <w:tabs>
              <w:tab w:val="right" w:leader="dot" w:pos="9016"/>
            </w:tabs>
            <w:rPr>
              <w:rFonts w:eastAsiaTheme="minorEastAsia"/>
              <w:noProof/>
              <w:lang w:eastAsia="en-GB"/>
            </w:rPr>
          </w:pPr>
          <w:hyperlink w:anchor="_Toc174374214" w:history="1">
            <w:r w:rsidRPr="009B51BE">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_Toc174374214 \h </w:instrText>
            </w:r>
            <w:r>
              <w:rPr>
                <w:noProof/>
                <w:webHidden/>
              </w:rPr>
            </w:r>
            <w:r>
              <w:rPr>
                <w:noProof/>
                <w:webHidden/>
              </w:rPr>
              <w:fldChar w:fldCharType="separate"/>
            </w:r>
            <w:r>
              <w:rPr>
                <w:noProof/>
                <w:webHidden/>
              </w:rPr>
              <w:t>6</w:t>
            </w:r>
            <w:r>
              <w:rPr>
                <w:noProof/>
                <w:webHidden/>
              </w:rPr>
              <w:fldChar w:fldCharType="end"/>
            </w:r>
          </w:hyperlink>
        </w:p>
        <w:p w14:paraId="37B2DFA3" w14:textId="05C57BCC" w:rsidR="002540DD" w:rsidRDefault="002540DD">
          <w:pPr>
            <w:pStyle w:val="TOC1"/>
            <w:tabs>
              <w:tab w:val="right" w:leader="dot" w:pos="9016"/>
            </w:tabs>
            <w:rPr>
              <w:rFonts w:eastAsiaTheme="minorEastAsia"/>
              <w:noProof/>
              <w:lang w:eastAsia="en-GB"/>
            </w:rPr>
          </w:pPr>
          <w:hyperlink w:anchor="_Toc174374215" w:history="1">
            <w:r w:rsidRPr="009B51B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_Toc174374215 \h </w:instrText>
            </w:r>
            <w:r>
              <w:rPr>
                <w:noProof/>
                <w:webHidden/>
              </w:rPr>
            </w:r>
            <w:r>
              <w:rPr>
                <w:noProof/>
                <w:webHidden/>
              </w:rPr>
              <w:fldChar w:fldCharType="separate"/>
            </w:r>
            <w:r>
              <w:rPr>
                <w:noProof/>
                <w:webHidden/>
              </w:rPr>
              <w:t>7</w:t>
            </w:r>
            <w:r>
              <w:rPr>
                <w:noProof/>
                <w:webHidden/>
              </w:rPr>
              <w:fldChar w:fldCharType="end"/>
            </w:r>
          </w:hyperlink>
        </w:p>
        <w:p w14:paraId="643A536B" w14:textId="6B644DAD" w:rsidR="002540DD" w:rsidRDefault="002540DD">
          <w:pPr>
            <w:pStyle w:val="TOC1"/>
            <w:tabs>
              <w:tab w:val="right" w:leader="dot" w:pos="9016"/>
            </w:tabs>
            <w:rPr>
              <w:rFonts w:eastAsiaTheme="minorEastAsia"/>
              <w:noProof/>
              <w:lang w:eastAsia="en-GB"/>
            </w:rPr>
          </w:pPr>
          <w:hyperlink w:anchor="_Toc174374216" w:history="1">
            <w:r w:rsidRPr="009B51BE">
              <w:rPr>
                <w:rStyle w:val="Hyperlink"/>
                <w:rFonts w:ascii="Arial" w:hAnsi="Arial" w:cs="Arial"/>
                <w:b/>
                <w:bCs/>
                <w:noProof/>
                <w:lang w:val="es-ES"/>
              </w:rPr>
              <w:t>REFERENCES</w:t>
            </w:r>
            <w:r>
              <w:rPr>
                <w:noProof/>
                <w:webHidden/>
              </w:rPr>
              <w:tab/>
            </w:r>
            <w:r>
              <w:rPr>
                <w:noProof/>
                <w:webHidden/>
              </w:rPr>
              <w:fldChar w:fldCharType="begin"/>
            </w:r>
            <w:r>
              <w:rPr>
                <w:noProof/>
                <w:webHidden/>
              </w:rPr>
              <w:instrText xml:space="preserve"> PAGEREF _Toc174374216 \h </w:instrText>
            </w:r>
            <w:r>
              <w:rPr>
                <w:noProof/>
                <w:webHidden/>
              </w:rPr>
            </w:r>
            <w:r>
              <w:rPr>
                <w:noProof/>
                <w:webHidden/>
              </w:rPr>
              <w:fldChar w:fldCharType="separate"/>
            </w:r>
            <w:r>
              <w:rPr>
                <w:noProof/>
                <w:webHidden/>
              </w:rPr>
              <w:t>8</w:t>
            </w:r>
            <w:r>
              <w:rPr>
                <w:noProof/>
                <w:webHidden/>
              </w:rPr>
              <w:fldChar w:fldCharType="end"/>
            </w:r>
          </w:hyperlink>
        </w:p>
        <w:p w14:paraId="1ED59555" w14:textId="2C9F1C98" w:rsidR="00BA5E0B" w:rsidRDefault="00BA5E0B">
          <w:r>
            <w:rPr>
              <w:b/>
              <w:bCs/>
              <w:noProof/>
            </w:rPr>
            <w:fldChar w:fldCharType="end"/>
          </w:r>
        </w:p>
      </w:sdtContent>
    </w:sdt>
    <w:p w14:paraId="31E76F35" w14:textId="77777777" w:rsidR="003735B4" w:rsidRDefault="003735B4">
      <w:pPr>
        <w:rPr>
          <w:rFonts w:ascii="Arial" w:hAnsi="Arial" w:cs="Arial"/>
          <w:sz w:val="22"/>
          <w:szCs w:val="22"/>
        </w:rPr>
      </w:pPr>
    </w:p>
    <w:p w14:paraId="64FEC9AA" w14:textId="77777777" w:rsidR="003735B4" w:rsidRDefault="003735B4">
      <w:pPr>
        <w:rPr>
          <w:rFonts w:ascii="Arial" w:hAnsi="Arial" w:cs="Arial"/>
          <w:sz w:val="22"/>
          <w:szCs w:val="22"/>
        </w:rPr>
      </w:pPr>
    </w:p>
    <w:p w14:paraId="0822DC9E" w14:textId="77777777" w:rsidR="003735B4" w:rsidRDefault="003735B4">
      <w:pPr>
        <w:rPr>
          <w:rFonts w:ascii="Arial" w:hAnsi="Arial" w:cs="Arial"/>
          <w:sz w:val="22"/>
          <w:szCs w:val="22"/>
        </w:rPr>
      </w:pPr>
    </w:p>
    <w:p w14:paraId="20A1085C" w14:textId="77777777" w:rsidR="003735B4" w:rsidRDefault="003735B4">
      <w:pPr>
        <w:rPr>
          <w:rFonts w:ascii="Arial" w:hAnsi="Arial" w:cs="Arial"/>
          <w:sz w:val="22"/>
          <w:szCs w:val="22"/>
        </w:rPr>
      </w:pPr>
    </w:p>
    <w:p w14:paraId="5B306110" w14:textId="77777777" w:rsidR="00E26D62" w:rsidRDefault="00E26D62">
      <w:pPr>
        <w:rPr>
          <w:rFonts w:ascii="Arial" w:hAnsi="Arial" w:cs="Arial"/>
          <w:sz w:val="22"/>
          <w:szCs w:val="22"/>
        </w:rPr>
      </w:pPr>
    </w:p>
    <w:p w14:paraId="66155CA3" w14:textId="77777777" w:rsidR="00E26D62" w:rsidRDefault="00E26D62">
      <w:pPr>
        <w:rPr>
          <w:rFonts w:ascii="Arial" w:hAnsi="Arial" w:cs="Arial"/>
          <w:sz w:val="22"/>
          <w:szCs w:val="22"/>
        </w:rPr>
      </w:pPr>
    </w:p>
    <w:p w14:paraId="0FE3511D" w14:textId="77777777" w:rsidR="00E26D62" w:rsidRDefault="00E26D62">
      <w:pPr>
        <w:rPr>
          <w:rFonts w:ascii="Arial" w:hAnsi="Arial" w:cs="Arial"/>
          <w:sz w:val="22"/>
          <w:szCs w:val="22"/>
        </w:rPr>
      </w:pPr>
    </w:p>
    <w:p w14:paraId="35E63BE3" w14:textId="77777777" w:rsidR="00E26D62" w:rsidRDefault="00E26D62">
      <w:pPr>
        <w:rPr>
          <w:rFonts w:ascii="Arial" w:hAnsi="Arial" w:cs="Arial"/>
          <w:sz w:val="22"/>
          <w:szCs w:val="22"/>
        </w:rPr>
      </w:pPr>
    </w:p>
    <w:p w14:paraId="41664F7F" w14:textId="77777777" w:rsidR="00E26D62" w:rsidRDefault="00E26D62">
      <w:pPr>
        <w:rPr>
          <w:rFonts w:ascii="Arial" w:hAnsi="Arial" w:cs="Arial"/>
          <w:sz w:val="22"/>
          <w:szCs w:val="22"/>
        </w:rPr>
      </w:pPr>
    </w:p>
    <w:p w14:paraId="0649902C" w14:textId="77777777" w:rsidR="00E26D62" w:rsidRDefault="00E26D62">
      <w:pPr>
        <w:rPr>
          <w:rFonts w:ascii="Arial" w:hAnsi="Arial" w:cs="Arial"/>
          <w:sz w:val="22"/>
          <w:szCs w:val="22"/>
        </w:rPr>
      </w:pPr>
    </w:p>
    <w:p w14:paraId="7FFE10E3" w14:textId="77777777" w:rsidR="00E26D62" w:rsidRDefault="00E26D62">
      <w:pPr>
        <w:rPr>
          <w:rFonts w:ascii="Arial" w:hAnsi="Arial" w:cs="Arial"/>
          <w:sz w:val="22"/>
          <w:szCs w:val="22"/>
        </w:rPr>
      </w:pPr>
    </w:p>
    <w:p w14:paraId="7368B51C" w14:textId="77777777" w:rsidR="00E26D62" w:rsidRDefault="00E26D62">
      <w:pPr>
        <w:rPr>
          <w:rFonts w:ascii="Arial" w:hAnsi="Arial" w:cs="Arial"/>
          <w:sz w:val="22"/>
          <w:szCs w:val="22"/>
        </w:rPr>
      </w:pPr>
    </w:p>
    <w:p w14:paraId="6F3F4E00" w14:textId="77777777" w:rsidR="00E26D62" w:rsidRDefault="00E26D62">
      <w:pPr>
        <w:rPr>
          <w:rFonts w:ascii="Arial" w:hAnsi="Arial" w:cs="Arial"/>
          <w:sz w:val="22"/>
          <w:szCs w:val="22"/>
        </w:rPr>
      </w:pPr>
    </w:p>
    <w:p w14:paraId="24E3F188" w14:textId="77777777" w:rsidR="00E26D62" w:rsidRDefault="00E26D62">
      <w:pPr>
        <w:rPr>
          <w:rFonts w:ascii="Arial" w:hAnsi="Arial" w:cs="Arial"/>
          <w:sz w:val="22"/>
          <w:szCs w:val="22"/>
        </w:rPr>
      </w:pPr>
    </w:p>
    <w:p w14:paraId="723A9CCA" w14:textId="77777777" w:rsidR="00E26D62" w:rsidRDefault="00E26D62">
      <w:pPr>
        <w:rPr>
          <w:rFonts w:ascii="Arial" w:hAnsi="Arial" w:cs="Arial"/>
          <w:sz w:val="22"/>
          <w:szCs w:val="22"/>
        </w:rPr>
      </w:pPr>
    </w:p>
    <w:p w14:paraId="4010303E" w14:textId="77777777" w:rsidR="00E26D62" w:rsidRDefault="00E26D62">
      <w:pPr>
        <w:rPr>
          <w:rFonts w:ascii="Arial" w:hAnsi="Arial" w:cs="Arial"/>
          <w:sz w:val="22"/>
          <w:szCs w:val="22"/>
        </w:rPr>
      </w:pPr>
    </w:p>
    <w:p w14:paraId="4933C185" w14:textId="77777777" w:rsidR="00E26D62" w:rsidRDefault="00E26D62">
      <w:pPr>
        <w:rPr>
          <w:rFonts w:ascii="Arial" w:hAnsi="Arial" w:cs="Arial"/>
          <w:sz w:val="22"/>
          <w:szCs w:val="22"/>
        </w:rPr>
      </w:pPr>
    </w:p>
    <w:p w14:paraId="0382CD6C" w14:textId="77777777" w:rsidR="00E26D62" w:rsidRDefault="00E26D62">
      <w:pPr>
        <w:rPr>
          <w:rFonts w:ascii="Arial" w:hAnsi="Arial" w:cs="Arial"/>
          <w:sz w:val="22"/>
          <w:szCs w:val="22"/>
        </w:rPr>
      </w:pPr>
    </w:p>
    <w:p w14:paraId="44288989" w14:textId="77777777" w:rsidR="00E26D62" w:rsidRDefault="00E26D62">
      <w:pPr>
        <w:rPr>
          <w:rFonts w:ascii="Arial" w:hAnsi="Arial" w:cs="Arial"/>
          <w:sz w:val="22"/>
          <w:szCs w:val="22"/>
        </w:rPr>
      </w:pPr>
    </w:p>
    <w:p w14:paraId="281902C2" w14:textId="5E60C961" w:rsidR="00082B22" w:rsidRDefault="00082B22">
      <w:pPr>
        <w:rPr>
          <w:rFonts w:ascii="Arial" w:hAnsi="Arial" w:cs="Arial"/>
          <w:b/>
          <w:bCs/>
          <w:sz w:val="22"/>
          <w:szCs w:val="22"/>
        </w:rPr>
      </w:pPr>
      <w:r w:rsidRPr="00CF6E3C">
        <w:rPr>
          <w:rFonts w:ascii="Arial" w:hAnsi="Arial" w:cs="Arial"/>
          <w:b/>
          <w:bCs/>
          <w:sz w:val="22"/>
          <w:szCs w:val="22"/>
        </w:rPr>
        <w:t>APPROACHES AND INITIATIVES FOR ADDRESSING HE</w:t>
      </w:r>
      <w:r w:rsidR="00056E90">
        <w:rPr>
          <w:rFonts w:ascii="Arial" w:hAnsi="Arial" w:cs="Arial"/>
          <w:b/>
          <w:bCs/>
          <w:sz w:val="22"/>
          <w:szCs w:val="22"/>
        </w:rPr>
        <w:t>ALTHY EATING HABITS IN</w:t>
      </w:r>
      <w:r w:rsidRPr="00CF6E3C">
        <w:rPr>
          <w:rFonts w:ascii="Arial" w:hAnsi="Arial" w:cs="Arial"/>
          <w:b/>
          <w:bCs/>
          <w:sz w:val="22"/>
          <w:szCs w:val="22"/>
        </w:rPr>
        <w:t xml:space="preserve"> NEWHAM BOROUGH OF LONDON.</w:t>
      </w:r>
      <w:r w:rsidR="008C70BC">
        <w:rPr>
          <w:rFonts w:ascii="Arial" w:hAnsi="Arial" w:cs="Arial"/>
          <w:b/>
          <w:bCs/>
          <w:sz w:val="22"/>
          <w:szCs w:val="22"/>
        </w:rPr>
        <w:t xml:space="preserve"> </w:t>
      </w:r>
    </w:p>
    <w:p w14:paraId="7C74E004" w14:textId="77777777" w:rsidR="004938E7" w:rsidRPr="00CF6E3C" w:rsidRDefault="004938E7">
      <w:pPr>
        <w:rPr>
          <w:rFonts w:ascii="Arial" w:hAnsi="Arial" w:cs="Arial"/>
          <w:b/>
          <w:bCs/>
          <w:sz w:val="22"/>
          <w:szCs w:val="22"/>
        </w:rPr>
      </w:pPr>
    </w:p>
    <w:p w14:paraId="2DBF1034" w14:textId="20ED3A53" w:rsidR="00AB120D" w:rsidRPr="00CF6E3C" w:rsidRDefault="00AB120D" w:rsidP="00AB120D">
      <w:pPr>
        <w:pStyle w:val="Heading1"/>
        <w:rPr>
          <w:rFonts w:ascii="Arial" w:hAnsi="Arial" w:cs="Arial"/>
          <w:b/>
          <w:bCs/>
          <w:color w:val="auto"/>
          <w:sz w:val="22"/>
          <w:szCs w:val="22"/>
        </w:rPr>
      </w:pPr>
      <w:bookmarkStart w:id="0" w:name="_Toc174374208"/>
      <w:r w:rsidRPr="00CF6E3C">
        <w:rPr>
          <w:rFonts w:ascii="Arial" w:hAnsi="Arial" w:cs="Arial"/>
          <w:b/>
          <w:bCs/>
          <w:color w:val="auto"/>
          <w:sz w:val="22"/>
          <w:szCs w:val="22"/>
        </w:rPr>
        <w:t>INTRODUCTION</w:t>
      </w:r>
      <w:bookmarkEnd w:id="0"/>
    </w:p>
    <w:p w14:paraId="43A98FEE" w14:textId="61D42D43" w:rsidR="00F73A4D" w:rsidRDefault="00066AEF" w:rsidP="00066AEF">
      <w:pPr>
        <w:spacing w:line="360" w:lineRule="auto"/>
        <w:jc w:val="both"/>
        <w:rPr>
          <w:rFonts w:ascii="Arial" w:hAnsi="Arial" w:cs="Arial"/>
          <w:sz w:val="22"/>
          <w:szCs w:val="22"/>
        </w:rPr>
      </w:pPr>
      <w:r w:rsidRPr="00066AEF">
        <w:rPr>
          <w:rFonts w:ascii="Arial" w:hAnsi="Arial" w:cs="Arial"/>
          <w:sz w:val="22"/>
          <w:szCs w:val="22"/>
        </w:rPr>
        <w:t>A community is typically defined by identifying a group of individuals who share, collaborate, or strive for common interests, values, or goals, and who interact either within specific geographic areas or virtually</w:t>
      </w:r>
      <w:r w:rsidR="009277E9">
        <w:rPr>
          <w:rFonts w:ascii="Arial" w:hAnsi="Arial" w:cs="Arial"/>
          <w:sz w:val="22"/>
          <w:szCs w:val="22"/>
        </w:rPr>
        <w:t xml:space="preserve"> </w:t>
      </w:r>
      <w:r w:rsidR="00411D8B" w:rsidRPr="00411D8B">
        <w:rPr>
          <w:rFonts w:ascii="Arial" w:hAnsi="Arial" w:cs="Arial"/>
          <w:sz w:val="22"/>
          <w:szCs w:val="22"/>
        </w:rPr>
        <w:t xml:space="preserve">(Good Governance Improvement, 2020). </w:t>
      </w:r>
      <w:r w:rsidRPr="00066AEF">
        <w:rPr>
          <w:rFonts w:ascii="Arial" w:hAnsi="Arial" w:cs="Arial"/>
          <w:sz w:val="22"/>
          <w:szCs w:val="22"/>
        </w:rPr>
        <w:t>Within a community, members often provide mutual support, exchange ideas, and work together towards achieving shared objectives</w:t>
      </w:r>
      <w:r w:rsidR="00411D8B">
        <w:rPr>
          <w:rFonts w:ascii="Arial" w:hAnsi="Arial" w:cs="Arial"/>
          <w:sz w:val="22"/>
          <w:szCs w:val="22"/>
        </w:rPr>
        <w:t xml:space="preserve"> </w:t>
      </w:r>
      <w:r w:rsidR="00076A22" w:rsidRPr="00076A22">
        <w:rPr>
          <w:rFonts w:ascii="Arial" w:hAnsi="Arial" w:cs="Arial"/>
          <w:sz w:val="22"/>
          <w:szCs w:val="22"/>
        </w:rPr>
        <w:t>(Hendricks, 2023)</w:t>
      </w:r>
      <w:r w:rsidR="000519E4">
        <w:rPr>
          <w:rFonts w:ascii="Arial" w:hAnsi="Arial" w:cs="Arial"/>
          <w:sz w:val="22"/>
          <w:szCs w:val="22"/>
        </w:rPr>
        <w:t>.</w:t>
      </w:r>
      <w:r w:rsidRPr="00066AEF">
        <w:rPr>
          <w:rFonts w:ascii="Arial" w:hAnsi="Arial" w:cs="Arial"/>
          <w:sz w:val="22"/>
          <w:szCs w:val="22"/>
        </w:rPr>
        <w:t xml:space="preserve"> Communities can be established around diverse aspects such as professional, social, cultural, or educational interests, fostering an environment of mutual support and a sense of belonging</w:t>
      </w:r>
      <w:r w:rsidR="00FB4149">
        <w:rPr>
          <w:rFonts w:ascii="Arial" w:hAnsi="Arial" w:cs="Arial"/>
          <w:sz w:val="22"/>
          <w:szCs w:val="22"/>
        </w:rPr>
        <w:t xml:space="preserve"> </w:t>
      </w:r>
      <w:bookmarkStart w:id="1" w:name="_Hlk171684018"/>
      <w:r w:rsidR="009277E9">
        <w:rPr>
          <w:rFonts w:ascii="Arial" w:hAnsi="Arial" w:cs="Arial"/>
          <w:sz w:val="22"/>
          <w:szCs w:val="22"/>
        </w:rPr>
        <w:t xml:space="preserve">(Good Governance Improvement, 2020). </w:t>
      </w:r>
      <w:r w:rsidR="00BA6F0D" w:rsidRPr="00BA6F0D">
        <w:rPr>
          <w:rFonts w:ascii="Arial" w:hAnsi="Arial" w:cs="Arial"/>
          <w:sz w:val="22"/>
          <w:szCs w:val="22"/>
        </w:rPr>
        <w:t>In the 1950s, the United Nations began to implement community development, as they started to promote community participation</w:t>
      </w:r>
      <w:r w:rsidR="001E39F6">
        <w:rPr>
          <w:rFonts w:ascii="Arial" w:hAnsi="Arial" w:cs="Arial"/>
          <w:sz w:val="22"/>
          <w:szCs w:val="22"/>
        </w:rPr>
        <w:t>, t</w:t>
      </w:r>
      <w:r w:rsidR="00BA6F0D" w:rsidRPr="00BA6F0D">
        <w:rPr>
          <w:rFonts w:ascii="Arial" w:hAnsi="Arial" w:cs="Arial"/>
          <w:sz w:val="22"/>
          <w:szCs w:val="22"/>
        </w:rPr>
        <w:t>hey found that it could be a process to create economic and social improvements through active participation</w:t>
      </w:r>
      <w:r w:rsidR="00A2593E">
        <w:rPr>
          <w:rFonts w:ascii="Arial" w:hAnsi="Arial" w:cs="Arial"/>
          <w:sz w:val="22"/>
          <w:szCs w:val="22"/>
        </w:rPr>
        <w:t xml:space="preserve"> </w:t>
      </w:r>
      <w:r w:rsidR="00A2593E" w:rsidRPr="00A2593E">
        <w:rPr>
          <w:rFonts w:ascii="Arial" w:hAnsi="Arial" w:cs="Arial"/>
          <w:sz w:val="22"/>
          <w:szCs w:val="22"/>
        </w:rPr>
        <w:t>(Abbott, 1995)</w:t>
      </w:r>
      <w:r w:rsidR="00E62264">
        <w:rPr>
          <w:rFonts w:ascii="Arial" w:hAnsi="Arial" w:cs="Arial"/>
          <w:sz w:val="22"/>
          <w:szCs w:val="22"/>
        </w:rPr>
        <w:t xml:space="preserve">. </w:t>
      </w:r>
      <w:r w:rsidR="0077492F" w:rsidRPr="0077492F">
        <w:rPr>
          <w:rFonts w:ascii="Arial" w:hAnsi="Arial" w:cs="Arial"/>
          <w:sz w:val="22"/>
          <w:szCs w:val="22"/>
        </w:rPr>
        <w:t>It is now evident that community development plays a crucial role in advancing human rights</w:t>
      </w:r>
      <w:r w:rsidR="00D123AB">
        <w:rPr>
          <w:rFonts w:ascii="Arial" w:hAnsi="Arial" w:cs="Arial"/>
          <w:sz w:val="22"/>
          <w:szCs w:val="22"/>
        </w:rPr>
        <w:t xml:space="preserve"> </w:t>
      </w:r>
      <w:r w:rsidR="00D123AB" w:rsidRPr="00D123AB">
        <w:rPr>
          <w:rFonts w:ascii="Arial" w:hAnsi="Arial" w:cs="Arial"/>
          <w:sz w:val="22"/>
          <w:szCs w:val="22"/>
        </w:rPr>
        <w:t>(Ife, 2009)</w:t>
      </w:r>
      <w:r w:rsidR="0077492F" w:rsidRPr="0077492F">
        <w:rPr>
          <w:rFonts w:ascii="Arial" w:hAnsi="Arial" w:cs="Arial"/>
          <w:sz w:val="22"/>
          <w:szCs w:val="22"/>
        </w:rPr>
        <w:t>. Nonetheless, contemporary social, economic, and political systems pose significant challenges to the effective development of communities</w:t>
      </w:r>
      <w:r w:rsidR="00D034BD">
        <w:rPr>
          <w:rFonts w:ascii="Arial" w:hAnsi="Arial" w:cs="Arial"/>
          <w:sz w:val="22"/>
          <w:szCs w:val="22"/>
        </w:rPr>
        <w:t xml:space="preserve"> </w:t>
      </w:r>
      <w:bookmarkStart w:id="2" w:name="_Hlk174347612"/>
      <w:r w:rsidR="0005738D" w:rsidRPr="0005738D">
        <w:rPr>
          <w:rFonts w:ascii="Arial" w:hAnsi="Arial" w:cs="Arial"/>
          <w:sz w:val="22"/>
          <w:szCs w:val="22"/>
        </w:rPr>
        <w:t>(Ife, 2009)</w:t>
      </w:r>
      <w:r w:rsidR="00FC09A9">
        <w:rPr>
          <w:rFonts w:ascii="Arial" w:hAnsi="Arial" w:cs="Arial"/>
          <w:sz w:val="22"/>
          <w:szCs w:val="22"/>
        </w:rPr>
        <w:t>.</w:t>
      </w:r>
      <w:r w:rsidR="00A40F76">
        <w:rPr>
          <w:rFonts w:ascii="Arial" w:hAnsi="Arial" w:cs="Arial"/>
          <w:sz w:val="22"/>
          <w:szCs w:val="22"/>
        </w:rPr>
        <w:t xml:space="preserve"> </w:t>
      </w:r>
      <w:bookmarkEnd w:id="2"/>
    </w:p>
    <w:p w14:paraId="024962DF" w14:textId="200D25E1" w:rsidR="004938E7" w:rsidRDefault="00A40F76" w:rsidP="00066AEF">
      <w:pPr>
        <w:spacing w:line="360" w:lineRule="auto"/>
        <w:jc w:val="both"/>
        <w:rPr>
          <w:rFonts w:ascii="Arial" w:hAnsi="Arial" w:cs="Arial"/>
          <w:sz w:val="22"/>
          <w:szCs w:val="22"/>
        </w:rPr>
      </w:pPr>
      <w:r w:rsidRPr="00A40F76">
        <w:rPr>
          <w:rFonts w:ascii="Arial" w:hAnsi="Arial" w:cs="Arial"/>
          <w:sz w:val="22"/>
          <w:szCs w:val="22"/>
        </w:rPr>
        <w:t>The primary objective of this paper is to identify the key health and care needs facing the Newham</w:t>
      </w:r>
      <w:r w:rsidR="0054399B">
        <w:rPr>
          <w:rFonts w:ascii="Arial" w:hAnsi="Arial" w:cs="Arial"/>
          <w:sz w:val="22"/>
          <w:szCs w:val="22"/>
        </w:rPr>
        <w:t xml:space="preserve"> borou</w:t>
      </w:r>
      <w:r w:rsidR="00944EBD">
        <w:rPr>
          <w:rFonts w:ascii="Arial" w:hAnsi="Arial" w:cs="Arial"/>
          <w:sz w:val="22"/>
          <w:szCs w:val="22"/>
        </w:rPr>
        <w:t>gh</w:t>
      </w:r>
      <w:r w:rsidRPr="00A40F76">
        <w:rPr>
          <w:rFonts w:ascii="Arial" w:hAnsi="Arial" w:cs="Arial"/>
          <w:sz w:val="22"/>
          <w:szCs w:val="22"/>
        </w:rPr>
        <w:t xml:space="preserve"> in London, and to explore the resources that can be leveraged through community development to address these needs.</w:t>
      </w:r>
    </w:p>
    <w:p w14:paraId="050F5D5B" w14:textId="3AA88D20" w:rsidR="00EA45DF" w:rsidRPr="00533DD8" w:rsidRDefault="00AB4F7B" w:rsidP="00533DD8">
      <w:pPr>
        <w:pStyle w:val="Heading1"/>
        <w:rPr>
          <w:rFonts w:ascii="Arial" w:hAnsi="Arial" w:cs="Arial"/>
          <w:b/>
          <w:bCs/>
          <w:sz w:val="22"/>
          <w:szCs w:val="22"/>
        </w:rPr>
      </w:pPr>
      <w:bookmarkStart w:id="3" w:name="_Toc174374209"/>
      <w:r w:rsidRPr="00533DD8">
        <w:rPr>
          <w:rFonts w:ascii="Arial" w:hAnsi="Arial" w:cs="Arial"/>
          <w:b/>
          <w:bCs/>
          <w:color w:val="auto"/>
          <w:sz w:val="22"/>
          <w:szCs w:val="22"/>
        </w:rPr>
        <w:t>DEMOGRAPHICS</w:t>
      </w:r>
      <w:bookmarkEnd w:id="3"/>
      <w:r w:rsidRPr="00533DD8">
        <w:rPr>
          <w:rFonts w:ascii="Arial" w:hAnsi="Arial" w:cs="Arial"/>
          <w:b/>
          <w:bCs/>
          <w:sz w:val="22"/>
          <w:szCs w:val="22"/>
        </w:rPr>
        <w:t xml:space="preserve"> </w:t>
      </w:r>
    </w:p>
    <w:bookmarkEnd w:id="1"/>
    <w:p w14:paraId="5ED0D1E1" w14:textId="7D6AE3A3" w:rsidR="004938E7" w:rsidRDefault="00914DCB" w:rsidP="00914DCB">
      <w:pPr>
        <w:spacing w:line="360" w:lineRule="auto"/>
        <w:jc w:val="both"/>
        <w:rPr>
          <w:rFonts w:ascii="Arial" w:hAnsi="Arial" w:cs="Arial"/>
          <w:sz w:val="22"/>
          <w:szCs w:val="22"/>
        </w:rPr>
      </w:pPr>
      <w:r w:rsidRPr="00914DCB">
        <w:rPr>
          <w:rFonts w:ascii="Arial" w:hAnsi="Arial" w:cs="Arial"/>
          <w:sz w:val="22"/>
          <w:szCs w:val="22"/>
        </w:rPr>
        <w:t>Newham is a vibrant area of London, characterized by its cultural diversity and strong community spirit (Aziz, n.d.). The ethnicity breakdown reveals that 72.6% of the population belong to Black, Asian, and Minority Ethnic groups, including Indian, Bangladeshi, Pakistani, and Black African communities</w:t>
      </w:r>
      <w:r w:rsidR="00983989">
        <w:rPr>
          <w:rFonts w:ascii="Arial" w:hAnsi="Arial" w:cs="Arial"/>
          <w:sz w:val="22"/>
          <w:szCs w:val="22"/>
        </w:rPr>
        <w:t>,</w:t>
      </w:r>
      <w:r w:rsidR="00EE377C">
        <w:rPr>
          <w:rFonts w:ascii="Arial" w:hAnsi="Arial" w:cs="Arial"/>
          <w:sz w:val="22"/>
          <w:szCs w:val="22"/>
        </w:rPr>
        <w:t xml:space="preserve"> </w:t>
      </w:r>
      <w:r w:rsidR="002B21FD">
        <w:rPr>
          <w:rFonts w:ascii="Arial" w:hAnsi="Arial" w:cs="Arial"/>
          <w:sz w:val="22"/>
          <w:szCs w:val="22"/>
        </w:rPr>
        <w:t>W</w:t>
      </w:r>
      <w:r w:rsidRPr="00914DCB">
        <w:rPr>
          <w:rFonts w:ascii="Arial" w:hAnsi="Arial" w:cs="Arial"/>
          <w:sz w:val="22"/>
          <w:szCs w:val="22"/>
        </w:rPr>
        <w:t>hite-British residents make up 13.4% of the population, while 13.2% belong to other white populations</w:t>
      </w:r>
      <w:r w:rsidR="00EE377C">
        <w:rPr>
          <w:rFonts w:ascii="Arial" w:hAnsi="Arial" w:cs="Arial"/>
          <w:sz w:val="22"/>
          <w:szCs w:val="22"/>
        </w:rPr>
        <w:t xml:space="preserve"> </w:t>
      </w:r>
      <w:r w:rsidR="00EE377C" w:rsidRPr="00EE377C">
        <w:rPr>
          <w:rFonts w:ascii="Arial" w:hAnsi="Arial" w:cs="Arial" w:hint="eastAsia"/>
          <w:sz w:val="22"/>
          <w:szCs w:val="22"/>
        </w:rPr>
        <w:t>(Newham London, 2018)</w:t>
      </w:r>
      <w:r w:rsidRPr="00914DCB">
        <w:rPr>
          <w:rFonts w:ascii="Arial" w:hAnsi="Arial" w:cs="Arial"/>
          <w:sz w:val="22"/>
          <w:szCs w:val="22"/>
        </w:rPr>
        <w:t>.</w:t>
      </w:r>
      <w:r>
        <w:rPr>
          <w:rFonts w:ascii="Arial" w:hAnsi="Arial" w:cs="Arial"/>
          <w:sz w:val="22"/>
          <w:szCs w:val="22"/>
        </w:rPr>
        <w:t xml:space="preserve"> </w:t>
      </w:r>
      <w:r w:rsidR="00A060F3" w:rsidRPr="00A060F3">
        <w:rPr>
          <w:rFonts w:ascii="Arial" w:hAnsi="Arial" w:cs="Arial"/>
          <w:sz w:val="22"/>
          <w:szCs w:val="22"/>
        </w:rPr>
        <w:t>Regarding the average age of the inhabitants, Newham has one of the youngest populations in England, with 37% of the population between 0-25 years old. Additionally, statistical figures expect that this age group will increase by about 18% by 2030</w:t>
      </w:r>
      <w:r w:rsidR="005D0941">
        <w:rPr>
          <w:rFonts w:ascii="Arial" w:hAnsi="Arial" w:cs="Arial"/>
          <w:sz w:val="22"/>
          <w:szCs w:val="22"/>
        </w:rPr>
        <w:t xml:space="preserve"> </w:t>
      </w:r>
      <w:bookmarkStart w:id="4" w:name="_Hlk172027249"/>
      <w:r w:rsidR="00EE350F" w:rsidRPr="00EE350F">
        <w:rPr>
          <w:rFonts w:ascii="Arial" w:hAnsi="Arial" w:cs="Arial"/>
          <w:sz w:val="22"/>
          <w:szCs w:val="22"/>
        </w:rPr>
        <w:t>(Newham Council, 2021</w:t>
      </w:r>
      <w:r w:rsidR="00E43CC1">
        <w:rPr>
          <w:rFonts w:ascii="Arial" w:hAnsi="Arial" w:cs="Arial"/>
          <w:sz w:val="22"/>
          <w:szCs w:val="22"/>
        </w:rPr>
        <w:t>a</w:t>
      </w:r>
      <w:r w:rsidR="00EE350F" w:rsidRPr="00EE350F">
        <w:rPr>
          <w:rFonts w:ascii="Arial" w:hAnsi="Arial" w:cs="Arial"/>
          <w:sz w:val="22"/>
          <w:szCs w:val="22"/>
        </w:rPr>
        <w:t>)</w:t>
      </w:r>
      <w:r w:rsidR="00EE350F">
        <w:rPr>
          <w:rFonts w:ascii="Arial" w:hAnsi="Arial" w:cs="Arial"/>
          <w:sz w:val="22"/>
          <w:szCs w:val="22"/>
        </w:rPr>
        <w:t xml:space="preserve">. </w:t>
      </w:r>
      <w:bookmarkEnd w:id="4"/>
    </w:p>
    <w:p w14:paraId="27E0B482" w14:textId="7EADE552" w:rsidR="00661B74" w:rsidRPr="00265BBD" w:rsidRDefault="00265BBD" w:rsidP="00265BBD">
      <w:pPr>
        <w:pStyle w:val="Heading1"/>
        <w:spacing w:line="360" w:lineRule="auto"/>
        <w:jc w:val="both"/>
        <w:rPr>
          <w:rFonts w:ascii="Arial" w:hAnsi="Arial" w:cs="Arial"/>
          <w:b/>
          <w:bCs/>
          <w:color w:val="auto"/>
          <w:sz w:val="22"/>
          <w:szCs w:val="22"/>
        </w:rPr>
      </w:pPr>
      <w:bookmarkStart w:id="5" w:name="_Toc174374210"/>
      <w:r w:rsidRPr="00265BBD">
        <w:rPr>
          <w:rFonts w:ascii="Arial" w:hAnsi="Arial" w:cs="Arial"/>
          <w:b/>
          <w:bCs/>
          <w:color w:val="auto"/>
          <w:sz w:val="22"/>
          <w:szCs w:val="22"/>
        </w:rPr>
        <w:t>HEALTH AND SOCIAL CARE NEEDS IN NEWHAM</w:t>
      </w:r>
      <w:bookmarkEnd w:id="5"/>
    </w:p>
    <w:p w14:paraId="30398D30" w14:textId="7AD10B49" w:rsidR="009C4F18" w:rsidRPr="00BB17DC" w:rsidRDefault="00B23CC6" w:rsidP="00BB17DC">
      <w:pPr>
        <w:spacing w:line="360" w:lineRule="auto"/>
        <w:jc w:val="both"/>
        <w:rPr>
          <w:rFonts w:ascii="Arial" w:hAnsi="Arial" w:cs="Arial"/>
          <w:sz w:val="22"/>
          <w:szCs w:val="22"/>
        </w:rPr>
      </w:pPr>
      <w:r w:rsidRPr="0012068F">
        <w:rPr>
          <w:rFonts w:ascii="Arial" w:hAnsi="Arial" w:cs="Arial"/>
          <w:b/>
          <w:bCs/>
          <w:sz w:val="22"/>
          <w:szCs w:val="22"/>
        </w:rPr>
        <w:t>Income and Employment</w:t>
      </w:r>
      <w:r w:rsidRPr="00BB17DC">
        <w:rPr>
          <w:rFonts w:ascii="Arial" w:hAnsi="Arial" w:cs="Arial"/>
          <w:sz w:val="22"/>
          <w:szCs w:val="22"/>
        </w:rPr>
        <w:t xml:space="preserve">: </w:t>
      </w:r>
    </w:p>
    <w:p w14:paraId="78A73EC8" w14:textId="7DDEB11E" w:rsidR="00B23CC6" w:rsidRPr="00B23CC6" w:rsidRDefault="00B23CC6" w:rsidP="00B23CC6">
      <w:pPr>
        <w:spacing w:line="360" w:lineRule="auto"/>
        <w:jc w:val="both"/>
        <w:rPr>
          <w:rFonts w:ascii="Arial" w:hAnsi="Arial" w:cs="Arial"/>
          <w:sz w:val="22"/>
          <w:szCs w:val="22"/>
        </w:rPr>
      </w:pPr>
      <w:r w:rsidRPr="00B23CC6">
        <w:rPr>
          <w:rFonts w:ascii="Arial" w:hAnsi="Arial" w:cs="Arial"/>
          <w:sz w:val="22"/>
          <w:szCs w:val="22"/>
        </w:rPr>
        <w:t>Between 2021-2022, the median annual gross salary in the Newham area was estimated at £29,000, a lower average compared to the national annual average</w:t>
      </w:r>
      <w:r w:rsidR="0039658E">
        <w:rPr>
          <w:rFonts w:ascii="Arial" w:hAnsi="Arial" w:cs="Arial"/>
          <w:sz w:val="22"/>
          <w:szCs w:val="22"/>
        </w:rPr>
        <w:t xml:space="preserve"> </w:t>
      </w:r>
      <w:r w:rsidR="0039658E" w:rsidRPr="0039658E">
        <w:rPr>
          <w:rFonts w:ascii="Arial" w:hAnsi="Arial" w:cs="Arial"/>
          <w:sz w:val="22"/>
          <w:szCs w:val="22"/>
        </w:rPr>
        <w:t>(Public Health England, 20</w:t>
      </w:r>
      <w:r w:rsidR="0039658E">
        <w:rPr>
          <w:rFonts w:ascii="Arial" w:hAnsi="Arial" w:cs="Arial"/>
          <w:sz w:val="22"/>
          <w:szCs w:val="22"/>
        </w:rPr>
        <w:t>20</w:t>
      </w:r>
      <w:r w:rsidR="0039658E" w:rsidRPr="0039658E">
        <w:rPr>
          <w:rFonts w:ascii="Arial" w:hAnsi="Arial" w:cs="Arial"/>
          <w:sz w:val="22"/>
          <w:szCs w:val="22"/>
        </w:rPr>
        <w:t>)</w:t>
      </w:r>
      <w:r w:rsidRPr="00B23CC6">
        <w:rPr>
          <w:rFonts w:ascii="Arial" w:hAnsi="Arial" w:cs="Arial"/>
          <w:sz w:val="22"/>
          <w:szCs w:val="22"/>
        </w:rPr>
        <w:t>. Additionally, comparing employment data for individuals aged 16-64, Newham had 69.8% of the active population employed, compared to 74.2% for London and 75.6% for the national average</w:t>
      </w:r>
      <w:r w:rsidR="0039658E">
        <w:rPr>
          <w:rFonts w:ascii="Arial" w:hAnsi="Arial" w:cs="Arial"/>
          <w:sz w:val="22"/>
          <w:szCs w:val="22"/>
        </w:rPr>
        <w:t xml:space="preserve"> </w:t>
      </w:r>
      <w:r w:rsidR="0039658E" w:rsidRPr="0039658E">
        <w:rPr>
          <w:rFonts w:ascii="Arial" w:hAnsi="Arial" w:cs="Arial"/>
          <w:sz w:val="22"/>
          <w:szCs w:val="22"/>
        </w:rPr>
        <w:t>(Public Health England, 20</w:t>
      </w:r>
      <w:r w:rsidR="0039658E">
        <w:rPr>
          <w:rFonts w:ascii="Arial" w:hAnsi="Arial" w:cs="Arial"/>
          <w:sz w:val="22"/>
          <w:szCs w:val="22"/>
        </w:rPr>
        <w:t>20</w:t>
      </w:r>
      <w:r w:rsidR="0039658E" w:rsidRPr="0039658E">
        <w:rPr>
          <w:rFonts w:ascii="Arial" w:hAnsi="Arial" w:cs="Arial"/>
          <w:sz w:val="22"/>
          <w:szCs w:val="22"/>
        </w:rPr>
        <w:t>).</w:t>
      </w:r>
      <w:r w:rsidR="001F349C">
        <w:rPr>
          <w:rFonts w:ascii="Arial" w:hAnsi="Arial" w:cs="Arial"/>
          <w:sz w:val="22"/>
          <w:szCs w:val="22"/>
        </w:rPr>
        <w:t xml:space="preserve"> </w:t>
      </w:r>
      <w:r w:rsidR="00C3716C" w:rsidRPr="00C3716C">
        <w:rPr>
          <w:rFonts w:ascii="Arial" w:hAnsi="Arial" w:cs="Arial"/>
          <w:sz w:val="22"/>
          <w:szCs w:val="22"/>
        </w:rPr>
        <w:t>The instability of low wages, the scarcity of job opportunities, and the rising prices of private housing have led to 25% of households in Newham experiencing overcrowding issues</w:t>
      </w:r>
      <w:r w:rsidR="003378AF">
        <w:rPr>
          <w:rFonts w:ascii="Arial" w:hAnsi="Arial" w:cs="Arial"/>
          <w:sz w:val="22"/>
          <w:szCs w:val="22"/>
        </w:rPr>
        <w:t xml:space="preserve"> </w:t>
      </w:r>
      <w:r w:rsidR="00D62871">
        <w:rPr>
          <w:rFonts w:ascii="Arial" w:hAnsi="Arial" w:cs="Arial"/>
          <w:sz w:val="22"/>
          <w:szCs w:val="22"/>
        </w:rPr>
        <w:t>(</w:t>
      </w:r>
      <w:bookmarkStart w:id="6" w:name="_Hlk172043166"/>
      <w:r w:rsidR="00D62871">
        <w:rPr>
          <w:rFonts w:ascii="Arial" w:hAnsi="Arial" w:cs="Arial"/>
          <w:sz w:val="22"/>
          <w:szCs w:val="22"/>
        </w:rPr>
        <w:t xml:space="preserve">Compost London CIC, 2021). </w:t>
      </w:r>
      <w:bookmarkEnd w:id="6"/>
    </w:p>
    <w:p w14:paraId="26C02D62" w14:textId="1EE0C6DB" w:rsidR="00453E35" w:rsidRPr="0012068F" w:rsidRDefault="00E90A66" w:rsidP="0012068F">
      <w:pPr>
        <w:spacing w:line="360" w:lineRule="auto"/>
        <w:jc w:val="both"/>
        <w:rPr>
          <w:rFonts w:ascii="Arial" w:hAnsi="Arial" w:cs="Arial"/>
          <w:b/>
          <w:bCs/>
          <w:sz w:val="22"/>
          <w:szCs w:val="22"/>
        </w:rPr>
      </w:pPr>
      <w:r w:rsidRPr="0012068F">
        <w:rPr>
          <w:rFonts w:ascii="Arial" w:hAnsi="Arial" w:cs="Arial"/>
          <w:b/>
          <w:bCs/>
          <w:sz w:val="22"/>
          <w:szCs w:val="22"/>
        </w:rPr>
        <w:t xml:space="preserve">Child poverty and lack of </w:t>
      </w:r>
      <w:r w:rsidR="00497B56" w:rsidRPr="0012068F">
        <w:rPr>
          <w:rFonts w:ascii="Arial" w:hAnsi="Arial" w:cs="Arial"/>
          <w:b/>
          <w:bCs/>
          <w:sz w:val="22"/>
          <w:szCs w:val="22"/>
        </w:rPr>
        <w:t xml:space="preserve">food security: </w:t>
      </w:r>
    </w:p>
    <w:p w14:paraId="08D0874B" w14:textId="022E6DF4" w:rsidR="009B636F" w:rsidRDefault="008E7510" w:rsidP="00453E35">
      <w:pPr>
        <w:spacing w:line="360" w:lineRule="auto"/>
        <w:jc w:val="both"/>
        <w:rPr>
          <w:rFonts w:ascii="Arial" w:hAnsi="Arial" w:cs="Arial"/>
          <w:sz w:val="22"/>
          <w:szCs w:val="22"/>
        </w:rPr>
      </w:pPr>
      <w:r w:rsidRPr="008E7510">
        <w:rPr>
          <w:rFonts w:ascii="Arial" w:hAnsi="Arial" w:cs="Arial"/>
          <w:sz w:val="22"/>
          <w:szCs w:val="22"/>
        </w:rPr>
        <w:t>Half of the children living in Newham are in low-income families, with 32% of these children experiencing food insecurity</w:t>
      </w:r>
      <w:r w:rsidR="00446463">
        <w:rPr>
          <w:rFonts w:ascii="Arial" w:hAnsi="Arial" w:cs="Arial"/>
          <w:sz w:val="22"/>
          <w:szCs w:val="22"/>
        </w:rPr>
        <w:t xml:space="preserve"> </w:t>
      </w:r>
      <w:r w:rsidR="00446463" w:rsidRPr="00446463">
        <w:rPr>
          <w:rFonts w:ascii="Arial" w:hAnsi="Arial" w:cs="Arial"/>
          <w:sz w:val="22"/>
          <w:szCs w:val="22"/>
        </w:rPr>
        <w:t>(Newham Council, 2021</w:t>
      </w:r>
      <w:r w:rsidR="008962F5">
        <w:rPr>
          <w:rFonts w:ascii="Arial" w:hAnsi="Arial" w:cs="Arial"/>
          <w:sz w:val="22"/>
          <w:szCs w:val="22"/>
        </w:rPr>
        <w:t>a</w:t>
      </w:r>
      <w:r w:rsidR="00446463" w:rsidRPr="00446463">
        <w:rPr>
          <w:rFonts w:ascii="Arial" w:hAnsi="Arial" w:cs="Arial"/>
          <w:sz w:val="22"/>
          <w:szCs w:val="22"/>
        </w:rPr>
        <w:t>)</w:t>
      </w:r>
      <w:r w:rsidRPr="008E7510">
        <w:rPr>
          <w:rFonts w:ascii="Arial" w:hAnsi="Arial" w:cs="Arial"/>
          <w:sz w:val="22"/>
          <w:szCs w:val="22"/>
        </w:rPr>
        <w:t xml:space="preserve">. This has led to an increase in the number of younger students receiving free school meals, especially during and after the </w:t>
      </w:r>
      <w:r w:rsidR="00B917B9">
        <w:rPr>
          <w:rFonts w:ascii="Arial" w:hAnsi="Arial" w:cs="Arial"/>
          <w:sz w:val="22"/>
          <w:szCs w:val="22"/>
        </w:rPr>
        <w:t xml:space="preserve">Covid-19 </w:t>
      </w:r>
      <w:r w:rsidRPr="008E7510">
        <w:rPr>
          <w:rFonts w:ascii="Arial" w:hAnsi="Arial" w:cs="Arial"/>
          <w:sz w:val="22"/>
          <w:szCs w:val="22"/>
        </w:rPr>
        <w:t>pandemic</w:t>
      </w:r>
      <w:r w:rsidR="005E73F5">
        <w:rPr>
          <w:rFonts w:ascii="Arial" w:hAnsi="Arial" w:cs="Arial"/>
          <w:sz w:val="22"/>
          <w:szCs w:val="22"/>
        </w:rPr>
        <w:t xml:space="preserve"> </w:t>
      </w:r>
      <w:bookmarkStart w:id="7" w:name="_Hlk172027863"/>
      <w:r w:rsidR="005E73F5" w:rsidRPr="005E73F5">
        <w:rPr>
          <w:rFonts w:ascii="Arial" w:hAnsi="Arial" w:cs="Arial"/>
          <w:sz w:val="22"/>
          <w:szCs w:val="22"/>
        </w:rPr>
        <w:t>(Newham Council, 2021</w:t>
      </w:r>
      <w:r w:rsidR="008E5BA7">
        <w:rPr>
          <w:rFonts w:ascii="Arial" w:hAnsi="Arial" w:cs="Arial"/>
          <w:sz w:val="22"/>
          <w:szCs w:val="22"/>
        </w:rPr>
        <w:t>b</w:t>
      </w:r>
      <w:r w:rsidR="005E73F5" w:rsidRPr="005E73F5">
        <w:rPr>
          <w:rFonts w:ascii="Arial" w:hAnsi="Arial" w:cs="Arial"/>
          <w:sz w:val="22"/>
          <w:szCs w:val="22"/>
        </w:rPr>
        <w:t>)</w:t>
      </w:r>
      <w:bookmarkEnd w:id="7"/>
      <w:r w:rsidRPr="008E7510">
        <w:rPr>
          <w:rFonts w:ascii="Arial" w:hAnsi="Arial" w:cs="Arial"/>
          <w:sz w:val="22"/>
          <w:szCs w:val="22"/>
        </w:rPr>
        <w:t>. Although many families are enrolled in assistance programs such as Universal Credit, it may not be sufficient according to the Trussell Trust</w:t>
      </w:r>
      <w:r w:rsidR="00B07284">
        <w:rPr>
          <w:rFonts w:ascii="Arial" w:hAnsi="Arial" w:cs="Arial"/>
          <w:sz w:val="22"/>
          <w:szCs w:val="22"/>
        </w:rPr>
        <w:t xml:space="preserve"> </w:t>
      </w:r>
      <w:r w:rsidR="000E6304" w:rsidRPr="000E6304">
        <w:rPr>
          <w:rFonts w:ascii="Arial" w:hAnsi="Arial" w:cs="Arial"/>
          <w:sz w:val="22"/>
          <w:szCs w:val="22"/>
        </w:rPr>
        <w:t> </w:t>
      </w:r>
      <w:bookmarkStart w:id="8" w:name="_Hlk172027755"/>
      <w:r w:rsidR="000E6304" w:rsidRPr="000E6304">
        <w:rPr>
          <w:rFonts w:ascii="Arial" w:hAnsi="Arial" w:cs="Arial"/>
          <w:sz w:val="22"/>
          <w:szCs w:val="22"/>
        </w:rPr>
        <w:t>(</w:t>
      </w:r>
      <w:r w:rsidR="00014938">
        <w:rPr>
          <w:rFonts w:ascii="Arial" w:hAnsi="Arial" w:cs="Arial"/>
          <w:sz w:val="22"/>
          <w:szCs w:val="22"/>
        </w:rPr>
        <w:t>The Trussell Trust</w:t>
      </w:r>
      <w:r w:rsidR="000E6304" w:rsidRPr="000E6304">
        <w:rPr>
          <w:rFonts w:ascii="Arial" w:hAnsi="Arial" w:cs="Arial"/>
          <w:sz w:val="22"/>
          <w:szCs w:val="22"/>
        </w:rPr>
        <w:t>, 2021)</w:t>
      </w:r>
      <w:r w:rsidRPr="008E7510">
        <w:rPr>
          <w:rFonts w:ascii="Arial" w:hAnsi="Arial" w:cs="Arial"/>
          <w:sz w:val="22"/>
          <w:szCs w:val="22"/>
        </w:rPr>
        <w:t xml:space="preserve">. </w:t>
      </w:r>
      <w:bookmarkEnd w:id="8"/>
      <w:r w:rsidRPr="008E7510">
        <w:rPr>
          <w:rFonts w:ascii="Arial" w:hAnsi="Arial" w:cs="Arial"/>
          <w:sz w:val="22"/>
          <w:szCs w:val="22"/>
        </w:rPr>
        <w:t>Without an increase in these aids, 13% of these households could face difficulties in providing food for their children</w:t>
      </w:r>
      <w:r w:rsidR="00E27F82">
        <w:rPr>
          <w:rFonts w:ascii="Arial" w:hAnsi="Arial" w:cs="Arial"/>
          <w:sz w:val="22"/>
          <w:szCs w:val="22"/>
        </w:rPr>
        <w:t xml:space="preserve"> </w:t>
      </w:r>
      <w:r w:rsidR="00014938" w:rsidRPr="00014938">
        <w:rPr>
          <w:rFonts w:ascii="Arial" w:hAnsi="Arial" w:cs="Arial"/>
          <w:sz w:val="22"/>
          <w:szCs w:val="22"/>
        </w:rPr>
        <w:t>(The Trussell Trust, 2021</w:t>
      </w:r>
      <w:r w:rsidR="00E27F82" w:rsidRPr="00E27F82">
        <w:rPr>
          <w:rFonts w:ascii="Arial" w:hAnsi="Arial" w:cs="Arial"/>
          <w:sz w:val="22"/>
          <w:szCs w:val="22"/>
        </w:rPr>
        <w:t>)</w:t>
      </w:r>
      <w:r w:rsidR="00F85733" w:rsidRPr="00F85733">
        <w:rPr>
          <w:rFonts w:ascii="Arial" w:hAnsi="Arial" w:cs="Arial"/>
          <w:sz w:val="22"/>
          <w:szCs w:val="22"/>
        </w:rPr>
        <w:t xml:space="preserve">. </w:t>
      </w:r>
      <w:r w:rsidR="00446463">
        <w:rPr>
          <w:rFonts w:ascii="Arial" w:hAnsi="Arial" w:cs="Arial"/>
          <w:sz w:val="22"/>
          <w:szCs w:val="22"/>
        </w:rPr>
        <w:t xml:space="preserve"> </w:t>
      </w:r>
    </w:p>
    <w:p w14:paraId="4BFE2ECD" w14:textId="77777777" w:rsidR="00E876F7" w:rsidRPr="0012068F" w:rsidRDefault="007F35FE" w:rsidP="0012068F">
      <w:pPr>
        <w:spacing w:line="360" w:lineRule="auto"/>
        <w:jc w:val="both"/>
        <w:rPr>
          <w:rFonts w:ascii="Arial" w:hAnsi="Arial" w:cs="Arial"/>
          <w:sz w:val="22"/>
          <w:szCs w:val="22"/>
        </w:rPr>
      </w:pPr>
      <w:r w:rsidRPr="0012068F">
        <w:rPr>
          <w:rFonts w:ascii="Arial" w:hAnsi="Arial" w:cs="Arial"/>
          <w:b/>
          <w:bCs/>
          <w:sz w:val="22"/>
          <w:szCs w:val="22"/>
        </w:rPr>
        <w:t>Childhood</w:t>
      </w:r>
      <w:r w:rsidR="00CC3853" w:rsidRPr="0012068F">
        <w:rPr>
          <w:rFonts w:ascii="Arial" w:hAnsi="Arial" w:cs="Arial"/>
          <w:b/>
          <w:bCs/>
          <w:sz w:val="22"/>
          <w:szCs w:val="22"/>
        </w:rPr>
        <w:t xml:space="preserve"> obesity</w:t>
      </w:r>
      <w:r w:rsidR="00CC3853" w:rsidRPr="0012068F">
        <w:rPr>
          <w:rFonts w:ascii="Arial" w:hAnsi="Arial" w:cs="Arial"/>
          <w:sz w:val="22"/>
          <w:szCs w:val="22"/>
        </w:rPr>
        <w:t xml:space="preserve">: </w:t>
      </w:r>
    </w:p>
    <w:p w14:paraId="08BBF17D" w14:textId="0118230F" w:rsidR="004938E7" w:rsidRDefault="00B13A2D" w:rsidP="00E876F7">
      <w:pPr>
        <w:spacing w:line="360" w:lineRule="auto"/>
        <w:jc w:val="both"/>
        <w:rPr>
          <w:rFonts w:ascii="Arial" w:hAnsi="Arial" w:cs="Arial"/>
          <w:sz w:val="22"/>
          <w:szCs w:val="22"/>
        </w:rPr>
      </w:pPr>
      <w:r w:rsidRPr="0076269E">
        <w:rPr>
          <w:rFonts w:ascii="Arial" w:hAnsi="Arial" w:cs="Arial"/>
          <w:sz w:val="22"/>
          <w:szCs w:val="22"/>
        </w:rPr>
        <w:t>Obesity is a problem that is not only related to physical health but also to psychological issues, leading to low self-esteem and a high risk of being bullied at school</w:t>
      </w:r>
      <w:r w:rsidR="0067713D">
        <w:rPr>
          <w:rFonts w:ascii="Arial" w:hAnsi="Arial" w:cs="Arial"/>
          <w:sz w:val="22"/>
          <w:szCs w:val="22"/>
        </w:rPr>
        <w:t xml:space="preserve"> </w:t>
      </w:r>
      <w:r w:rsidR="0067713D" w:rsidRPr="0067713D">
        <w:rPr>
          <w:rFonts w:ascii="Arial" w:hAnsi="Arial" w:cs="Arial"/>
          <w:sz w:val="22"/>
          <w:szCs w:val="22"/>
        </w:rPr>
        <w:t>(Sanders et al., 2015)</w:t>
      </w:r>
      <w:r w:rsidRPr="0076269E">
        <w:rPr>
          <w:rFonts w:ascii="Arial" w:hAnsi="Arial" w:cs="Arial"/>
          <w:sz w:val="22"/>
          <w:szCs w:val="22"/>
        </w:rPr>
        <w:t>.</w:t>
      </w:r>
      <w:r>
        <w:rPr>
          <w:rFonts w:ascii="Arial" w:hAnsi="Arial" w:cs="Arial"/>
          <w:sz w:val="22"/>
          <w:szCs w:val="22"/>
        </w:rPr>
        <w:t xml:space="preserve"> </w:t>
      </w:r>
      <w:r w:rsidR="005B12FD" w:rsidRPr="005B12FD">
        <w:rPr>
          <w:rFonts w:ascii="Arial" w:hAnsi="Arial" w:cs="Arial"/>
          <w:sz w:val="22"/>
          <w:szCs w:val="22"/>
        </w:rPr>
        <w:t>Childhood obesity in Newham presents a substantial challenge when compared to London and the wider England region</w:t>
      </w:r>
      <w:r w:rsidR="00073C1D">
        <w:rPr>
          <w:rFonts w:ascii="Arial" w:hAnsi="Arial" w:cs="Arial"/>
          <w:sz w:val="22"/>
          <w:szCs w:val="22"/>
        </w:rPr>
        <w:t xml:space="preserve"> </w:t>
      </w:r>
      <w:r w:rsidR="00073C1D" w:rsidRPr="00073C1D">
        <w:rPr>
          <w:rFonts w:ascii="Arial" w:hAnsi="Arial" w:cs="Arial"/>
          <w:sz w:val="22"/>
          <w:szCs w:val="22"/>
        </w:rPr>
        <w:t xml:space="preserve">(Public Health England, 2018). </w:t>
      </w:r>
      <w:r w:rsidR="005B12FD" w:rsidRPr="005B12FD">
        <w:rPr>
          <w:rFonts w:ascii="Arial" w:hAnsi="Arial" w:cs="Arial"/>
          <w:sz w:val="22"/>
          <w:szCs w:val="22"/>
        </w:rPr>
        <w:t xml:space="preserve"> The </w:t>
      </w:r>
      <w:r w:rsidR="00067CB6">
        <w:rPr>
          <w:rFonts w:ascii="Arial" w:hAnsi="Arial" w:cs="Arial"/>
          <w:sz w:val="22"/>
          <w:szCs w:val="22"/>
        </w:rPr>
        <w:t>preva</w:t>
      </w:r>
      <w:r w:rsidR="00C419C7">
        <w:rPr>
          <w:rFonts w:ascii="Arial" w:hAnsi="Arial" w:cs="Arial"/>
          <w:sz w:val="22"/>
          <w:szCs w:val="22"/>
        </w:rPr>
        <w:t>lence</w:t>
      </w:r>
      <w:r w:rsidR="005B12FD" w:rsidRPr="005B12FD">
        <w:rPr>
          <w:rFonts w:ascii="Arial" w:hAnsi="Arial" w:cs="Arial"/>
          <w:sz w:val="22"/>
          <w:szCs w:val="22"/>
        </w:rPr>
        <w:t xml:space="preserve"> of obesity among children in Newham is markedly higher than the average rates observed in both London and England, with 42.7% of Year 6 students classified as obese</w:t>
      </w:r>
      <w:r w:rsidR="008C5CD3">
        <w:rPr>
          <w:rFonts w:ascii="Arial" w:hAnsi="Arial" w:cs="Arial"/>
          <w:sz w:val="22"/>
          <w:szCs w:val="22"/>
        </w:rPr>
        <w:t xml:space="preserve"> </w:t>
      </w:r>
      <w:bookmarkStart w:id="9" w:name="_Hlk172032495"/>
      <w:bookmarkStart w:id="10" w:name="_Hlk172189727"/>
      <w:r w:rsidR="008C5CD3">
        <w:rPr>
          <w:rFonts w:ascii="Arial" w:hAnsi="Arial" w:cs="Arial"/>
          <w:sz w:val="22"/>
          <w:szCs w:val="22"/>
        </w:rPr>
        <w:t xml:space="preserve">(Public Health </w:t>
      </w:r>
      <w:r w:rsidR="00073C1D">
        <w:rPr>
          <w:rFonts w:ascii="Arial" w:hAnsi="Arial" w:cs="Arial"/>
          <w:sz w:val="22"/>
          <w:szCs w:val="22"/>
        </w:rPr>
        <w:t>England</w:t>
      </w:r>
      <w:r w:rsidR="008C5CD3">
        <w:rPr>
          <w:rFonts w:ascii="Arial" w:hAnsi="Arial" w:cs="Arial"/>
          <w:sz w:val="22"/>
          <w:szCs w:val="22"/>
        </w:rPr>
        <w:t>, 2018</w:t>
      </w:r>
      <w:r w:rsidR="00073C1D">
        <w:rPr>
          <w:rFonts w:ascii="Arial" w:hAnsi="Arial" w:cs="Arial"/>
          <w:sz w:val="22"/>
          <w:szCs w:val="22"/>
        </w:rPr>
        <w:t>)</w:t>
      </w:r>
      <w:r w:rsidR="005B12FD" w:rsidRPr="005B12FD">
        <w:rPr>
          <w:rFonts w:ascii="Arial" w:hAnsi="Arial" w:cs="Arial"/>
          <w:sz w:val="22"/>
          <w:szCs w:val="22"/>
        </w:rPr>
        <w:t xml:space="preserve">. </w:t>
      </w:r>
      <w:bookmarkEnd w:id="9"/>
    </w:p>
    <w:p w14:paraId="57B3AD49" w14:textId="441EDA26" w:rsidR="006A4ADF" w:rsidRDefault="007C29C4" w:rsidP="002E797F">
      <w:pPr>
        <w:pStyle w:val="Heading1"/>
        <w:rPr>
          <w:rFonts w:ascii="Arial" w:hAnsi="Arial" w:cs="Arial"/>
          <w:b/>
          <w:bCs/>
          <w:color w:val="auto"/>
          <w:sz w:val="22"/>
          <w:szCs w:val="22"/>
        </w:rPr>
      </w:pPr>
      <w:bookmarkStart w:id="11" w:name="_Toc174374211"/>
      <w:bookmarkEnd w:id="10"/>
      <w:r>
        <w:rPr>
          <w:rFonts w:ascii="Arial" w:hAnsi="Arial" w:cs="Arial"/>
          <w:b/>
          <w:bCs/>
          <w:color w:val="auto"/>
          <w:sz w:val="22"/>
          <w:szCs w:val="22"/>
        </w:rPr>
        <w:t xml:space="preserve">LEGISLATION AND </w:t>
      </w:r>
      <w:r w:rsidR="002E797F" w:rsidRPr="002E797F">
        <w:rPr>
          <w:rFonts w:ascii="Arial" w:hAnsi="Arial" w:cs="Arial"/>
          <w:b/>
          <w:bCs/>
          <w:color w:val="auto"/>
          <w:sz w:val="22"/>
          <w:szCs w:val="22"/>
        </w:rPr>
        <w:t>POLICIES ADOPTED</w:t>
      </w:r>
      <w:bookmarkEnd w:id="11"/>
    </w:p>
    <w:p w14:paraId="3EF26A31" w14:textId="58ABCEBD" w:rsidR="004938E7" w:rsidRPr="00E75428" w:rsidRDefault="00003818" w:rsidP="00E75428">
      <w:pPr>
        <w:spacing w:line="360" w:lineRule="auto"/>
        <w:jc w:val="both"/>
        <w:rPr>
          <w:rFonts w:ascii="Arial" w:hAnsi="Arial" w:cs="Arial"/>
          <w:sz w:val="22"/>
          <w:szCs w:val="22"/>
        </w:rPr>
      </w:pPr>
      <w:r w:rsidRPr="00003818">
        <w:rPr>
          <w:rFonts w:ascii="Arial" w:hAnsi="Arial" w:cs="Arial"/>
          <w:sz w:val="22"/>
          <w:szCs w:val="22"/>
        </w:rPr>
        <w:t>Ensuring access to healthy food is a fundamental step to prevent discrimination, promote equality, and avoid health inequalities</w:t>
      </w:r>
      <w:r w:rsidR="000736EF">
        <w:rPr>
          <w:rFonts w:ascii="Arial" w:hAnsi="Arial" w:cs="Arial"/>
          <w:sz w:val="22"/>
          <w:szCs w:val="22"/>
        </w:rPr>
        <w:t xml:space="preserve"> </w:t>
      </w:r>
      <w:r w:rsidR="00A531AD">
        <w:rPr>
          <w:rFonts w:ascii="Arial" w:hAnsi="Arial" w:cs="Arial"/>
          <w:sz w:val="22"/>
          <w:szCs w:val="22"/>
        </w:rPr>
        <w:t xml:space="preserve">according to </w:t>
      </w:r>
      <w:r w:rsidR="00D06D66">
        <w:rPr>
          <w:rFonts w:ascii="Arial" w:hAnsi="Arial" w:cs="Arial"/>
          <w:sz w:val="22"/>
          <w:szCs w:val="22"/>
        </w:rPr>
        <w:t xml:space="preserve">the </w:t>
      </w:r>
      <w:r w:rsidR="000736EF" w:rsidRPr="000736EF">
        <w:rPr>
          <w:rFonts w:ascii="Arial" w:hAnsi="Arial" w:cs="Arial"/>
          <w:sz w:val="22"/>
          <w:szCs w:val="22"/>
        </w:rPr>
        <w:t xml:space="preserve">Equality Act </w:t>
      </w:r>
      <w:r w:rsidR="007F2D1C">
        <w:rPr>
          <w:rFonts w:ascii="Arial" w:hAnsi="Arial" w:cs="Arial"/>
          <w:sz w:val="22"/>
          <w:szCs w:val="22"/>
        </w:rPr>
        <w:t>(</w:t>
      </w:r>
      <w:r w:rsidR="000736EF" w:rsidRPr="000736EF">
        <w:rPr>
          <w:rFonts w:ascii="Arial" w:hAnsi="Arial" w:cs="Arial"/>
          <w:sz w:val="22"/>
          <w:szCs w:val="22"/>
        </w:rPr>
        <w:t>2010</w:t>
      </w:r>
      <w:r w:rsidR="007F2D1C">
        <w:rPr>
          <w:rFonts w:ascii="Arial" w:hAnsi="Arial" w:cs="Arial"/>
          <w:sz w:val="22"/>
          <w:szCs w:val="22"/>
        </w:rPr>
        <w:t>)</w:t>
      </w:r>
      <w:r w:rsidR="00D06D66">
        <w:rPr>
          <w:rFonts w:ascii="Arial" w:hAnsi="Arial" w:cs="Arial"/>
          <w:sz w:val="22"/>
          <w:szCs w:val="22"/>
        </w:rPr>
        <w:t xml:space="preserve"> </w:t>
      </w:r>
      <w:bookmarkStart w:id="12" w:name="_Hlk172199055"/>
      <w:r w:rsidR="00A353FB" w:rsidRPr="00A353FB">
        <w:rPr>
          <w:rFonts w:ascii="Arial" w:hAnsi="Arial" w:cs="Arial"/>
          <w:sz w:val="22"/>
          <w:szCs w:val="22"/>
        </w:rPr>
        <w:t>(Gov.uk, 2023)</w:t>
      </w:r>
      <w:r w:rsidRPr="00003818">
        <w:rPr>
          <w:rFonts w:ascii="Arial" w:hAnsi="Arial" w:cs="Arial"/>
          <w:sz w:val="22"/>
          <w:szCs w:val="22"/>
        </w:rPr>
        <w:t xml:space="preserve">. </w:t>
      </w:r>
      <w:bookmarkEnd w:id="12"/>
      <w:r w:rsidRPr="00003818">
        <w:rPr>
          <w:rFonts w:ascii="Arial" w:hAnsi="Arial" w:cs="Arial"/>
          <w:sz w:val="22"/>
          <w:szCs w:val="22"/>
        </w:rPr>
        <w:t xml:space="preserve">In the case of </w:t>
      </w:r>
      <w:r w:rsidR="007F2D1C" w:rsidRPr="00003818">
        <w:rPr>
          <w:rFonts w:ascii="Arial" w:hAnsi="Arial" w:cs="Arial"/>
          <w:sz w:val="22"/>
          <w:szCs w:val="22"/>
        </w:rPr>
        <w:t>children,</w:t>
      </w:r>
      <w:r w:rsidR="00CE2E1A">
        <w:rPr>
          <w:rFonts w:ascii="Arial" w:hAnsi="Arial" w:cs="Arial"/>
          <w:sz w:val="22"/>
          <w:szCs w:val="22"/>
        </w:rPr>
        <w:t xml:space="preserve"> the Children Act</w:t>
      </w:r>
      <w:r w:rsidR="007F2D1C">
        <w:rPr>
          <w:rFonts w:ascii="Arial" w:hAnsi="Arial" w:cs="Arial"/>
          <w:sz w:val="22"/>
          <w:szCs w:val="22"/>
        </w:rPr>
        <w:t xml:space="preserve"> (2004)</w:t>
      </w:r>
      <w:r w:rsidR="00CE2E1A">
        <w:rPr>
          <w:rFonts w:ascii="Arial" w:hAnsi="Arial" w:cs="Arial"/>
          <w:sz w:val="22"/>
          <w:szCs w:val="22"/>
        </w:rPr>
        <w:t xml:space="preserve"> </w:t>
      </w:r>
      <w:r w:rsidRPr="00003818">
        <w:rPr>
          <w:rFonts w:ascii="Arial" w:hAnsi="Arial" w:cs="Arial"/>
          <w:sz w:val="22"/>
          <w:szCs w:val="22"/>
        </w:rPr>
        <w:t>ensure</w:t>
      </w:r>
      <w:r w:rsidR="007F2D1C">
        <w:rPr>
          <w:rFonts w:ascii="Arial" w:hAnsi="Arial" w:cs="Arial"/>
          <w:sz w:val="22"/>
          <w:szCs w:val="22"/>
        </w:rPr>
        <w:t>s</w:t>
      </w:r>
      <w:r w:rsidRPr="00003818">
        <w:rPr>
          <w:rFonts w:ascii="Arial" w:hAnsi="Arial" w:cs="Arial"/>
          <w:sz w:val="22"/>
          <w:szCs w:val="22"/>
        </w:rPr>
        <w:t xml:space="preserve"> their protection by promoting their wellbeing and helping to prevent obesity, malnutrition, or any health-related issues associated with their fundamental nutritional needs</w:t>
      </w:r>
      <w:r w:rsidR="00213CEE">
        <w:rPr>
          <w:rFonts w:ascii="Arial" w:hAnsi="Arial" w:cs="Arial"/>
          <w:sz w:val="22"/>
          <w:szCs w:val="22"/>
        </w:rPr>
        <w:t xml:space="preserve"> </w:t>
      </w:r>
      <w:r w:rsidR="00213CEE" w:rsidRPr="00213CEE">
        <w:rPr>
          <w:rFonts w:ascii="Arial" w:hAnsi="Arial" w:cs="Arial"/>
          <w:sz w:val="22"/>
          <w:szCs w:val="22"/>
        </w:rPr>
        <w:t>(Gov.uk, 2023)</w:t>
      </w:r>
      <w:r w:rsidRPr="00003818">
        <w:rPr>
          <w:rFonts w:ascii="Arial" w:hAnsi="Arial" w:cs="Arial"/>
          <w:sz w:val="22"/>
          <w:szCs w:val="22"/>
        </w:rPr>
        <w:t>.</w:t>
      </w:r>
      <w:r w:rsidR="003F6076">
        <w:rPr>
          <w:rFonts w:ascii="Arial" w:hAnsi="Arial" w:cs="Arial"/>
          <w:sz w:val="22"/>
          <w:szCs w:val="22"/>
        </w:rPr>
        <w:t xml:space="preserve"> </w:t>
      </w:r>
      <w:r w:rsidR="00F45EBC" w:rsidRPr="00F45EBC">
        <w:rPr>
          <w:rFonts w:ascii="Arial" w:hAnsi="Arial" w:cs="Arial"/>
          <w:sz w:val="22"/>
          <w:szCs w:val="22"/>
        </w:rPr>
        <w:t xml:space="preserve">To improve the health and wellbeing of Newham's citizens, the council has created the </w:t>
      </w:r>
      <w:r w:rsidR="00D63480">
        <w:rPr>
          <w:rFonts w:ascii="Arial" w:hAnsi="Arial" w:cs="Arial"/>
          <w:sz w:val="22"/>
          <w:szCs w:val="22"/>
        </w:rPr>
        <w:t>‘</w:t>
      </w:r>
      <w:r w:rsidR="00F45EBC" w:rsidRPr="00F45EBC">
        <w:rPr>
          <w:rFonts w:ascii="Arial" w:hAnsi="Arial" w:cs="Arial"/>
          <w:sz w:val="22"/>
          <w:szCs w:val="22"/>
        </w:rPr>
        <w:t>Well Newham 50 Steps to a Healthier Borough</w:t>
      </w:r>
      <w:r w:rsidR="00D63480">
        <w:rPr>
          <w:rFonts w:ascii="Arial" w:hAnsi="Arial" w:cs="Arial"/>
          <w:sz w:val="22"/>
          <w:szCs w:val="22"/>
        </w:rPr>
        <w:t>’</w:t>
      </w:r>
      <w:r w:rsidR="00F45EBC" w:rsidRPr="00F45EBC">
        <w:rPr>
          <w:rFonts w:ascii="Arial" w:hAnsi="Arial" w:cs="Arial"/>
          <w:sz w:val="22"/>
          <w:szCs w:val="22"/>
        </w:rPr>
        <w:t xml:space="preserve"> initiative</w:t>
      </w:r>
      <w:r w:rsidR="007405BE">
        <w:rPr>
          <w:rFonts w:ascii="Arial" w:hAnsi="Arial" w:cs="Arial"/>
          <w:sz w:val="22"/>
          <w:szCs w:val="22"/>
        </w:rPr>
        <w:t xml:space="preserve"> </w:t>
      </w:r>
      <w:bookmarkStart w:id="13" w:name="_Hlk172113326"/>
      <w:r w:rsidR="007405BE">
        <w:rPr>
          <w:rFonts w:ascii="Arial" w:hAnsi="Arial" w:cs="Arial"/>
          <w:sz w:val="22"/>
          <w:szCs w:val="22"/>
        </w:rPr>
        <w:t xml:space="preserve">(Newham </w:t>
      </w:r>
      <w:r w:rsidR="00B53A14">
        <w:rPr>
          <w:rFonts w:ascii="Arial" w:hAnsi="Arial" w:cs="Arial"/>
          <w:sz w:val="22"/>
          <w:szCs w:val="22"/>
        </w:rPr>
        <w:t>London, 2020)</w:t>
      </w:r>
      <w:r w:rsidR="00F45EBC" w:rsidRPr="00F45EBC">
        <w:rPr>
          <w:rFonts w:ascii="Arial" w:hAnsi="Arial" w:cs="Arial"/>
          <w:sz w:val="22"/>
          <w:szCs w:val="22"/>
        </w:rPr>
        <w:t xml:space="preserve">. </w:t>
      </w:r>
      <w:bookmarkEnd w:id="13"/>
      <w:r w:rsidR="00F45EBC" w:rsidRPr="00F45EBC">
        <w:rPr>
          <w:rFonts w:ascii="Arial" w:hAnsi="Arial" w:cs="Arial"/>
          <w:sz w:val="22"/>
          <w:szCs w:val="22"/>
        </w:rPr>
        <w:t>This initiative consists of developing 50 actions designed to promote healthy lifestyles and enhance community wellbeing</w:t>
      </w:r>
      <w:r w:rsidR="00B53A14">
        <w:rPr>
          <w:rFonts w:ascii="Arial" w:hAnsi="Arial" w:cs="Arial"/>
          <w:sz w:val="22"/>
          <w:szCs w:val="22"/>
        </w:rPr>
        <w:t xml:space="preserve"> </w:t>
      </w:r>
      <w:r w:rsidR="00B53A14" w:rsidRPr="00B53A14">
        <w:rPr>
          <w:rFonts w:ascii="Arial" w:hAnsi="Arial" w:cs="Arial"/>
          <w:sz w:val="22"/>
          <w:szCs w:val="22"/>
        </w:rPr>
        <w:t>(Newham London, 2020)</w:t>
      </w:r>
      <w:r w:rsidR="00F45EBC" w:rsidRPr="00F45EBC">
        <w:rPr>
          <w:rFonts w:ascii="Arial" w:hAnsi="Arial" w:cs="Arial"/>
          <w:sz w:val="22"/>
          <w:szCs w:val="22"/>
        </w:rPr>
        <w:t>. The campaign primarily focuses on improving access to healthcare services, encouraging healthy habits, and creating strategies to improve mental health</w:t>
      </w:r>
      <w:r w:rsidR="00B53A14">
        <w:rPr>
          <w:rFonts w:ascii="Arial" w:hAnsi="Arial" w:cs="Arial"/>
          <w:sz w:val="22"/>
          <w:szCs w:val="22"/>
        </w:rPr>
        <w:t>,</w:t>
      </w:r>
      <w:r w:rsidR="00F45EBC" w:rsidRPr="00F45EBC">
        <w:rPr>
          <w:rFonts w:ascii="Arial" w:hAnsi="Arial" w:cs="Arial"/>
          <w:sz w:val="22"/>
          <w:szCs w:val="22"/>
        </w:rPr>
        <w:t xml:space="preserve"> </w:t>
      </w:r>
      <w:r w:rsidR="000E55C2">
        <w:rPr>
          <w:rFonts w:ascii="Arial" w:hAnsi="Arial" w:cs="Arial"/>
          <w:sz w:val="22"/>
          <w:szCs w:val="22"/>
        </w:rPr>
        <w:t>t</w:t>
      </w:r>
      <w:r w:rsidR="00F45EBC" w:rsidRPr="00F45EBC">
        <w:rPr>
          <w:rFonts w:ascii="Arial" w:hAnsi="Arial" w:cs="Arial"/>
          <w:sz w:val="22"/>
          <w:szCs w:val="22"/>
        </w:rPr>
        <w:t xml:space="preserve">he 50 steps are divided into 12 </w:t>
      </w:r>
      <w:r w:rsidR="00AF36E1">
        <w:rPr>
          <w:rFonts w:ascii="Arial" w:hAnsi="Arial" w:cs="Arial"/>
          <w:sz w:val="22"/>
          <w:szCs w:val="22"/>
        </w:rPr>
        <w:t>priorities</w:t>
      </w:r>
      <w:r w:rsidR="00F45EBC" w:rsidRPr="00F45EBC">
        <w:rPr>
          <w:rFonts w:ascii="Arial" w:hAnsi="Arial" w:cs="Arial"/>
          <w:sz w:val="22"/>
          <w:szCs w:val="22"/>
        </w:rPr>
        <w:t>, which involve the participation of various stakeholders</w:t>
      </w:r>
      <w:r w:rsidR="00B53A14">
        <w:rPr>
          <w:rFonts w:ascii="Arial" w:hAnsi="Arial" w:cs="Arial"/>
          <w:sz w:val="22"/>
          <w:szCs w:val="22"/>
        </w:rPr>
        <w:t xml:space="preserve"> </w:t>
      </w:r>
      <w:bookmarkStart w:id="14" w:name="_Hlk172117254"/>
      <w:r w:rsidR="00B53A14" w:rsidRPr="00B53A14">
        <w:rPr>
          <w:rFonts w:ascii="Arial" w:hAnsi="Arial" w:cs="Arial"/>
          <w:sz w:val="22"/>
          <w:szCs w:val="22"/>
        </w:rPr>
        <w:t>(Newham London, 2020).</w:t>
      </w:r>
      <w:bookmarkEnd w:id="14"/>
      <w:r w:rsidR="008870F5">
        <w:rPr>
          <w:rFonts w:ascii="Arial" w:hAnsi="Arial" w:cs="Arial"/>
          <w:sz w:val="22"/>
          <w:szCs w:val="22"/>
        </w:rPr>
        <w:t xml:space="preserve"> </w:t>
      </w:r>
      <w:r w:rsidR="003123E1" w:rsidRPr="00E31C46">
        <w:rPr>
          <w:rFonts w:ascii="Arial" w:hAnsi="Arial" w:cs="Arial"/>
          <w:sz w:val="22"/>
          <w:szCs w:val="22"/>
        </w:rPr>
        <w:t>Prio</w:t>
      </w:r>
      <w:r w:rsidR="004F213A" w:rsidRPr="00E31C46">
        <w:rPr>
          <w:rFonts w:ascii="Arial" w:hAnsi="Arial" w:cs="Arial"/>
          <w:sz w:val="22"/>
          <w:szCs w:val="22"/>
        </w:rPr>
        <w:t>rity 6 ‘Create a healthy food environment’</w:t>
      </w:r>
      <w:r w:rsidR="00817540">
        <w:rPr>
          <w:rFonts w:ascii="Arial" w:hAnsi="Arial" w:cs="Arial"/>
          <w:sz w:val="22"/>
          <w:szCs w:val="22"/>
        </w:rPr>
        <w:t xml:space="preserve"> </w:t>
      </w:r>
      <w:r w:rsidR="00AF0788">
        <w:rPr>
          <w:rFonts w:ascii="Arial" w:hAnsi="Arial" w:cs="Arial"/>
          <w:sz w:val="22"/>
          <w:szCs w:val="22"/>
        </w:rPr>
        <w:t>is focused in</w:t>
      </w:r>
      <w:r w:rsidR="00D86AF6">
        <w:rPr>
          <w:rFonts w:ascii="Arial" w:hAnsi="Arial" w:cs="Arial"/>
          <w:sz w:val="22"/>
          <w:szCs w:val="22"/>
        </w:rPr>
        <w:t xml:space="preserve"> </w:t>
      </w:r>
      <w:r w:rsidR="00817540">
        <w:rPr>
          <w:rFonts w:ascii="Arial" w:hAnsi="Arial" w:cs="Arial"/>
          <w:sz w:val="22"/>
          <w:szCs w:val="22"/>
        </w:rPr>
        <w:t>p</w:t>
      </w:r>
      <w:r w:rsidR="00AD1F8B" w:rsidRPr="00AD1F8B">
        <w:rPr>
          <w:rFonts w:ascii="Arial" w:hAnsi="Arial" w:cs="Arial"/>
          <w:sz w:val="22"/>
          <w:szCs w:val="22"/>
        </w:rPr>
        <w:t>romoting and monitoring the sale of quality food, providing comprehensive support to mothers with breastfeeding children and assisting in the development of food skills, training residents to avoid food waste, addressing the food needs of students by working with schools and youth zones to ensure daily meals during holiday periods, and tackling the four A's of food poverty</w:t>
      </w:r>
      <w:r w:rsidR="00540A5F">
        <w:rPr>
          <w:rFonts w:ascii="Arial" w:hAnsi="Arial" w:cs="Arial"/>
          <w:sz w:val="22"/>
          <w:szCs w:val="22"/>
        </w:rPr>
        <w:t xml:space="preserve"> </w:t>
      </w:r>
      <w:r w:rsidR="00AD1F8B" w:rsidRPr="00AD1F8B">
        <w:rPr>
          <w:rFonts w:ascii="Arial" w:hAnsi="Arial" w:cs="Arial"/>
          <w:sz w:val="22"/>
          <w:szCs w:val="22"/>
        </w:rPr>
        <w:t>accessibility, availability, affordability, and awareness</w:t>
      </w:r>
      <w:r w:rsidR="00540A5F">
        <w:rPr>
          <w:rFonts w:ascii="Arial" w:hAnsi="Arial" w:cs="Arial"/>
          <w:sz w:val="22"/>
          <w:szCs w:val="22"/>
        </w:rPr>
        <w:t xml:space="preserve"> </w:t>
      </w:r>
      <w:r w:rsidR="00AD1F8B" w:rsidRPr="00AD1F8B">
        <w:rPr>
          <w:rFonts w:ascii="Arial" w:hAnsi="Arial" w:cs="Arial"/>
          <w:sz w:val="22"/>
          <w:szCs w:val="22"/>
        </w:rPr>
        <w:t>are some of the goals to achieve in order to eradicate food insecurity issues, especially among children</w:t>
      </w:r>
      <w:r w:rsidR="003A75A3">
        <w:rPr>
          <w:rFonts w:ascii="Arial" w:hAnsi="Arial" w:cs="Arial"/>
          <w:sz w:val="22"/>
          <w:szCs w:val="22"/>
        </w:rPr>
        <w:t xml:space="preserve"> in Newham</w:t>
      </w:r>
      <w:r w:rsidR="00F879F1">
        <w:rPr>
          <w:rFonts w:ascii="Arial" w:hAnsi="Arial" w:cs="Arial"/>
          <w:sz w:val="22"/>
          <w:szCs w:val="22"/>
        </w:rPr>
        <w:t xml:space="preserve"> </w:t>
      </w:r>
      <w:r w:rsidR="00F879F1" w:rsidRPr="00F879F1">
        <w:rPr>
          <w:rFonts w:ascii="Arial" w:hAnsi="Arial" w:cs="Arial"/>
          <w:sz w:val="22"/>
          <w:szCs w:val="22"/>
        </w:rPr>
        <w:t>(Newham London, 2020)</w:t>
      </w:r>
      <w:r w:rsidR="00AD1F8B" w:rsidRPr="00AD1F8B">
        <w:rPr>
          <w:rFonts w:ascii="Arial" w:hAnsi="Arial" w:cs="Arial"/>
          <w:sz w:val="22"/>
          <w:szCs w:val="22"/>
        </w:rPr>
        <w:t>.</w:t>
      </w:r>
      <w:r w:rsidR="006F307C">
        <w:rPr>
          <w:rFonts w:ascii="Arial" w:hAnsi="Arial" w:cs="Arial"/>
          <w:sz w:val="22"/>
          <w:szCs w:val="22"/>
        </w:rPr>
        <w:t xml:space="preserve"> </w:t>
      </w:r>
      <w:r w:rsidR="006F307C" w:rsidRPr="006F307C">
        <w:rPr>
          <w:rFonts w:ascii="Arial" w:hAnsi="Arial" w:cs="Arial"/>
          <w:sz w:val="22"/>
          <w:szCs w:val="22"/>
        </w:rPr>
        <w:t>To address this, a commission called the 'Young People and Food Security Task &amp; Finish Group' was also established in 2021</w:t>
      </w:r>
      <w:r w:rsidR="00FC7AC9">
        <w:rPr>
          <w:rFonts w:ascii="Arial" w:hAnsi="Arial" w:cs="Arial"/>
          <w:sz w:val="22"/>
          <w:szCs w:val="22"/>
        </w:rPr>
        <w:t xml:space="preserve"> </w:t>
      </w:r>
      <w:bookmarkStart w:id="15" w:name="_Hlk172120012"/>
      <w:r w:rsidR="00B62A06">
        <w:rPr>
          <w:rFonts w:ascii="Arial" w:hAnsi="Arial" w:cs="Arial"/>
          <w:sz w:val="22"/>
          <w:szCs w:val="22"/>
        </w:rPr>
        <w:t>(</w:t>
      </w:r>
      <w:r w:rsidR="00FC7AC9">
        <w:rPr>
          <w:rFonts w:ascii="Arial" w:hAnsi="Arial" w:cs="Arial"/>
          <w:sz w:val="22"/>
          <w:szCs w:val="22"/>
        </w:rPr>
        <w:t>Newham Council, 2021</w:t>
      </w:r>
      <w:r w:rsidR="001326A0">
        <w:rPr>
          <w:rFonts w:ascii="Arial" w:hAnsi="Arial" w:cs="Arial"/>
          <w:sz w:val="22"/>
          <w:szCs w:val="22"/>
        </w:rPr>
        <w:t>b</w:t>
      </w:r>
      <w:r w:rsidR="00FC7AC9">
        <w:rPr>
          <w:rFonts w:ascii="Arial" w:hAnsi="Arial" w:cs="Arial"/>
          <w:sz w:val="22"/>
          <w:szCs w:val="22"/>
        </w:rPr>
        <w:t>)</w:t>
      </w:r>
      <w:r w:rsidR="006F307C" w:rsidRPr="006F307C">
        <w:rPr>
          <w:rFonts w:ascii="Arial" w:hAnsi="Arial" w:cs="Arial"/>
          <w:sz w:val="22"/>
          <w:szCs w:val="22"/>
        </w:rPr>
        <w:t xml:space="preserve">. </w:t>
      </w:r>
      <w:bookmarkEnd w:id="15"/>
      <w:r w:rsidR="006F307C" w:rsidRPr="006F307C">
        <w:rPr>
          <w:rFonts w:ascii="Arial" w:hAnsi="Arial" w:cs="Arial"/>
          <w:sz w:val="22"/>
          <w:szCs w:val="22"/>
        </w:rPr>
        <w:t xml:space="preserve">This group was created to tackle inequality and the high levels of poverty among children and young people in the district </w:t>
      </w:r>
      <w:r w:rsidR="00D666CB">
        <w:rPr>
          <w:rFonts w:ascii="Arial" w:hAnsi="Arial" w:cs="Arial"/>
          <w:sz w:val="22"/>
          <w:szCs w:val="22"/>
        </w:rPr>
        <w:t xml:space="preserve">and </w:t>
      </w:r>
      <w:r w:rsidR="006F307C" w:rsidRPr="006F307C">
        <w:rPr>
          <w:rFonts w:ascii="Arial" w:hAnsi="Arial" w:cs="Arial"/>
          <w:sz w:val="22"/>
          <w:szCs w:val="22"/>
        </w:rPr>
        <w:t>composed of public health experts who develop strategies for research and improvement of practices</w:t>
      </w:r>
      <w:r w:rsidR="00FC7AC9">
        <w:rPr>
          <w:rFonts w:ascii="Arial" w:hAnsi="Arial" w:cs="Arial"/>
          <w:sz w:val="22"/>
          <w:szCs w:val="22"/>
        </w:rPr>
        <w:t xml:space="preserve"> </w:t>
      </w:r>
      <w:bookmarkStart w:id="16" w:name="_Hlk172883872"/>
      <w:r w:rsidR="00FC7AC9" w:rsidRPr="00FC7AC9">
        <w:rPr>
          <w:rFonts w:ascii="Arial" w:hAnsi="Arial" w:cs="Arial"/>
          <w:sz w:val="22"/>
          <w:szCs w:val="22"/>
        </w:rPr>
        <w:t>(Newham Council, 2021</w:t>
      </w:r>
      <w:r w:rsidR="001326A0">
        <w:rPr>
          <w:rFonts w:ascii="Arial" w:hAnsi="Arial" w:cs="Arial"/>
          <w:sz w:val="22"/>
          <w:szCs w:val="22"/>
        </w:rPr>
        <w:t>b</w:t>
      </w:r>
      <w:r w:rsidR="00FC7AC9" w:rsidRPr="00FC7AC9">
        <w:rPr>
          <w:rFonts w:ascii="Arial" w:hAnsi="Arial" w:cs="Arial"/>
          <w:sz w:val="22"/>
          <w:szCs w:val="22"/>
        </w:rPr>
        <w:t>).</w:t>
      </w:r>
      <w:bookmarkEnd w:id="16"/>
    </w:p>
    <w:p w14:paraId="402C17C4" w14:textId="0F09108E" w:rsidR="004577A3" w:rsidRDefault="00F03300" w:rsidP="00356C7E">
      <w:pPr>
        <w:pStyle w:val="Heading1"/>
        <w:rPr>
          <w:rFonts w:ascii="Arial" w:hAnsi="Arial" w:cs="Arial"/>
          <w:b/>
          <w:bCs/>
          <w:color w:val="auto"/>
          <w:sz w:val="22"/>
          <w:szCs w:val="22"/>
        </w:rPr>
      </w:pPr>
      <w:bookmarkStart w:id="17" w:name="_Toc174374212"/>
      <w:r w:rsidRPr="00356C7E">
        <w:rPr>
          <w:rFonts w:ascii="Arial" w:hAnsi="Arial" w:cs="Arial"/>
          <w:b/>
          <w:bCs/>
          <w:color w:val="auto"/>
          <w:sz w:val="22"/>
          <w:szCs w:val="22"/>
        </w:rPr>
        <w:t>THEORI</w:t>
      </w:r>
      <w:r w:rsidR="00356C7E" w:rsidRPr="00356C7E">
        <w:rPr>
          <w:rFonts w:ascii="Arial" w:hAnsi="Arial" w:cs="Arial"/>
          <w:b/>
          <w:bCs/>
          <w:color w:val="auto"/>
          <w:sz w:val="22"/>
          <w:szCs w:val="22"/>
        </w:rPr>
        <w:t>TICAL APPROACH</w:t>
      </w:r>
      <w:bookmarkEnd w:id="17"/>
    </w:p>
    <w:p w14:paraId="3DA25A8A" w14:textId="76BA00D8" w:rsidR="001E3985" w:rsidRDefault="002060E2" w:rsidP="00216AE2">
      <w:pPr>
        <w:spacing w:line="360" w:lineRule="auto"/>
        <w:jc w:val="both"/>
        <w:rPr>
          <w:rFonts w:ascii="Arial" w:hAnsi="Arial" w:cs="Arial"/>
          <w:sz w:val="22"/>
          <w:szCs w:val="22"/>
        </w:rPr>
      </w:pPr>
      <w:r>
        <w:rPr>
          <w:rFonts w:ascii="Arial" w:hAnsi="Arial" w:cs="Arial"/>
          <w:sz w:val="22"/>
          <w:szCs w:val="22"/>
        </w:rPr>
        <w:t>O</w:t>
      </w:r>
      <w:r w:rsidRPr="002060E2">
        <w:rPr>
          <w:rFonts w:ascii="Arial" w:hAnsi="Arial" w:cs="Arial"/>
          <w:sz w:val="22"/>
          <w:szCs w:val="22"/>
        </w:rPr>
        <w:t>wing to the significant prevalence of childhood obesity, which stands as one of the most critical public health concerns in Newham</w:t>
      </w:r>
      <w:r w:rsidR="008F3733">
        <w:rPr>
          <w:rFonts w:ascii="Arial" w:hAnsi="Arial" w:cs="Arial"/>
          <w:sz w:val="22"/>
          <w:szCs w:val="22"/>
        </w:rPr>
        <w:t xml:space="preserve"> </w:t>
      </w:r>
      <w:r w:rsidR="008F3733" w:rsidRPr="008F3733">
        <w:rPr>
          <w:rFonts w:ascii="Arial" w:hAnsi="Arial" w:cs="Arial"/>
          <w:sz w:val="22"/>
          <w:szCs w:val="22"/>
        </w:rPr>
        <w:t>(Public Health England, 2018)</w:t>
      </w:r>
      <w:r w:rsidR="00944760">
        <w:rPr>
          <w:rFonts w:ascii="Arial" w:hAnsi="Arial" w:cs="Arial"/>
          <w:sz w:val="22"/>
          <w:szCs w:val="22"/>
        </w:rPr>
        <w:t>,</w:t>
      </w:r>
      <w:r>
        <w:rPr>
          <w:rFonts w:ascii="Arial" w:hAnsi="Arial" w:cs="Arial"/>
          <w:sz w:val="22"/>
          <w:szCs w:val="22"/>
        </w:rPr>
        <w:t xml:space="preserve"> </w:t>
      </w:r>
      <w:r w:rsidR="00930C3E">
        <w:rPr>
          <w:rFonts w:ascii="Arial" w:hAnsi="Arial" w:cs="Arial"/>
          <w:sz w:val="22"/>
          <w:szCs w:val="22"/>
        </w:rPr>
        <w:t>t</w:t>
      </w:r>
      <w:r w:rsidR="00901C96" w:rsidRPr="00901C96">
        <w:rPr>
          <w:rFonts w:ascii="Arial" w:hAnsi="Arial" w:cs="Arial"/>
          <w:sz w:val="22"/>
          <w:szCs w:val="22"/>
        </w:rPr>
        <w:t>o provide a comprehensive framework and understand the multifaceted influences on childhood obesity in the Newham area, the Ecological Systems Theory demonstrates that the development of a child from birth is affected by various environmental systems, which interact with each other in the following ways</w:t>
      </w:r>
      <w:r w:rsidR="00B0024B">
        <w:rPr>
          <w:rFonts w:ascii="Arial" w:hAnsi="Arial" w:cs="Arial"/>
          <w:sz w:val="22"/>
          <w:szCs w:val="22"/>
        </w:rPr>
        <w:t xml:space="preserve"> </w:t>
      </w:r>
      <w:bookmarkStart w:id="18" w:name="_Hlk172191461"/>
      <w:r w:rsidR="00B0024B" w:rsidRPr="00B0024B">
        <w:rPr>
          <w:rFonts w:ascii="Arial" w:hAnsi="Arial" w:cs="Arial"/>
          <w:sz w:val="22"/>
          <w:szCs w:val="22"/>
        </w:rPr>
        <w:t>(Darling, 2007)</w:t>
      </w:r>
      <w:r w:rsidR="00216AE2">
        <w:rPr>
          <w:rFonts w:ascii="Arial" w:hAnsi="Arial" w:cs="Arial"/>
          <w:sz w:val="22"/>
          <w:szCs w:val="22"/>
        </w:rPr>
        <w:t xml:space="preserve">. </w:t>
      </w:r>
      <w:bookmarkEnd w:id="18"/>
      <w:r w:rsidR="00216AE2" w:rsidRPr="00216AE2">
        <w:rPr>
          <w:rFonts w:ascii="Arial" w:hAnsi="Arial" w:cs="Arial"/>
          <w:sz w:val="22"/>
          <w:szCs w:val="22"/>
        </w:rPr>
        <w:t>From birth, family influence plays a crucial role in shaping a child's eating habits, significantly impacting their nutritional development</w:t>
      </w:r>
      <w:r w:rsidR="0012680D">
        <w:rPr>
          <w:rFonts w:ascii="Arial" w:hAnsi="Arial" w:cs="Arial"/>
          <w:sz w:val="22"/>
          <w:szCs w:val="22"/>
        </w:rPr>
        <w:t xml:space="preserve"> </w:t>
      </w:r>
      <w:r w:rsidR="0012680D" w:rsidRPr="0012680D">
        <w:rPr>
          <w:rFonts w:ascii="Arial" w:hAnsi="Arial" w:cs="Arial"/>
          <w:sz w:val="22"/>
          <w:szCs w:val="22"/>
        </w:rPr>
        <w:t>(Larsen et al., 2015)</w:t>
      </w:r>
      <w:r w:rsidR="00216AE2" w:rsidRPr="00216AE2">
        <w:rPr>
          <w:rFonts w:ascii="Arial" w:hAnsi="Arial" w:cs="Arial"/>
          <w:sz w:val="22"/>
          <w:szCs w:val="22"/>
        </w:rPr>
        <w:t xml:space="preserve">. Family practices, including how parents comply with guidelines or collaborate with teachers during </w:t>
      </w:r>
      <w:r w:rsidR="00216AE2" w:rsidRPr="00216AE2">
        <w:rPr>
          <w:rFonts w:ascii="Arial" w:hAnsi="Arial" w:cs="Arial"/>
          <w:sz w:val="22"/>
          <w:szCs w:val="22"/>
        </w:rPr>
        <w:t>mealtimes</w:t>
      </w:r>
      <w:r w:rsidR="00216AE2" w:rsidRPr="00216AE2">
        <w:rPr>
          <w:rFonts w:ascii="Arial" w:hAnsi="Arial" w:cs="Arial"/>
          <w:sz w:val="22"/>
          <w:szCs w:val="22"/>
        </w:rPr>
        <w:t xml:space="preserve"> both at home and in school, are key factors in determining a child's relationship with food, thereby promoting better nutrition</w:t>
      </w:r>
      <w:r w:rsidR="0012680D">
        <w:rPr>
          <w:rFonts w:ascii="Arial" w:hAnsi="Arial" w:cs="Arial"/>
          <w:sz w:val="22"/>
          <w:szCs w:val="22"/>
        </w:rPr>
        <w:t xml:space="preserve"> </w:t>
      </w:r>
      <w:r w:rsidR="0012680D" w:rsidRPr="0012680D">
        <w:rPr>
          <w:rFonts w:ascii="Arial" w:hAnsi="Arial" w:cs="Arial"/>
          <w:sz w:val="22"/>
          <w:szCs w:val="22"/>
        </w:rPr>
        <w:t>(Ortega Hinojosa et al., 2018)</w:t>
      </w:r>
      <w:r w:rsidR="00216AE2" w:rsidRPr="00216AE2">
        <w:rPr>
          <w:rFonts w:ascii="Arial" w:hAnsi="Arial" w:cs="Arial"/>
          <w:sz w:val="22"/>
          <w:szCs w:val="22"/>
        </w:rPr>
        <w:t>. Conversely, parental unemployment or extended work hours can indirectly reduce the resources available for ensuring a healthy diet for the child</w:t>
      </w:r>
      <w:r w:rsidR="00E43392">
        <w:rPr>
          <w:rFonts w:ascii="Arial" w:hAnsi="Arial" w:cs="Arial"/>
          <w:sz w:val="22"/>
          <w:szCs w:val="22"/>
        </w:rPr>
        <w:t xml:space="preserve"> </w:t>
      </w:r>
      <w:r w:rsidR="00E43392" w:rsidRPr="00E43392">
        <w:rPr>
          <w:rFonts w:ascii="Arial" w:hAnsi="Arial" w:cs="Arial"/>
          <w:sz w:val="22"/>
          <w:szCs w:val="22"/>
        </w:rPr>
        <w:t>(Darling, 2007)</w:t>
      </w:r>
      <w:r w:rsidR="00216AE2" w:rsidRPr="00216AE2">
        <w:rPr>
          <w:rFonts w:ascii="Arial" w:hAnsi="Arial" w:cs="Arial"/>
          <w:sz w:val="22"/>
          <w:szCs w:val="22"/>
        </w:rPr>
        <w:t xml:space="preserve">. Additionally, cultural and religious values within the child's environment can impose dietary restrictions or aesthetic standards, further influencing their eating </w:t>
      </w:r>
      <w:r w:rsidR="00620FCA" w:rsidRPr="00216AE2">
        <w:rPr>
          <w:rFonts w:ascii="Arial" w:hAnsi="Arial" w:cs="Arial"/>
          <w:sz w:val="22"/>
          <w:szCs w:val="22"/>
        </w:rPr>
        <w:t>behaviours</w:t>
      </w:r>
      <w:r w:rsidR="002E382B">
        <w:rPr>
          <w:rFonts w:ascii="Arial" w:hAnsi="Arial" w:cs="Arial"/>
          <w:sz w:val="22"/>
          <w:szCs w:val="22"/>
        </w:rPr>
        <w:t xml:space="preserve"> </w:t>
      </w:r>
      <w:r w:rsidR="00F93AEA" w:rsidRPr="00F93AEA">
        <w:rPr>
          <w:rFonts w:ascii="Arial" w:hAnsi="Arial" w:cs="Arial"/>
          <w:sz w:val="22"/>
          <w:szCs w:val="22"/>
        </w:rPr>
        <w:t>(Meyer-Rochow, 2009)</w:t>
      </w:r>
      <w:r w:rsidR="00216AE2" w:rsidRPr="00216AE2">
        <w:rPr>
          <w:rFonts w:ascii="Arial" w:hAnsi="Arial" w:cs="Arial"/>
          <w:sz w:val="22"/>
          <w:szCs w:val="22"/>
        </w:rPr>
        <w:t>. Moreover, throughout a child's development into adulthood, social changes and alterations in family dynamics can profoundly affect their access to nutritious food</w:t>
      </w:r>
      <w:r w:rsidR="00CD37D0">
        <w:rPr>
          <w:rFonts w:ascii="Arial" w:hAnsi="Arial" w:cs="Arial"/>
          <w:sz w:val="22"/>
          <w:szCs w:val="22"/>
        </w:rPr>
        <w:t xml:space="preserve"> </w:t>
      </w:r>
      <w:r w:rsidR="00CD37D0" w:rsidRPr="00CD37D0">
        <w:rPr>
          <w:rFonts w:ascii="Arial" w:hAnsi="Arial" w:cs="Arial"/>
          <w:sz w:val="22"/>
          <w:szCs w:val="22"/>
        </w:rPr>
        <w:t>(Boxer et al., 2023)</w:t>
      </w:r>
      <w:r w:rsidR="00216AE2" w:rsidRPr="00216AE2">
        <w:rPr>
          <w:rFonts w:ascii="Arial" w:hAnsi="Arial" w:cs="Arial"/>
          <w:sz w:val="22"/>
          <w:szCs w:val="22"/>
        </w:rPr>
        <w:t>. Major events, such as the COVID-19 pandemic, economic inflation, or parental divorce, can lead to significant changes in the child's nutritional intake</w:t>
      </w:r>
      <w:r w:rsidR="00CD37D0">
        <w:rPr>
          <w:rFonts w:ascii="Arial" w:hAnsi="Arial" w:cs="Arial"/>
          <w:sz w:val="22"/>
          <w:szCs w:val="22"/>
        </w:rPr>
        <w:t xml:space="preserve"> </w:t>
      </w:r>
      <w:r w:rsidR="00CD37D0" w:rsidRPr="00CD37D0">
        <w:rPr>
          <w:rFonts w:ascii="Arial" w:hAnsi="Arial" w:cs="Arial"/>
          <w:sz w:val="22"/>
          <w:szCs w:val="22"/>
        </w:rPr>
        <w:t>(Boxer et al., 2023)</w:t>
      </w:r>
      <w:r w:rsidR="00216AE2" w:rsidRPr="00216AE2">
        <w:rPr>
          <w:rFonts w:ascii="Arial" w:hAnsi="Arial" w:cs="Arial"/>
          <w:sz w:val="22"/>
          <w:szCs w:val="22"/>
        </w:rPr>
        <w:t>.</w:t>
      </w:r>
    </w:p>
    <w:p w14:paraId="03A96407" w14:textId="77777777" w:rsidR="000603D9" w:rsidRDefault="00AA48F3" w:rsidP="00DD2623">
      <w:pPr>
        <w:pStyle w:val="Heading1"/>
        <w:rPr>
          <w:rFonts w:ascii="Arial" w:hAnsi="Arial" w:cs="Arial"/>
          <w:b/>
          <w:bCs/>
          <w:color w:val="auto"/>
          <w:sz w:val="22"/>
          <w:szCs w:val="22"/>
        </w:rPr>
      </w:pPr>
      <w:bookmarkStart w:id="19" w:name="_Toc174374213"/>
      <w:r w:rsidRPr="00DD2623">
        <w:rPr>
          <w:rFonts w:ascii="Arial" w:hAnsi="Arial" w:cs="Arial"/>
          <w:b/>
          <w:bCs/>
          <w:color w:val="auto"/>
          <w:sz w:val="22"/>
          <w:szCs w:val="22"/>
        </w:rPr>
        <w:t xml:space="preserve">THE USE OF </w:t>
      </w:r>
      <w:r w:rsidR="00B14AF1" w:rsidRPr="00DD2623">
        <w:rPr>
          <w:rFonts w:ascii="Arial" w:hAnsi="Arial" w:cs="Arial"/>
          <w:b/>
          <w:bCs/>
          <w:color w:val="auto"/>
          <w:sz w:val="22"/>
          <w:szCs w:val="22"/>
        </w:rPr>
        <w:t xml:space="preserve">MEDIA AND SOCIAL COMMUNICATION TO PROMOTE HEALTHY EATING HABITS IN </w:t>
      </w:r>
      <w:r w:rsidR="00253035" w:rsidRPr="00DD2623">
        <w:rPr>
          <w:rFonts w:ascii="Arial" w:hAnsi="Arial" w:cs="Arial"/>
          <w:b/>
          <w:bCs/>
          <w:color w:val="auto"/>
          <w:sz w:val="22"/>
          <w:szCs w:val="22"/>
        </w:rPr>
        <w:t>NEWHAM</w:t>
      </w:r>
      <w:bookmarkEnd w:id="19"/>
    </w:p>
    <w:p w14:paraId="039D1654" w14:textId="4756978F" w:rsidR="00C3478E" w:rsidRDefault="00F861AC" w:rsidP="009F3C0B">
      <w:pPr>
        <w:spacing w:line="360" w:lineRule="auto"/>
        <w:jc w:val="both"/>
        <w:rPr>
          <w:rFonts w:ascii="Arial" w:hAnsi="Arial" w:cs="Arial"/>
          <w:sz w:val="22"/>
          <w:szCs w:val="22"/>
        </w:rPr>
      </w:pPr>
      <w:r w:rsidRPr="00F861AC">
        <w:rPr>
          <w:rFonts w:ascii="Arial" w:hAnsi="Arial" w:cs="Arial"/>
          <w:sz w:val="22"/>
          <w:szCs w:val="22"/>
        </w:rPr>
        <w:t>To promote healthy living habits and help reduce childhood obesity rates in the Newham area, a social media campaign was created to involve families, educational centres, the local council, public institutions, and food distribution companies such as cat</w:t>
      </w:r>
      <w:r>
        <w:rPr>
          <w:rFonts w:ascii="Arial" w:hAnsi="Arial" w:cs="Arial"/>
          <w:sz w:val="22"/>
          <w:szCs w:val="22"/>
        </w:rPr>
        <w:t>erings</w:t>
      </w:r>
      <w:r w:rsidRPr="00F861AC">
        <w:rPr>
          <w:rFonts w:ascii="Arial" w:hAnsi="Arial" w:cs="Arial"/>
          <w:sz w:val="22"/>
          <w:szCs w:val="22"/>
        </w:rPr>
        <w:t xml:space="preserve">, supermarkets and charities. This campaign included informational and awareness-raising efforts, using the </w:t>
      </w:r>
      <w:r w:rsidR="002D59A0">
        <w:rPr>
          <w:rFonts w:ascii="Arial" w:hAnsi="Arial" w:cs="Arial"/>
          <w:sz w:val="22"/>
          <w:szCs w:val="22"/>
        </w:rPr>
        <w:t>‘</w:t>
      </w:r>
      <w:r w:rsidRPr="00F861AC">
        <w:rPr>
          <w:rFonts w:ascii="Arial" w:hAnsi="Arial" w:cs="Arial"/>
          <w:sz w:val="22"/>
          <w:szCs w:val="22"/>
        </w:rPr>
        <w:t>Harvard Healthy Eating Plate</w:t>
      </w:r>
      <w:r w:rsidR="002D59A0">
        <w:rPr>
          <w:rFonts w:ascii="Arial" w:hAnsi="Arial" w:cs="Arial"/>
          <w:sz w:val="22"/>
          <w:szCs w:val="22"/>
        </w:rPr>
        <w:t>’</w:t>
      </w:r>
      <w:r w:rsidRPr="00F861AC">
        <w:rPr>
          <w:rFonts w:ascii="Arial" w:hAnsi="Arial" w:cs="Arial"/>
          <w:sz w:val="22"/>
          <w:szCs w:val="22"/>
        </w:rPr>
        <w:t xml:space="preserve"> as a reference</w:t>
      </w:r>
      <w:r w:rsidR="00666763">
        <w:rPr>
          <w:rFonts w:ascii="Arial" w:hAnsi="Arial" w:cs="Arial"/>
          <w:sz w:val="22"/>
          <w:szCs w:val="22"/>
        </w:rPr>
        <w:t xml:space="preserve"> </w:t>
      </w:r>
      <w:r w:rsidR="00666763" w:rsidRPr="00666763">
        <w:rPr>
          <w:rFonts w:ascii="Arial" w:hAnsi="Arial" w:cs="Arial"/>
          <w:sz w:val="22"/>
          <w:szCs w:val="22"/>
        </w:rPr>
        <w:t>(Harvard University, 2012)</w:t>
      </w:r>
      <w:r w:rsidRPr="00F861AC">
        <w:rPr>
          <w:rFonts w:ascii="Arial" w:hAnsi="Arial" w:cs="Arial"/>
          <w:sz w:val="22"/>
          <w:szCs w:val="22"/>
        </w:rPr>
        <w:t>.</w:t>
      </w:r>
      <w:r w:rsidR="005303D1">
        <w:rPr>
          <w:rFonts w:ascii="Arial" w:hAnsi="Arial" w:cs="Arial"/>
          <w:sz w:val="22"/>
          <w:szCs w:val="22"/>
        </w:rPr>
        <w:t xml:space="preserve"> </w:t>
      </w:r>
      <w:r w:rsidR="009F3C0B" w:rsidRPr="009F3C0B">
        <w:rPr>
          <w:rFonts w:ascii="Arial" w:hAnsi="Arial" w:cs="Arial"/>
          <w:sz w:val="22"/>
          <w:szCs w:val="22"/>
        </w:rPr>
        <w:t>The Healthy Eating Plate, developed by experts at the Harvard T.H. Chan School of Public Health, serves as a benchmark for healthy eating by including the necessary nutritional balances for a nutrient-rich diet with appropriate amounts of proteins, carbohydrates, and healthy fats</w:t>
      </w:r>
      <w:r w:rsidR="007F4492">
        <w:rPr>
          <w:rFonts w:ascii="Arial" w:hAnsi="Arial" w:cs="Arial"/>
          <w:sz w:val="22"/>
          <w:szCs w:val="22"/>
        </w:rPr>
        <w:t xml:space="preserve"> </w:t>
      </w:r>
      <w:r w:rsidR="007F4492" w:rsidRPr="007F4492">
        <w:rPr>
          <w:rFonts w:ascii="Arial" w:hAnsi="Arial" w:cs="Arial"/>
          <w:sz w:val="22"/>
          <w:szCs w:val="22"/>
        </w:rPr>
        <w:t>(Harvard University, 2012)</w:t>
      </w:r>
      <w:r w:rsidR="009F3C0B" w:rsidRPr="009F3C0B">
        <w:rPr>
          <w:rFonts w:ascii="Arial" w:hAnsi="Arial" w:cs="Arial"/>
          <w:sz w:val="22"/>
          <w:szCs w:val="22"/>
        </w:rPr>
        <w:t xml:space="preserve">. It suggests that each plate, for both children and adults, should be composed </w:t>
      </w:r>
      <w:r w:rsidR="00050A04">
        <w:rPr>
          <w:rFonts w:ascii="Arial" w:hAnsi="Arial" w:cs="Arial"/>
          <w:sz w:val="22"/>
          <w:szCs w:val="22"/>
        </w:rPr>
        <w:t>for v</w:t>
      </w:r>
      <w:r w:rsidR="009F3C0B" w:rsidRPr="00050A04">
        <w:rPr>
          <w:rFonts w:ascii="Arial" w:hAnsi="Arial" w:cs="Arial"/>
          <w:sz w:val="22"/>
          <w:szCs w:val="22"/>
        </w:rPr>
        <w:t xml:space="preserve">egetables and </w:t>
      </w:r>
      <w:r w:rsidR="00160398">
        <w:rPr>
          <w:rFonts w:ascii="Arial" w:hAnsi="Arial" w:cs="Arial"/>
          <w:sz w:val="22"/>
          <w:szCs w:val="22"/>
        </w:rPr>
        <w:t>f</w:t>
      </w:r>
      <w:r w:rsidR="009F3C0B" w:rsidRPr="00050A04">
        <w:rPr>
          <w:rFonts w:ascii="Arial" w:hAnsi="Arial" w:cs="Arial"/>
          <w:sz w:val="22"/>
          <w:szCs w:val="22"/>
        </w:rPr>
        <w:t>ruit</w:t>
      </w:r>
      <w:r w:rsidR="00160398">
        <w:rPr>
          <w:rFonts w:ascii="Arial" w:hAnsi="Arial" w:cs="Arial"/>
          <w:sz w:val="22"/>
          <w:szCs w:val="22"/>
        </w:rPr>
        <w:t>s</w:t>
      </w:r>
      <w:r w:rsidR="009F3C0B" w:rsidRPr="009F3C0B">
        <w:rPr>
          <w:rFonts w:ascii="Arial" w:hAnsi="Arial" w:cs="Arial"/>
          <w:sz w:val="22"/>
          <w:szCs w:val="22"/>
        </w:rPr>
        <w:t xml:space="preserve"> </w:t>
      </w:r>
      <w:r w:rsidR="00160398" w:rsidRPr="009F3C0B">
        <w:rPr>
          <w:rFonts w:ascii="Arial" w:hAnsi="Arial" w:cs="Arial"/>
          <w:sz w:val="22"/>
          <w:szCs w:val="22"/>
        </w:rPr>
        <w:t>occup</w:t>
      </w:r>
      <w:r w:rsidR="00160398">
        <w:rPr>
          <w:rFonts w:ascii="Arial" w:hAnsi="Arial" w:cs="Arial"/>
          <w:sz w:val="22"/>
          <w:szCs w:val="22"/>
        </w:rPr>
        <w:t>ying</w:t>
      </w:r>
      <w:r w:rsidR="009F3C0B" w:rsidRPr="009F3C0B">
        <w:rPr>
          <w:rFonts w:ascii="Arial" w:hAnsi="Arial" w:cs="Arial"/>
          <w:sz w:val="22"/>
          <w:szCs w:val="22"/>
        </w:rPr>
        <w:t xml:space="preserve"> half of the plate, with a greater emphasis on vegetables. Caloric vegetables like potatoes and starchy tubers should be limited</w:t>
      </w:r>
      <w:r w:rsidR="007F4492">
        <w:rPr>
          <w:rFonts w:ascii="Arial" w:hAnsi="Arial" w:cs="Arial"/>
          <w:sz w:val="22"/>
          <w:szCs w:val="22"/>
        </w:rPr>
        <w:t xml:space="preserve"> </w:t>
      </w:r>
      <w:bookmarkStart w:id="20" w:name="_Hlk172279317"/>
      <w:r w:rsidR="007F4492" w:rsidRPr="007F4492">
        <w:rPr>
          <w:rFonts w:ascii="Arial" w:hAnsi="Arial" w:cs="Arial"/>
          <w:sz w:val="22"/>
          <w:szCs w:val="22"/>
        </w:rPr>
        <w:t>(Harvard University, 2012)</w:t>
      </w:r>
      <w:r w:rsidR="007F4492">
        <w:rPr>
          <w:rFonts w:ascii="Arial" w:hAnsi="Arial" w:cs="Arial"/>
          <w:sz w:val="22"/>
          <w:szCs w:val="22"/>
        </w:rPr>
        <w:t>.</w:t>
      </w:r>
      <w:bookmarkEnd w:id="20"/>
      <w:r w:rsidR="007D1479">
        <w:rPr>
          <w:rFonts w:ascii="Arial" w:hAnsi="Arial" w:cs="Arial"/>
          <w:sz w:val="22"/>
          <w:szCs w:val="22"/>
        </w:rPr>
        <w:t xml:space="preserve"> A</w:t>
      </w:r>
      <w:r w:rsidR="009F3C0B" w:rsidRPr="009F3C0B">
        <w:rPr>
          <w:rFonts w:ascii="Arial" w:hAnsi="Arial" w:cs="Arial"/>
          <w:sz w:val="22"/>
          <w:szCs w:val="22"/>
        </w:rPr>
        <w:t xml:space="preserve"> quarter of the plate</w:t>
      </w:r>
      <w:r w:rsidR="009E51A5">
        <w:rPr>
          <w:rFonts w:ascii="Arial" w:hAnsi="Arial" w:cs="Arial"/>
          <w:sz w:val="22"/>
          <w:szCs w:val="22"/>
        </w:rPr>
        <w:t xml:space="preserve"> must </w:t>
      </w:r>
      <w:r w:rsidR="00AA3318">
        <w:rPr>
          <w:rFonts w:ascii="Arial" w:hAnsi="Arial" w:cs="Arial"/>
          <w:sz w:val="22"/>
          <w:szCs w:val="22"/>
        </w:rPr>
        <w:t>contain</w:t>
      </w:r>
      <w:r w:rsidR="009E51A5">
        <w:rPr>
          <w:rFonts w:ascii="Arial" w:hAnsi="Arial" w:cs="Arial"/>
          <w:sz w:val="22"/>
          <w:szCs w:val="22"/>
        </w:rPr>
        <w:t xml:space="preserve"> whole grains</w:t>
      </w:r>
      <w:r w:rsidR="009F3C0B" w:rsidRPr="009F3C0B">
        <w:rPr>
          <w:rFonts w:ascii="Arial" w:hAnsi="Arial" w:cs="Arial"/>
          <w:sz w:val="22"/>
          <w:szCs w:val="22"/>
        </w:rPr>
        <w:t>, avoiding refined flours or white rice</w:t>
      </w:r>
      <w:r w:rsidR="0024450D">
        <w:rPr>
          <w:rFonts w:ascii="Arial" w:hAnsi="Arial" w:cs="Arial"/>
          <w:sz w:val="22"/>
          <w:szCs w:val="22"/>
        </w:rPr>
        <w:t>,</w:t>
      </w:r>
      <w:r w:rsidR="007F4492">
        <w:rPr>
          <w:rFonts w:ascii="Arial" w:hAnsi="Arial" w:cs="Arial"/>
          <w:sz w:val="22"/>
          <w:szCs w:val="22"/>
        </w:rPr>
        <w:t xml:space="preserve"> </w:t>
      </w:r>
      <w:r w:rsidR="00C028CC">
        <w:rPr>
          <w:rFonts w:ascii="Arial" w:hAnsi="Arial" w:cs="Arial"/>
          <w:sz w:val="22"/>
          <w:szCs w:val="22"/>
        </w:rPr>
        <w:t>and</w:t>
      </w:r>
      <w:r w:rsidR="002146C9">
        <w:rPr>
          <w:rFonts w:ascii="Arial" w:hAnsi="Arial" w:cs="Arial"/>
          <w:sz w:val="22"/>
          <w:szCs w:val="22"/>
        </w:rPr>
        <w:t xml:space="preserve"> t</w:t>
      </w:r>
      <w:r w:rsidR="009F3C0B" w:rsidRPr="009F3C0B">
        <w:rPr>
          <w:rFonts w:ascii="Arial" w:hAnsi="Arial" w:cs="Arial"/>
          <w:sz w:val="22"/>
          <w:szCs w:val="22"/>
        </w:rPr>
        <w:t xml:space="preserve">he remaining quarter </w:t>
      </w:r>
      <w:r w:rsidR="00CA1DA9">
        <w:rPr>
          <w:rFonts w:ascii="Arial" w:hAnsi="Arial" w:cs="Arial"/>
          <w:sz w:val="22"/>
          <w:szCs w:val="22"/>
        </w:rPr>
        <w:t xml:space="preserve">of the plate </w:t>
      </w:r>
      <w:r w:rsidR="009F3C0B" w:rsidRPr="009F3C0B">
        <w:rPr>
          <w:rFonts w:ascii="Arial" w:hAnsi="Arial" w:cs="Arial"/>
          <w:sz w:val="22"/>
          <w:szCs w:val="22"/>
        </w:rPr>
        <w:t>should be filled with proteins, preferably plant-based like legumes and nuts, or animal-based such as fish and poultry. Red and processed meats should be avoided</w:t>
      </w:r>
      <w:r w:rsidR="007F4492">
        <w:rPr>
          <w:rFonts w:ascii="Arial" w:hAnsi="Arial" w:cs="Arial"/>
          <w:sz w:val="22"/>
          <w:szCs w:val="22"/>
        </w:rPr>
        <w:t xml:space="preserve"> </w:t>
      </w:r>
      <w:r w:rsidR="007F4492" w:rsidRPr="007F4492">
        <w:rPr>
          <w:rFonts w:ascii="Arial" w:hAnsi="Arial" w:cs="Arial"/>
          <w:sz w:val="22"/>
          <w:szCs w:val="22"/>
        </w:rPr>
        <w:t>(Harvard University, 2012)</w:t>
      </w:r>
      <w:r w:rsidR="00AA3318">
        <w:rPr>
          <w:rFonts w:ascii="Arial" w:hAnsi="Arial" w:cs="Arial"/>
          <w:sz w:val="22"/>
          <w:szCs w:val="22"/>
        </w:rPr>
        <w:t>.</w:t>
      </w:r>
      <w:r w:rsidR="00AA3318">
        <w:rPr>
          <w:rFonts w:ascii="Arial" w:hAnsi="Arial" w:cs="Arial"/>
          <w:b/>
          <w:bCs/>
          <w:sz w:val="22"/>
          <w:szCs w:val="22"/>
        </w:rPr>
        <w:t xml:space="preserve"> </w:t>
      </w:r>
      <w:r w:rsidR="009F3C0B" w:rsidRPr="009F3C0B">
        <w:rPr>
          <w:rFonts w:ascii="Arial" w:hAnsi="Arial" w:cs="Arial"/>
          <w:sz w:val="22"/>
          <w:szCs w:val="22"/>
        </w:rPr>
        <w:t>Additionally, healthy oils should be used in cooking or as dressings, avoiding butter and oils high in trans fats</w:t>
      </w:r>
      <w:r w:rsidR="00507377">
        <w:rPr>
          <w:rFonts w:ascii="Arial" w:hAnsi="Arial" w:cs="Arial"/>
          <w:sz w:val="22"/>
          <w:szCs w:val="22"/>
        </w:rPr>
        <w:t xml:space="preserve">. </w:t>
      </w:r>
      <w:r w:rsidR="00182903">
        <w:rPr>
          <w:rFonts w:ascii="Arial" w:hAnsi="Arial" w:cs="Arial"/>
          <w:sz w:val="22"/>
          <w:szCs w:val="22"/>
        </w:rPr>
        <w:t xml:space="preserve"> </w:t>
      </w:r>
      <w:r w:rsidR="009F3C0B" w:rsidRPr="009F3C0B">
        <w:rPr>
          <w:rFonts w:ascii="Arial" w:hAnsi="Arial" w:cs="Arial"/>
          <w:sz w:val="22"/>
          <w:szCs w:val="22"/>
        </w:rPr>
        <w:t>The meal should be accompanied by sugar-free beverages like water, tea, or coffee, with milk and juice</w:t>
      </w:r>
      <w:r w:rsidR="00040FC6">
        <w:rPr>
          <w:rFonts w:ascii="Arial" w:hAnsi="Arial" w:cs="Arial"/>
          <w:sz w:val="22"/>
          <w:szCs w:val="22"/>
        </w:rPr>
        <w:t>s</w:t>
      </w:r>
      <w:r w:rsidR="009F3C0B" w:rsidRPr="009F3C0B">
        <w:rPr>
          <w:rFonts w:ascii="Arial" w:hAnsi="Arial" w:cs="Arial"/>
          <w:sz w:val="22"/>
          <w:szCs w:val="22"/>
        </w:rPr>
        <w:t xml:space="preserve"> limited to one or two glasses a day, and sodas and energy drinks should be avoided</w:t>
      </w:r>
      <w:r w:rsidR="00710E2B">
        <w:rPr>
          <w:rFonts w:ascii="Arial" w:hAnsi="Arial" w:cs="Arial"/>
          <w:sz w:val="22"/>
          <w:szCs w:val="22"/>
        </w:rPr>
        <w:t xml:space="preserve"> </w:t>
      </w:r>
      <w:r w:rsidR="00710E2B" w:rsidRPr="00710E2B">
        <w:rPr>
          <w:rFonts w:ascii="Arial" w:hAnsi="Arial" w:cs="Arial"/>
          <w:sz w:val="22"/>
          <w:szCs w:val="22"/>
        </w:rPr>
        <w:t>(Harvard University, 2012)</w:t>
      </w:r>
      <w:r w:rsidR="009F3C0B" w:rsidRPr="009F3C0B">
        <w:rPr>
          <w:rFonts w:ascii="Arial" w:hAnsi="Arial" w:cs="Arial"/>
          <w:sz w:val="22"/>
          <w:szCs w:val="22"/>
        </w:rPr>
        <w:t>. Experts also recommend incorporating daily exercise routines to help maintain a healthy weight and body mass</w:t>
      </w:r>
      <w:r w:rsidR="00710E2B">
        <w:rPr>
          <w:rFonts w:ascii="Arial" w:hAnsi="Arial" w:cs="Arial"/>
          <w:sz w:val="22"/>
          <w:szCs w:val="22"/>
        </w:rPr>
        <w:t xml:space="preserve"> </w:t>
      </w:r>
      <w:r w:rsidR="00710E2B" w:rsidRPr="00710E2B">
        <w:rPr>
          <w:rFonts w:ascii="Arial" w:hAnsi="Arial" w:cs="Arial"/>
          <w:sz w:val="22"/>
          <w:szCs w:val="22"/>
        </w:rPr>
        <w:t>(Harvard University, 2012).</w:t>
      </w:r>
      <w:r w:rsidR="0057755A">
        <w:rPr>
          <w:rFonts w:ascii="Arial" w:hAnsi="Arial" w:cs="Arial"/>
          <w:sz w:val="22"/>
          <w:szCs w:val="22"/>
        </w:rPr>
        <w:t xml:space="preserve"> </w:t>
      </w:r>
      <w:r w:rsidR="00A4280B" w:rsidRPr="00A4280B">
        <w:rPr>
          <w:rFonts w:ascii="Arial" w:hAnsi="Arial" w:cs="Arial"/>
          <w:sz w:val="22"/>
          <w:szCs w:val="22"/>
        </w:rPr>
        <w:t xml:space="preserve">To promote awareness of this dietary style, a Facebook </w:t>
      </w:r>
      <w:r w:rsidR="003B125D">
        <w:rPr>
          <w:rFonts w:ascii="Arial" w:hAnsi="Arial" w:cs="Arial"/>
          <w:sz w:val="22"/>
          <w:szCs w:val="22"/>
        </w:rPr>
        <w:t>g</w:t>
      </w:r>
      <w:r w:rsidR="003B3E79">
        <w:rPr>
          <w:rFonts w:ascii="Arial" w:hAnsi="Arial" w:cs="Arial"/>
          <w:sz w:val="22"/>
          <w:szCs w:val="22"/>
        </w:rPr>
        <w:t>roup</w:t>
      </w:r>
      <w:r w:rsidR="00A4280B" w:rsidRPr="00A4280B">
        <w:rPr>
          <w:rFonts w:ascii="Arial" w:hAnsi="Arial" w:cs="Arial"/>
          <w:sz w:val="22"/>
          <w:szCs w:val="22"/>
        </w:rPr>
        <w:t xml:space="preserve"> was created where families and schools could find recommendations and share posts and ideas through the chat, encouraging the inclusion of the Harvard Healthy Eating Plate in daily meals at home and in school</w:t>
      </w:r>
      <w:r w:rsidR="001B7294">
        <w:rPr>
          <w:rFonts w:ascii="Arial" w:hAnsi="Arial" w:cs="Arial"/>
          <w:sz w:val="22"/>
          <w:szCs w:val="22"/>
        </w:rPr>
        <w:t xml:space="preserve"> </w:t>
      </w:r>
      <w:r w:rsidR="001B7294" w:rsidRPr="001B7294">
        <w:rPr>
          <w:rFonts w:ascii="Arial" w:hAnsi="Arial" w:cs="Arial"/>
          <w:sz w:val="22"/>
          <w:szCs w:val="22"/>
        </w:rPr>
        <w:t> (Str</w:t>
      </w:r>
      <w:r w:rsidR="001B7294">
        <w:rPr>
          <w:rFonts w:ascii="Arial" w:hAnsi="Arial" w:cs="Arial"/>
          <w:sz w:val="22"/>
          <w:szCs w:val="22"/>
        </w:rPr>
        <w:t>o</w:t>
      </w:r>
      <w:r w:rsidR="001B7294" w:rsidRPr="001B7294">
        <w:rPr>
          <w:rFonts w:ascii="Arial" w:hAnsi="Arial" w:cs="Arial"/>
          <w:sz w:val="22"/>
          <w:szCs w:val="22"/>
        </w:rPr>
        <w:t>mme et al., 2014)</w:t>
      </w:r>
      <w:r w:rsidR="00A4280B" w:rsidRPr="00A4280B">
        <w:rPr>
          <w:rFonts w:ascii="Arial" w:hAnsi="Arial" w:cs="Arial"/>
          <w:sz w:val="22"/>
          <w:szCs w:val="22"/>
        </w:rPr>
        <w:t>.</w:t>
      </w:r>
      <w:r w:rsidR="00B86D9E">
        <w:rPr>
          <w:rFonts w:ascii="Arial" w:hAnsi="Arial" w:cs="Arial"/>
          <w:sz w:val="22"/>
          <w:szCs w:val="22"/>
        </w:rPr>
        <w:t xml:space="preserve"> </w:t>
      </w:r>
      <w:r w:rsidR="00A4280B" w:rsidRPr="00A4280B">
        <w:rPr>
          <w:rFonts w:ascii="Arial" w:hAnsi="Arial" w:cs="Arial"/>
          <w:sz w:val="22"/>
          <w:szCs w:val="22"/>
        </w:rPr>
        <w:t xml:space="preserve"> A TikTok </w:t>
      </w:r>
      <w:r w:rsidR="00DB4A5D">
        <w:rPr>
          <w:rFonts w:ascii="Arial" w:hAnsi="Arial" w:cs="Arial"/>
          <w:sz w:val="22"/>
          <w:szCs w:val="22"/>
        </w:rPr>
        <w:t>channel</w:t>
      </w:r>
      <w:r w:rsidR="00A4280B" w:rsidRPr="00A4280B">
        <w:rPr>
          <w:rFonts w:ascii="Arial" w:hAnsi="Arial" w:cs="Arial"/>
          <w:sz w:val="22"/>
          <w:szCs w:val="22"/>
        </w:rPr>
        <w:t xml:space="preserve"> was launched to upload videos of collaborators sharing healthy recipes and motivating young people to create exercise routines and workouts at home, in the gym, or outdoors</w:t>
      </w:r>
      <w:r w:rsidR="006D23C5">
        <w:rPr>
          <w:rFonts w:ascii="Arial" w:hAnsi="Arial" w:cs="Arial"/>
          <w:sz w:val="22"/>
          <w:szCs w:val="22"/>
        </w:rPr>
        <w:t xml:space="preserve"> </w:t>
      </w:r>
      <w:r w:rsidR="006D23C5" w:rsidRPr="006D23C5">
        <w:rPr>
          <w:rFonts w:ascii="Arial" w:hAnsi="Arial" w:cs="Arial"/>
          <w:sz w:val="22"/>
          <w:szCs w:val="22"/>
        </w:rPr>
        <w:t> (Str</w:t>
      </w:r>
      <w:r w:rsidR="006D23C5">
        <w:rPr>
          <w:rFonts w:ascii="Arial" w:hAnsi="Arial" w:cs="Arial"/>
          <w:sz w:val="22"/>
          <w:szCs w:val="22"/>
        </w:rPr>
        <w:t>o</w:t>
      </w:r>
      <w:r w:rsidR="006D23C5" w:rsidRPr="006D23C5">
        <w:rPr>
          <w:rFonts w:ascii="Arial" w:hAnsi="Arial" w:cs="Arial"/>
          <w:sz w:val="22"/>
          <w:szCs w:val="22"/>
        </w:rPr>
        <w:t>mme et al., 2014)</w:t>
      </w:r>
      <w:r w:rsidR="00A4280B" w:rsidRPr="00A4280B">
        <w:rPr>
          <w:rFonts w:ascii="Arial" w:hAnsi="Arial" w:cs="Arial"/>
          <w:sz w:val="22"/>
          <w:szCs w:val="22"/>
        </w:rPr>
        <w:t>. Lastly, an informational campaign was established on Twitter</w:t>
      </w:r>
      <w:r w:rsidR="00AD6FB1">
        <w:rPr>
          <w:rFonts w:ascii="Arial" w:hAnsi="Arial" w:cs="Arial"/>
          <w:sz w:val="22"/>
          <w:szCs w:val="22"/>
        </w:rPr>
        <w:t>,</w:t>
      </w:r>
      <w:r w:rsidR="00A4280B" w:rsidRPr="00A4280B">
        <w:rPr>
          <w:rFonts w:ascii="Arial" w:hAnsi="Arial" w:cs="Arial"/>
          <w:sz w:val="22"/>
          <w:szCs w:val="22"/>
        </w:rPr>
        <w:t xml:space="preserve"> to raise awareness among public</w:t>
      </w:r>
      <w:r w:rsidR="00770E5A">
        <w:rPr>
          <w:rFonts w:ascii="Arial" w:hAnsi="Arial" w:cs="Arial"/>
          <w:sz w:val="22"/>
          <w:szCs w:val="22"/>
        </w:rPr>
        <w:t xml:space="preserve"> and private</w:t>
      </w:r>
      <w:r w:rsidR="00A4280B" w:rsidRPr="00A4280B">
        <w:rPr>
          <w:rFonts w:ascii="Arial" w:hAnsi="Arial" w:cs="Arial"/>
          <w:sz w:val="22"/>
          <w:szCs w:val="22"/>
        </w:rPr>
        <w:t xml:space="preserve"> organizations</w:t>
      </w:r>
      <w:r w:rsidR="00C97F49">
        <w:rPr>
          <w:rFonts w:ascii="Arial" w:hAnsi="Arial" w:cs="Arial"/>
          <w:sz w:val="22"/>
          <w:szCs w:val="22"/>
        </w:rPr>
        <w:t>,</w:t>
      </w:r>
      <w:r w:rsidR="00A4280B" w:rsidRPr="00A4280B">
        <w:rPr>
          <w:rFonts w:ascii="Arial" w:hAnsi="Arial" w:cs="Arial"/>
          <w:sz w:val="22"/>
          <w:szCs w:val="22"/>
        </w:rPr>
        <w:t xml:space="preserve"> about the importance of promoting the Harvard Healthy Eating Plate in food donations and community kitchens</w:t>
      </w:r>
      <w:r w:rsidR="006D23C5" w:rsidRPr="006D23C5">
        <w:rPr>
          <w:rFonts w:ascii="Arial" w:hAnsi="Arial" w:cs="Arial"/>
          <w:sz w:val="22"/>
          <w:szCs w:val="22"/>
        </w:rPr>
        <w:t> (Str</w:t>
      </w:r>
      <w:r w:rsidR="006D23C5">
        <w:rPr>
          <w:rFonts w:ascii="Arial" w:hAnsi="Arial" w:cs="Arial"/>
          <w:sz w:val="22"/>
          <w:szCs w:val="22"/>
        </w:rPr>
        <w:t>o</w:t>
      </w:r>
      <w:r w:rsidR="006D23C5" w:rsidRPr="006D23C5">
        <w:rPr>
          <w:rFonts w:ascii="Arial" w:hAnsi="Arial" w:cs="Arial"/>
          <w:sz w:val="22"/>
          <w:szCs w:val="22"/>
        </w:rPr>
        <w:t>mme et al., 2014)</w:t>
      </w:r>
      <w:r w:rsidR="00A4280B" w:rsidRPr="00A4280B">
        <w:rPr>
          <w:rFonts w:ascii="Arial" w:hAnsi="Arial" w:cs="Arial"/>
          <w:sz w:val="22"/>
          <w:szCs w:val="22"/>
        </w:rPr>
        <w:t>.</w:t>
      </w:r>
      <w:r w:rsidR="00537C78">
        <w:rPr>
          <w:rFonts w:ascii="Arial" w:hAnsi="Arial" w:cs="Arial"/>
          <w:sz w:val="22"/>
          <w:szCs w:val="22"/>
        </w:rPr>
        <w:t xml:space="preserve"> </w:t>
      </w:r>
      <w:r w:rsidR="0047357F" w:rsidRPr="0047357F">
        <w:rPr>
          <w:rFonts w:ascii="Arial" w:hAnsi="Arial" w:cs="Arial"/>
          <w:sz w:val="22"/>
          <w:szCs w:val="22"/>
        </w:rPr>
        <w:t>The hashtags used in these campaigns were: #Thegreenplate and #Donatehealthyfood.</w:t>
      </w:r>
      <w:r w:rsidR="00F832DC">
        <w:rPr>
          <w:rFonts w:ascii="Arial" w:hAnsi="Arial" w:cs="Arial"/>
          <w:sz w:val="22"/>
          <w:szCs w:val="22"/>
        </w:rPr>
        <w:t xml:space="preserve"> </w:t>
      </w:r>
      <w:r w:rsidR="00710E2B">
        <w:rPr>
          <w:rFonts w:ascii="Arial" w:hAnsi="Arial" w:cs="Arial"/>
          <w:sz w:val="22"/>
          <w:szCs w:val="22"/>
        </w:rPr>
        <w:t xml:space="preserve"> </w:t>
      </w:r>
    </w:p>
    <w:p w14:paraId="33B29B4E" w14:textId="3D2F806A" w:rsidR="00291426" w:rsidRDefault="000C67C8" w:rsidP="000C67C8">
      <w:pPr>
        <w:pStyle w:val="Heading1"/>
        <w:rPr>
          <w:rFonts w:ascii="Arial" w:hAnsi="Arial" w:cs="Arial"/>
          <w:b/>
          <w:bCs/>
          <w:color w:val="auto"/>
          <w:sz w:val="22"/>
          <w:szCs w:val="22"/>
        </w:rPr>
      </w:pPr>
      <w:bookmarkStart w:id="21" w:name="_Toc174374214"/>
      <w:r w:rsidRPr="000C67C8">
        <w:rPr>
          <w:rFonts w:ascii="Arial" w:hAnsi="Arial" w:cs="Arial"/>
          <w:b/>
          <w:bCs/>
          <w:color w:val="auto"/>
          <w:sz w:val="22"/>
          <w:szCs w:val="22"/>
        </w:rPr>
        <w:t>RECOMMENDATIONS</w:t>
      </w:r>
      <w:bookmarkEnd w:id="21"/>
      <w:r w:rsidRPr="000C67C8">
        <w:rPr>
          <w:rFonts w:ascii="Arial" w:hAnsi="Arial" w:cs="Arial"/>
          <w:b/>
          <w:bCs/>
          <w:color w:val="auto"/>
          <w:sz w:val="22"/>
          <w:szCs w:val="22"/>
        </w:rPr>
        <w:t xml:space="preserve"> </w:t>
      </w:r>
    </w:p>
    <w:p w14:paraId="1E33F15A" w14:textId="45D9D0FC" w:rsidR="00C3478E" w:rsidRDefault="00172B6D" w:rsidP="00172B6D">
      <w:pPr>
        <w:spacing w:line="360" w:lineRule="auto"/>
        <w:jc w:val="both"/>
        <w:rPr>
          <w:rFonts w:ascii="Arial" w:hAnsi="Arial" w:cs="Arial"/>
          <w:sz w:val="22"/>
          <w:szCs w:val="22"/>
        </w:rPr>
      </w:pPr>
      <w:r w:rsidRPr="00172B6D">
        <w:rPr>
          <w:rFonts w:ascii="Arial" w:hAnsi="Arial" w:cs="Arial"/>
          <w:sz w:val="22"/>
          <w:szCs w:val="22"/>
        </w:rPr>
        <w:t>In the United Kingdom, policies to reduce food waste were approved, leading to awareness campaigns targeting both production sectors and households</w:t>
      </w:r>
      <w:r w:rsidR="00604796">
        <w:rPr>
          <w:rFonts w:ascii="Arial" w:hAnsi="Arial" w:cs="Arial"/>
          <w:sz w:val="22"/>
          <w:szCs w:val="22"/>
        </w:rPr>
        <w:t xml:space="preserve"> </w:t>
      </w:r>
      <w:r w:rsidR="00604796" w:rsidRPr="00604796">
        <w:rPr>
          <w:rFonts w:ascii="Arial" w:hAnsi="Arial" w:cs="Arial"/>
          <w:sz w:val="22"/>
          <w:szCs w:val="22"/>
        </w:rPr>
        <w:t>(Patel et al., 2021)</w:t>
      </w:r>
      <w:r w:rsidRPr="00172B6D">
        <w:rPr>
          <w:rFonts w:ascii="Arial" w:hAnsi="Arial" w:cs="Arial"/>
          <w:sz w:val="22"/>
          <w:szCs w:val="22"/>
        </w:rPr>
        <w:t>. These campaigns also resulted in initiatives for donation plans by supermarkets and restaurants, as well as physical and online platforms for the reuse of surplus food through sales or even donations, thereby preventing the waste of usable food</w:t>
      </w:r>
      <w:r w:rsidR="00C21B28">
        <w:rPr>
          <w:rFonts w:ascii="Arial" w:hAnsi="Arial" w:cs="Arial"/>
          <w:sz w:val="22"/>
          <w:szCs w:val="22"/>
        </w:rPr>
        <w:t xml:space="preserve"> </w:t>
      </w:r>
      <w:r w:rsidR="00C21B28" w:rsidRPr="00C21B28">
        <w:rPr>
          <w:rFonts w:ascii="Arial" w:hAnsi="Arial" w:cs="Arial"/>
          <w:sz w:val="22"/>
          <w:szCs w:val="22"/>
        </w:rPr>
        <w:t>(Patel et al., 2021)</w:t>
      </w:r>
      <w:r w:rsidRPr="00172B6D">
        <w:rPr>
          <w:rFonts w:ascii="Arial" w:hAnsi="Arial" w:cs="Arial"/>
          <w:sz w:val="22"/>
          <w:szCs w:val="22"/>
        </w:rPr>
        <w:t>. However, it is necessary to create regulations to ensure that food donations are healthier</w:t>
      </w:r>
      <w:r w:rsidR="00840D2C">
        <w:rPr>
          <w:rFonts w:ascii="Arial" w:hAnsi="Arial" w:cs="Arial"/>
          <w:sz w:val="22"/>
          <w:szCs w:val="22"/>
        </w:rPr>
        <w:t xml:space="preserve"> </w:t>
      </w:r>
      <w:r w:rsidR="00840D2C" w:rsidRPr="00840D2C">
        <w:rPr>
          <w:rFonts w:ascii="Arial" w:hAnsi="Arial" w:cs="Arial"/>
          <w:sz w:val="22"/>
          <w:szCs w:val="22"/>
        </w:rPr>
        <w:t>(Lucy et al., 2022)</w:t>
      </w:r>
      <w:r w:rsidRPr="00172B6D">
        <w:rPr>
          <w:rFonts w:ascii="Arial" w:hAnsi="Arial" w:cs="Arial"/>
          <w:sz w:val="22"/>
          <w:szCs w:val="22"/>
        </w:rPr>
        <w:t>. According to</w:t>
      </w:r>
      <w:r w:rsidR="00BF3C54">
        <w:rPr>
          <w:rFonts w:ascii="Arial" w:hAnsi="Arial" w:cs="Arial"/>
          <w:sz w:val="22"/>
          <w:szCs w:val="22"/>
        </w:rPr>
        <w:t xml:space="preserve"> </w:t>
      </w:r>
      <w:r w:rsidR="00BF3C54" w:rsidRPr="00BF3C54">
        <w:rPr>
          <w:rFonts w:ascii="Arial" w:hAnsi="Arial" w:cs="Arial"/>
          <w:sz w:val="22"/>
          <w:szCs w:val="22"/>
        </w:rPr>
        <w:t>Lucy et al</w:t>
      </w:r>
      <w:r w:rsidR="00BF3C54">
        <w:rPr>
          <w:rFonts w:ascii="Arial" w:hAnsi="Arial" w:cs="Arial"/>
          <w:sz w:val="22"/>
          <w:szCs w:val="22"/>
        </w:rPr>
        <w:t xml:space="preserve"> (</w:t>
      </w:r>
      <w:r w:rsidR="00BF3C54" w:rsidRPr="00BF3C54">
        <w:rPr>
          <w:rFonts w:ascii="Arial" w:hAnsi="Arial" w:cs="Arial"/>
          <w:sz w:val="22"/>
          <w:szCs w:val="22"/>
        </w:rPr>
        <w:t>2022)</w:t>
      </w:r>
      <w:r w:rsidRPr="00172B6D">
        <w:rPr>
          <w:rFonts w:ascii="Arial" w:hAnsi="Arial" w:cs="Arial"/>
          <w:sz w:val="22"/>
          <w:szCs w:val="22"/>
        </w:rPr>
        <w:t xml:space="preserve">  studies that included the United Kingdom</w:t>
      </w:r>
      <w:r w:rsidR="00D05E85">
        <w:rPr>
          <w:rFonts w:ascii="Arial" w:hAnsi="Arial" w:cs="Arial"/>
          <w:sz w:val="22"/>
          <w:szCs w:val="22"/>
        </w:rPr>
        <w:t>,</w:t>
      </w:r>
      <w:r w:rsidRPr="00172B6D">
        <w:rPr>
          <w:rFonts w:ascii="Arial" w:hAnsi="Arial" w:cs="Arial"/>
          <w:sz w:val="22"/>
          <w:szCs w:val="22"/>
        </w:rPr>
        <w:t xml:space="preserve"> determined that a large portion of food donation packages were high in sugars and carbohydrates, with low nutritional levels.</w:t>
      </w:r>
      <w:r w:rsidR="004F5E20">
        <w:rPr>
          <w:rFonts w:ascii="Arial" w:hAnsi="Arial" w:cs="Arial"/>
          <w:sz w:val="22"/>
          <w:szCs w:val="22"/>
        </w:rPr>
        <w:t xml:space="preserve"> </w:t>
      </w:r>
      <w:r w:rsidR="00517DF2">
        <w:rPr>
          <w:rFonts w:ascii="Arial" w:hAnsi="Arial" w:cs="Arial"/>
          <w:sz w:val="22"/>
          <w:szCs w:val="22"/>
        </w:rPr>
        <w:t>On the other hand, p</w:t>
      </w:r>
      <w:r w:rsidR="00655383" w:rsidRPr="00655383">
        <w:rPr>
          <w:rFonts w:ascii="Arial" w:hAnsi="Arial" w:cs="Arial"/>
          <w:sz w:val="22"/>
          <w:szCs w:val="22"/>
        </w:rPr>
        <w:t>arental awareness campaigns are increasingly essential in contemporary society</w:t>
      </w:r>
      <w:r w:rsidR="00371EEE">
        <w:rPr>
          <w:rFonts w:ascii="Arial" w:hAnsi="Arial" w:cs="Arial"/>
          <w:sz w:val="22"/>
          <w:szCs w:val="22"/>
        </w:rPr>
        <w:t xml:space="preserve"> </w:t>
      </w:r>
      <w:bookmarkStart w:id="22" w:name="_Hlk172885854"/>
      <w:r w:rsidR="00371EEE" w:rsidRPr="00371EEE">
        <w:rPr>
          <w:rFonts w:ascii="Arial" w:hAnsi="Arial" w:cs="Arial"/>
          <w:sz w:val="22"/>
          <w:szCs w:val="22"/>
        </w:rPr>
        <w:t>(Latzer and Stein, 2013)</w:t>
      </w:r>
      <w:bookmarkEnd w:id="22"/>
      <w:r w:rsidR="00655383" w:rsidRPr="00655383">
        <w:rPr>
          <w:rFonts w:ascii="Arial" w:hAnsi="Arial" w:cs="Arial"/>
          <w:sz w:val="22"/>
          <w:szCs w:val="22"/>
        </w:rPr>
        <w:t>. Research indicates that parents with lower educational levels may not recognize the significance of addressing overweight issues in their children</w:t>
      </w:r>
      <w:r w:rsidR="00FF7363">
        <w:rPr>
          <w:rFonts w:ascii="Arial" w:hAnsi="Arial" w:cs="Arial"/>
          <w:sz w:val="22"/>
          <w:szCs w:val="22"/>
        </w:rPr>
        <w:t xml:space="preserve"> </w:t>
      </w:r>
      <w:r w:rsidR="00FF7363" w:rsidRPr="00FF7363">
        <w:rPr>
          <w:rFonts w:ascii="Arial" w:hAnsi="Arial" w:cs="Arial"/>
          <w:sz w:val="22"/>
          <w:szCs w:val="22"/>
        </w:rPr>
        <w:t>(Latzer and Stein, 2013)</w:t>
      </w:r>
      <w:r w:rsidR="00655383" w:rsidRPr="00655383">
        <w:rPr>
          <w:rFonts w:ascii="Arial" w:hAnsi="Arial" w:cs="Arial"/>
          <w:sz w:val="22"/>
          <w:szCs w:val="22"/>
        </w:rPr>
        <w:t>. Additionally, cultural differences can influence parental perceptions, with some cultures placing a greater emphasis on the risks associated with underweight rather than overweight in children</w:t>
      </w:r>
      <w:r w:rsidR="00FF7363">
        <w:rPr>
          <w:rFonts w:ascii="Arial" w:hAnsi="Arial" w:cs="Arial"/>
          <w:sz w:val="22"/>
          <w:szCs w:val="22"/>
        </w:rPr>
        <w:t xml:space="preserve"> </w:t>
      </w:r>
      <w:r w:rsidR="00FF7363" w:rsidRPr="00FF7363">
        <w:rPr>
          <w:rFonts w:ascii="Arial" w:hAnsi="Arial" w:cs="Arial"/>
          <w:sz w:val="22"/>
          <w:szCs w:val="22"/>
        </w:rPr>
        <w:t>(Latzer and Stein, 2013)</w:t>
      </w:r>
      <w:r w:rsidR="00655383" w:rsidRPr="00655383">
        <w:rPr>
          <w:rFonts w:ascii="Arial" w:hAnsi="Arial" w:cs="Arial"/>
          <w:sz w:val="22"/>
          <w:szCs w:val="22"/>
        </w:rPr>
        <w:t>. Therefore, targeted educational initiatives can help bridge these gaps, ensuring that parents across diverse backgrounds understand the health implications of both underweight and overweight conditions in their children</w:t>
      </w:r>
      <w:r w:rsidR="005F233E">
        <w:rPr>
          <w:rFonts w:ascii="Arial" w:hAnsi="Arial" w:cs="Arial"/>
          <w:sz w:val="22"/>
          <w:szCs w:val="22"/>
        </w:rPr>
        <w:t xml:space="preserve"> </w:t>
      </w:r>
      <w:r w:rsidR="00361BF7">
        <w:rPr>
          <w:rFonts w:ascii="Arial" w:hAnsi="Arial" w:cs="Arial"/>
          <w:sz w:val="22"/>
          <w:szCs w:val="22"/>
        </w:rPr>
        <w:t xml:space="preserve"> </w:t>
      </w:r>
      <w:r w:rsidR="00361BF7" w:rsidRPr="00361BF7">
        <w:rPr>
          <w:rFonts w:ascii="Arial" w:hAnsi="Arial" w:cs="Arial"/>
          <w:sz w:val="22"/>
          <w:szCs w:val="22"/>
        </w:rPr>
        <w:t>(Scaglioni et al., 2018).</w:t>
      </w:r>
      <w:r w:rsidR="00361BF7">
        <w:rPr>
          <w:rFonts w:ascii="Arial" w:hAnsi="Arial" w:cs="Arial"/>
          <w:sz w:val="22"/>
          <w:szCs w:val="22"/>
        </w:rPr>
        <w:t xml:space="preserve">  </w:t>
      </w:r>
      <w:r w:rsidR="00473CF9" w:rsidRPr="00473CF9">
        <w:rPr>
          <w:rFonts w:ascii="Arial" w:hAnsi="Arial" w:cs="Arial"/>
          <w:sz w:val="22"/>
          <w:szCs w:val="22"/>
        </w:rPr>
        <w:t>In addition, offering support to ensure low-income families have access to consultations with nutritionists</w:t>
      </w:r>
      <w:r w:rsidR="00042E76">
        <w:rPr>
          <w:rFonts w:ascii="Arial" w:hAnsi="Arial" w:cs="Arial"/>
          <w:sz w:val="22"/>
          <w:szCs w:val="22"/>
        </w:rPr>
        <w:t xml:space="preserve"> is crucial</w:t>
      </w:r>
      <w:r w:rsidR="008506FC">
        <w:rPr>
          <w:rFonts w:ascii="Arial" w:hAnsi="Arial" w:cs="Arial"/>
          <w:sz w:val="22"/>
          <w:szCs w:val="22"/>
        </w:rPr>
        <w:t>, s</w:t>
      </w:r>
      <w:r w:rsidR="00473CF9" w:rsidRPr="00473CF9">
        <w:rPr>
          <w:rFonts w:ascii="Arial" w:hAnsi="Arial" w:cs="Arial"/>
          <w:sz w:val="22"/>
          <w:szCs w:val="22"/>
        </w:rPr>
        <w:t>uch assistance can help these families receive personalized dietary guidance, which is often beyond their financial reach</w:t>
      </w:r>
      <w:r w:rsidR="002E6406">
        <w:rPr>
          <w:rFonts w:ascii="Arial" w:hAnsi="Arial" w:cs="Arial"/>
          <w:sz w:val="22"/>
          <w:szCs w:val="22"/>
        </w:rPr>
        <w:t xml:space="preserve"> </w:t>
      </w:r>
      <w:r w:rsidR="002E6406" w:rsidRPr="002E6406">
        <w:rPr>
          <w:rFonts w:ascii="Arial" w:hAnsi="Arial" w:cs="Arial"/>
          <w:sz w:val="22"/>
          <w:szCs w:val="22"/>
        </w:rPr>
        <w:t> (Wesley McWhorter</w:t>
      </w:r>
      <w:r w:rsidR="002E6406">
        <w:rPr>
          <w:rFonts w:ascii="Arial" w:hAnsi="Arial" w:cs="Arial"/>
          <w:sz w:val="22"/>
          <w:szCs w:val="22"/>
        </w:rPr>
        <w:t xml:space="preserve"> </w:t>
      </w:r>
      <w:r w:rsidR="00BD7616">
        <w:rPr>
          <w:rFonts w:ascii="Arial" w:hAnsi="Arial" w:cs="Arial"/>
          <w:sz w:val="22"/>
          <w:szCs w:val="22"/>
        </w:rPr>
        <w:t>et al.</w:t>
      </w:r>
      <w:r w:rsidR="002E6406" w:rsidRPr="002E6406">
        <w:rPr>
          <w:rFonts w:ascii="Arial" w:hAnsi="Arial" w:cs="Arial"/>
          <w:sz w:val="22"/>
          <w:szCs w:val="22"/>
        </w:rPr>
        <w:t>, 2022)</w:t>
      </w:r>
      <w:r w:rsidR="00BD7616">
        <w:rPr>
          <w:rFonts w:ascii="Arial" w:hAnsi="Arial" w:cs="Arial"/>
          <w:sz w:val="22"/>
          <w:szCs w:val="22"/>
        </w:rPr>
        <w:t>.</w:t>
      </w:r>
    </w:p>
    <w:p w14:paraId="63CD0E21" w14:textId="19DAE71A" w:rsidR="008B0CA7" w:rsidRPr="008B0CA7" w:rsidRDefault="008B0CA7" w:rsidP="008B0CA7">
      <w:pPr>
        <w:pStyle w:val="Heading1"/>
        <w:rPr>
          <w:rFonts w:ascii="Arial" w:hAnsi="Arial" w:cs="Arial"/>
          <w:b/>
          <w:bCs/>
          <w:color w:val="auto"/>
          <w:sz w:val="22"/>
          <w:szCs w:val="22"/>
        </w:rPr>
      </w:pPr>
      <w:bookmarkStart w:id="23" w:name="_Toc174374215"/>
      <w:r w:rsidRPr="008B0CA7">
        <w:rPr>
          <w:rFonts w:ascii="Arial" w:hAnsi="Arial" w:cs="Arial"/>
          <w:b/>
          <w:bCs/>
          <w:color w:val="auto"/>
          <w:sz w:val="22"/>
          <w:szCs w:val="22"/>
        </w:rPr>
        <w:t>CONCLUSION</w:t>
      </w:r>
      <w:bookmarkEnd w:id="23"/>
    </w:p>
    <w:p w14:paraId="50CD3C90" w14:textId="409CDDAB" w:rsidR="000B14CF" w:rsidRDefault="00CC0CE1" w:rsidP="009F3C0B">
      <w:pPr>
        <w:spacing w:line="360" w:lineRule="auto"/>
        <w:jc w:val="both"/>
        <w:rPr>
          <w:rFonts w:ascii="Arial" w:hAnsi="Arial" w:cs="Arial"/>
          <w:sz w:val="22"/>
          <w:szCs w:val="22"/>
        </w:rPr>
      </w:pPr>
      <w:r w:rsidRPr="00CC0CE1">
        <w:rPr>
          <w:rFonts w:ascii="Arial" w:hAnsi="Arial" w:cs="Arial"/>
          <w:sz w:val="22"/>
          <w:szCs w:val="22"/>
        </w:rPr>
        <w:t>In summary, the Newham borough in London faces a considerable challenge in addressing food insecurity, with childhood obesity emerging as a particularly pressing issue, as evidenced by data comparisons with both citywide and national figures. The combination of socioeconomic factors and a large youth population contributes to a complex environment where inequality is prevalent. Despite efforts by local authorities to enhance the quality of life for Newham residents through initiatives aimed at improving nutrition, this report offer</w:t>
      </w:r>
      <w:r w:rsidR="006F74D1">
        <w:rPr>
          <w:rFonts w:ascii="Arial" w:hAnsi="Arial" w:cs="Arial"/>
          <w:sz w:val="22"/>
          <w:szCs w:val="22"/>
        </w:rPr>
        <w:t>ed</w:t>
      </w:r>
      <w:r w:rsidRPr="00CC0CE1">
        <w:rPr>
          <w:rFonts w:ascii="Arial" w:hAnsi="Arial" w:cs="Arial"/>
          <w:sz w:val="22"/>
          <w:szCs w:val="22"/>
        </w:rPr>
        <w:t xml:space="preserve"> additional insights for further enhancing the nutritional value of food within social programs. It also emphasize</w:t>
      </w:r>
      <w:r w:rsidR="00706651">
        <w:rPr>
          <w:rFonts w:ascii="Arial" w:hAnsi="Arial" w:cs="Arial"/>
          <w:sz w:val="22"/>
          <w:szCs w:val="22"/>
        </w:rPr>
        <w:t>d</w:t>
      </w:r>
      <w:r w:rsidRPr="00CC0CE1">
        <w:rPr>
          <w:rFonts w:ascii="Arial" w:hAnsi="Arial" w:cs="Arial"/>
          <w:sz w:val="22"/>
          <w:szCs w:val="22"/>
        </w:rPr>
        <w:t xml:space="preserve"> the importance of investing in awareness campaigns targeted at both individuals and institutions to promote healthy eating practices.</w:t>
      </w:r>
      <w:r w:rsidR="00B654D3">
        <w:rPr>
          <w:rFonts w:ascii="Arial" w:hAnsi="Arial" w:cs="Arial"/>
          <w:sz w:val="22"/>
          <w:szCs w:val="22"/>
        </w:rPr>
        <w:t xml:space="preserve"> </w:t>
      </w:r>
      <w:r w:rsidR="00B654D3" w:rsidRPr="00B654D3">
        <w:rPr>
          <w:rFonts w:ascii="Arial" w:hAnsi="Arial" w:cs="Arial"/>
          <w:sz w:val="22"/>
          <w:szCs w:val="22"/>
        </w:rPr>
        <w:t>Newham can work towards reducing health disparities and improving the overall wellbeing of its residents.</w:t>
      </w:r>
    </w:p>
    <w:p w14:paraId="4D0DFF34" w14:textId="77777777" w:rsidR="000B14CF" w:rsidRDefault="000B14CF" w:rsidP="009F3C0B">
      <w:pPr>
        <w:spacing w:line="360" w:lineRule="auto"/>
        <w:jc w:val="both"/>
        <w:rPr>
          <w:rFonts w:ascii="Arial" w:hAnsi="Arial" w:cs="Arial"/>
          <w:sz w:val="22"/>
          <w:szCs w:val="22"/>
        </w:rPr>
      </w:pPr>
    </w:p>
    <w:p w14:paraId="11962232" w14:textId="77777777" w:rsidR="007A2CA6" w:rsidRPr="009F3C0B" w:rsidRDefault="007A2CA6" w:rsidP="009F3C0B">
      <w:pPr>
        <w:spacing w:line="360" w:lineRule="auto"/>
        <w:jc w:val="both"/>
        <w:rPr>
          <w:rFonts w:ascii="Arial" w:hAnsi="Arial" w:cs="Arial"/>
          <w:sz w:val="22"/>
          <w:szCs w:val="22"/>
        </w:rPr>
      </w:pPr>
    </w:p>
    <w:p w14:paraId="7990D78D" w14:textId="110C0858" w:rsidR="000603D9" w:rsidRPr="000603D9" w:rsidRDefault="000603D9" w:rsidP="000603D9">
      <w:pPr>
        <w:spacing w:line="360" w:lineRule="auto"/>
        <w:jc w:val="both"/>
        <w:rPr>
          <w:rFonts w:ascii="Arial" w:hAnsi="Arial" w:cs="Arial"/>
          <w:sz w:val="22"/>
          <w:szCs w:val="22"/>
        </w:rPr>
      </w:pPr>
    </w:p>
    <w:p w14:paraId="1B1B6AE0" w14:textId="146F25B4" w:rsidR="00555527" w:rsidRPr="00DD2623" w:rsidRDefault="00555527" w:rsidP="00DD2623">
      <w:pPr>
        <w:pStyle w:val="Heading1"/>
        <w:rPr>
          <w:rFonts w:ascii="Arial" w:hAnsi="Arial" w:cs="Arial"/>
          <w:b/>
          <w:bCs/>
          <w:sz w:val="22"/>
          <w:szCs w:val="22"/>
        </w:rPr>
      </w:pPr>
      <w:r w:rsidRPr="00DD2623">
        <w:rPr>
          <w:rFonts w:ascii="Arial" w:hAnsi="Arial" w:cs="Arial"/>
          <w:b/>
          <w:bCs/>
          <w:sz w:val="22"/>
          <w:szCs w:val="22"/>
        </w:rPr>
        <w:br w:type="page"/>
      </w:r>
    </w:p>
    <w:p w14:paraId="453CB25F" w14:textId="4A56A674" w:rsidR="009A27E8" w:rsidRPr="00F73A4D" w:rsidRDefault="00555527" w:rsidP="005D1239">
      <w:pPr>
        <w:pStyle w:val="Heading1"/>
        <w:rPr>
          <w:rFonts w:ascii="Arial" w:hAnsi="Arial" w:cs="Arial"/>
          <w:b/>
          <w:bCs/>
          <w:color w:val="auto"/>
          <w:sz w:val="22"/>
          <w:szCs w:val="22"/>
          <w:lang w:val="es-ES"/>
        </w:rPr>
      </w:pPr>
      <w:bookmarkStart w:id="24" w:name="_Toc174374216"/>
      <w:r w:rsidRPr="00F73A4D">
        <w:rPr>
          <w:rFonts w:ascii="Arial" w:hAnsi="Arial" w:cs="Arial"/>
          <w:b/>
          <w:bCs/>
          <w:color w:val="auto"/>
          <w:sz w:val="22"/>
          <w:szCs w:val="22"/>
          <w:lang w:val="es-ES"/>
        </w:rPr>
        <w:t>REFERENCES</w:t>
      </w:r>
      <w:bookmarkEnd w:id="24"/>
    </w:p>
    <w:p w14:paraId="356AA054" w14:textId="02E6B457" w:rsidR="00BD63A5" w:rsidRDefault="00DC602D">
      <w:pPr>
        <w:rPr>
          <w:rFonts w:ascii="Arial" w:hAnsi="Arial" w:cs="Arial"/>
          <w:sz w:val="22"/>
          <w:szCs w:val="22"/>
        </w:rPr>
      </w:pPr>
      <w:r w:rsidRPr="00F73A4D">
        <w:rPr>
          <w:rFonts w:ascii="Arial" w:hAnsi="Arial" w:cs="Arial" w:hint="eastAsia"/>
          <w:sz w:val="22"/>
          <w:szCs w:val="22"/>
          <w:lang w:val="es-ES"/>
        </w:rPr>
        <w:t xml:space="preserve">Aziz, N. (n.d.) </w:t>
      </w:r>
      <w:r w:rsidRPr="00DC602D">
        <w:rPr>
          <w:rFonts w:ascii="Arial" w:hAnsi="Arial" w:cs="Arial" w:hint="eastAsia"/>
          <w:i/>
          <w:iCs/>
          <w:sz w:val="22"/>
          <w:szCs w:val="22"/>
        </w:rPr>
        <w:t>Culture in Newham</w:t>
      </w:r>
      <w:r w:rsidRPr="00DC602D">
        <w:rPr>
          <w:rFonts w:ascii="Arial" w:hAnsi="Arial" w:cs="Arial" w:hint="eastAsia"/>
          <w:sz w:val="22"/>
          <w:szCs w:val="22"/>
        </w:rPr>
        <w:t xml:space="preserve">. Available at: </w:t>
      </w:r>
      <w:hyperlink r:id="rId9" w:history="1">
        <w:r w:rsidRPr="00DC602D">
          <w:rPr>
            <w:rStyle w:val="Hyperlink"/>
            <w:rFonts w:ascii="Arial" w:hAnsi="Arial" w:cs="Arial" w:hint="eastAsia"/>
            <w:sz w:val="22"/>
            <w:szCs w:val="22"/>
          </w:rPr>
          <w:t>https://www.newham.gov.uk/homepage/239/culture-in-newham</w:t>
        </w:r>
      </w:hyperlink>
      <w:r w:rsidRPr="00DC602D">
        <w:rPr>
          <w:rFonts w:ascii="Arial" w:hAnsi="Arial" w:cs="Arial" w:hint="eastAsia"/>
          <w:sz w:val="22"/>
          <w:szCs w:val="22"/>
        </w:rPr>
        <w:t xml:space="preserve">  (Accessed 1</w:t>
      </w:r>
      <w:r w:rsidR="000C5476">
        <w:rPr>
          <w:rFonts w:ascii="Arial" w:hAnsi="Arial" w:cs="Arial"/>
          <w:sz w:val="22"/>
          <w:szCs w:val="22"/>
        </w:rPr>
        <w:t xml:space="preserve">5 </w:t>
      </w:r>
      <w:r w:rsidRPr="00DC602D">
        <w:rPr>
          <w:rFonts w:ascii="Arial" w:hAnsi="Arial" w:cs="Arial" w:hint="eastAsia"/>
          <w:sz w:val="22"/>
          <w:szCs w:val="22"/>
        </w:rPr>
        <w:t>Ju</w:t>
      </w:r>
      <w:r w:rsidR="000C5476">
        <w:rPr>
          <w:rFonts w:ascii="Arial" w:hAnsi="Arial" w:cs="Arial"/>
          <w:sz w:val="22"/>
          <w:szCs w:val="22"/>
        </w:rPr>
        <w:t>ly</w:t>
      </w:r>
      <w:r w:rsidRPr="00DC602D">
        <w:rPr>
          <w:rFonts w:ascii="Arial" w:hAnsi="Arial" w:cs="Arial" w:hint="eastAsia"/>
          <w:sz w:val="22"/>
          <w:szCs w:val="22"/>
        </w:rPr>
        <w:t>. 2024).</w:t>
      </w:r>
    </w:p>
    <w:p w14:paraId="0A558DA8" w14:textId="03BAEEDF" w:rsidR="00E62264" w:rsidRDefault="00E62264">
      <w:pPr>
        <w:rPr>
          <w:rFonts w:ascii="Arial" w:hAnsi="Arial" w:cs="Arial"/>
          <w:sz w:val="22"/>
          <w:szCs w:val="22"/>
        </w:rPr>
      </w:pPr>
      <w:r w:rsidRPr="00E62264">
        <w:rPr>
          <w:rFonts w:ascii="Arial" w:hAnsi="Arial" w:cs="Arial"/>
          <w:sz w:val="22"/>
          <w:szCs w:val="22"/>
        </w:rPr>
        <w:t xml:space="preserve">Abbott, J. (1995) </w:t>
      </w:r>
      <w:r w:rsidR="00827035">
        <w:rPr>
          <w:rFonts w:ascii="Arial" w:hAnsi="Arial" w:cs="Arial"/>
          <w:sz w:val="22"/>
          <w:szCs w:val="22"/>
        </w:rPr>
        <w:t>‘</w:t>
      </w:r>
      <w:r w:rsidRPr="00E62264">
        <w:rPr>
          <w:rFonts w:ascii="Arial" w:hAnsi="Arial" w:cs="Arial"/>
          <w:sz w:val="22"/>
          <w:szCs w:val="22"/>
        </w:rPr>
        <w:t>Community participation and its relationship to Community Development</w:t>
      </w:r>
      <w:r w:rsidR="00827035">
        <w:rPr>
          <w:rFonts w:ascii="Arial" w:hAnsi="Arial" w:cs="Arial"/>
          <w:sz w:val="22"/>
          <w:szCs w:val="22"/>
        </w:rPr>
        <w:t>’</w:t>
      </w:r>
      <w:r w:rsidRPr="00E62264">
        <w:rPr>
          <w:rFonts w:ascii="Arial" w:hAnsi="Arial" w:cs="Arial"/>
          <w:sz w:val="22"/>
          <w:szCs w:val="22"/>
        </w:rPr>
        <w:t>. </w:t>
      </w:r>
      <w:r w:rsidRPr="00E62264">
        <w:rPr>
          <w:rFonts w:ascii="Arial" w:hAnsi="Arial" w:cs="Arial"/>
          <w:i/>
          <w:iCs/>
          <w:sz w:val="22"/>
          <w:szCs w:val="22"/>
        </w:rPr>
        <w:t>Community Development Journal</w:t>
      </w:r>
      <w:r w:rsidRPr="00E62264">
        <w:rPr>
          <w:rFonts w:ascii="Arial" w:hAnsi="Arial" w:cs="Arial"/>
          <w:sz w:val="22"/>
          <w:szCs w:val="22"/>
        </w:rPr>
        <w:t>, 30(2), pp.158–168.</w:t>
      </w:r>
      <w:r w:rsidR="00827035">
        <w:rPr>
          <w:rFonts w:ascii="Arial" w:hAnsi="Arial" w:cs="Arial"/>
          <w:sz w:val="22"/>
          <w:szCs w:val="22"/>
        </w:rPr>
        <w:t xml:space="preserve"> Available at: </w:t>
      </w:r>
      <w:r w:rsidRPr="00E62264">
        <w:rPr>
          <w:rFonts w:ascii="Arial" w:hAnsi="Arial" w:cs="Arial"/>
          <w:sz w:val="22"/>
          <w:szCs w:val="22"/>
        </w:rPr>
        <w:t>doi:https://doi.org/10.1093/cdj/30.2.158.</w:t>
      </w:r>
      <w:r w:rsidR="00827035">
        <w:rPr>
          <w:rFonts w:ascii="Arial" w:hAnsi="Arial" w:cs="Arial"/>
          <w:sz w:val="22"/>
          <w:szCs w:val="22"/>
        </w:rPr>
        <w:t xml:space="preserve"> </w:t>
      </w:r>
    </w:p>
    <w:p w14:paraId="3C4753F2" w14:textId="030F72C7" w:rsidR="009F6B09" w:rsidRDefault="009F6B09">
      <w:pPr>
        <w:rPr>
          <w:rFonts w:ascii="Arial" w:hAnsi="Arial" w:cs="Arial"/>
          <w:sz w:val="22"/>
          <w:szCs w:val="22"/>
        </w:rPr>
      </w:pPr>
      <w:r w:rsidRPr="009F6B09">
        <w:rPr>
          <w:rFonts w:ascii="Arial" w:hAnsi="Arial" w:cs="Arial"/>
          <w:sz w:val="22"/>
          <w:szCs w:val="22"/>
        </w:rPr>
        <w:t xml:space="preserve">Boxer B, </w:t>
      </w:r>
      <w:r w:rsidR="00534E7A">
        <w:rPr>
          <w:rFonts w:ascii="Arial" w:hAnsi="Arial" w:cs="Arial"/>
          <w:sz w:val="22"/>
          <w:szCs w:val="22"/>
        </w:rPr>
        <w:t xml:space="preserve">et al. </w:t>
      </w:r>
      <w:r w:rsidRPr="009F6B09">
        <w:rPr>
          <w:rFonts w:ascii="Arial" w:hAnsi="Arial" w:cs="Arial"/>
          <w:sz w:val="22"/>
          <w:szCs w:val="22"/>
        </w:rPr>
        <w:t xml:space="preserve">(2023) </w:t>
      </w:r>
      <w:r w:rsidR="00534E7A">
        <w:rPr>
          <w:rFonts w:ascii="Arial" w:hAnsi="Arial" w:cs="Arial"/>
          <w:sz w:val="22"/>
          <w:szCs w:val="22"/>
        </w:rPr>
        <w:t>‘</w:t>
      </w:r>
      <w:r w:rsidRPr="009F6B09">
        <w:rPr>
          <w:rFonts w:ascii="Arial" w:hAnsi="Arial" w:cs="Arial"/>
          <w:sz w:val="22"/>
          <w:szCs w:val="22"/>
        </w:rPr>
        <w:t>Rapid review of factors influencing dietary behaviors in Fiji</w:t>
      </w:r>
      <w:r w:rsidR="00FE0ACC">
        <w:rPr>
          <w:rFonts w:ascii="Arial" w:hAnsi="Arial" w:cs="Arial"/>
          <w:sz w:val="22"/>
          <w:szCs w:val="22"/>
        </w:rPr>
        <w:t>’</w:t>
      </w:r>
      <w:r w:rsidRPr="009F6B09">
        <w:rPr>
          <w:rFonts w:ascii="Arial" w:hAnsi="Arial" w:cs="Arial"/>
          <w:sz w:val="22"/>
          <w:szCs w:val="22"/>
        </w:rPr>
        <w:t xml:space="preserve">. </w:t>
      </w:r>
      <w:r w:rsidRPr="00FE0ACC">
        <w:rPr>
          <w:rFonts w:ascii="Arial" w:hAnsi="Arial" w:cs="Arial"/>
          <w:i/>
          <w:iCs/>
          <w:sz w:val="22"/>
          <w:szCs w:val="22"/>
        </w:rPr>
        <w:t>Front. Nutr.</w:t>
      </w:r>
      <w:r w:rsidRPr="009F6B09">
        <w:rPr>
          <w:rFonts w:ascii="Arial" w:hAnsi="Arial" w:cs="Arial"/>
          <w:sz w:val="22"/>
          <w:szCs w:val="22"/>
        </w:rPr>
        <w:t xml:space="preserve"> 10:1164855.</w:t>
      </w:r>
      <w:r w:rsidR="00FE0ACC">
        <w:rPr>
          <w:rFonts w:ascii="Arial" w:hAnsi="Arial" w:cs="Arial"/>
          <w:sz w:val="22"/>
          <w:szCs w:val="22"/>
        </w:rPr>
        <w:t xml:space="preserve"> Available at:</w:t>
      </w:r>
      <w:r w:rsidRPr="009F6B09">
        <w:rPr>
          <w:rFonts w:ascii="Arial" w:hAnsi="Arial" w:cs="Arial"/>
          <w:sz w:val="22"/>
          <w:szCs w:val="22"/>
        </w:rPr>
        <w:t xml:space="preserve"> </w:t>
      </w:r>
      <w:r w:rsidR="00DC4808" w:rsidRPr="00DC4808">
        <w:rPr>
          <w:rFonts w:ascii="Arial" w:hAnsi="Arial" w:cs="Arial"/>
          <w:sz w:val="22"/>
          <w:szCs w:val="22"/>
        </w:rPr>
        <w:t> </w:t>
      </w:r>
      <w:hyperlink r:id="rId10" w:history="1">
        <w:r w:rsidR="00DC4808" w:rsidRPr="00DC4808">
          <w:rPr>
            <w:rStyle w:val="Hyperlink"/>
            <w:rFonts w:ascii="Arial" w:hAnsi="Arial" w:cs="Arial"/>
            <w:sz w:val="22"/>
            <w:szCs w:val="22"/>
          </w:rPr>
          <w:t>https://doi.org/10.3389/fnut.2023.1164855</w:t>
        </w:r>
      </w:hyperlink>
    </w:p>
    <w:p w14:paraId="753AC3F7" w14:textId="5A9E2352" w:rsidR="00D62871" w:rsidRDefault="00D62871">
      <w:pPr>
        <w:rPr>
          <w:rFonts w:ascii="Arial" w:hAnsi="Arial" w:cs="Arial"/>
          <w:sz w:val="22"/>
          <w:szCs w:val="22"/>
        </w:rPr>
      </w:pPr>
      <w:r w:rsidRPr="00D62871">
        <w:rPr>
          <w:rFonts w:ascii="Arial" w:hAnsi="Arial" w:cs="Arial"/>
          <w:sz w:val="22"/>
          <w:szCs w:val="22"/>
        </w:rPr>
        <w:t xml:space="preserve">Compost London CIC </w:t>
      </w:r>
      <w:r>
        <w:rPr>
          <w:rFonts w:ascii="Arial" w:hAnsi="Arial" w:cs="Arial"/>
          <w:sz w:val="22"/>
          <w:szCs w:val="22"/>
        </w:rPr>
        <w:t>(</w:t>
      </w:r>
      <w:r w:rsidRPr="00D62871">
        <w:rPr>
          <w:rFonts w:ascii="Arial" w:hAnsi="Arial" w:cs="Arial"/>
          <w:sz w:val="22"/>
          <w:szCs w:val="22"/>
        </w:rPr>
        <w:t>2021)</w:t>
      </w:r>
      <w:r>
        <w:rPr>
          <w:rFonts w:ascii="Arial" w:hAnsi="Arial" w:cs="Arial"/>
          <w:sz w:val="22"/>
          <w:szCs w:val="22"/>
        </w:rPr>
        <w:t xml:space="preserve"> </w:t>
      </w:r>
      <w:r w:rsidR="001376F0" w:rsidRPr="001376F0">
        <w:rPr>
          <w:rFonts w:ascii="Arial" w:hAnsi="Arial" w:cs="Arial"/>
          <w:i/>
          <w:iCs/>
          <w:sz w:val="22"/>
          <w:szCs w:val="22"/>
        </w:rPr>
        <w:t>A detailed profile of key statistics about Newham</w:t>
      </w:r>
      <w:r w:rsidR="00020B0C">
        <w:rPr>
          <w:rFonts w:ascii="Arial" w:hAnsi="Arial" w:cs="Arial"/>
          <w:i/>
          <w:iCs/>
          <w:sz w:val="22"/>
          <w:szCs w:val="22"/>
        </w:rPr>
        <w:t xml:space="preserve">. </w:t>
      </w:r>
      <w:r w:rsidR="00020B0C">
        <w:rPr>
          <w:rFonts w:ascii="Arial" w:hAnsi="Arial" w:cs="Arial"/>
          <w:sz w:val="22"/>
          <w:szCs w:val="22"/>
        </w:rPr>
        <w:t xml:space="preserve">Available at: </w:t>
      </w:r>
      <w:hyperlink r:id="rId11" w:history="1">
        <w:r w:rsidR="00F40BEA" w:rsidRPr="00761A65">
          <w:rPr>
            <w:rStyle w:val="Hyperlink"/>
            <w:rFonts w:ascii="Arial" w:hAnsi="Arial" w:cs="Arial"/>
            <w:sz w:val="22"/>
            <w:szCs w:val="22"/>
          </w:rPr>
          <w:t>https://bonnydowns.org/wp-content/uploads/2021/09/Key-Newham-Statistics-2021.pdf</w:t>
        </w:r>
      </w:hyperlink>
      <w:r w:rsidR="00F40BEA">
        <w:rPr>
          <w:rFonts w:ascii="Arial" w:hAnsi="Arial" w:cs="Arial"/>
          <w:sz w:val="22"/>
          <w:szCs w:val="22"/>
        </w:rPr>
        <w:t xml:space="preserve"> (Accessed: 16 July 2024). </w:t>
      </w:r>
    </w:p>
    <w:p w14:paraId="5D2877C2" w14:textId="49B3E42E" w:rsidR="00B0024B" w:rsidRPr="00020B0C" w:rsidRDefault="00A44253">
      <w:pPr>
        <w:rPr>
          <w:rFonts w:ascii="Arial" w:hAnsi="Arial" w:cs="Arial"/>
          <w:sz w:val="22"/>
          <w:szCs w:val="22"/>
        </w:rPr>
      </w:pPr>
      <w:r w:rsidRPr="00A44253">
        <w:rPr>
          <w:rFonts w:ascii="Arial" w:hAnsi="Arial" w:cs="Arial" w:hint="eastAsia"/>
          <w:sz w:val="22"/>
          <w:szCs w:val="22"/>
        </w:rPr>
        <w:t>Darling, N. (2007)</w:t>
      </w:r>
      <w:r w:rsidRPr="00A44253">
        <w:rPr>
          <w:rFonts w:ascii="Arial" w:hAnsi="Arial" w:cs="Arial" w:hint="eastAsia"/>
          <w:sz w:val="22"/>
          <w:szCs w:val="22"/>
        </w:rPr>
        <w:t>‘</w:t>
      </w:r>
      <w:r w:rsidRPr="00A44253">
        <w:rPr>
          <w:rFonts w:ascii="Arial" w:hAnsi="Arial" w:cs="Arial" w:hint="eastAsia"/>
          <w:sz w:val="22"/>
          <w:szCs w:val="22"/>
        </w:rPr>
        <w:t xml:space="preserve">Ecological Systems Theory: The Person in the </w:t>
      </w:r>
      <w:r w:rsidRPr="00A44253">
        <w:rPr>
          <w:rFonts w:ascii="Arial" w:hAnsi="Arial" w:cs="Arial"/>
          <w:sz w:val="22"/>
          <w:szCs w:val="22"/>
        </w:rPr>
        <w:t>Centre</w:t>
      </w:r>
      <w:r w:rsidRPr="00A44253">
        <w:rPr>
          <w:rFonts w:ascii="Arial" w:hAnsi="Arial" w:cs="Arial" w:hint="eastAsia"/>
          <w:sz w:val="22"/>
          <w:szCs w:val="22"/>
        </w:rPr>
        <w:t xml:space="preserve"> of the Circles</w:t>
      </w:r>
      <w:r w:rsidR="00FC796E">
        <w:rPr>
          <w:rFonts w:ascii="Arial" w:hAnsi="Arial" w:cs="Arial"/>
          <w:i/>
          <w:iCs/>
          <w:sz w:val="22"/>
          <w:szCs w:val="22"/>
        </w:rPr>
        <w:t>’</w:t>
      </w:r>
      <w:r w:rsidRPr="00A44253">
        <w:rPr>
          <w:rFonts w:ascii="Arial" w:hAnsi="Arial" w:cs="Arial" w:hint="eastAsia"/>
          <w:i/>
          <w:iCs/>
          <w:sz w:val="22"/>
          <w:szCs w:val="22"/>
        </w:rPr>
        <w:t>. Research in Human Development,</w:t>
      </w:r>
      <w:r w:rsidRPr="00A44253">
        <w:rPr>
          <w:rFonts w:ascii="Arial" w:hAnsi="Arial" w:cs="Arial" w:hint="eastAsia"/>
          <w:sz w:val="22"/>
          <w:szCs w:val="22"/>
        </w:rPr>
        <w:t xml:space="preserve"> 4(3-4), pp.203</w:t>
      </w:r>
      <w:r w:rsidRPr="00A44253">
        <w:rPr>
          <w:rFonts w:ascii="Arial" w:hAnsi="Arial" w:cs="Arial" w:hint="eastAsia"/>
          <w:sz w:val="22"/>
          <w:szCs w:val="22"/>
        </w:rPr>
        <w:t>–</w:t>
      </w:r>
      <w:r w:rsidRPr="00A44253">
        <w:rPr>
          <w:rFonts w:ascii="Arial" w:hAnsi="Arial" w:cs="Arial" w:hint="eastAsia"/>
          <w:sz w:val="22"/>
          <w:szCs w:val="22"/>
        </w:rPr>
        <w:t>217. Available at: doi:https://doi.org/10.1080/15427600701663023</w:t>
      </w:r>
    </w:p>
    <w:p w14:paraId="0697789A" w14:textId="26BF0CAA" w:rsidR="00082B22" w:rsidRDefault="006C6831">
      <w:pPr>
        <w:rPr>
          <w:rFonts w:ascii="Arial" w:hAnsi="Arial" w:cs="Arial"/>
          <w:sz w:val="22"/>
          <w:szCs w:val="22"/>
        </w:rPr>
      </w:pPr>
      <w:r>
        <w:rPr>
          <w:rFonts w:ascii="Arial" w:hAnsi="Arial" w:cs="Arial"/>
          <w:sz w:val="22"/>
          <w:szCs w:val="22"/>
        </w:rPr>
        <w:t xml:space="preserve">Good Governance Improvement (2020) </w:t>
      </w:r>
      <w:r w:rsidR="00B03027">
        <w:rPr>
          <w:rFonts w:ascii="Arial" w:hAnsi="Arial" w:cs="Arial"/>
          <w:i/>
          <w:iCs/>
          <w:sz w:val="22"/>
          <w:szCs w:val="22"/>
        </w:rPr>
        <w:t>Defining Communities</w:t>
      </w:r>
      <w:r w:rsidR="003B0DEF">
        <w:rPr>
          <w:rFonts w:ascii="Arial" w:hAnsi="Arial" w:cs="Arial"/>
          <w:i/>
          <w:iCs/>
          <w:sz w:val="22"/>
          <w:szCs w:val="22"/>
        </w:rPr>
        <w:t xml:space="preserve">. </w:t>
      </w:r>
      <w:r w:rsidR="001902A7">
        <w:rPr>
          <w:rFonts w:ascii="Arial" w:hAnsi="Arial" w:cs="Arial"/>
          <w:sz w:val="22"/>
          <w:szCs w:val="22"/>
        </w:rPr>
        <w:t xml:space="preserve">Available at: </w:t>
      </w:r>
      <w:hyperlink r:id="rId12" w:history="1">
        <w:r w:rsidR="005D1239" w:rsidRPr="00E32977">
          <w:rPr>
            <w:rStyle w:val="Hyperlink"/>
            <w:rFonts w:ascii="Arial" w:hAnsi="Arial" w:cs="Arial"/>
            <w:sz w:val="22"/>
            <w:szCs w:val="22"/>
          </w:rPr>
          <w:t>https://www.good-governance.org.uk/publications/insights/defining-communities</w:t>
        </w:r>
      </w:hyperlink>
      <w:r w:rsidR="005D1239">
        <w:rPr>
          <w:rFonts w:ascii="Arial" w:hAnsi="Arial" w:cs="Arial"/>
          <w:sz w:val="22"/>
          <w:szCs w:val="22"/>
        </w:rPr>
        <w:t xml:space="preserve"> (Accessed: 12 July 2024). </w:t>
      </w:r>
    </w:p>
    <w:p w14:paraId="3A61B131" w14:textId="0FDAB8EC" w:rsidR="008E6ADB" w:rsidRDefault="00A051B0">
      <w:pPr>
        <w:rPr>
          <w:rFonts w:ascii="Arial" w:hAnsi="Arial" w:cs="Arial"/>
          <w:sz w:val="22"/>
          <w:szCs w:val="22"/>
        </w:rPr>
      </w:pPr>
      <w:r w:rsidRPr="00A051B0">
        <w:rPr>
          <w:rFonts w:ascii="Arial" w:hAnsi="Arial" w:cs="Arial" w:hint="eastAsia"/>
          <w:sz w:val="22"/>
          <w:szCs w:val="22"/>
        </w:rPr>
        <w:t xml:space="preserve">Gov.uk (2023) </w:t>
      </w:r>
      <w:r w:rsidRPr="00A051B0">
        <w:rPr>
          <w:rFonts w:ascii="Arial" w:hAnsi="Arial" w:cs="Arial" w:hint="eastAsia"/>
          <w:i/>
          <w:iCs/>
          <w:sz w:val="22"/>
          <w:szCs w:val="22"/>
        </w:rPr>
        <w:t xml:space="preserve">Links to legislation, regulations and statutory guidance. </w:t>
      </w:r>
      <w:r w:rsidRPr="00A051B0">
        <w:rPr>
          <w:rFonts w:ascii="Arial" w:hAnsi="Arial" w:cs="Arial" w:hint="eastAsia"/>
          <w:sz w:val="22"/>
          <w:szCs w:val="22"/>
        </w:rPr>
        <w:t xml:space="preserve">Available at: </w:t>
      </w:r>
      <w:hyperlink r:id="rId13" w:history="1">
        <w:r w:rsidRPr="00A051B0">
          <w:rPr>
            <w:rStyle w:val="Hyperlink"/>
            <w:rFonts w:ascii="Arial" w:hAnsi="Arial" w:cs="Arial" w:hint="eastAsia"/>
            <w:sz w:val="22"/>
            <w:szCs w:val="22"/>
          </w:rPr>
          <w:t>https://www.gov.uk/government/publications/inspecting-local-authority-childrens-services-from-2018/links-to-legislation-regulations-and-statutory-guidance</w:t>
        </w:r>
      </w:hyperlink>
      <w:r>
        <w:rPr>
          <w:rFonts w:ascii="Arial" w:hAnsi="Arial" w:cs="Arial"/>
          <w:sz w:val="22"/>
          <w:szCs w:val="22"/>
        </w:rPr>
        <w:t xml:space="preserve"> (Accessed: 18 July 2024).</w:t>
      </w:r>
    </w:p>
    <w:p w14:paraId="66031870" w14:textId="354C0EE2" w:rsidR="00942EC7" w:rsidRDefault="00942EC7">
      <w:pPr>
        <w:rPr>
          <w:rFonts w:ascii="Arial" w:hAnsi="Arial" w:cs="Arial"/>
          <w:sz w:val="22"/>
          <w:szCs w:val="22"/>
        </w:rPr>
      </w:pPr>
      <w:r w:rsidRPr="00942EC7">
        <w:rPr>
          <w:rFonts w:ascii="Arial" w:hAnsi="Arial" w:cs="Arial"/>
          <w:sz w:val="22"/>
          <w:szCs w:val="22"/>
        </w:rPr>
        <w:t>Harvard University (2012) </w:t>
      </w:r>
      <w:r w:rsidRPr="00942EC7">
        <w:rPr>
          <w:rFonts w:ascii="Arial" w:hAnsi="Arial" w:cs="Arial"/>
          <w:i/>
          <w:iCs/>
          <w:sz w:val="22"/>
          <w:szCs w:val="22"/>
        </w:rPr>
        <w:t>Healthy Eating Plate</w:t>
      </w:r>
      <w:r w:rsidRPr="00942EC7">
        <w:rPr>
          <w:rFonts w:ascii="Arial" w:hAnsi="Arial" w:cs="Arial"/>
          <w:sz w:val="22"/>
          <w:szCs w:val="22"/>
        </w:rPr>
        <w:t xml:space="preserve">. Available at: </w:t>
      </w:r>
      <w:hyperlink r:id="rId14" w:history="1">
        <w:r w:rsidRPr="001E2855">
          <w:rPr>
            <w:rStyle w:val="Hyperlink"/>
            <w:rFonts w:ascii="Arial" w:hAnsi="Arial" w:cs="Arial"/>
            <w:sz w:val="22"/>
            <w:szCs w:val="22"/>
          </w:rPr>
          <w:t>https://nutritionsource.hsph.harvard.edu/healthy-eating-plate/</w:t>
        </w:r>
      </w:hyperlink>
      <w:r w:rsidR="00053BFC">
        <w:rPr>
          <w:rFonts w:ascii="Arial" w:hAnsi="Arial" w:cs="Arial"/>
          <w:sz w:val="22"/>
          <w:szCs w:val="22"/>
        </w:rPr>
        <w:t xml:space="preserve"> </w:t>
      </w:r>
      <w:r>
        <w:rPr>
          <w:rFonts w:ascii="Arial" w:hAnsi="Arial" w:cs="Arial"/>
          <w:sz w:val="22"/>
          <w:szCs w:val="22"/>
        </w:rPr>
        <w:t>(</w:t>
      </w:r>
      <w:r w:rsidR="00053BFC">
        <w:rPr>
          <w:rFonts w:ascii="Arial" w:hAnsi="Arial" w:cs="Arial"/>
          <w:sz w:val="22"/>
          <w:szCs w:val="22"/>
        </w:rPr>
        <w:t xml:space="preserve">Accessed: 19 July 2024). </w:t>
      </w:r>
    </w:p>
    <w:p w14:paraId="60157EFE" w14:textId="28B5E515" w:rsidR="000519E4" w:rsidRDefault="002F7C07">
      <w:pPr>
        <w:rPr>
          <w:rFonts w:ascii="Arial" w:hAnsi="Arial" w:cs="Arial"/>
          <w:sz w:val="22"/>
          <w:szCs w:val="22"/>
        </w:rPr>
      </w:pPr>
      <w:r w:rsidRPr="002F7C07">
        <w:rPr>
          <w:rFonts w:ascii="Arial" w:hAnsi="Arial" w:cs="Arial"/>
          <w:sz w:val="22"/>
          <w:szCs w:val="22"/>
        </w:rPr>
        <w:t>Hendricks, A. (2023) </w:t>
      </w:r>
      <w:r w:rsidRPr="002F7C07">
        <w:rPr>
          <w:rFonts w:ascii="Arial" w:hAnsi="Arial" w:cs="Arial"/>
          <w:i/>
          <w:iCs/>
          <w:sz w:val="22"/>
          <w:szCs w:val="22"/>
        </w:rPr>
        <w:t>Stakeholder Collaboration | Examples, Benefits &amp; Steps</w:t>
      </w:r>
      <w:r w:rsidRPr="002F7C07">
        <w:rPr>
          <w:rFonts w:ascii="Arial" w:hAnsi="Arial" w:cs="Arial"/>
          <w:sz w:val="22"/>
          <w:szCs w:val="22"/>
        </w:rPr>
        <w:t xml:space="preserve">. Simply Stakeholders. Available at: </w:t>
      </w:r>
      <w:hyperlink r:id="rId15" w:history="1">
        <w:r w:rsidRPr="00D9293B">
          <w:rPr>
            <w:rStyle w:val="Hyperlink"/>
            <w:rFonts w:ascii="Arial" w:hAnsi="Arial" w:cs="Arial"/>
            <w:sz w:val="22"/>
            <w:szCs w:val="22"/>
          </w:rPr>
          <w:t>https://simplystakeholders.com/stakeholder-collaboration/</w:t>
        </w:r>
      </w:hyperlink>
      <w:r w:rsidRPr="002F7C07">
        <w:rPr>
          <w:rFonts w:ascii="Arial" w:hAnsi="Arial" w:cs="Arial"/>
          <w:sz w:val="22"/>
          <w:szCs w:val="22"/>
        </w:rPr>
        <w:t>.</w:t>
      </w:r>
      <w:r>
        <w:rPr>
          <w:rFonts w:ascii="Arial" w:hAnsi="Arial" w:cs="Arial"/>
          <w:sz w:val="22"/>
          <w:szCs w:val="22"/>
        </w:rPr>
        <w:t xml:space="preserve"> </w:t>
      </w:r>
      <w:r w:rsidR="00CA3D42">
        <w:rPr>
          <w:rFonts w:ascii="Arial" w:hAnsi="Arial" w:cs="Arial"/>
          <w:sz w:val="22"/>
          <w:szCs w:val="22"/>
        </w:rPr>
        <w:t>(</w:t>
      </w:r>
      <w:r w:rsidR="009B731B">
        <w:rPr>
          <w:rFonts w:ascii="Arial" w:hAnsi="Arial" w:cs="Arial"/>
          <w:sz w:val="22"/>
          <w:szCs w:val="22"/>
        </w:rPr>
        <w:t xml:space="preserve">Accessed: 12 </w:t>
      </w:r>
      <w:r w:rsidR="00CA3D42">
        <w:rPr>
          <w:rFonts w:ascii="Arial" w:hAnsi="Arial" w:cs="Arial"/>
          <w:sz w:val="22"/>
          <w:szCs w:val="22"/>
        </w:rPr>
        <w:t>August 2024).</w:t>
      </w:r>
    </w:p>
    <w:p w14:paraId="6596A7B3" w14:textId="441193C2" w:rsidR="008E0674" w:rsidRDefault="008E0674">
      <w:pPr>
        <w:rPr>
          <w:rFonts w:ascii="Arial" w:hAnsi="Arial" w:cs="Arial"/>
          <w:sz w:val="22"/>
          <w:szCs w:val="22"/>
        </w:rPr>
      </w:pPr>
      <w:r w:rsidRPr="008E0674">
        <w:rPr>
          <w:rFonts w:ascii="Arial" w:hAnsi="Arial" w:cs="Arial"/>
          <w:sz w:val="22"/>
          <w:szCs w:val="22"/>
        </w:rPr>
        <w:t>Ife, J. (2009) </w:t>
      </w:r>
      <w:r w:rsidRPr="008E0674">
        <w:rPr>
          <w:rFonts w:ascii="Arial" w:hAnsi="Arial" w:cs="Arial"/>
          <w:i/>
          <w:iCs/>
          <w:sz w:val="22"/>
          <w:szCs w:val="22"/>
        </w:rPr>
        <w:t>Human Rights from Below: Achieving Rights through Community Development</w:t>
      </w:r>
      <w:r w:rsidRPr="008E0674">
        <w:rPr>
          <w:rFonts w:ascii="Arial" w:hAnsi="Arial" w:cs="Arial"/>
          <w:sz w:val="22"/>
          <w:szCs w:val="22"/>
        </w:rPr>
        <w:t>. [online] </w:t>
      </w:r>
      <w:r w:rsidRPr="008E0674">
        <w:rPr>
          <w:rFonts w:ascii="Arial" w:hAnsi="Arial" w:cs="Arial"/>
          <w:i/>
          <w:iCs/>
          <w:sz w:val="22"/>
          <w:szCs w:val="22"/>
        </w:rPr>
        <w:t>Google Books</w:t>
      </w:r>
      <w:r w:rsidRPr="008E0674">
        <w:rPr>
          <w:rFonts w:ascii="Arial" w:hAnsi="Arial" w:cs="Arial"/>
          <w:sz w:val="22"/>
          <w:szCs w:val="22"/>
        </w:rPr>
        <w:t xml:space="preserve">. Cambridge University Press. Available at: </w:t>
      </w:r>
      <w:hyperlink r:id="rId16" w:anchor="v=onepage&amp;q=why%20community%20development%20is%20important&amp;f=false" w:history="1">
        <w:r w:rsidR="0010440D" w:rsidRPr="00E32977">
          <w:rPr>
            <w:rStyle w:val="Hyperlink"/>
            <w:rFonts w:ascii="Arial" w:hAnsi="Arial" w:cs="Arial"/>
            <w:sz w:val="22"/>
            <w:szCs w:val="22"/>
          </w:rPr>
          <w:t>https://books.google.co.uk/books?hl=en&amp;lr=&amp;id=WKlCLVVUA0sC&amp;oi=fnd&amp;pg=PR5&amp;dq=why+community+development+is+important&amp;ots=7bDF3r2Fy8&amp;sig=MYI7tF3cEeXC_Ddj-Tc-HzyXc0w#v=onepage&amp;q=why%20community%20development%20is%20important&amp;f=false</w:t>
        </w:r>
      </w:hyperlink>
      <w:r w:rsidR="0010440D">
        <w:rPr>
          <w:rFonts w:ascii="Arial" w:hAnsi="Arial" w:cs="Arial"/>
          <w:sz w:val="22"/>
          <w:szCs w:val="22"/>
        </w:rPr>
        <w:t xml:space="preserve"> </w:t>
      </w:r>
      <w:r w:rsidRPr="008E0674">
        <w:rPr>
          <w:rFonts w:ascii="Arial" w:hAnsi="Arial" w:cs="Arial"/>
          <w:sz w:val="22"/>
          <w:szCs w:val="22"/>
        </w:rPr>
        <w:t xml:space="preserve"> </w:t>
      </w:r>
      <w:r w:rsidR="0010440D">
        <w:rPr>
          <w:rFonts w:ascii="Arial" w:hAnsi="Arial" w:cs="Arial"/>
          <w:sz w:val="22"/>
          <w:szCs w:val="22"/>
        </w:rPr>
        <w:t>(</w:t>
      </w:r>
      <w:r w:rsidRPr="008E0674">
        <w:rPr>
          <w:rFonts w:ascii="Arial" w:hAnsi="Arial" w:cs="Arial"/>
          <w:sz w:val="22"/>
          <w:szCs w:val="22"/>
        </w:rPr>
        <w:t>Accessed 12 Jul. 2024</w:t>
      </w:r>
      <w:r w:rsidR="0010440D">
        <w:rPr>
          <w:rFonts w:ascii="Arial" w:hAnsi="Arial" w:cs="Arial"/>
          <w:sz w:val="22"/>
          <w:szCs w:val="22"/>
        </w:rPr>
        <w:t>)</w:t>
      </w:r>
      <w:r w:rsidRPr="008E0674">
        <w:rPr>
          <w:rFonts w:ascii="Arial" w:hAnsi="Arial" w:cs="Arial"/>
          <w:sz w:val="22"/>
          <w:szCs w:val="22"/>
        </w:rPr>
        <w:t>.</w:t>
      </w:r>
      <w:r w:rsidR="0010440D">
        <w:rPr>
          <w:rFonts w:ascii="Arial" w:hAnsi="Arial" w:cs="Arial"/>
          <w:sz w:val="22"/>
          <w:szCs w:val="22"/>
        </w:rPr>
        <w:t xml:space="preserve"> </w:t>
      </w:r>
    </w:p>
    <w:p w14:paraId="54C147E1" w14:textId="46D56694" w:rsidR="0030133B" w:rsidRDefault="00E903AE">
      <w:pPr>
        <w:rPr>
          <w:rFonts w:ascii="Arial" w:hAnsi="Arial" w:cs="Arial"/>
          <w:sz w:val="22"/>
          <w:szCs w:val="22"/>
        </w:rPr>
      </w:pPr>
      <w:r w:rsidRPr="00E903AE">
        <w:rPr>
          <w:rFonts w:ascii="Arial" w:hAnsi="Arial" w:cs="Arial"/>
          <w:sz w:val="22"/>
          <w:szCs w:val="22"/>
          <w:lang w:val="es-ES"/>
        </w:rPr>
        <w:t>Larsen, J.K., et al.</w:t>
      </w:r>
      <w:r>
        <w:rPr>
          <w:rFonts w:ascii="Arial" w:hAnsi="Arial" w:cs="Arial"/>
          <w:sz w:val="22"/>
          <w:szCs w:val="22"/>
          <w:lang w:val="es-ES"/>
        </w:rPr>
        <w:t xml:space="preserve"> </w:t>
      </w:r>
      <w:r w:rsidRPr="00E903AE">
        <w:rPr>
          <w:rFonts w:ascii="Arial" w:hAnsi="Arial" w:cs="Arial"/>
          <w:sz w:val="22"/>
          <w:szCs w:val="22"/>
        </w:rPr>
        <w:t>(2015) ‘How parental dietary behavior and food parenting practices affect children’s dietary behavior. Interacting sources of influence?</w:t>
      </w:r>
      <w:r>
        <w:rPr>
          <w:rFonts w:ascii="Arial" w:hAnsi="Arial" w:cs="Arial"/>
          <w:sz w:val="22"/>
          <w:szCs w:val="22"/>
        </w:rPr>
        <w:t>’</w:t>
      </w:r>
      <w:r w:rsidRPr="00E903AE">
        <w:rPr>
          <w:rFonts w:ascii="Arial" w:hAnsi="Arial" w:cs="Arial"/>
          <w:sz w:val="22"/>
          <w:szCs w:val="22"/>
        </w:rPr>
        <w:t> </w:t>
      </w:r>
      <w:r w:rsidRPr="00E903AE">
        <w:rPr>
          <w:rFonts w:ascii="Arial" w:hAnsi="Arial" w:cs="Arial"/>
          <w:i/>
          <w:iCs/>
          <w:sz w:val="22"/>
          <w:szCs w:val="22"/>
        </w:rPr>
        <w:t>Appetite</w:t>
      </w:r>
      <w:r w:rsidRPr="00E903AE">
        <w:rPr>
          <w:rFonts w:ascii="Arial" w:hAnsi="Arial" w:cs="Arial"/>
          <w:sz w:val="22"/>
          <w:szCs w:val="22"/>
        </w:rPr>
        <w:t xml:space="preserve">, 89, pp.246–257. </w:t>
      </w:r>
      <w:r w:rsidR="00847BB0">
        <w:rPr>
          <w:rFonts w:ascii="Arial" w:hAnsi="Arial" w:cs="Arial"/>
          <w:sz w:val="22"/>
          <w:szCs w:val="22"/>
        </w:rPr>
        <w:t xml:space="preserve">Available at: </w:t>
      </w:r>
      <w:r w:rsidRPr="00E903AE">
        <w:rPr>
          <w:rFonts w:ascii="Arial" w:hAnsi="Arial" w:cs="Arial"/>
          <w:sz w:val="22"/>
          <w:szCs w:val="22"/>
        </w:rPr>
        <w:t>doi:https://doi.org/10.1016/j.appet.2015.02.012.</w:t>
      </w:r>
    </w:p>
    <w:p w14:paraId="27EB7CC7" w14:textId="1FEECE0B" w:rsidR="008618A0" w:rsidRDefault="008618A0">
      <w:pPr>
        <w:rPr>
          <w:rFonts w:ascii="Arial" w:hAnsi="Arial" w:cs="Arial"/>
          <w:sz w:val="22"/>
          <w:szCs w:val="22"/>
        </w:rPr>
      </w:pPr>
      <w:r w:rsidRPr="008618A0">
        <w:rPr>
          <w:rFonts w:ascii="Arial" w:hAnsi="Arial" w:cs="Arial"/>
          <w:sz w:val="22"/>
          <w:szCs w:val="22"/>
        </w:rPr>
        <w:t xml:space="preserve">Latzer, Y. and Stein, D. (2013) </w:t>
      </w:r>
      <w:r w:rsidR="00CF73C8">
        <w:rPr>
          <w:rFonts w:ascii="Arial" w:hAnsi="Arial" w:cs="Arial"/>
          <w:sz w:val="22"/>
          <w:szCs w:val="22"/>
        </w:rPr>
        <w:t>‘</w:t>
      </w:r>
      <w:r w:rsidRPr="008618A0">
        <w:rPr>
          <w:rFonts w:ascii="Arial" w:hAnsi="Arial" w:cs="Arial"/>
          <w:sz w:val="22"/>
          <w:szCs w:val="22"/>
        </w:rPr>
        <w:t>A review of the psychological and familial perspectives of childhood obesity</w:t>
      </w:r>
      <w:r w:rsidR="00CF73C8">
        <w:rPr>
          <w:rFonts w:ascii="Arial" w:hAnsi="Arial" w:cs="Arial"/>
          <w:sz w:val="22"/>
          <w:szCs w:val="22"/>
        </w:rPr>
        <w:t>’</w:t>
      </w:r>
      <w:r w:rsidRPr="008618A0">
        <w:rPr>
          <w:rFonts w:ascii="Arial" w:hAnsi="Arial" w:cs="Arial"/>
          <w:sz w:val="22"/>
          <w:szCs w:val="22"/>
        </w:rPr>
        <w:t>. </w:t>
      </w:r>
      <w:r w:rsidRPr="008618A0">
        <w:rPr>
          <w:rFonts w:ascii="Arial" w:hAnsi="Arial" w:cs="Arial"/>
          <w:i/>
          <w:iCs/>
          <w:sz w:val="22"/>
          <w:szCs w:val="22"/>
        </w:rPr>
        <w:t>Journal of Eating Disorders</w:t>
      </w:r>
      <w:r w:rsidRPr="008618A0">
        <w:rPr>
          <w:rFonts w:ascii="Arial" w:hAnsi="Arial" w:cs="Arial"/>
          <w:sz w:val="22"/>
          <w:szCs w:val="22"/>
        </w:rPr>
        <w:t>, 1(1).</w:t>
      </w:r>
      <w:r w:rsidR="00CF73C8">
        <w:rPr>
          <w:rFonts w:ascii="Arial" w:hAnsi="Arial" w:cs="Arial"/>
          <w:sz w:val="22"/>
          <w:szCs w:val="22"/>
        </w:rPr>
        <w:t xml:space="preserve"> Available at:</w:t>
      </w:r>
      <w:r w:rsidR="00042E76">
        <w:rPr>
          <w:rFonts w:ascii="Arial" w:hAnsi="Arial" w:cs="Arial"/>
          <w:sz w:val="22"/>
          <w:szCs w:val="22"/>
        </w:rPr>
        <w:t xml:space="preserve"> </w:t>
      </w:r>
      <w:r w:rsidRPr="008618A0">
        <w:rPr>
          <w:rFonts w:ascii="Arial" w:hAnsi="Arial" w:cs="Arial"/>
          <w:sz w:val="22"/>
          <w:szCs w:val="22"/>
        </w:rPr>
        <w:t xml:space="preserve"> doi:https://doi.org/10.1186/2050-2974-1-7.</w:t>
      </w:r>
    </w:p>
    <w:p w14:paraId="1F8EE96E" w14:textId="3F90AEB6" w:rsidR="00A611D5" w:rsidRDefault="00A611D5">
      <w:pPr>
        <w:rPr>
          <w:rFonts w:ascii="Arial" w:hAnsi="Arial" w:cs="Arial"/>
          <w:sz w:val="22"/>
          <w:szCs w:val="22"/>
        </w:rPr>
      </w:pPr>
      <w:r w:rsidRPr="00A611D5">
        <w:rPr>
          <w:rFonts w:ascii="Arial" w:hAnsi="Arial" w:cs="Arial"/>
          <w:sz w:val="22"/>
          <w:szCs w:val="22"/>
        </w:rPr>
        <w:t xml:space="preserve">Lucy, O., </w:t>
      </w:r>
      <w:r>
        <w:rPr>
          <w:rFonts w:ascii="Arial" w:hAnsi="Arial" w:cs="Arial"/>
          <w:sz w:val="22"/>
          <w:szCs w:val="22"/>
        </w:rPr>
        <w:t xml:space="preserve">et al. </w:t>
      </w:r>
      <w:r w:rsidRPr="00A611D5">
        <w:rPr>
          <w:rFonts w:ascii="Arial" w:hAnsi="Arial" w:cs="Arial"/>
          <w:sz w:val="22"/>
          <w:szCs w:val="22"/>
        </w:rPr>
        <w:t xml:space="preserve">(2022) </w:t>
      </w:r>
      <w:r>
        <w:rPr>
          <w:rFonts w:ascii="Arial" w:hAnsi="Arial" w:cs="Arial"/>
          <w:sz w:val="22"/>
          <w:szCs w:val="22"/>
        </w:rPr>
        <w:t>‘</w:t>
      </w:r>
      <w:r w:rsidRPr="00A611D5">
        <w:rPr>
          <w:rFonts w:ascii="Arial" w:hAnsi="Arial" w:cs="Arial"/>
          <w:sz w:val="22"/>
          <w:szCs w:val="22"/>
        </w:rPr>
        <w:t>The Nutritional Quality of Food Parcels Provided by Foodbanks and the Effectiveness of Foodbanks at Reducing Food Insecurity in Developed countries: a Mixed</w:t>
      </w:r>
      <w:r w:rsidRPr="00A611D5">
        <w:rPr>
          <w:rFonts w:ascii="Cambria Math" w:hAnsi="Cambria Math" w:cs="Cambria Math"/>
          <w:sz w:val="22"/>
          <w:szCs w:val="22"/>
        </w:rPr>
        <w:t>‐</w:t>
      </w:r>
      <w:r w:rsidRPr="00A611D5">
        <w:rPr>
          <w:rFonts w:ascii="Arial" w:hAnsi="Arial" w:cs="Arial"/>
          <w:sz w:val="22"/>
          <w:szCs w:val="22"/>
        </w:rPr>
        <w:t>method Systematic Review</w:t>
      </w:r>
      <w:r w:rsidR="002C02EA">
        <w:rPr>
          <w:rFonts w:ascii="Arial" w:hAnsi="Arial" w:cs="Arial"/>
          <w:sz w:val="22"/>
          <w:szCs w:val="22"/>
        </w:rPr>
        <w:t>’</w:t>
      </w:r>
      <w:r w:rsidRPr="00A611D5">
        <w:rPr>
          <w:rFonts w:ascii="Arial" w:hAnsi="Arial" w:cs="Arial"/>
          <w:sz w:val="22"/>
          <w:szCs w:val="22"/>
        </w:rPr>
        <w:t>. </w:t>
      </w:r>
      <w:r w:rsidRPr="00A611D5">
        <w:rPr>
          <w:rFonts w:ascii="Arial" w:hAnsi="Arial" w:cs="Arial"/>
          <w:i/>
          <w:iCs/>
          <w:sz w:val="22"/>
          <w:szCs w:val="22"/>
        </w:rPr>
        <w:t>Journal of Human Nutrition and Dietetics</w:t>
      </w:r>
      <w:r w:rsidRPr="00A611D5">
        <w:rPr>
          <w:rFonts w:ascii="Arial" w:hAnsi="Arial" w:cs="Arial"/>
          <w:sz w:val="22"/>
          <w:szCs w:val="22"/>
        </w:rPr>
        <w:t xml:space="preserve">, 35(6). </w:t>
      </w:r>
      <w:r w:rsidR="002C02EA">
        <w:rPr>
          <w:rFonts w:ascii="Arial" w:hAnsi="Arial" w:cs="Arial"/>
          <w:sz w:val="22"/>
          <w:szCs w:val="22"/>
        </w:rPr>
        <w:t xml:space="preserve">Available at: </w:t>
      </w:r>
      <w:r w:rsidRPr="00A611D5">
        <w:rPr>
          <w:rFonts w:ascii="Arial" w:hAnsi="Arial" w:cs="Arial"/>
          <w:sz w:val="22"/>
          <w:szCs w:val="22"/>
        </w:rPr>
        <w:t>doi:https://doi.org/10.1111/jhn.12994.</w:t>
      </w:r>
      <w:r w:rsidR="002C02EA">
        <w:rPr>
          <w:rFonts w:ascii="Arial" w:hAnsi="Arial" w:cs="Arial"/>
          <w:sz w:val="22"/>
          <w:szCs w:val="22"/>
        </w:rPr>
        <w:t xml:space="preserve"> </w:t>
      </w:r>
    </w:p>
    <w:p w14:paraId="31753EA2" w14:textId="53ECD740" w:rsidR="0053263C" w:rsidRDefault="0053263C">
      <w:pPr>
        <w:rPr>
          <w:rFonts w:ascii="Arial" w:hAnsi="Arial" w:cs="Arial"/>
          <w:sz w:val="22"/>
          <w:szCs w:val="22"/>
        </w:rPr>
      </w:pPr>
      <w:r w:rsidRPr="0053263C">
        <w:rPr>
          <w:rFonts w:ascii="Arial" w:hAnsi="Arial" w:cs="Arial"/>
          <w:sz w:val="22"/>
          <w:szCs w:val="22"/>
        </w:rPr>
        <w:t xml:space="preserve">Meyer-Rochow, V.B. (2009) </w:t>
      </w:r>
      <w:r>
        <w:rPr>
          <w:rFonts w:ascii="Arial" w:hAnsi="Arial" w:cs="Arial"/>
          <w:sz w:val="22"/>
          <w:szCs w:val="22"/>
        </w:rPr>
        <w:t>‘</w:t>
      </w:r>
      <w:r w:rsidRPr="0053263C">
        <w:rPr>
          <w:rFonts w:ascii="Arial" w:hAnsi="Arial" w:cs="Arial"/>
          <w:sz w:val="22"/>
          <w:szCs w:val="22"/>
        </w:rPr>
        <w:t>Food taboos: their origins and purposes</w:t>
      </w:r>
      <w:r w:rsidR="0090352C">
        <w:rPr>
          <w:rFonts w:ascii="Arial" w:hAnsi="Arial" w:cs="Arial"/>
          <w:sz w:val="22"/>
          <w:szCs w:val="22"/>
        </w:rPr>
        <w:t>’</w:t>
      </w:r>
      <w:r w:rsidRPr="0053263C">
        <w:rPr>
          <w:rFonts w:ascii="Arial" w:hAnsi="Arial" w:cs="Arial"/>
          <w:sz w:val="22"/>
          <w:szCs w:val="22"/>
        </w:rPr>
        <w:t>. </w:t>
      </w:r>
      <w:r w:rsidRPr="0053263C">
        <w:rPr>
          <w:rFonts w:ascii="Arial" w:hAnsi="Arial" w:cs="Arial"/>
          <w:i/>
          <w:iCs/>
          <w:sz w:val="22"/>
          <w:szCs w:val="22"/>
        </w:rPr>
        <w:t>Journal of Ethnobiology and Ethnomedicine</w:t>
      </w:r>
      <w:r w:rsidRPr="0053263C">
        <w:rPr>
          <w:rFonts w:ascii="Arial" w:hAnsi="Arial" w:cs="Arial"/>
          <w:sz w:val="22"/>
          <w:szCs w:val="22"/>
        </w:rPr>
        <w:t>,  5(1).</w:t>
      </w:r>
      <w:r w:rsidR="0090352C">
        <w:rPr>
          <w:rFonts w:ascii="Arial" w:hAnsi="Arial" w:cs="Arial"/>
          <w:sz w:val="22"/>
          <w:szCs w:val="22"/>
        </w:rPr>
        <w:t xml:space="preserve"> Available at:</w:t>
      </w:r>
      <w:r w:rsidRPr="0053263C">
        <w:rPr>
          <w:rFonts w:ascii="Arial" w:hAnsi="Arial" w:cs="Arial"/>
          <w:sz w:val="22"/>
          <w:szCs w:val="22"/>
        </w:rPr>
        <w:t xml:space="preserve"> doi:https://doi.org/10.1186/1746-4269-5-18.</w:t>
      </w:r>
    </w:p>
    <w:p w14:paraId="0C929CD5" w14:textId="69E289E4" w:rsidR="0075006E" w:rsidRDefault="0075006E">
      <w:pPr>
        <w:rPr>
          <w:rFonts w:ascii="Arial" w:hAnsi="Arial" w:cs="Arial"/>
          <w:sz w:val="22"/>
          <w:szCs w:val="22"/>
        </w:rPr>
      </w:pPr>
      <w:r w:rsidRPr="0075006E">
        <w:rPr>
          <w:rFonts w:ascii="Arial" w:hAnsi="Arial" w:cs="Arial"/>
          <w:sz w:val="22"/>
          <w:szCs w:val="22"/>
        </w:rPr>
        <w:t>Newham Council (2021</w:t>
      </w:r>
      <w:r w:rsidR="00B62A06">
        <w:rPr>
          <w:rFonts w:ascii="Arial" w:hAnsi="Arial" w:cs="Arial"/>
          <w:sz w:val="22"/>
          <w:szCs w:val="22"/>
        </w:rPr>
        <w:t>a</w:t>
      </w:r>
      <w:r w:rsidRPr="0075006E">
        <w:rPr>
          <w:rFonts w:ascii="Arial" w:hAnsi="Arial" w:cs="Arial"/>
          <w:sz w:val="22"/>
          <w:szCs w:val="22"/>
        </w:rPr>
        <w:t>) </w:t>
      </w:r>
      <w:r w:rsidRPr="0075006E">
        <w:rPr>
          <w:rFonts w:ascii="Arial" w:hAnsi="Arial" w:cs="Arial"/>
          <w:i/>
          <w:iCs/>
          <w:sz w:val="22"/>
          <w:szCs w:val="22"/>
        </w:rPr>
        <w:t>Children and Young People’s Joint Strategic Needs Assessment</w:t>
      </w:r>
      <w:r w:rsidRPr="0075006E">
        <w:rPr>
          <w:rFonts w:ascii="Arial" w:hAnsi="Arial" w:cs="Arial"/>
          <w:sz w:val="22"/>
          <w:szCs w:val="22"/>
        </w:rPr>
        <w:t xml:space="preserve">.  Available at: </w:t>
      </w:r>
      <w:hyperlink r:id="rId17" w:history="1">
        <w:r w:rsidRPr="00761A65">
          <w:rPr>
            <w:rStyle w:val="Hyperlink"/>
            <w:rFonts w:ascii="Arial" w:hAnsi="Arial" w:cs="Arial"/>
            <w:sz w:val="22"/>
            <w:szCs w:val="22"/>
          </w:rPr>
          <w:t>https://www.newham.gov.uk/downloads/file/3607/cyp-jsna-august-2021</w:t>
        </w:r>
      </w:hyperlink>
      <w:r w:rsidRPr="0075006E">
        <w:rPr>
          <w:rFonts w:ascii="Arial" w:hAnsi="Arial" w:cs="Arial"/>
          <w:sz w:val="22"/>
          <w:szCs w:val="22"/>
        </w:rPr>
        <w:t>.</w:t>
      </w:r>
      <w:r>
        <w:rPr>
          <w:rFonts w:ascii="Arial" w:hAnsi="Arial" w:cs="Arial"/>
          <w:sz w:val="22"/>
          <w:szCs w:val="22"/>
        </w:rPr>
        <w:t xml:space="preserve"> (Accessed: 16 July 20</w:t>
      </w:r>
      <w:r w:rsidR="0006027A">
        <w:rPr>
          <w:rFonts w:ascii="Arial" w:hAnsi="Arial" w:cs="Arial"/>
          <w:sz w:val="22"/>
          <w:szCs w:val="22"/>
        </w:rPr>
        <w:t>24)</w:t>
      </w:r>
    </w:p>
    <w:p w14:paraId="7BED5D71" w14:textId="32D0CCAA" w:rsidR="00F20F56" w:rsidRDefault="00F20F56">
      <w:pPr>
        <w:rPr>
          <w:rFonts w:ascii="Arial" w:hAnsi="Arial" w:cs="Arial"/>
          <w:sz w:val="22"/>
          <w:szCs w:val="22"/>
        </w:rPr>
      </w:pPr>
      <w:r w:rsidRPr="00F20F56">
        <w:rPr>
          <w:rFonts w:ascii="Arial" w:hAnsi="Arial" w:cs="Arial"/>
          <w:sz w:val="22"/>
          <w:szCs w:val="22"/>
        </w:rPr>
        <w:t>Newham Council (2021</w:t>
      </w:r>
      <w:r w:rsidR="00B62A06">
        <w:rPr>
          <w:rFonts w:ascii="Arial" w:hAnsi="Arial" w:cs="Arial"/>
          <w:sz w:val="22"/>
          <w:szCs w:val="22"/>
        </w:rPr>
        <w:t>b</w:t>
      </w:r>
      <w:r w:rsidRPr="00F20F56">
        <w:rPr>
          <w:rFonts w:ascii="Arial" w:hAnsi="Arial" w:cs="Arial"/>
          <w:sz w:val="22"/>
          <w:szCs w:val="22"/>
        </w:rPr>
        <w:t>) </w:t>
      </w:r>
      <w:r w:rsidRPr="00F20F56">
        <w:rPr>
          <w:rFonts w:ascii="Arial" w:hAnsi="Arial" w:cs="Arial"/>
          <w:i/>
          <w:iCs/>
          <w:sz w:val="22"/>
          <w:szCs w:val="22"/>
        </w:rPr>
        <w:t>Newham Food Security Strategy</w:t>
      </w:r>
      <w:r w:rsidRPr="00F20F56">
        <w:rPr>
          <w:rFonts w:ascii="Arial" w:hAnsi="Arial" w:cs="Arial"/>
          <w:sz w:val="22"/>
          <w:szCs w:val="22"/>
        </w:rPr>
        <w:t xml:space="preserve">.  Available from: </w:t>
      </w:r>
      <w:hyperlink r:id="rId18" w:history="1">
        <w:r w:rsidRPr="00F20F56">
          <w:rPr>
            <w:rStyle w:val="Hyperlink"/>
            <w:rFonts w:ascii="Arial" w:hAnsi="Arial" w:cs="Arial"/>
            <w:sz w:val="22"/>
            <w:szCs w:val="22"/>
          </w:rPr>
          <w:t>newham-food-security-strategy-final</w:t>
        </w:r>
      </w:hyperlink>
      <w:r w:rsidRPr="00F20F56">
        <w:rPr>
          <w:rFonts w:ascii="Arial" w:hAnsi="Arial" w:cs="Arial"/>
          <w:sz w:val="22"/>
          <w:szCs w:val="22"/>
        </w:rPr>
        <w:t xml:space="preserve">  </w:t>
      </w:r>
      <w:r w:rsidR="0002792D">
        <w:rPr>
          <w:rFonts w:ascii="Arial" w:hAnsi="Arial" w:cs="Arial"/>
          <w:sz w:val="22"/>
          <w:szCs w:val="22"/>
        </w:rPr>
        <w:t xml:space="preserve">(Accessed: 17 July 2024). </w:t>
      </w:r>
    </w:p>
    <w:p w14:paraId="4D37A0C8" w14:textId="17C73DB3" w:rsidR="00B927BE" w:rsidRDefault="00B927BE" w:rsidP="00B927BE">
      <w:pPr>
        <w:rPr>
          <w:rFonts w:ascii="Arial" w:hAnsi="Arial" w:cs="Arial"/>
          <w:sz w:val="22"/>
          <w:szCs w:val="22"/>
        </w:rPr>
      </w:pPr>
      <w:r w:rsidRPr="00B927BE">
        <w:rPr>
          <w:rFonts w:ascii="Arial" w:hAnsi="Arial" w:cs="Arial" w:hint="eastAsia"/>
          <w:sz w:val="22"/>
          <w:szCs w:val="22"/>
        </w:rPr>
        <w:t xml:space="preserve">Newham London (2018) </w:t>
      </w:r>
      <w:r w:rsidRPr="00B927BE">
        <w:rPr>
          <w:rFonts w:ascii="Arial" w:hAnsi="Arial" w:cs="Arial" w:hint="eastAsia"/>
          <w:i/>
          <w:iCs/>
          <w:sz w:val="22"/>
          <w:szCs w:val="22"/>
        </w:rPr>
        <w:t>Newham Info</w:t>
      </w:r>
      <w:r w:rsidRPr="00B927BE">
        <w:rPr>
          <w:rFonts w:ascii="Arial" w:hAnsi="Arial" w:cs="Arial" w:hint="eastAsia"/>
          <w:i/>
          <w:iCs/>
          <w:sz w:val="22"/>
          <w:szCs w:val="22"/>
        </w:rPr>
        <w:t>–</w:t>
      </w:r>
      <w:r w:rsidRPr="00B927BE">
        <w:rPr>
          <w:rFonts w:ascii="Arial" w:hAnsi="Arial" w:cs="Arial" w:hint="eastAsia"/>
          <w:i/>
          <w:iCs/>
          <w:sz w:val="22"/>
          <w:szCs w:val="22"/>
        </w:rPr>
        <w:t xml:space="preserve"> Newham Facts and Figures</w:t>
      </w:r>
      <w:r w:rsidRPr="00B927BE">
        <w:rPr>
          <w:rFonts w:ascii="Arial" w:hAnsi="Arial" w:cs="Arial" w:hint="eastAsia"/>
          <w:sz w:val="22"/>
          <w:szCs w:val="22"/>
        </w:rPr>
        <w:t xml:space="preserve">. Available at: </w:t>
      </w:r>
      <w:hyperlink r:id="rId19" w:history="1">
        <w:r w:rsidRPr="00B927BE">
          <w:rPr>
            <w:rStyle w:val="Hyperlink"/>
            <w:rFonts w:ascii="Arial" w:hAnsi="Arial" w:cs="Arial" w:hint="eastAsia"/>
            <w:sz w:val="22"/>
            <w:szCs w:val="22"/>
          </w:rPr>
          <w:t>https://www.newham.info/newham-facts-and-figures/</w:t>
        </w:r>
      </w:hyperlink>
      <w:r w:rsidRPr="00B927BE">
        <w:rPr>
          <w:rFonts w:ascii="Arial" w:hAnsi="Arial" w:cs="Arial" w:hint="eastAsia"/>
          <w:sz w:val="22"/>
          <w:szCs w:val="22"/>
        </w:rPr>
        <w:t>.</w:t>
      </w:r>
      <w:r w:rsidR="00D635A5">
        <w:rPr>
          <w:rFonts w:ascii="Arial" w:hAnsi="Arial" w:cs="Arial"/>
          <w:sz w:val="22"/>
          <w:szCs w:val="22"/>
        </w:rPr>
        <w:t xml:space="preserve"> </w:t>
      </w:r>
      <w:r w:rsidR="0006027A">
        <w:rPr>
          <w:rFonts w:ascii="Arial" w:hAnsi="Arial" w:cs="Arial"/>
          <w:sz w:val="22"/>
          <w:szCs w:val="22"/>
        </w:rPr>
        <w:t>(</w:t>
      </w:r>
      <w:r w:rsidRPr="00B927BE">
        <w:rPr>
          <w:rFonts w:ascii="Arial" w:hAnsi="Arial" w:cs="Arial" w:hint="eastAsia"/>
          <w:sz w:val="22"/>
          <w:szCs w:val="22"/>
        </w:rPr>
        <w:t>Accessed: 1</w:t>
      </w:r>
      <w:r>
        <w:rPr>
          <w:rFonts w:ascii="Arial" w:hAnsi="Arial" w:cs="Arial"/>
          <w:sz w:val="22"/>
          <w:szCs w:val="22"/>
        </w:rPr>
        <w:t xml:space="preserve">5 </w:t>
      </w:r>
      <w:r w:rsidRPr="00B927BE">
        <w:rPr>
          <w:rFonts w:ascii="Arial" w:hAnsi="Arial" w:cs="Arial" w:hint="eastAsia"/>
          <w:sz w:val="22"/>
          <w:szCs w:val="22"/>
        </w:rPr>
        <w:t>Ju</w:t>
      </w:r>
      <w:r>
        <w:rPr>
          <w:rFonts w:ascii="Arial" w:hAnsi="Arial" w:cs="Arial"/>
          <w:sz w:val="22"/>
          <w:szCs w:val="22"/>
        </w:rPr>
        <w:t>ly</w:t>
      </w:r>
      <w:r w:rsidRPr="00B927BE">
        <w:rPr>
          <w:rFonts w:ascii="Arial" w:hAnsi="Arial" w:cs="Arial" w:hint="eastAsia"/>
          <w:sz w:val="22"/>
          <w:szCs w:val="22"/>
        </w:rPr>
        <w:t xml:space="preserve"> 2024). </w:t>
      </w:r>
    </w:p>
    <w:p w14:paraId="2D4786C9" w14:textId="2DF96B85" w:rsidR="00DE74D7" w:rsidRDefault="00DE74D7" w:rsidP="00B927BE">
      <w:pPr>
        <w:rPr>
          <w:rFonts w:ascii="Arial" w:hAnsi="Arial" w:cs="Arial"/>
          <w:sz w:val="22"/>
          <w:szCs w:val="22"/>
        </w:rPr>
      </w:pPr>
      <w:r>
        <w:rPr>
          <w:rFonts w:ascii="Arial" w:hAnsi="Arial" w:cs="Arial"/>
          <w:sz w:val="22"/>
          <w:szCs w:val="22"/>
        </w:rPr>
        <w:t xml:space="preserve">Newham London </w:t>
      </w:r>
      <w:r w:rsidRPr="00DE74D7">
        <w:rPr>
          <w:rFonts w:ascii="Arial" w:hAnsi="Arial" w:cs="Arial"/>
          <w:sz w:val="22"/>
          <w:szCs w:val="22"/>
        </w:rPr>
        <w:t>(2020) </w:t>
      </w:r>
      <w:r w:rsidRPr="00DE74D7">
        <w:rPr>
          <w:rFonts w:ascii="Arial" w:hAnsi="Arial" w:cs="Arial"/>
          <w:i/>
          <w:iCs/>
          <w:sz w:val="22"/>
          <w:szCs w:val="22"/>
        </w:rPr>
        <w:t>Well Newham 50 Steps to a Healthier Borough</w:t>
      </w:r>
      <w:r w:rsidRPr="00DE74D7">
        <w:rPr>
          <w:rFonts w:ascii="Arial" w:hAnsi="Arial" w:cs="Arial"/>
          <w:sz w:val="22"/>
          <w:szCs w:val="22"/>
        </w:rPr>
        <w:t xml:space="preserve">. Available at: </w:t>
      </w:r>
      <w:hyperlink r:id="rId20" w:history="1">
        <w:r w:rsidRPr="009A3F25">
          <w:rPr>
            <w:rStyle w:val="Hyperlink"/>
            <w:rFonts w:ascii="Arial" w:hAnsi="Arial" w:cs="Arial"/>
            <w:sz w:val="22"/>
            <w:szCs w:val="22"/>
          </w:rPr>
          <w:t>https://www.newham.gov.uk/downloads/file/4041/50-steps-health-and-wellbeing-strategy-original-final-0221</w:t>
        </w:r>
      </w:hyperlink>
      <w:r w:rsidRPr="00DE74D7">
        <w:rPr>
          <w:rFonts w:ascii="Arial" w:hAnsi="Arial" w:cs="Arial"/>
          <w:sz w:val="22"/>
          <w:szCs w:val="22"/>
        </w:rPr>
        <w:t>.</w:t>
      </w:r>
      <w:r>
        <w:rPr>
          <w:rFonts w:ascii="Arial" w:hAnsi="Arial" w:cs="Arial"/>
          <w:sz w:val="22"/>
          <w:szCs w:val="22"/>
        </w:rPr>
        <w:t xml:space="preserve"> (Accessed: </w:t>
      </w:r>
      <w:r w:rsidR="00D7076D">
        <w:rPr>
          <w:rFonts w:ascii="Arial" w:hAnsi="Arial" w:cs="Arial"/>
          <w:sz w:val="22"/>
          <w:szCs w:val="22"/>
        </w:rPr>
        <w:t xml:space="preserve">17 July 2024). </w:t>
      </w:r>
    </w:p>
    <w:p w14:paraId="26EBEB28" w14:textId="04442FC2" w:rsidR="001247F3" w:rsidRDefault="00A504D1" w:rsidP="00B927BE">
      <w:pPr>
        <w:rPr>
          <w:rFonts w:ascii="Arial" w:hAnsi="Arial" w:cs="Arial"/>
          <w:sz w:val="22"/>
          <w:szCs w:val="22"/>
        </w:rPr>
      </w:pPr>
      <w:r w:rsidRPr="00A504D1">
        <w:rPr>
          <w:rFonts w:ascii="Arial" w:hAnsi="Arial" w:cs="Arial"/>
          <w:sz w:val="22"/>
          <w:szCs w:val="22"/>
        </w:rPr>
        <w:t>Ortega Hinojosa,</w:t>
      </w:r>
      <w:r>
        <w:rPr>
          <w:rFonts w:ascii="Arial" w:hAnsi="Arial" w:cs="Arial"/>
          <w:sz w:val="22"/>
          <w:szCs w:val="22"/>
        </w:rPr>
        <w:t xml:space="preserve"> et al</w:t>
      </w:r>
      <w:r w:rsidRPr="00A504D1">
        <w:rPr>
          <w:rFonts w:ascii="Arial" w:hAnsi="Arial" w:cs="Arial"/>
          <w:sz w:val="22"/>
          <w:szCs w:val="22"/>
        </w:rPr>
        <w:t xml:space="preserve">. (2018) </w:t>
      </w:r>
      <w:r>
        <w:rPr>
          <w:rFonts w:ascii="Arial" w:hAnsi="Arial" w:cs="Arial"/>
          <w:sz w:val="22"/>
          <w:szCs w:val="22"/>
        </w:rPr>
        <w:t>‘</w:t>
      </w:r>
      <w:r w:rsidRPr="00A504D1">
        <w:rPr>
          <w:rFonts w:ascii="Arial" w:hAnsi="Arial" w:cs="Arial"/>
          <w:sz w:val="22"/>
          <w:szCs w:val="22"/>
        </w:rPr>
        <w:t>Influence of school environments on childhood obesity in California</w:t>
      </w:r>
      <w:r>
        <w:rPr>
          <w:rFonts w:ascii="Arial" w:hAnsi="Arial" w:cs="Arial"/>
          <w:sz w:val="22"/>
          <w:szCs w:val="22"/>
        </w:rPr>
        <w:t>’</w:t>
      </w:r>
      <w:r w:rsidRPr="00A504D1">
        <w:rPr>
          <w:rFonts w:ascii="Arial" w:hAnsi="Arial" w:cs="Arial"/>
          <w:sz w:val="22"/>
          <w:szCs w:val="22"/>
        </w:rPr>
        <w:t>. </w:t>
      </w:r>
      <w:r w:rsidRPr="00A504D1">
        <w:rPr>
          <w:rFonts w:ascii="Arial" w:hAnsi="Arial" w:cs="Arial"/>
          <w:i/>
          <w:iCs/>
          <w:sz w:val="22"/>
          <w:szCs w:val="22"/>
        </w:rPr>
        <w:t>Environmental Research</w:t>
      </w:r>
      <w:r w:rsidRPr="00A504D1">
        <w:rPr>
          <w:rFonts w:ascii="Arial" w:hAnsi="Arial" w:cs="Arial"/>
          <w:sz w:val="22"/>
          <w:szCs w:val="22"/>
        </w:rPr>
        <w:t>, 166, pp.100–107.</w:t>
      </w:r>
      <w:r>
        <w:rPr>
          <w:rFonts w:ascii="Arial" w:hAnsi="Arial" w:cs="Arial"/>
          <w:sz w:val="22"/>
          <w:szCs w:val="22"/>
        </w:rPr>
        <w:t xml:space="preserve"> Available at: </w:t>
      </w:r>
      <w:r w:rsidRPr="00A504D1">
        <w:rPr>
          <w:rFonts w:ascii="Arial" w:hAnsi="Arial" w:cs="Arial"/>
          <w:sz w:val="22"/>
          <w:szCs w:val="22"/>
        </w:rPr>
        <w:t xml:space="preserve"> doi:https://doi.org/10.1016/j.envres.2018.04.022.</w:t>
      </w:r>
    </w:p>
    <w:p w14:paraId="5559B60D" w14:textId="32AC184A" w:rsidR="00C21B28" w:rsidRDefault="00706D47" w:rsidP="00B927BE">
      <w:pPr>
        <w:rPr>
          <w:rFonts w:ascii="Arial" w:hAnsi="Arial" w:cs="Arial"/>
          <w:sz w:val="22"/>
          <w:szCs w:val="22"/>
        </w:rPr>
      </w:pPr>
      <w:r w:rsidRPr="00706D47">
        <w:rPr>
          <w:rFonts w:ascii="Arial" w:hAnsi="Arial" w:cs="Arial"/>
          <w:sz w:val="22"/>
          <w:szCs w:val="22"/>
        </w:rPr>
        <w:t>Patel, S.,</w:t>
      </w:r>
      <w:r>
        <w:rPr>
          <w:rFonts w:ascii="Arial" w:hAnsi="Arial" w:cs="Arial"/>
          <w:sz w:val="22"/>
          <w:szCs w:val="22"/>
        </w:rPr>
        <w:t xml:space="preserve"> et al</w:t>
      </w:r>
      <w:r w:rsidRPr="00706D47">
        <w:rPr>
          <w:rFonts w:ascii="Arial" w:hAnsi="Arial" w:cs="Arial"/>
          <w:sz w:val="22"/>
          <w:szCs w:val="22"/>
        </w:rPr>
        <w:t xml:space="preserve">. (2021) </w:t>
      </w:r>
      <w:r>
        <w:rPr>
          <w:rFonts w:ascii="Arial" w:hAnsi="Arial" w:cs="Arial"/>
          <w:sz w:val="22"/>
          <w:szCs w:val="22"/>
        </w:rPr>
        <w:t>‘</w:t>
      </w:r>
      <w:r w:rsidRPr="00706D47">
        <w:rPr>
          <w:rFonts w:ascii="Arial" w:hAnsi="Arial" w:cs="Arial"/>
          <w:sz w:val="22"/>
          <w:szCs w:val="22"/>
        </w:rPr>
        <w:t>Opportunities, challenges and trade-offs with decreasing avoidable food waste in the UK</w:t>
      </w:r>
      <w:r>
        <w:rPr>
          <w:rFonts w:ascii="Arial" w:hAnsi="Arial" w:cs="Arial"/>
          <w:sz w:val="22"/>
          <w:szCs w:val="22"/>
        </w:rPr>
        <w:t>’</w:t>
      </w:r>
      <w:r w:rsidRPr="00706D47">
        <w:rPr>
          <w:rFonts w:ascii="Arial" w:hAnsi="Arial" w:cs="Arial"/>
          <w:sz w:val="22"/>
          <w:szCs w:val="22"/>
        </w:rPr>
        <w:t>. </w:t>
      </w:r>
      <w:r w:rsidRPr="00706D47">
        <w:rPr>
          <w:rFonts w:ascii="Arial" w:hAnsi="Arial" w:cs="Arial"/>
          <w:i/>
          <w:iCs/>
          <w:sz w:val="22"/>
          <w:szCs w:val="22"/>
        </w:rPr>
        <w:t>Waste Management &amp; Research: The Journal for a Sustainable Circular Economy</w:t>
      </w:r>
      <w:r w:rsidRPr="00706D47">
        <w:rPr>
          <w:rFonts w:ascii="Arial" w:hAnsi="Arial" w:cs="Arial"/>
          <w:sz w:val="22"/>
          <w:szCs w:val="22"/>
        </w:rPr>
        <w:t>, 39(3), pp.473–488.</w:t>
      </w:r>
      <w:r w:rsidR="001A2035">
        <w:rPr>
          <w:rFonts w:ascii="Arial" w:hAnsi="Arial" w:cs="Arial"/>
          <w:sz w:val="22"/>
          <w:szCs w:val="22"/>
        </w:rPr>
        <w:t xml:space="preserve"> Available at: </w:t>
      </w:r>
      <w:hyperlink r:id="rId21" w:history="1">
        <w:r w:rsidR="0082215D" w:rsidRPr="0082215D">
          <w:rPr>
            <w:rStyle w:val="Hyperlink"/>
            <w:rFonts w:ascii="Arial" w:hAnsi="Arial" w:cs="Arial"/>
            <w:sz w:val="22"/>
            <w:szCs w:val="22"/>
          </w:rPr>
          <w:t>https://doi.org/10.1177/0734242X20983427</w:t>
        </w:r>
      </w:hyperlink>
      <w:r w:rsidR="0082215D">
        <w:rPr>
          <w:rFonts w:ascii="Arial" w:hAnsi="Arial" w:cs="Arial"/>
          <w:sz w:val="22"/>
          <w:szCs w:val="22"/>
        </w:rPr>
        <w:t xml:space="preserve"> </w:t>
      </w:r>
    </w:p>
    <w:p w14:paraId="5D6385E6" w14:textId="2D05FA30" w:rsidR="00544BF8" w:rsidRDefault="00544BF8" w:rsidP="00B927BE">
      <w:pPr>
        <w:rPr>
          <w:rFonts w:ascii="Arial" w:hAnsi="Arial" w:cs="Arial"/>
          <w:sz w:val="22"/>
          <w:szCs w:val="22"/>
        </w:rPr>
      </w:pPr>
      <w:r>
        <w:rPr>
          <w:rFonts w:ascii="Arial" w:hAnsi="Arial" w:cs="Arial"/>
          <w:sz w:val="22"/>
          <w:szCs w:val="22"/>
        </w:rPr>
        <w:t xml:space="preserve">Public Heath England (2018) </w:t>
      </w:r>
      <w:r w:rsidR="00F46DD3" w:rsidRPr="0097585E">
        <w:rPr>
          <w:rFonts w:ascii="Arial" w:hAnsi="Arial" w:cs="Arial"/>
          <w:i/>
          <w:iCs/>
          <w:sz w:val="22"/>
          <w:szCs w:val="22"/>
        </w:rPr>
        <w:t>Child Health Profile Children living in poverty</w:t>
      </w:r>
      <w:r w:rsidR="00F46DD3" w:rsidRPr="00F46DD3">
        <w:rPr>
          <w:rFonts w:ascii="Arial" w:hAnsi="Arial" w:cs="Arial"/>
          <w:sz w:val="22"/>
          <w:szCs w:val="22"/>
        </w:rPr>
        <w:t xml:space="preserve">. Available at: </w:t>
      </w:r>
      <w:hyperlink r:id="rId22" w:history="1">
        <w:r w:rsidR="0097585E" w:rsidRPr="00761A65">
          <w:rPr>
            <w:rStyle w:val="Hyperlink"/>
            <w:rFonts w:ascii="Arial" w:hAnsi="Arial" w:cs="Arial"/>
            <w:sz w:val="22"/>
            <w:szCs w:val="22"/>
          </w:rPr>
          <w:t>https://www.newham.info/wp-content/uploads/2018/09/Newham-Child-Health-Profile-2018.pdf</w:t>
        </w:r>
      </w:hyperlink>
      <w:r w:rsidR="00F46DD3" w:rsidRPr="00F46DD3">
        <w:rPr>
          <w:rFonts w:ascii="Arial" w:hAnsi="Arial" w:cs="Arial"/>
          <w:sz w:val="22"/>
          <w:szCs w:val="22"/>
        </w:rPr>
        <w:t>.</w:t>
      </w:r>
      <w:r w:rsidR="0097585E">
        <w:rPr>
          <w:rFonts w:ascii="Arial" w:hAnsi="Arial" w:cs="Arial"/>
          <w:sz w:val="22"/>
          <w:szCs w:val="22"/>
        </w:rPr>
        <w:t xml:space="preserve"> (Accessed: 16 July 2024). </w:t>
      </w:r>
    </w:p>
    <w:p w14:paraId="19C7D702" w14:textId="6D6EC753" w:rsidR="003B39D8" w:rsidRDefault="003B39D8" w:rsidP="00B927BE">
      <w:pPr>
        <w:rPr>
          <w:rFonts w:ascii="Arial" w:hAnsi="Arial" w:cs="Arial"/>
          <w:sz w:val="22"/>
          <w:szCs w:val="22"/>
        </w:rPr>
      </w:pPr>
      <w:r w:rsidRPr="003B39D8">
        <w:rPr>
          <w:rFonts w:ascii="Arial" w:hAnsi="Arial" w:cs="Arial" w:hint="eastAsia"/>
          <w:sz w:val="22"/>
          <w:szCs w:val="22"/>
        </w:rPr>
        <w:t>Public Health England (2020)</w:t>
      </w:r>
      <w:r w:rsidRPr="003B39D8">
        <w:rPr>
          <w:rFonts w:ascii="Arial" w:hAnsi="Arial" w:cs="Arial" w:hint="eastAsia"/>
          <w:i/>
          <w:iCs/>
          <w:sz w:val="22"/>
          <w:szCs w:val="22"/>
        </w:rPr>
        <w:t xml:space="preserve"> Local Authority Health Profiles - Data - OHID</w:t>
      </w:r>
      <w:r w:rsidRPr="003B39D8">
        <w:rPr>
          <w:rFonts w:ascii="Arial" w:hAnsi="Arial" w:cs="Arial" w:hint="eastAsia"/>
          <w:sz w:val="22"/>
          <w:szCs w:val="22"/>
        </w:rPr>
        <w:t xml:space="preserve">. Available at: </w:t>
      </w:r>
      <w:hyperlink r:id="rId23" w:history="1">
        <w:r w:rsidRPr="003B39D8">
          <w:rPr>
            <w:rStyle w:val="Hyperlink"/>
            <w:rFonts w:ascii="Arial" w:hAnsi="Arial" w:cs="Arial" w:hint="eastAsia"/>
            <w:sz w:val="22"/>
            <w:szCs w:val="22"/>
          </w:rPr>
          <w:t>https://fingertips.phe.org.uk/profile/health-profiles/data#page/13/ati/301/are/E09000025</w:t>
        </w:r>
      </w:hyperlink>
      <w:r w:rsidR="005A131A">
        <w:rPr>
          <w:rFonts w:ascii="Arial" w:hAnsi="Arial" w:cs="Arial"/>
          <w:sz w:val="22"/>
          <w:szCs w:val="22"/>
        </w:rPr>
        <w:t xml:space="preserve"> (Accessed: 16 July 2024). </w:t>
      </w:r>
    </w:p>
    <w:p w14:paraId="49261D72" w14:textId="7E367ACB" w:rsidR="003746C4" w:rsidRDefault="002B6FFB" w:rsidP="00B927BE">
      <w:pPr>
        <w:rPr>
          <w:rFonts w:ascii="Arial" w:hAnsi="Arial" w:cs="Arial"/>
          <w:sz w:val="22"/>
          <w:szCs w:val="22"/>
        </w:rPr>
      </w:pPr>
      <w:r w:rsidRPr="002B6FFB">
        <w:rPr>
          <w:rFonts w:ascii="Arial" w:hAnsi="Arial" w:cs="Arial"/>
          <w:sz w:val="22"/>
          <w:szCs w:val="22"/>
        </w:rPr>
        <w:t xml:space="preserve">Sanders, </w:t>
      </w:r>
      <w:r w:rsidR="005C2B9D">
        <w:rPr>
          <w:rFonts w:ascii="Arial" w:hAnsi="Arial" w:cs="Arial"/>
          <w:sz w:val="22"/>
          <w:szCs w:val="22"/>
        </w:rPr>
        <w:t>et al</w:t>
      </w:r>
      <w:r w:rsidRPr="002B6FFB">
        <w:rPr>
          <w:rFonts w:ascii="Arial" w:hAnsi="Arial" w:cs="Arial"/>
          <w:sz w:val="22"/>
          <w:szCs w:val="22"/>
        </w:rPr>
        <w:t xml:space="preserve">. (2015) </w:t>
      </w:r>
      <w:r w:rsidR="005C2B9D">
        <w:rPr>
          <w:rFonts w:ascii="Arial" w:hAnsi="Arial" w:cs="Arial"/>
          <w:sz w:val="22"/>
          <w:szCs w:val="22"/>
        </w:rPr>
        <w:t>‘</w:t>
      </w:r>
      <w:r w:rsidRPr="002B6FFB">
        <w:rPr>
          <w:rFonts w:ascii="Arial" w:hAnsi="Arial" w:cs="Arial"/>
          <w:sz w:val="22"/>
          <w:szCs w:val="22"/>
        </w:rPr>
        <w:t>Childhood obesity and its physical and psychological co-morbidities: a systematic review of Australian children and adolescents</w:t>
      </w:r>
      <w:r w:rsidR="005C2B9D">
        <w:rPr>
          <w:rFonts w:ascii="Arial" w:hAnsi="Arial" w:cs="Arial"/>
          <w:sz w:val="22"/>
          <w:szCs w:val="22"/>
        </w:rPr>
        <w:t>’</w:t>
      </w:r>
      <w:r w:rsidRPr="002B6FFB">
        <w:rPr>
          <w:rFonts w:ascii="Arial" w:hAnsi="Arial" w:cs="Arial"/>
          <w:sz w:val="22"/>
          <w:szCs w:val="22"/>
        </w:rPr>
        <w:t>. </w:t>
      </w:r>
      <w:r w:rsidRPr="002B6FFB">
        <w:rPr>
          <w:rFonts w:ascii="Arial" w:hAnsi="Arial" w:cs="Arial"/>
          <w:i/>
          <w:iCs/>
          <w:sz w:val="22"/>
          <w:szCs w:val="22"/>
        </w:rPr>
        <w:t>European Journal of Pediatrics</w:t>
      </w:r>
      <w:r w:rsidRPr="002B6FFB">
        <w:rPr>
          <w:rFonts w:ascii="Arial" w:hAnsi="Arial" w:cs="Arial"/>
          <w:sz w:val="22"/>
          <w:szCs w:val="22"/>
        </w:rPr>
        <w:t>, 174(6), pp.715–746.</w:t>
      </w:r>
      <w:r w:rsidR="005C2B9D">
        <w:rPr>
          <w:rFonts w:ascii="Arial" w:hAnsi="Arial" w:cs="Arial"/>
          <w:sz w:val="22"/>
          <w:szCs w:val="22"/>
        </w:rPr>
        <w:t xml:space="preserve"> Available at: </w:t>
      </w:r>
      <w:r w:rsidRPr="002B6FFB">
        <w:rPr>
          <w:rFonts w:ascii="Arial" w:hAnsi="Arial" w:cs="Arial"/>
          <w:sz w:val="22"/>
          <w:szCs w:val="22"/>
        </w:rPr>
        <w:t xml:space="preserve"> doi:https://doi.org/10.1007/s00431-015-2551-3.</w:t>
      </w:r>
      <w:r w:rsidR="005C2B9D">
        <w:rPr>
          <w:rFonts w:ascii="Arial" w:hAnsi="Arial" w:cs="Arial"/>
          <w:sz w:val="22"/>
          <w:szCs w:val="22"/>
        </w:rPr>
        <w:t xml:space="preserve"> </w:t>
      </w:r>
    </w:p>
    <w:p w14:paraId="152CE8F5" w14:textId="5B7AC163" w:rsidR="002F44EC" w:rsidRDefault="002F44EC" w:rsidP="00B927BE">
      <w:pPr>
        <w:rPr>
          <w:rFonts w:ascii="Arial" w:hAnsi="Arial" w:cs="Arial"/>
          <w:sz w:val="22"/>
          <w:szCs w:val="22"/>
        </w:rPr>
      </w:pPr>
      <w:r w:rsidRPr="00030A15">
        <w:rPr>
          <w:rFonts w:ascii="Arial" w:hAnsi="Arial" w:cs="Arial"/>
          <w:sz w:val="22"/>
          <w:szCs w:val="22"/>
        </w:rPr>
        <w:t xml:space="preserve">Scaglioni, S., </w:t>
      </w:r>
      <w:r w:rsidR="00030A15" w:rsidRPr="00030A15">
        <w:rPr>
          <w:rFonts w:ascii="Arial" w:hAnsi="Arial" w:cs="Arial"/>
          <w:sz w:val="22"/>
          <w:szCs w:val="22"/>
        </w:rPr>
        <w:t xml:space="preserve">et al. </w:t>
      </w:r>
      <w:r w:rsidRPr="00030A15">
        <w:rPr>
          <w:rFonts w:ascii="Arial" w:hAnsi="Arial" w:cs="Arial"/>
          <w:sz w:val="22"/>
          <w:szCs w:val="22"/>
        </w:rPr>
        <w:t xml:space="preserve">(2018) </w:t>
      </w:r>
      <w:r w:rsidR="00030A15" w:rsidRPr="00030A15">
        <w:rPr>
          <w:rFonts w:ascii="Arial" w:hAnsi="Arial" w:cs="Arial"/>
          <w:sz w:val="22"/>
          <w:szCs w:val="22"/>
        </w:rPr>
        <w:t>‘</w:t>
      </w:r>
      <w:r w:rsidRPr="002F44EC">
        <w:rPr>
          <w:rFonts w:ascii="Arial" w:hAnsi="Arial" w:cs="Arial"/>
          <w:sz w:val="22"/>
          <w:szCs w:val="22"/>
        </w:rPr>
        <w:t>Factors Influencing Children’s Eating Behaviours</w:t>
      </w:r>
      <w:r w:rsidR="00030A15">
        <w:rPr>
          <w:rFonts w:ascii="Arial" w:hAnsi="Arial" w:cs="Arial"/>
          <w:sz w:val="22"/>
          <w:szCs w:val="22"/>
        </w:rPr>
        <w:t>’</w:t>
      </w:r>
      <w:r w:rsidRPr="002F44EC">
        <w:rPr>
          <w:rFonts w:ascii="Arial" w:hAnsi="Arial" w:cs="Arial"/>
          <w:sz w:val="22"/>
          <w:szCs w:val="22"/>
        </w:rPr>
        <w:t>. </w:t>
      </w:r>
      <w:r w:rsidRPr="002F44EC">
        <w:rPr>
          <w:rFonts w:ascii="Arial" w:hAnsi="Arial" w:cs="Arial"/>
          <w:i/>
          <w:iCs/>
          <w:sz w:val="22"/>
          <w:szCs w:val="22"/>
        </w:rPr>
        <w:t>Nutrients</w:t>
      </w:r>
      <w:r w:rsidRPr="002F44EC">
        <w:rPr>
          <w:rFonts w:ascii="Arial" w:hAnsi="Arial" w:cs="Arial"/>
          <w:sz w:val="22"/>
          <w:szCs w:val="22"/>
        </w:rPr>
        <w:t>,  10(6), p.706.</w:t>
      </w:r>
      <w:r w:rsidR="00030A15">
        <w:rPr>
          <w:rFonts w:ascii="Arial" w:hAnsi="Arial" w:cs="Arial"/>
          <w:sz w:val="22"/>
          <w:szCs w:val="22"/>
        </w:rPr>
        <w:t xml:space="preserve"> Available at: </w:t>
      </w:r>
      <w:r w:rsidRPr="002F44EC">
        <w:rPr>
          <w:rFonts w:ascii="Arial" w:hAnsi="Arial" w:cs="Arial"/>
          <w:sz w:val="22"/>
          <w:szCs w:val="22"/>
        </w:rPr>
        <w:t xml:space="preserve"> doi:https://doi.org/10.3390/nu10060706.</w:t>
      </w:r>
    </w:p>
    <w:p w14:paraId="229A9E35" w14:textId="7DE33159" w:rsidR="00707648" w:rsidRDefault="00707648" w:rsidP="00B927BE">
      <w:pPr>
        <w:rPr>
          <w:rFonts w:ascii="Arial" w:hAnsi="Arial" w:cs="Arial"/>
          <w:sz w:val="22"/>
          <w:szCs w:val="22"/>
        </w:rPr>
      </w:pPr>
      <w:r w:rsidRPr="00707648">
        <w:rPr>
          <w:rFonts w:ascii="Arial" w:hAnsi="Arial" w:cs="Arial"/>
          <w:sz w:val="22"/>
          <w:szCs w:val="22"/>
        </w:rPr>
        <w:t>Str</w:t>
      </w:r>
      <w:r w:rsidR="008868D3">
        <w:rPr>
          <w:rFonts w:ascii="Arial" w:hAnsi="Arial" w:cs="Arial"/>
          <w:sz w:val="22"/>
          <w:szCs w:val="22"/>
        </w:rPr>
        <w:t>o</w:t>
      </w:r>
      <w:r w:rsidRPr="00707648">
        <w:rPr>
          <w:rFonts w:ascii="Arial" w:hAnsi="Arial" w:cs="Arial"/>
          <w:sz w:val="22"/>
          <w:szCs w:val="22"/>
        </w:rPr>
        <w:t>mme, H.,</w:t>
      </w:r>
      <w:r w:rsidR="008868D3">
        <w:rPr>
          <w:rFonts w:ascii="Arial" w:hAnsi="Arial" w:cs="Arial"/>
          <w:sz w:val="22"/>
          <w:szCs w:val="22"/>
        </w:rPr>
        <w:t xml:space="preserve"> et al</w:t>
      </w:r>
      <w:r w:rsidRPr="00707648">
        <w:rPr>
          <w:rFonts w:ascii="Arial" w:hAnsi="Arial" w:cs="Arial"/>
          <w:sz w:val="22"/>
          <w:szCs w:val="22"/>
        </w:rPr>
        <w:t xml:space="preserve">. (2014) </w:t>
      </w:r>
      <w:r w:rsidR="008868D3">
        <w:rPr>
          <w:rFonts w:ascii="Arial" w:hAnsi="Arial" w:cs="Arial"/>
          <w:sz w:val="22"/>
          <w:szCs w:val="22"/>
        </w:rPr>
        <w:t>‘</w:t>
      </w:r>
      <w:r w:rsidRPr="00707648">
        <w:rPr>
          <w:rFonts w:ascii="Arial" w:hAnsi="Arial" w:cs="Arial"/>
          <w:sz w:val="22"/>
          <w:szCs w:val="22"/>
        </w:rPr>
        <w:t>Effects of Using Social Media in Health Awareness Campaigns to Promote Healthy Lifestyle Habit</w:t>
      </w:r>
      <w:r w:rsidR="008868D3">
        <w:rPr>
          <w:rFonts w:ascii="Arial" w:hAnsi="Arial" w:cs="Arial"/>
          <w:sz w:val="22"/>
          <w:szCs w:val="22"/>
        </w:rPr>
        <w:t>’</w:t>
      </w:r>
      <w:r w:rsidRPr="00707648">
        <w:rPr>
          <w:rFonts w:ascii="Arial" w:hAnsi="Arial" w:cs="Arial"/>
          <w:sz w:val="22"/>
          <w:szCs w:val="22"/>
        </w:rPr>
        <w:t>. </w:t>
      </w:r>
      <w:r w:rsidRPr="00707648">
        <w:rPr>
          <w:rFonts w:ascii="Arial" w:hAnsi="Arial" w:cs="Arial"/>
          <w:i/>
          <w:iCs/>
          <w:sz w:val="22"/>
          <w:szCs w:val="22"/>
        </w:rPr>
        <w:t>Europe PMC</w:t>
      </w:r>
      <w:r w:rsidRPr="00707648">
        <w:rPr>
          <w:rFonts w:ascii="Arial" w:hAnsi="Arial" w:cs="Arial"/>
          <w:sz w:val="22"/>
          <w:szCs w:val="22"/>
        </w:rPr>
        <w:t xml:space="preserve">. Available at: </w:t>
      </w:r>
      <w:hyperlink r:id="rId24" w:history="1">
        <w:r w:rsidR="008868D3" w:rsidRPr="001E2855">
          <w:rPr>
            <w:rStyle w:val="Hyperlink"/>
            <w:rFonts w:ascii="Arial" w:hAnsi="Arial" w:cs="Arial"/>
            <w:sz w:val="22"/>
            <w:szCs w:val="22"/>
          </w:rPr>
          <w:t>https://europepmc.org/article/med/29320123</w:t>
        </w:r>
      </w:hyperlink>
      <w:r w:rsidRPr="00707648">
        <w:rPr>
          <w:rFonts w:ascii="Arial" w:hAnsi="Arial" w:cs="Arial"/>
          <w:sz w:val="22"/>
          <w:szCs w:val="22"/>
        </w:rPr>
        <w:t>.</w:t>
      </w:r>
      <w:r w:rsidR="008868D3">
        <w:rPr>
          <w:rFonts w:ascii="Arial" w:hAnsi="Arial" w:cs="Arial"/>
          <w:sz w:val="22"/>
          <w:szCs w:val="22"/>
        </w:rPr>
        <w:t xml:space="preserve"> </w:t>
      </w:r>
      <w:r w:rsidR="00E44903">
        <w:rPr>
          <w:rFonts w:ascii="Arial" w:hAnsi="Arial" w:cs="Arial"/>
          <w:sz w:val="22"/>
          <w:szCs w:val="22"/>
        </w:rPr>
        <w:t xml:space="preserve">(Accessed: 19 July 2024). </w:t>
      </w:r>
    </w:p>
    <w:p w14:paraId="0483498A" w14:textId="025DE2C2" w:rsidR="00731F2B" w:rsidRDefault="00731F2B" w:rsidP="00B927BE">
      <w:pPr>
        <w:rPr>
          <w:rFonts w:ascii="Arial" w:hAnsi="Arial" w:cs="Arial"/>
          <w:sz w:val="22"/>
          <w:szCs w:val="22"/>
        </w:rPr>
      </w:pPr>
      <w:r>
        <w:rPr>
          <w:rFonts w:ascii="Arial" w:hAnsi="Arial" w:cs="Arial"/>
          <w:sz w:val="22"/>
          <w:szCs w:val="22"/>
        </w:rPr>
        <w:t xml:space="preserve">The Trussell Trust </w:t>
      </w:r>
      <w:r w:rsidRPr="00731F2B">
        <w:rPr>
          <w:rFonts w:ascii="Arial" w:hAnsi="Arial" w:cs="Arial"/>
          <w:sz w:val="22"/>
          <w:szCs w:val="22"/>
        </w:rPr>
        <w:t>(2021). </w:t>
      </w:r>
      <w:r w:rsidRPr="00731F2B">
        <w:rPr>
          <w:rFonts w:ascii="Arial" w:hAnsi="Arial" w:cs="Arial"/>
          <w:i/>
          <w:iCs/>
          <w:sz w:val="22"/>
          <w:szCs w:val="22"/>
        </w:rPr>
        <w:t>Our new report calls for the £20 Universal Credit uplift to be extended</w:t>
      </w:r>
      <w:r w:rsidRPr="00731F2B">
        <w:rPr>
          <w:rFonts w:ascii="Arial" w:hAnsi="Arial" w:cs="Arial"/>
          <w:sz w:val="22"/>
          <w:szCs w:val="22"/>
        </w:rPr>
        <w:t xml:space="preserve">. Available at: </w:t>
      </w:r>
      <w:hyperlink r:id="rId25" w:anchor=":~:text=But%20new%20research%20conducted%20by" w:history="1">
        <w:r w:rsidRPr="00761A65">
          <w:rPr>
            <w:rStyle w:val="Hyperlink"/>
            <w:rFonts w:ascii="Arial" w:hAnsi="Arial" w:cs="Arial"/>
            <w:sz w:val="22"/>
            <w:szCs w:val="22"/>
          </w:rPr>
          <w:t>https://www.trusselltrust.org/2021/02/04/our-new-report-calls-for-the-20-universal-credit-uplift-to-be-extended/#:~:text=But%20new%20research%20conducted%20by</w:t>
        </w:r>
      </w:hyperlink>
      <w:r>
        <w:rPr>
          <w:rFonts w:ascii="Arial" w:hAnsi="Arial" w:cs="Arial"/>
          <w:sz w:val="22"/>
          <w:szCs w:val="22"/>
        </w:rPr>
        <w:t xml:space="preserve"> </w:t>
      </w:r>
      <w:r w:rsidRPr="00731F2B">
        <w:rPr>
          <w:rFonts w:ascii="Arial" w:hAnsi="Arial" w:cs="Arial"/>
          <w:sz w:val="22"/>
          <w:szCs w:val="22"/>
        </w:rPr>
        <w:t xml:space="preserve"> </w:t>
      </w:r>
      <w:r>
        <w:rPr>
          <w:rFonts w:ascii="Arial" w:hAnsi="Arial" w:cs="Arial"/>
          <w:sz w:val="22"/>
          <w:szCs w:val="22"/>
        </w:rPr>
        <w:t>(</w:t>
      </w:r>
      <w:r w:rsidRPr="00731F2B">
        <w:rPr>
          <w:rFonts w:ascii="Arial" w:hAnsi="Arial" w:cs="Arial"/>
          <w:sz w:val="22"/>
          <w:szCs w:val="22"/>
        </w:rPr>
        <w:t>Accessed 16 Jul. 2024</w:t>
      </w:r>
      <w:r w:rsidR="00446463">
        <w:rPr>
          <w:rFonts w:ascii="Arial" w:hAnsi="Arial" w:cs="Arial"/>
          <w:sz w:val="22"/>
          <w:szCs w:val="22"/>
        </w:rPr>
        <w:t>)</w:t>
      </w:r>
      <w:r w:rsidRPr="00731F2B">
        <w:rPr>
          <w:rFonts w:ascii="Arial" w:hAnsi="Arial" w:cs="Arial"/>
          <w:sz w:val="22"/>
          <w:szCs w:val="22"/>
        </w:rPr>
        <w:t>.</w:t>
      </w:r>
    </w:p>
    <w:p w14:paraId="30F63D2B" w14:textId="0246073C" w:rsidR="00BD7616" w:rsidRDefault="00523031" w:rsidP="00B927BE">
      <w:pPr>
        <w:rPr>
          <w:rFonts w:ascii="Arial" w:hAnsi="Arial" w:cs="Arial"/>
          <w:sz w:val="22"/>
          <w:szCs w:val="22"/>
        </w:rPr>
      </w:pPr>
      <w:r w:rsidRPr="00523031">
        <w:rPr>
          <w:rFonts w:ascii="Arial" w:hAnsi="Arial" w:cs="Arial"/>
          <w:sz w:val="22"/>
          <w:szCs w:val="22"/>
        </w:rPr>
        <w:t xml:space="preserve">Wesley McWhorter, </w:t>
      </w:r>
      <w:r w:rsidR="004F37C5" w:rsidRPr="00523031">
        <w:rPr>
          <w:rFonts w:ascii="Arial" w:hAnsi="Arial" w:cs="Arial"/>
          <w:sz w:val="22"/>
          <w:szCs w:val="22"/>
        </w:rPr>
        <w:t>J</w:t>
      </w:r>
      <w:r w:rsidR="004F37C5">
        <w:rPr>
          <w:rFonts w:ascii="Arial" w:hAnsi="Arial" w:cs="Arial"/>
          <w:sz w:val="22"/>
          <w:szCs w:val="22"/>
        </w:rPr>
        <w:t>,</w:t>
      </w:r>
      <w:r>
        <w:rPr>
          <w:rFonts w:ascii="Arial" w:hAnsi="Arial" w:cs="Arial"/>
          <w:sz w:val="22"/>
          <w:szCs w:val="22"/>
        </w:rPr>
        <w:t xml:space="preserve"> et al.</w:t>
      </w:r>
      <w:r w:rsidRPr="00523031">
        <w:rPr>
          <w:rFonts w:ascii="Arial" w:hAnsi="Arial" w:cs="Arial"/>
          <w:sz w:val="22"/>
          <w:szCs w:val="22"/>
        </w:rPr>
        <w:t xml:space="preserve"> (2022) </w:t>
      </w:r>
      <w:r w:rsidR="00FC6CA1">
        <w:rPr>
          <w:rFonts w:ascii="Arial" w:hAnsi="Arial" w:cs="Arial"/>
          <w:sz w:val="22"/>
          <w:szCs w:val="22"/>
        </w:rPr>
        <w:t>‘</w:t>
      </w:r>
      <w:r w:rsidRPr="00523031">
        <w:rPr>
          <w:rFonts w:ascii="Arial" w:hAnsi="Arial" w:cs="Arial"/>
          <w:sz w:val="22"/>
          <w:szCs w:val="22"/>
        </w:rPr>
        <w:t>Barriers and Facilitators of Implementing a Clinic-Integrated Food Prescription Plus Culinary Medicine Program in a Low-Income Food Insecure Population: A Qualitative Study</w:t>
      </w:r>
      <w:r w:rsidR="00FC6CA1">
        <w:rPr>
          <w:rFonts w:ascii="Arial" w:hAnsi="Arial" w:cs="Arial"/>
          <w:sz w:val="22"/>
          <w:szCs w:val="22"/>
        </w:rPr>
        <w:t>’</w:t>
      </w:r>
      <w:r w:rsidRPr="00523031">
        <w:rPr>
          <w:rFonts w:ascii="Arial" w:hAnsi="Arial" w:cs="Arial"/>
          <w:sz w:val="22"/>
          <w:szCs w:val="22"/>
        </w:rPr>
        <w:t xml:space="preserve">. </w:t>
      </w:r>
      <w:r w:rsidR="00D2326C">
        <w:rPr>
          <w:rFonts w:ascii="Arial" w:hAnsi="Arial" w:cs="Arial"/>
          <w:i/>
          <w:iCs/>
          <w:sz w:val="22"/>
          <w:szCs w:val="22"/>
        </w:rPr>
        <w:t xml:space="preserve">Journal of  the Academy </w:t>
      </w:r>
      <w:r w:rsidR="00595DB6">
        <w:rPr>
          <w:rFonts w:ascii="Arial" w:hAnsi="Arial" w:cs="Arial"/>
          <w:i/>
          <w:iCs/>
          <w:sz w:val="22"/>
          <w:szCs w:val="22"/>
        </w:rPr>
        <w:t>of</w:t>
      </w:r>
      <w:r w:rsidR="00D2326C">
        <w:rPr>
          <w:rFonts w:ascii="Arial" w:hAnsi="Arial" w:cs="Arial"/>
          <w:i/>
          <w:iCs/>
          <w:sz w:val="22"/>
          <w:szCs w:val="22"/>
        </w:rPr>
        <w:t xml:space="preserve"> Nutrition</w:t>
      </w:r>
      <w:r w:rsidR="00595DB6">
        <w:rPr>
          <w:rFonts w:ascii="Arial" w:hAnsi="Arial" w:cs="Arial"/>
          <w:i/>
          <w:iCs/>
          <w:sz w:val="22"/>
          <w:szCs w:val="22"/>
        </w:rPr>
        <w:t xml:space="preserve"> and Dietetics</w:t>
      </w:r>
      <w:r w:rsidR="00AD4D8F">
        <w:rPr>
          <w:rFonts w:ascii="Arial" w:hAnsi="Arial" w:cs="Arial"/>
          <w:i/>
          <w:iCs/>
          <w:sz w:val="22"/>
          <w:szCs w:val="22"/>
        </w:rPr>
        <w:t xml:space="preserve">, </w:t>
      </w:r>
      <w:r w:rsidR="00AD4D8F">
        <w:rPr>
          <w:rFonts w:ascii="Arial" w:hAnsi="Arial" w:cs="Arial"/>
          <w:sz w:val="22"/>
          <w:szCs w:val="22"/>
        </w:rPr>
        <w:t>122(8)</w:t>
      </w:r>
      <w:r w:rsidR="001961DD">
        <w:rPr>
          <w:rFonts w:ascii="Arial" w:hAnsi="Arial" w:cs="Arial"/>
          <w:sz w:val="22"/>
          <w:szCs w:val="22"/>
        </w:rPr>
        <w:t>, pp. 1499-1513</w:t>
      </w:r>
      <w:r w:rsidR="00071CE7">
        <w:rPr>
          <w:rFonts w:ascii="Arial" w:hAnsi="Arial" w:cs="Arial"/>
          <w:sz w:val="22"/>
          <w:szCs w:val="22"/>
        </w:rPr>
        <w:t>.</w:t>
      </w:r>
      <w:r w:rsidR="00D2326C">
        <w:rPr>
          <w:rFonts w:ascii="Arial" w:hAnsi="Arial" w:cs="Arial"/>
          <w:i/>
          <w:iCs/>
          <w:sz w:val="22"/>
          <w:szCs w:val="22"/>
        </w:rPr>
        <w:t xml:space="preserve"> </w:t>
      </w:r>
      <w:r w:rsidR="00FC6CA1">
        <w:rPr>
          <w:rFonts w:ascii="Arial" w:hAnsi="Arial" w:cs="Arial"/>
          <w:sz w:val="22"/>
          <w:szCs w:val="22"/>
        </w:rPr>
        <w:t xml:space="preserve"> </w:t>
      </w:r>
      <w:r w:rsidRPr="00523031">
        <w:rPr>
          <w:rFonts w:ascii="Arial" w:hAnsi="Arial" w:cs="Arial"/>
          <w:sz w:val="22"/>
          <w:szCs w:val="22"/>
        </w:rPr>
        <w:t xml:space="preserve">Available at: </w:t>
      </w:r>
      <w:hyperlink r:id="rId26" w:anchor="abs0010" w:history="1">
        <w:r w:rsidR="00071CE7" w:rsidRPr="001E2855">
          <w:rPr>
            <w:rStyle w:val="Hyperlink"/>
            <w:rFonts w:ascii="Arial" w:hAnsi="Arial" w:cs="Arial"/>
            <w:sz w:val="22"/>
            <w:szCs w:val="22"/>
          </w:rPr>
          <w:t>https://www.sciencedirect.com/science/article/pii/S2212267221015094#abs0010</w:t>
        </w:r>
      </w:hyperlink>
      <w:r w:rsidR="00071CE7">
        <w:rPr>
          <w:rFonts w:ascii="Arial" w:hAnsi="Arial" w:cs="Arial"/>
          <w:sz w:val="22"/>
          <w:szCs w:val="22"/>
        </w:rPr>
        <w:t xml:space="preserve"> (</w:t>
      </w:r>
      <w:r w:rsidRPr="00523031">
        <w:rPr>
          <w:rFonts w:ascii="Arial" w:hAnsi="Arial" w:cs="Arial"/>
          <w:sz w:val="22"/>
          <w:szCs w:val="22"/>
        </w:rPr>
        <w:t>Accessed 19 Aug. 2024</w:t>
      </w:r>
      <w:r w:rsidR="00071CE7">
        <w:rPr>
          <w:rFonts w:ascii="Arial" w:hAnsi="Arial" w:cs="Arial"/>
          <w:sz w:val="22"/>
          <w:szCs w:val="22"/>
        </w:rPr>
        <w:t>)</w:t>
      </w:r>
      <w:r w:rsidRPr="00523031">
        <w:rPr>
          <w:rFonts w:ascii="Arial" w:hAnsi="Arial" w:cs="Arial"/>
          <w:sz w:val="22"/>
          <w:szCs w:val="22"/>
        </w:rPr>
        <w:t>.</w:t>
      </w:r>
    </w:p>
    <w:p w14:paraId="633BB8D7" w14:textId="77777777" w:rsidR="00013635" w:rsidRPr="00B927BE" w:rsidRDefault="00013635" w:rsidP="00B927BE">
      <w:pPr>
        <w:rPr>
          <w:rFonts w:ascii="Arial" w:hAnsi="Arial" w:cs="Arial"/>
          <w:sz w:val="22"/>
          <w:szCs w:val="22"/>
        </w:rPr>
      </w:pPr>
    </w:p>
    <w:p w14:paraId="2B7374D2" w14:textId="77777777" w:rsidR="00F20BD9" w:rsidRPr="003B0DEF" w:rsidRDefault="00F20BD9">
      <w:pPr>
        <w:rPr>
          <w:rFonts w:ascii="Arial" w:hAnsi="Arial" w:cs="Arial"/>
          <w:sz w:val="22"/>
          <w:szCs w:val="22"/>
        </w:rPr>
      </w:pPr>
    </w:p>
    <w:sectPr w:rsidR="00F20BD9" w:rsidRPr="003B0DEF" w:rsidSect="0084378E">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8D1726" w14:textId="77777777" w:rsidR="0071461D" w:rsidRDefault="0071461D" w:rsidP="00AF015D">
      <w:pPr>
        <w:spacing w:after="0" w:line="240" w:lineRule="auto"/>
      </w:pPr>
      <w:r>
        <w:separator/>
      </w:r>
    </w:p>
  </w:endnote>
  <w:endnote w:type="continuationSeparator" w:id="0">
    <w:p w14:paraId="58AC112A" w14:textId="77777777" w:rsidR="0071461D" w:rsidRDefault="0071461D" w:rsidP="00AF0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0486920"/>
      <w:docPartObj>
        <w:docPartGallery w:val="Page Numbers (Bottom of Page)"/>
        <w:docPartUnique/>
      </w:docPartObj>
    </w:sdtPr>
    <w:sdtEndPr>
      <w:rPr>
        <w:noProof/>
      </w:rPr>
    </w:sdtEndPr>
    <w:sdtContent>
      <w:p w14:paraId="3A39415A" w14:textId="77777777" w:rsidR="003C3240" w:rsidRDefault="003C3240">
        <w:pPr>
          <w:pStyle w:val="Footer"/>
          <w:jc w:val="center"/>
        </w:pPr>
      </w:p>
      <w:p w14:paraId="72CF7771" w14:textId="01C9EA97" w:rsidR="00B16AB1" w:rsidRDefault="00B16A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2B75E" w14:textId="77777777" w:rsidR="0040002D" w:rsidRDefault="00400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AA90FE" w14:textId="77777777" w:rsidR="0071461D" w:rsidRDefault="0071461D" w:rsidP="00AF015D">
      <w:pPr>
        <w:spacing w:after="0" w:line="240" w:lineRule="auto"/>
      </w:pPr>
      <w:r>
        <w:separator/>
      </w:r>
    </w:p>
  </w:footnote>
  <w:footnote w:type="continuationSeparator" w:id="0">
    <w:p w14:paraId="67CF6FFE" w14:textId="77777777" w:rsidR="0071461D" w:rsidRDefault="0071461D" w:rsidP="00AF01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E85FFF"/>
    <w:multiLevelType w:val="hybridMultilevel"/>
    <w:tmpl w:val="84D44E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6C66695"/>
    <w:multiLevelType w:val="multilevel"/>
    <w:tmpl w:val="79AC2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9204610">
    <w:abstractNumId w:val="0"/>
  </w:num>
  <w:num w:numId="2" w16cid:durableId="17157635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ABF"/>
    <w:rsid w:val="00000E0D"/>
    <w:rsid w:val="00003818"/>
    <w:rsid w:val="00007BF8"/>
    <w:rsid w:val="0001280E"/>
    <w:rsid w:val="00013635"/>
    <w:rsid w:val="00014938"/>
    <w:rsid w:val="00020B0C"/>
    <w:rsid w:val="000277F6"/>
    <w:rsid w:val="0002792D"/>
    <w:rsid w:val="00030A15"/>
    <w:rsid w:val="00040FC6"/>
    <w:rsid w:val="00042115"/>
    <w:rsid w:val="00042E76"/>
    <w:rsid w:val="00050A04"/>
    <w:rsid w:val="000519E4"/>
    <w:rsid w:val="00053090"/>
    <w:rsid w:val="00053BFC"/>
    <w:rsid w:val="00055C22"/>
    <w:rsid w:val="00056E90"/>
    <w:rsid w:val="0005738D"/>
    <w:rsid w:val="0006027A"/>
    <w:rsid w:val="000603D9"/>
    <w:rsid w:val="00066AEF"/>
    <w:rsid w:val="00067CB6"/>
    <w:rsid w:val="00070A1E"/>
    <w:rsid w:val="00071CE7"/>
    <w:rsid w:val="000736EF"/>
    <w:rsid w:val="00073AF1"/>
    <w:rsid w:val="00073C1D"/>
    <w:rsid w:val="00076A22"/>
    <w:rsid w:val="00082B22"/>
    <w:rsid w:val="00096494"/>
    <w:rsid w:val="00097DA7"/>
    <w:rsid w:val="000B14CF"/>
    <w:rsid w:val="000C5476"/>
    <w:rsid w:val="000C67C8"/>
    <w:rsid w:val="000D1B68"/>
    <w:rsid w:val="000D1E0E"/>
    <w:rsid w:val="000D2104"/>
    <w:rsid w:val="000E55C2"/>
    <w:rsid w:val="000E6304"/>
    <w:rsid w:val="000F2D55"/>
    <w:rsid w:val="000F52FB"/>
    <w:rsid w:val="00101B4D"/>
    <w:rsid w:val="0010440D"/>
    <w:rsid w:val="00117F6B"/>
    <w:rsid w:val="0012068F"/>
    <w:rsid w:val="001247F3"/>
    <w:rsid w:val="00124971"/>
    <w:rsid w:val="0012680D"/>
    <w:rsid w:val="001326A0"/>
    <w:rsid w:val="00133D67"/>
    <w:rsid w:val="001376F0"/>
    <w:rsid w:val="001402DC"/>
    <w:rsid w:val="00144A67"/>
    <w:rsid w:val="00160398"/>
    <w:rsid w:val="0016570A"/>
    <w:rsid w:val="00172B6D"/>
    <w:rsid w:val="001743BE"/>
    <w:rsid w:val="00182903"/>
    <w:rsid w:val="001849EE"/>
    <w:rsid w:val="001902A7"/>
    <w:rsid w:val="00195B50"/>
    <w:rsid w:val="001961DD"/>
    <w:rsid w:val="001A1217"/>
    <w:rsid w:val="001A2035"/>
    <w:rsid w:val="001B1C93"/>
    <w:rsid w:val="001B7294"/>
    <w:rsid w:val="001E3985"/>
    <w:rsid w:val="001E39F6"/>
    <w:rsid w:val="001E6B99"/>
    <w:rsid w:val="001F349C"/>
    <w:rsid w:val="001F3C95"/>
    <w:rsid w:val="002060E2"/>
    <w:rsid w:val="00207014"/>
    <w:rsid w:val="00213CEE"/>
    <w:rsid w:val="002146C9"/>
    <w:rsid w:val="00216AE2"/>
    <w:rsid w:val="00224AE9"/>
    <w:rsid w:val="00234ABA"/>
    <w:rsid w:val="0024450D"/>
    <w:rsid w:val="00246D22"/>
    <w:rsid w:val="00253035"/>
    <w:rsid w:val="002540DD"/>
    <w:rsid w:val="002603FC"/>
    <w:rsid w:val="00265254"/>
    <w:rsid w:val="00265BBD"/>
    <w:rsid w:val="002709AD"/>
    <w:rsid w:val="00277A4B"/>
    <w:rsid w:val="0028048A"/>
    <w:rsid w:val="00291426"/>
    <w:rsid w:val="002B21FD"/>
    <w:rsid w:val="002B2E8F"/>
    <w:rsid w:val="002B6FFB"/>
    <w:rsid w:val="002B7F6C"/>
    <w:rsid w:val="002C02EA"/>
    <w:rsid w:val="002C5EE2"/>
    <w:rsid w:val="002D59A0"/>
    <w:rsid w:val="002E382B"/>
    <w:rsid w:val="002E6406"/>
    <w:rsid w:val="002E797F"/>
    <w:rsid w:val="002E7DC2"/>
    <w:rsid w:val="002F44EC"/>
    <w:rsid w:val="002F6176"/>
    <w:rsid w:val="002F7C07"/>
    <w:rsid w:val="0030133B"/>
    <w:rsid w:val="0030433D"/>
    <w:rsid w:val="003123E1"/>
    <w:rsid w:val="003175C0"/>
    <w:rsid w:val="00322126"/>
    <w:rsid w:val="003378AF"/>
    <w:rsid w:val="003422B1"/>
    <w:rsid w:val="0035094F"/>
    <w:rsid w:val="00356C7E"/>
    <w:rsid w:val="00361BF7"/>
    <w:rsid w:val="00371EEE"/>
    <w:rsid w:val="003735B4"/>
    <w:rsid w:val="003746C4"/>
    <w:rsid w:val="00377850"/>
    <w:rsid w:val="00382FD1"/>
    <w:rsid w:val="00384DC9"/>
    <w:rsid w:val="00391721"/>
    <w:rsid w:val="00395494"/>
    <w:rsid w:val="0039658E"/>
    <w:rsid w:val="003A75A3"/>
    <w:rsid w:val="003B0DEF"/>
    <w:rsid w:val="003B125D"/>
    <w:rsid w:val="003B3464"/>
    <w:rsid w:val="003B39D8"/>
    <w:rsid w:val="003B3E79"/>
    <w:rsid w:val="003C3240"/>
    <w:rsid w:val="003D5961"/>
    <w:rsid w:val="003D7141"/>
    <w:rsid w:val="003F55CC"/>
    <w:rsid w:val="003F6076"/>
    <w:rsid w:val="003F6A46"/>
    <w:rsid w:val="0040002D"/>
    <w:rsid w:val="0040099F"/>
    <w:rsid w:val="00411D8B"/>
    <w:rsid w:val="00415931"/>
    <w:rsid w:val="00424DEE"/>
    <w:rsid w:val="00446463"/>
    <w:rsid w:val="00453E35"/>
    <w:rsid w:val="004577A3"/>
    <w:rsid w:val="00462843"/>
    <w:rsid w:val="004629C6"/>
    <w:rsid w:val="0047357F"/>
    <w:rsid w:val="00473CF9"/>
    <w:rsid w:val="0047424E"/>
    <w:rsid w:val="004743E2"/>
    <w:rsid w:val="0049233B"/>
    <w:rsid w:val="004938E7"/>
    <w:rsid w:val="00497B56"/>
    <w:rsid w:val="00497F72"/>
    <w:rsid w:val="004B0BD6"/>
    <w:rsid w:val="004B4CC5"/>
    <w:rsid w:val="004B63A5"/>
    <w:rsid w:val="004C2233"/>
    <w:rsid w:val="004F1F42"/>
    <w:rsid w:val="004F213A"/>
    <w:rsid w:val="004F37C5"/>
    <w:rsid w:val="004F5E20"/>
    <w:rsid w:val="00507377"/>
    <w:rsid w:val="00517DF2"/>
    <w:rsid w:val="00523031"/>
    <w:rsid w:val="005303D1"/>
    <w:rsid w:val="0053263C"/>
    <w:rsid w:val="00533DD8"/>
    <w:rsid w:val="00534E7A"/>
    <w:rsid w:val="00537C78"/>
    <w:rsid w:val="00540885"/>
    <w:rsid w:val="00540A5F"/>
    <w:rsid w:val="0054399B"/>
    <w:rsid w:val="00544BF8"/>
    <w:rsid w:val="00547A47"/>
    <w:rsid w:val="00555527"/>
    <w:rsid w:val="00555B55"/>
    <w:rsid w:val="00562886"/>
    <w:rsid w:val="0057755A"/>
    <w:rsid w:val="005816D0"/>
    <w:rsid w:val="005931B1"/>
    <w:rsid w:val="00595DB6"/>
    <w:rsid w:val="005A131A"/>
    <w:rsid w:val="005A3D6F"/>
    <w:rsid w:val="005B12FD"/>
    <w:rsid w:val="005C2B9D"/>
    <w:rsid w:val="005D0941"/>
    <w:rsid w:val="005D1239"/>
    <w:rsid w:val="005E73F5"/>
    <w:rsid w:val="005F233E"/>
    <w:rsid w:val="005F256F"/>
    <w:rsid w:val="00604796"/>
    <w:rsid w:val="00620FCA"/>
    <w:rsid w:val="00630C95"/>
    <w:rsid w:val="00635491"/>
    <w:rsid w:val="00655383"/>
    <w:rsid w:val="00661B74"/>
    <w:rsid w:val="00666763"/>
    <w:rsid w:val="0067713D"/>
    <w:rsid w:val="006A4927"/>
    <w:rsid w:val="006A4ADF"/>
    <w:rsid w:val="006C4963"/>
    <w:rsid w:val="006C6831"/>
    <w:rsid w:val="006D23C5"/>
    <w:rsid w:val="006E360A"/>
    <w:rsid w:val="006E7DCD"/>
    <w:rsid w:val="006F307C"/>
    <w:rsid w:val="006F72F0"/>
    <w:rsid w:val="006F74D1"/>
    <w:rsid w:val="007002A7"/>
    <w:rsid w:val="0070115E"/>
    <w:rsid w:val="00706651"/>
    <w:rsid w:val="00706D47"/>
    <w:rsid w:val="00707648"/>
    <w:rsid w:val="00710E2B"/>
    <w:rsid w:val="0071461D"/>
    <w:rsid w:val="007248A2"/>
    <w:rsid w:val="00730B83"/>
    <w:rsid w:val="00731F2B"/>
    <w:rsid w:val="007405BE"/>
    <w:rsid w:val="0075006E"/>
    <w:rsid w:val="00751AD5"/>
    <w:rsid w:val="007536C1"/>
    <w:rsid w:val="0076269E"/>
    <w:rsid w:val="00770E5A"/>
    <w:rsid w:val="0077492F"/>
    <w:rsid w:val="00777F1E"/>
    <w:rsid w:val="00781599"/>
    <w:rsid w:val="007839A0"/>
    <w:rsid w:val="007868AB"/>
    <w:rsid w:val="007A0A84"/>
    <w:rsid w:val="007A2CA6"/>
    <w:rsid w:val="007C29C4"/>
    <w:rsid w:val="007D1479"/>
    <w:rsid w:val="007F2D1C"/>
    <w:rsid w:val="007F330A"/>
    <w:rsid w:val="007F35FE"/>
    <w:rsid w:val="007F4492"/>
    <w:rsid w:val="007F4DE9"/>
    <w:rsid w:val="00804EBD"/>
    <w:rsid w:val="008072C0"/>
    <w:rsid w:val="00816B0F"/>
    <w:rsid w:val="00817540"/>
    <w:rsid w:val="00821700"/>
    <w:rsid w:val="0082215D"/>
    <w:rsid w:val="00827035"/>
    <w:rsid w:val="00832CB2"/>
    <w:rsid w:val="008361E4"/>
    <w:rsid w:val="00840D2C"/>
    <w:rsid w:val="0084378E"/>
    <w:rsid w:val="008476F6"/>
    <w:rsid w:val="00847BB0"/>
    <w:rsid w:val="008506FC"/>
    <w:rsid w:val="008618A0"/>
    <w:rsid w:val="00867523"/>
    <w:rsid w:val="00872E0E"/>
    <w:rsid w:val="008759D5"/>
    <w:rsid w:val="00875BF1"/>
    <w:rsid w:val="00884958"/>
    <w:rsid w:val="008868D3"/>
    <w:rsid w:val="008870F5"/>
    <w:rsid w:val="008962F5"/>
    <w:rsid w:val="00897282"/>
    <w:rsid w:val="008A4112"/>
    <w:rsid w:val="008B0CA7"/>
    <w:rsid w:val="008B0E0D"/>
    <w:rsid w:val="008C1910"/>
    <w:rsid w:val="008C3807"/>
    <w:rsid w:val="008C5CD3"/>
    <w:rsid w:val="008C70BC"/>
    <w:rsid w:val="008E0674"/>
    <w:rsid w:val="008E5BA7"/>
    <w:rsid w:val="008E6ADB"/>
    <w:rsid w:val="008E7510"/>
    <w:rsid w:val="008F36AD"/>
    <w:rsid w:val="008F3733"/>
    <w:rsid w:val="00901C96"/>
    <w:rsid w:val="0090352C"/>
    <w:rsid w:val="00906806"/>
    <w:rsid w:val="00914DCB"/>
    <w:rsid w:val="009277BB"/>
    <w:rsid w:val="009277E9"/>
    <w:rsid w:val="00930C3E"/>
    <w:rsid w:val="009334F3"/>
    <w:rsid w:val="00933B4B"/>
    <w:rsid w:val="00942EC7"/>
    <w:rsid w:val="00944760"/>
    <w:rsid w:val="00944EBD"/>
    <w:rsid w:val="00964372"/>
    <w:rsid w:val="0097585E"/>
    <w:rsid w:val="00975DDE"/>
    <w:rsid w:val="009830F2"/>
    <w:rsid w:val="00983989"/>
    <w:rsid w:val="009A27E8"/>
    <w:rsid w:val="009B636F"/>
    <w:rsid w:val="009B731B"/>
    <w:rsid w:val="009C2AF7"/>
    <w:rsid w:val="009C4704"/>
    <w:rsid w:val="009C4F18"/>
    <w:rsid w:val="009E51A5"/>
    <w:rsid w:val="009E6938"/>
    <w:rsid w:val="009F1727"/>
    <w:rsid w:val="009F1BF1"/>
    <w:rsid w:val="009F3C0B"/>
    <w:rsid w:val="009F6B09"/>
    <w:rsid w:val="00A051B0"/>
    <w:rsid w:val="00A053A9"/>
    <w:rsid w:val="00A060F3"/>
    <w:rsid w:val="00A226DC"/>
    <w:rsid w:val="00A2593E"/>
    <w:rsid w:val="00A3050C"/>
    <w:rsid w:val="00A353FB"/>
    <w:rsid w:val="00A37C0F"/>
    <w:rsid w:val="00A40F76"/>
    <w:rsid w:val="00A4131C"/>
    <w:rsid w:val="00A4280B"/>
    <w:rsid w:val="00A44253"/>
    <w:rsid w:val="00A45046"/>
    <w:rsid w:val="00A504D1"/>
    <w:rsid w:val="00A531AD"/>
    <w:rsid w:val="00A611D5"/>
    <w:rsid w:val="00A721EC"/>
    <w:rsid w:val="00A753D3"/>
    <w:rsid w:val="00A83C89"/>
    <w:rsid w:val="00A90731"/>
    <w:rsid w:val="00A90A2B"/>
    <w:rsid w:val="00AA3318"/>
    <w:rsid w:val="00AA48F3"/>
    <w:rsid w:val="00AB0470"/>
    <w:rsid w:val="00AB0E07"/>
    <w:rsid w:val="00AB120D"/>
    <w:rsid w:val="00AB4F7B"/>
    <w:rsid w:val="00AD1C31"/>
    <w:rsid w:val="00AD1F8B"/>
    <w:rsid w:val="00AD4D8F"/>
    <w:rsid w:val="00AD6FB1"/>
    <w:rsid w:val="00AF015D"/>
    <w:rsid w:val="00AF0788"/>
    <w:rsid w:val="00AF36E1"/>
    <w:rsid w:val="00B0024B"/>
    <w:rsid w:val="00B03027"/>
    <w:rsid w:val="00B07284"/>
    <w:rsid w:val="00B13A2D"/>
    <w:rsid w:val="00B14AF1"/>
    <w:rsid w:val="00B16AB1"/>
    <w:rsid w:val="00B20D90"/>
    <w:rsid w:val="00B23CC6"/>
    <w:rsid w:val="00B467B4"/>
    <w:rsid w:val="00B51567"/>
    <w:rsid w:val="00B53A14"/>
    <w:rsid w:val="00B55874"/>
    <w:rsid w:val="00B62A06"/>
    <w:rsid w:val="00B654D3"/>
    <w:rsid w:val="00B71E60"/>
    <w:rsid w:val="00B71FC5"/>
    <w:rsid w:val="00B7250A"/>
    <w:rsid w:val="00B86D9E"/>
    <w:rsid w:val="00B917B9"/>
    <w:rsid w:val="00B927BE"/>
    <w:rsid w:val="00BA5E0B"/>
    <w:rsid w:val="00BA6F0D"/>
    <w:rsid w:val="00BB17DC"/>
    <w:rsid w:val="00BB1E23"/>
    <w:rsid w:val="00BD63A5"/>
    <w:rsid w:val="00BD7616"/>
    <w:rsid w:val="00BF3C54"/>
    <w:rsid w:val="00C028CC"/>
    <w:rsid w:val="00C21B28"/>
    <w:rsid w:val="00C278BC"/>
    <w:rsid w:val="00C3478E"/>
    <w:rsid w:val="00C3716C"/>
    <w:rsid w:val="00C419C7"/>
    <w:rsid w:val="00C41A53"/>
    <w:rsid w:val="00C435F7"/>
    <w:rsid w:val="00C53ECF"/>
    <w:rsid w:val="00C55E63"/>
    <w:rsid w:val="00C61438"/>
    <w:rsid w:val="00C61FEC"/>
    <w:rsid w:val="00C71455"/>
    <w:rsid w:val="00C8512F"/>
    <w:rsid w:val="00C93A88"/>
    <w:rsid w:val="00C97F49"/>
    <w:rsid w:val="00CA01E4"/>
    <w:rsid w:val="00CA1DA9"/>
    <w:rsid w:val="00CA3D42"/>
    <w:rsid w:val="00CC0CE1"/>
    <w:rsid w:val="00CC2A50"/>
    <w:rsid w:val="00CC3853"/>
    <w:rsid w:val="00CD37D0"/>
    <w:rsid w:val="00CE2E1A"/>
    <w:rsid w:val="00CF6E3C"/>
    <w:rsid w:val="00CF73C8"/>
    <w:rsid w:val="00D034BD"/>
    <w:rsid w:val="00D05E85"/>
    <w:rsid w:val="00D06D66"/>
    <w:rsid w:val="00D123AB"/>
    <w:rsid w:val="00D20787"/>
    <w:rsid w:val="00D2326C"/>
    <w:rsid w:val="00D268E5"/>
    <w:rsid w:val="00D32745"/>
    <w:rsid w:val="00D404A8"/>
    <w:rsid w:val="00D4474F"/>
    <w:rsid w:val="00D62871"/>
    <w:rsid w:val="00D63480"/>
    <w:rsid w:val="00D635A5"/>
    <w:rsid w:val="00D6495B"/>
    <w:rsid w:val="00D65783"/>
    <w:rsid w:val="00D666CB"/>
    <w:rsid w:val="00D7010A"/>
    <w:rsid w:val="00D7076D"/>
    <w:rsid w:val="00D86AF6"/>
    <w:rsid w:val="00D94ABF"/>
    <w:rsid w:val="00DB0300"/>
    <w:rsid w:val="00DB4A5D"/>
    <w:rsid w:val="00DC4808"/>
    <w:rsid w:val="00DC602D"/>
    <w:rsid w:val="00DC68DD"/>
    <w:rsid w:val="00DC735E"/>
    <w:rsid w:val="00DD2623"/>
    <w:rsid w:val="00DE74D7"/>
    <w:rsid w:val="00E0246D"/>
    <w:rsid w:val="00E26D62"/>
    <w:rsid w:val="00E27F82"/>
    <w:rsid w:val="00E31C46"/>
    <w:rsid w:val="00E32008"/>
    <w:rsid w:val="00E43392"/>
    <w:rsid w:val="00E43CC1"/>
    <w:rsid w:val="00E44903"/>
    <w:rsid w:val="00E62264"/>
    <w:rsid w:val="00E75428"/>
    <w:rsid w:val="00E876F7"/>
    <w:rsid w:val="00E900E2"/>
    <w:rsid w:val="00E903AE"/>
    <w:rsid w:val="00E90A66"/>
    <w:rsid w:val="00E961D4"/>
    <w:rsid w:val="00EA45DF"/>
    <w:rsid w:val="00EB080E"/>
    <w:rsid w:val="00EB36C9"/>
    <w:rsid w:val="00EC39D6"/>
    <w:rsid w:val="00EE16DE"/>
    <w:rsid w:val="00EE350F"/>
    <w:rsid w:val="00EE377C"/>
    <w:rsid w:val="00EF0024"/>
    <w:rsid w:val="00F03300"/>
    <w:rsid w:val="00F11FB1"/>
    <w:rsid w:val="00F140BF"/>
    <w:rsid w:val="00F20BD9"/>
    <w:rsid w:val="00F20F56"/>
    <w:rsid w:val="00F2685B"/>
    <w:rsid w:val="00F279BF"/>
    <w:rsid w:val="00F37145"/>
    <w:rsid w:val="00F40BEA"/>
    <w:rsid w:val="00F45EBC"/>
    <w:rsid w:val="00F46DD3"/>
    <w:rsid w:val="00F61762"/>
    <w:rsid w:val="00F73A4D"/>
    <w:rsid w:val="00F8159C"/>
    <w:rsid w:val="00F832DC"/>
    <w:rsid w:val="00F85733"/>
    <w:rsid w:val="00F861AC"/>
    <w:rsid w:val="00F879F1"/>
    <w:rsid w:val="00F93AEA"/>
    <w:rsid w:val="00FA0152"/>
    <w:rsid w:val="00FA38BA"/>
    <w:rsid w:val="00FB4149"/>
    <w:rsid w:val="00FC09A9"/>
    <w:rsid w:val="00FC6B9D"/>
    <w:rsid w:val="00FC6CA1"/>
    <w:rsid w:val="00FC796E"/>
    <w:rsid w:val="00FC7AC9"/>
    <w:rsid w:val="00FD35B3"/>
    <w:rsid w:val="00FD7058"/>
    <w:rsid w:val="00FE0ACC"/>
    <w:rsid w:val="00FF71B3"/>
    <w:rsid w:val="00FF7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276D0E"/>
  <w15:chartTrackingRefBased/>
  <w15:docId w15:val="{CD75830F-EBCE-40ED-9A29-D044B7626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A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4A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4A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A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A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A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A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A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A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A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4A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4A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A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A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A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A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A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ABF"/>
    <w:rPr>
      <w:rFonts w:eastAsiaTheme="majorEastAsia" w:cstheme="majorBidi"/>
      <w:color w:val="272727" w:themeColor="text1" w:themeTint="D8"/>
    </w:rPr>
  </w:style>
  <w:style w:type="paragraph" w:styleId="Title">
    <w:name w:val="Title"/>
    <w:basedOn w:val="Normal"/>
    <w:next w:val="Normal"/>
    <w:link w:val="TitleChar"/>
    <w:uiPriority w:val="10"/>
    <w:qFormat/>
    <w:rsid w:val="00D94A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A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A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A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ABF"/>
    <w:pPr>
      <w:spacing w:before="160"/>
      <w:jc w:val="center"/>
    </w:pPr>
    <w:rPr>
      <w:i/>
      <w:iCs/>
      <w:color w:val="404040" w:themeColor="text1" w:themeTint="BF"/>
    </w:rPr>
  </w:style>
  <w:style w:type="character" w:customStyle="1" w:styleId="QuoteChar">
    <w:name w:val="Quote Char"/>
    <w:basedOn w:val="DefaultParagraphFont"/>
    <w:link w:val="Quote"/>
    <w:uiPriority w:val="29"/>
    <w:rsid w:val="00D94ABF"/>
    <w:rPr>
      <w:i/>
      <w:iCs/>
      <w:color w:val="404040" w:themeColor="text1" w:themeTint="BF"/>
    </w:rPr>
  </w:style>
  <w:style w:type="paragraph" w:styleId="ListParagraph">
    <w:name w:val="List Paragraph"/>
    <w:basedOn w:val="Normal"/>
    <w:uiPriority w:val="34"/>
    <w:qFormat/>
    <w:rsid w:val="00D94ABF"/>
    <w:pPr>
      <w:ind w:left="720"/>
      <w:contextualSpacing/>
    </w:pPr>
  </w:style>
  <w:style w:type="character" w:styleId="IntenseEmphasis">
    <w:name w:val="Intense Emphasis"/>
    <w:basedOn w:val="DefaultParagraphFont"/>
    <w:uiPriority w:val="21"/>
    <w:qFormat/>
    <w:rsid w:val="00D94ABF"/>
    <w:rPr>
      <w:i/>
      <w:iCs/>
      <w:color w:val="0F4761" w:themeColor="accent1" w:themeShade="BF"/>
    </w:rPr>
  </w:style>
  <w:style w:type="paragraph" w:styleId="IntenseQuote">
    <w:name w:val="Intense Quote"/>
    <w:basedOn w:val="Normal"/>
    <w:next w:val="Normal"/>
    <w:link w:val="IntenseQuoteChar"/>
    <w:uiPriority w:val="30"/>
    <w:qFormat/>
    <w:rsid w:val="00D94A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ABF"/>
    <w:rPr>
      <w:i/>
      <w:iCs/>
      <w:color w:val="0F4761" w:themeColor="accent1" w:themeShade="BF"/>
    </w:rPr>
  </w:style>
  <w:style w:type="character" w:styleId="IntenseReference">
    <w:name w:val="Intense Reference"/>
    <w:basedOn w:val="DefaultParagraphFont"/>
    <w:uiPriority w:val="32"/>
    <w:qFormat/>
    <w:rsid w:val="00D94ABF"/>
    <w:rPr>
      <w:b/>
      <w:bCs/>
      <w:smallCaps/>
      <w:color w:val="0F4761" w:themeColor="accent1" w:themeShade="BF"/>
      <w:spacing w:val="5"/>
    </w:rPr>
  </w:style>
  <w:style w:type="paragraph" w:styleId="NoSpacing">
    <w:name w:val="No Spacing"/>
    <w:link w:val="NoSpacingChar"/>
    <w:uiPriority w:val="1"/>
    <w:qFormat/>
    <w:rsid w:val="00D94AB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4AB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A5E0B"/>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AF0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15D"/>
  </w:style>
  <w:style w:type="paragraph" w:styleId="Footer">
    <w:name w:val="footer"/>
    <w:basedOn w:val="Normal"/>
    <w:link w:val="FooterChar"/>
    <w:uiPriority w:val="99"/>
    <w:unhideWhenUsed/>
    <w:rsid w:val="00AF0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15D"/>
  </w:style>
  <w:style w:type="character" w:styleId="Hyperlink">
    <w:name w:val="Hyperlink"/>
    <w:basedOn w:val="DefaultParagraphFont"/>
    <w:uiPriority w:val="99"/>
    <w:unhideWhenUsed/>
    <w:rsid w:val="005D1239"/>
    <w:rPr>
      <w:color w:val="467886" w:themeColor="hyperlink"/>
      <w:u w:val="single"/>
    </w:rPr>
  </w:style>
  <w:style w:type="character" w:styleId="UnresolvedMention">
    <w:name w:val="Unresolved Mention"/>
    <w:basedOn w:val="DefaultParagraphFont"/>
    <w:uiPriority w:val="99"/>
    <w:semiHidden/>
    <w:unhideWhenUsed/>
    <w:rsid w:val="005D1239"/>
    <w:rPr>
      <w:color w:val="605E5C"/>
      <w:shd w:val="clear" w:color="auto" w:fill="E1DFDD"/>
    </w:rPr>
  </w:style>
  <w:style w:type="paragraph" w:styleId="TOC1">
    <w:name w:val="toc 1"/>
    <w:basedOn w:val="Normal"/>
    <w:next w:val="Normal"/>
    <w:autoRedefine/>
    <w:uiPriority w:val="39"/>
    <w:unhideWhenUsed/>
    <w:rsid w:val="002E7DC2"/>
    <w:pPr>
      <w:spacing w:after="100"/>
    </w:pPr>
  </w:style>
  <w:style w:type="paragraph" w:styleId="NormalWeb">
    <w:name w:val="Normal (Web)"/>
    <w:basedOn w:val="Normal"/>
    <w:uiPriority w:val="99"/>
    <w:semiHidden/>
    <w:unhideWhenUsed/>
    <w:rsid w:val="00EE377C"/>
    <w:rPr>
      <w:rFonts w:ascii="Times New Roman" w:hAnsi="Times New Roman" w:cs="Times New Roman"/>
    </w:rPr>
  </w:style>
  <w:style w:type="character" w:styleId="FollowedHyperlink">
    <w:name w:val="FollowedHyperlink"/>
    <w:basedOn w:val="DefaultParagraphFont"/>
    <w:uiPriority w:val="99"/>
    <w:semiHidden/>
    <w:unhideWhenUsed/>
    <w:rsid w:val="00F8159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665273">
      <w:bodyDiv w:val="1"/>
      <w:marLeft w:val="0"/>
      <w:marRight w:val="0"/>
      <w:marTop w:val="0"/>
      <w:marBottom w:val="0"/>
      <w:divBdr>
        <w:top w:val="none" w:sz="0" w:space="0" w:color="auto"/>
        <w:left w:val="none" w:sz="0" w:space="0" w:color="auto"/>
        <w:bottom w:val="none" w:sz="0" w:space="0" w:color="auto"/>
        <w:right w:val="none" w:sz="0" w:space="0" w:color="auto"/>
      </w:divBdr>
    </w:div>
    <w:div w:id="341931456">
      <w:bodyDiv w:val="1"/>
      <w:marLeft w:val="0"/>
      <w:marRight w:val="0"/>
      <w:marTop w:val="0"/>
      <w:marBottom w:val="0"/>
      <w:divBdr>
        <w:top w:val="none" w:sz="0" w:space="0" w:color="auto"/>
        <w:left w:val="none" w:sz="0" w:space="0" w:color="auto"/>
        <w:bottom w:val="none" w:sz="0" w:space="0" w:color="auto"/>
        <w:right w:val="none" w:sz="0" w:space="0" w:color="auto"/>
      </w:divBdr>
    </w:div>
    <w:div w:id="417023088">
      <w:bodyDiv w:val="1"/>
      <w:marLeft w:val="0"/>
      <w:marRight w:val="0"/>
      <w:marTop w:val="0"/>
      <w:marBottom w:val="0"/>
      <w:divBdr>
        <w:top w:val="none" w:sz="0" w:space="0" w:color="auto"/>
        <w:left w:val="none" w:sz="0" w:space="0" w:color="auto"/>
        <w:bottom w:val="none" w:sz="0" w:space="0" w:color="auto"/>
        <w:right w:val="none" w:sz="0" w:space="0" w:color="auto"/>
      </w:divBdr>
      <w:divsChild>
        <w:div w:id="982931769">
          <w:marLeft w:val="0"/>
          <w:marRight w:val="0"/>
          <w:marTop w:val="0"/>
          <w:marBottom w:val="0"/>
          <w:divBdr>
            <w:top w:val="none" w:sz="0" w:space="0" w:color="auto"/>
            <w:left w:val="none" w:sz="0" w:space="0" w:color="auto"/>
            <w:bottom w:val="none" w:sz="0" w:space="0" w:color="auto"/>
            <w:right w:val="none" w:sz="0" w:space="0" w:color="auto"/>
          </w:divBdr>
          <w:divsChild>
            <w:div w:id="192427267">
              <w:marLeft w:val="0"/>
              <w:marRight w:val="0"/>
              <w:marTop w:val="0"/>
              <w:marBottom w:val="0"/>
              <w:divBdr>
                <w:top w:val="none" w:sz="0" w:space="0" w:color="auto"/>
                <w:left w:val="none" w:sz="0" w:space="0" w:color="auto"/>
                <w:bottom w:val="none" w:sz="0" w:space="0" w:color="auto"/>
                <w:right w:val="none" w:sz="0" w:space="0" w:color="auto"/>
              </w:divBdr>
              <w:divsChild>
                <w:div w:id="563956928">
                  <w:marLeft w:val="0"/>
                  <w:marRight w:val="0"/>
                  <w:marTop w:val="0"/>
                  <w:marBottom w:val="0"/>
                  <w:divBdr>
                    <w:top w:val="none" w:sz="0" w:space="0" w:color="auto"/>
                    <w:left w:val="none" w:sz="0" w:space="0" w:color="auto"/>
                    <w:bottom w:val="none" w:sz="0" w:space="0" w:color="auto"/>
                    <w:right w:val="none" w:sz="0" w:space="0" w:color="auto"/>
                  </w:divBdr>
                  <w:divsChild>
                    <w:div w:id="176129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84146">
          <w:marLeft w:val="0"/>
          <w:marRight w:val="0"/>
          <w:marTop w:val="0"/>
          <w:marBottom w:val="0"/>
          <w:divBdr>
            <w:top w:val="none" w:sz="0" w:space="0" w:color="auto"/>
            <w:left w:val="none" w:sz="0" w:space="0" w:color="auto"/>
            <w:bottom w:val="none" w:sz="0" w:space="0" w:color="auto"/>
            <w:right w:val="none" w:sz="0" w:space="0" w:color="auto"/>
          </w:divBdr>
          <w:divsChild>
            <w:div w:id="355546596">
              <w:marLeft w:val="0"/>
              <w:marRight w:val="0"/>
              <w:marTop w:val="0"/>
              <w:marBottom w:val="0"/>
              <w:divBdr>
                <w:top w:val="none" w:sz="0" w:space="0" w:color="auto"/>
                <w:left w:val="none" w:sz="0" w:space="0" w:color="auto"/>
                <w:bottom w:val="none" w:sz="0" w:space="0" w:color="auto"/>
                <w:right w:val="none" w:sz="0" w:space="0" w:color="auto"/>
              </w:divBdr>
              <w:divsChild>
                <w:div w:id="203830259">
                  <w:marLeft w:val="0"/>
                  <w:marRight w:val="0"/>
                  <w:marTop w:val="0"/>
                  <w:marBottom w:val="0"/>
                  <w:divBdr>
                    <w:top w:val="none" w:sz="0" w:space="0" w:color="auto"/>
                    <w:left w:val="none" w:sz="0" w:space="0" w:color="auto"/>
                    <w:bottom w:val="none" w:sz="0" w:space="0" w:color="auto"/>
                    <w:right w:val="none" w:sz="0" w:space="0" w:color="auto"/>
                  </w:divBdr>
                  <w:divsChild>
                    <w:div w:id="35615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8176034">
      <w:bodyDiv w:val="1"/>
      <w:marLeft w:val="0"/>
      <w:marRight w:val="0"/>
      <w:marTop w:val="0"/>
      <w:marBottom w:val="0"/>
      <w:divBdr>
        <w:top w:val="none" w:sz="0" w:space="0" w:color="auto"/>
        <w:left w:val="none" w:sz="0" w:space="0" w:color="auto"/>
        <w:bottom w:val="none" w:sz="0" w:space="0" w:color="auto"/>
        <w:right w:val="none" w:sz="0" w:space="0" w:color="auto"/>
      </w:divBdr>
    </w:div>
    <w:div w:id="1028095337">
      <w:bodyDiv w:val="1"/>
      <w:marLeft w:val="0"/>
      <w:marRight w:val="0"/>
      <w:marTop w:val="0"/>
      <w:marBottom w:val="0"/>
      <w:divBdr>
        <w:top w:val="none" w:sz="0" w:space="0" w:color="auto"/>
        <w:left w:val="none" w:sz="0" w:space="0" w:color="auto"/>
        <w:bottom w:val="none" w:sz="0" w:space="0" w:color="auto"/>
        <w:right w:val="none" w:sz="0" w:space="0" w:color="auto"/>
      </w:divBdr>
    </w:div>
    <w:div w:id="1485662387">
      <w:bodyDiv w:val="1"/>
      <w:marLeft w:val="0"/>
      <w:marRight w:val="0"/>
      <w:marTop w:val="0"/>
      <w:marBottom w:val="0"/>
      <w:divBdr>
        <w:top w:val="none" w:sz="0" w:space="0" w:color="auto"/>
        <w:left w:val="none" w:sz="0" w:space="0" w:color="auto"/>
        <w:bottom w:val="none" w:sz="0" w:space="0" w:color="auto"/>
        <w:right w:val="none" w:sz="0" w:space="0" w:color="auto"/>
      </w:divBdr>
    </w:div>
    <w:div w:id="1541238846">
      <w:bodyDiv w:val="1"/>
      <w:marLeft w:val="0"/>
      <w:marRight w:val="0"/>
      <w:marTop w:val="0"/>
      <w:marBottom w:val="0"/>
      <w:divBdr>
        <w:top w:val="none" w:sz="0" w:space="0" w:color="auto"/>
        <w:left w:val="none" w:sz="0" w:space="0" w:color="auto"/>
        <w:bottom w:val="none" w:sz="0" w:space="0" w:color="auto"/>
        <w:right w:val="none" w:sz="0" w:space="0" w:color="auto"/>
      </w:divBdr>
    </w:div>
    <w:div w:id="1688485598">
      <w:bodyDiv w:val="1"/>
      <w:marLeft w:val="0"/>
      <w:marRight w:val="0"/>
      <w:marTop w:val="0"/>
      <w:marBottom w:val="0"/>
      <w:divBdr>
        <w:top w:val="none" w:sz="0" w:space="0" w:color="auto"/>
        <w:left w:val="none" w:sz="0" w:space="0" w:color="auto"/>
        <w:bottom w:val="none" w:sz="0" w:space="0" w:color="auto"/>
        <w:right w:val="none" w:sz="0" w:space="0" w:color="auto"/>
      </w:divBdr>
      <w:divsChild>
        <w:div w:id="2079941304">
          <w:marLeft w:val="0"/>
          <w:marRight w:val="0"/>
          <w:marTop w:val="0"/>
          <w:marBottom w:val="0"/>
          <w:divBdr>
            <w:top w:val="none" w:sz="0" w:space="0" w:color="auto"/>
            <w:left w:val="none" w:sz="0" w:space="0" w:color="auto"/>
            <w:bottom w:val="none" w:sz="0" w:space="0" w:color="auto"/>
            <w:right w:val="none" w:sz="0" w:space="0" w:color="auto"/>
          </w:divBdr>
          <w:divsChild>
            <w:div w:id="1729065415">
              <w:marLeft w:val="0"/>
              <w:marRight w:val="0"/>
              <w:marTop w:val="0"/>
              <w:marBottom w:val="0"/>
              <w:divBdr>
                <w:top w:val="none" w:sz="0" w:space="0" w:color="auto"/>
                <w:left w:val="none" w:sz="0" w:space="0" w:color="auto"/>
                <w:bottom w:val="none" w:sz="0" w:space="0" w:color="auto"/>
                <w:right w:val="none" w:sz="0" w:space="0" w:color="auto"/>
              </w:divBdr>
              <w:divsChild>
                <w:div w:id="232274554">
                  <w:marLeft w:val="0"/>
                  <w:marRight w:val="0"/>
                  <w:marTop w:val="0"/>
                  <w:marBottom w:val="0"/>
                  <w:divBdr>
                    <w:top w:val="none" w:sz="0" w:space="0" w:color="auto"/>
                    <w:left w:val="none" w:sz="0" w:space="0" w:color="auto"/>
                    <w:bottom w:val="none" w:sz="0" w:space="0" w:color="auto"/>
                    <w:right w:val="none" w:sz="0" w:space="0" w:color="auto"/>
                  </w:divBdr>
                  <w:divsChild>
                    <w:div w:id="134104773">
                      <w:marLeft w:val="0"/>
                      <w:marRight w:val="0"/>
                      <w:marTop w:val="0"/>
                      <w:marBottom w:val="0"/>
                      <w:divBdr>
                        <w:top w:val="none" w:sz="0" w:space="0" w:color="auto"/>
                        <w:left w:val="none" w:sz="0" w:space="0" w:color="auto"/>
                        <w:bottom w:val="none" w:sz="0" w:space="0" w:color="auto"/>
                        <w:right w:val="none" w:sz="0" w:space="0" w:color="auto"/>
                      </w:divBdr>
                      <w:divsChild>
                        <w:div w:id="196158600">
                          <w:marLeft w:val="0"/>
                          <w:marRight w:val="0"/>
                          <w:marTop w:val="0"/>
                          <w:marBottom w:val="0"/>
                          <w:divBdr>
                            <w:top w:val="none" w:sz="0" w:space="0" w:color="auto"/>
                            <w:left w:val="none" w:sz="0" w:space="0" w:color="auto"/>
                            <w:bottom w:val="none" w:sz="0" w:space="0" w:color="auto"/>
                            <w:right w:val="none" w:sz="0" w:space="0" w:color="auto"/>
                          </w:divBdr>
                          <w:divsChild>
                            <w:div w:id="67754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3664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publications/inspecting-local-authority-childrens-services-from-2018/links-to-legislation-regulations-and-statutory-guidance" TargetMode="External"/><Relationship Id="rId18" Type="http://schemas.openxmlformats.org/officeDocument/2006/relationships/hyperlink" Target="https://www.newham.gov.uk/downloads/file/3454/newham-food-security-strategy-final" TargetMode="External"/><Relationship Id="rId26" Type="http://schemas.openxmlformats.org/officeDocument/2006/relationships/hyperlink" Target="https://www.sciencedirect.com/science/article/pii/S2212267221015094" TargetMode="External"/><Relationship Id="rId3" Type="http://schemas.openxmlformats.org/officeDocument/2006/relationships/numbering" Target="numbering.xml"/><Relationship Id="rId21" Type="http://schemas.openxmlformats.org/officeDocument/2006/relationships/hyperlink" Target="https://doi.org/10.1177/0734242X20983427" TargetMode="External"/><Relationship Id="rId7" Type="http://schemas.openxmlformats.org/officeDocument/2006/relationships/footnotes" Target="footnotes.xml"/><Relationship Id="rId12" Type="http://schemas.openxmlformats.org/officeDocument/2006/relationships/hyperlink" Target="https://www.good-governance.org.uk/publications/insights/defining-communities" TargetMode="External"/><Relationship Id="rId17" Type="http://schemas.openxmlformats.org/officeDocument/2006/relationships/hyperlink" Target="https://www.newham.gov.uk/downloads/file/3607/cyp-jsna-august-2021" TargetMode="External"/><Relationship Id="rId25" Type="http://schemas.openxmlformats.org/officeDocument/2006/relationships/hyperlink" Target="https://www.trusselltrust.org/2021/02/04/our-new-report-calls-for-the-20-universal-credit-uplift-to-be-extended/" TargetMode="External"/><Relationship Id="rId2" Type="http://schemas.openxmlformats.org/officeDocument/2006/relationships/customXml" Target="../customXml/item2.xml"/><Relationship Id="rId16" Type="http://schemas.openxmlformats.org/officeDocument/2006/relationships/hyperlink" Target="https://books.google.co.uk/books?hl=en&amp;lr=&amp;id=WKlCLVVUA0sC&amp;oi=fnd&amp;pg=PR5&amp;dq=why+community+development+is+important&amp;ots=7bDF3r2Fy8&amp;sig=MYI7tF3cEeXC_Ddj-Tc-HzyXc0w" TargetMode="External"/><Relationship Id="rId20" Type="http://schemas.openxmlformats.org/officeDocument/2006/relationships/hyperlink" Target="https://www.newham.gov.uk/downloads/file/4041/50-steps-health-and-wellbeing-strategy-original-final-022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nnydowns.org/wp-content/uploads/2021/09/Key-Newham-Statistics-2021.pdf" TargetMode="External"/><Relationship Id="rId24" Type="http://schemas.openxmlformats.org/officeDocument/2006/relationships/hyperlink" Target="https://europepmc.org/article/med/29320123" TargetMode="External"/><Relationship Id="rId5" Type="http://schemas.openxmlformats.org/officeDocument/2006/relationships/settings" Target="settings.xml"/><Relationship Id="rId15" Type="http://schemas.openxmlformats.org/officeDocument/2006/relationships/hyperlink" Target="https://simplystakeholders.com/stakeholder-collaboration/" TargetMode="External"/><Relationship Id="rId23" Type="http://schemas.openxmlformats.org/officeDocument/2006/relationships/hyperlink" Target="https://fingertips.phe.org.uk/profile/health-profiles/data" TargetMode="External"/><Relationship Id="rId28" Type="http://schemas.openxmlformats.org/officeDocument/2006/relationships/fontTable" Target="fontTable.xml"/><Relationship Id="rId10" Type="http://schemas.openxmlformats.org/officeDocument/2006/relationships/hyperlink" Target="https://doi.org/10.3389/fnut.2023.1164855" TargetMode="External"/><Relationship Id="rId19" Type="http://schemas.openxmlformats.org/officeDocument/2006/relationships/hyperlink" Target="https://www.newham.info/newham-facts-and-figures/" TargetMode="External"/><Relationship Id="rId4" Type="http://schemas.openxmlformats.org/officeDocument/2006/relationships/styles" Target="styles.xml"/><Relationship Id="rId9" Type="http://schemas.openxmlformats.org/officeDocument/2006/relationships/hyperlink" Target="https://www.newham.gov.uk/homepage/239/culture-in-newham" TargetMode="External"/><Relationship Id="rId14" Type="http://schemas.openxmlformats.org/officeDocument/2006/relationships/hyperlink" Target="https://nutritionsource.hsph.harvard.edu/healthy-eating-plate/" TargetMode="External"/><Relationship Id="rId22" Type="http://schemas.openxmlformats.org/officeDocument/2006/relationships/hyperlink" Target="https://www.newham.info/wp-content/uploads/2018/09/Newham-Child-Health-Profile-2018.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42F51D-EAEA-4CB2-A350-F4FEBC0E3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10</Pages>
  <Words>3322</Words>
  <Characters>18938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 &amp; DEVELOPMENT</dc:title>
  <dc:subject/>
  <dc:creator>Patricia Marín</dc:creator>
  <cp:keywords/>
  <dc:description/>
  <cp:lastModifiedBy>Patricia Marín</cp:lastModifiedBy>
  <cp:revision>94</cp:revision>
  <dcterms:created xsi:type="dcterms:W3CDTF">2024-07-29T13:55:00Z</dcterms:created>
  <dcterms:modified xsi:type="dcterms:W3CDTF">2024-08-12T16:47:00Z</dcterms:modified>
</cp:coreProperties>
</file>