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4AA669" w14:textId="11BF5DD1" w:rsidR="003F7589" w:rsidRDefault="001031E8" w:rsidP="001031E8">
      <w:pPr>
        <w:jc w:val="center"/>
        <w:rPr>
          <w:lang w:val="en-US"/>
        </w:rPr>
      </w:pPr>
      <w:r>
        <w:rPr>
          <w:noProof/>
          <w:lang w:val="en-US"/>
        </w:rPr>
        <w:drawing>
          <wp:inline distT="0" distB="0" distL="0" distR="0" wp14:anchorId="633F211D" wp14:editId="0154153C">
            <wp:extent cx="3315970" cy="1383665"/>
            <wp:effectExtent l="0" t="0" r="0" b="698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15970" cy="1383665"/>
                    </a:xfrm>
                    <a:prstGeom prst="rect">
                      <a:avLst/>
                    </a:prstGeom>
                    <a:noFill/>
                    <a:ln>
                      <a:noFill/>
                    </a:ln>
                  </pic:spPr>
                </pic:pic>
              </a:graphicData>
            </a:graphic>
          </wp:inline>
        </w:drawing>
      </w:r>
    </w:p>
    <w:p w14:paraId="74671910" w14:textId="77777777" w:rsidR="003F7589" w:rsidRPr="000D565A" w:rsidRDefault="003F7589" w:rsidP="001031E8">
      <w:pPr>
        <w:jc w:val="center"/>
        <w:rPr>
          <w:sz w:val="28"/>
          <w:szCs w:val="24"/>
          <w:lang w:val="en-US"/>
        </w:rPr>
      </w:pPr>
      <w:proofErr w:type="spellStart"/>
      <w:r w:rsidRPr="000D565A">
        <w:rPr>
          <w:sz w:val="28"/>
          <w:szCs w:val="24"/>
          <w:lang w:val="en-US"/>
        </w:rPr>
        <w:t>Programme</w:t>
      </w:r>
      <w:proofErr w:type="spellEnd"/>
      <w:r w:rsidRPr="000D565A">
        <w:rPr>
          <w:sz w:val="28"/>
          <w:szCs w:val="24"/>
          <w:lang w:val="en-US"/>
        </w:rPr>
        <w:t xml:space="preserve"> Name: Master of Business Administration</w:t>
      </w:r>
    </w:p>
    <w:p w14:paraId="172AEC92" w14:textId="280FA445" w:rsidR="003F7589" w:rsidRPr="000D565A" w:rsidRDefault="003F7589" w:rsidP="001031E8">
      <w:pPr>
        <w:jc w:val="center"/>
        <w:rPr>
          <w:sz w:val="28"/>
          <w:szCs w:val="24"/>
          <w:lang w:val="en-US"/>
        </w:rPr>
      </w:pPr>
      <w:r w:rsidRPr="000D565A">
        <w:rPr>
          <w:sz w:val="28"/>
          <w:szCs w:val="24"/>
          <w:lang w:val="en-US"/>
        </w:rPr>
        <w:t xml:space="preserve">Module </w:t>
      </w:r>
      <w:r w:rsidR="001031E8" w:rsidRPr="000D565A">
        <w:rPr>
          <w:sz w:val="28"/>
          <w:szCs w:val="24"/>
          <w:lang w:val="en-US"/>
        </w:rPr>
        <w:t>Code</w:t>
      </w:r>
      <w:r w:rsidRPr="000D565A">
        <w:rPr>
          <w:sz w:val="28"/>
          <w:szCs w:val="24"/>
          <w:lang w:val="en-US"/>
        </w:rPr>
        <w:t>: LCMB7002</w:t>
      </w:r>
    </w:p>
    <w:p w14:paraId="40E59492" w14:textId="0E65EDDA" w:rsidR="00A8739E" w:rsidRPr="000D565A" w:rsidRDefault="003F7589" w:rsidP="001031E8">
      <w:pPr>
        <w:jc w:val="center"/>
        <w:rPr>
          <w:sz w:val="28"/>
          <w:szCs w:val="24"/>
          <w:lang w:val="en-US"/>
        </w:rPr>
      </w:pPr>
      <w:r w:rsidRPr="000D565A">
        <w:rPr>
          <w:sz w:val="28"/>
          <w:szCs w:val="24"/>
          <w:lang w:val="en-US"/>
        </w:rPr>
        <w:t xml:space="preserve">Module </w:t>
      </w:r>
      <w:r w:rsidR="001031E8" w:rsidRPr="000D565A">
        <w:rPr>
          <w:sz w:val="28"/>
          <w:szCs w:val="24"/>
          <w:lang w:val="en-US"/>
        </w:rPr>
        <w:t xml:space="preserve">Name: </w:t>
      </w:r>
      <w:r w:rsidR="00A8739E" w:rsidRPr="000D565A">
        <w:rPr>
          <w:sz w:val="28"/>
          <w:szCs w:val="24"/>
          <w:lang w:val="en-US"/>
        </w:rPr>
        <w:t xml:space="preserve">Financial Management </w:t>
      </w:r>
    </w:p>
    <w:p w14:paraId="7762774B" w14:textId="178773CE" w:rsidR="00A8739E" w:rsidRPr="000D565A" w:rsidRDefault="00A8739E" w:rsidP="001031E8">
      <w:pPr>
        <w:jc w:val="center"/>
        <w:rPr>
          <w:sz w:val="28"/>
          <w:szCs w:val="24"/>
          <w:lang w:val="en-US"/>
        </w:rPr>
      </w:pPr>
    </w:p>
    <w:p w14:paraId="42726D8B" w14:textId="3E23361D" w:rsidR="00A8739E" w:rsidRPr="000D565A" w:rsidRDefault="00A8739E" w:rsidP="001031E8">
      <w:pPr>
        <w:jc w:val="center"/>
        <w:rPr>
          <w:sz w:val="28"/>
          <w:szCs w:val="24"/>
          <w:lang w:val="en-US"/>
        </w:rPr>
      </w:pPr>
      <w:r w:rsidRPr="000D565A">
        <w:rPr>
          <w:sz w:val="28"/>
          <w:szCs w:val="24"/>
          <w:lang w:val="en-US"/>
        </w:rPr>
        <w:t>Topic: Strategic CFO Challenge: Saving a Failing Global Firm</w:t>
      </w:r>
    </w:p>
    <w:p w14:paraId="7E3390C4" w14:textId="77777777" w:rsidR="00A8739E" w:rsidRDefault="00A8739E" w:rsidP="001031E8">
      <w:pPr>
        <w:jc w:val="center"/>
        <w:rPr>
          <w:lang w:val="en-US"/>
        </w:rPr>
      </w:pPr>
    </w:p>
    <w:p w14:paraId="5AC04207" w14:textId="77777777" w:rsidR="00A8739E" w:rsidRDefault="00A8739E" w:rsidP="001031E8">
      <w:pPr>
        <w:jc w:val="center"/>
        <w:rPr>
          <w:lang w:val="en-US"/>
        </w:rPr>
      </w:pPr>
    </w:p>
    <w:p w14:paraId="4930275B" w14:textId="6E66920E" w:rsidR="00A8739E" w:rsidRDefault="00A8739E" w:rsidP="0017685A">
      <w:pPr>
        <w:rPr>
          <w:lang w:val="en-US"/>
        </w:rPr>
      </w:pPr>
      <w:r>
        <w:rPr>
          <w:lang w:val="en-US"/>
        </w:rPr>
        <w:t>Student Name:</w:t>
      </w:r>
      <w:r w:rsidR="008F45EB">
        <w:rPr>
          <w:lang w:val="en-US"/>
        </w:rPr>
        <w:t xml:space="preserve"> Asif Mahmud Emon</w:t>
      </w:r>
    </w:p>
    <w:p w14:paraId="2D90B51D" w14:textId="049F3381" w:rsidR="0017685A" w:rsidRDefault="00A8739E" w:rsidP="0017685A">
      <w:pPr>
        <w:rPr>
          <w:lang w:val="en-US"/>
        </w:rPr>
      </w:pPr>
      <w:r>
        <w:rPr>
          <w:lang w:val="en-US"/>
        </w:rPr>
        <w:t xml:space="preserve">Student ID: </w:t>
      </w:r>
      <w:r w:rsidR="008F45EB">
        <w:rPr>
          <w:lang w:val="en-US"/>
        </w:rPr>
        <w:t xml:space="preserve"> 2439438</w:t>
      </w:r>
    </w:p>
    <w:p w14:paraId="238FCC5C" w14:textId="77777777" w:rsidR="0017685A" w:rsidRDefault="0017685A" w:rsidP="0017685A">
      <w:pPr>
        <w:rPr>
          <w:lang w:val="en-US"/>
        </w:rPr>
      </w:pPr>
    </w:p>
    <w:p w14:paraId="7C6BD03B" w14:textId="7EB823C1" w:rsidR="0066061C" w:rsidRDefault="0017685A" w:rsidP="0017685A">
      <w:pPr>
        <w:rPr>
          <w:rFonts w:asciiTheme="majorBidi" w:eastAsiaTheme="majorEastAsia" w:hAnsiTheme="majorBidi" w:cstheme="majorBidi"/>
          <w:sz w:val="32"/>
          <w:szCs w:val="32"/>
          <w:lang w:val="en-US"/>
        </w:rPr>
      </w:pPr>
      <w:r>
        <w:rPr>
          <w:lang w:val="en-US"/>
        </w:rPr>
        <w:t>Word Count: 5,</w:t>
      </w:r>
      <w:r w:rsidR="00E8537A">
        <w:rPr>
          <w:lang w:val="en-US"/>
        </w:rPr>
        <w:t>3</w:t>
      </w:r>
      <w:r w:rsidR="00B86E84">
        <w:rPr>
          <w:lang w:val="en-US"/>
        </w:rPr>
        <w:t>3</w:t>
      </w:r>
      <w:r>
        <w:rPr>
          <w:lang w:val="en-US"/>
        </w:rPr>
        <w:t xml:space="preserve">0 Words </w:t>
      </w:r>
      <w:r w:rsidR="0066061C">
        <w:rPr>
          <w:lang w:val="en-US"/>
        </w:rPr>
        <w:br w:type="page"/>
      </w:r>
    </w:p>
    <w:sdt>
      <w:sdtPr>
        <w:rPr>
          <w:rFonts w:ascii="Times New Roman" w:eastAsiaTheme="minorHAnsi" w:hAnsi="Times New Roman" w:cstheme="minorBidi"/>
          <w:color w:val="auto"/>
          <w:sz w:val="24"/>
          <w:szCs w:val="22"/>
          <w:lang w:val="en-GB"/>
        </w:rPr>
        <w:id w:val="2041233203"/>
        <w:docPartObj>
          <w:docPartGallery w:val="Table of Contents"/>
          <w:docPartUnique/>
        </w:docPartObj>
      </w:sdtPr>
      <w:sdtEndPr>
        <w:rPr>
          <w:b/>
          <w:bCs/>
          <w:noProof/>
        </w:rPr>
      </w:sdtEndPr>
      <w:sdtContent>
        <w:p w14:paraId="2979C437" w14:textId="2D554F70" w:rsidR="003F7589" w:rsidRPr="003F7589" w:rsidRDefault="003F7589">
          <w:pPr>
            <w:pStyle w:val="TOCHeading"/>
            <w:rPr>
              <w:rFonts w:asciiTheme="majorBidi" w:hAnsiTheme="majorBidi"/>
              <w:b/>
              <w:bCs/>
              <w:color w:val="auto"/>
            </w:rPr>
          </w:pPr>
          <w:r w:rsidRPr="003F7589">
            <w:rPr>
              <w:rFonts w:asciiTheme="majorBidi" w:hAnsiTheme="majorBidi"/>
              <w:b/>
              <w:bCs/>
              <w:color w:val="auto"/>
            </w:rPr>
            <w:t>Table of Contents</w:t>
          </w:r>
        </w:p>
        <w:p w14:paraId="3FF5780A" w14:textId="2552F528" w:rsidR="007D188B" w:rsidRDefault="003F7589">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214103252" w:history="1">
            <w:r w:rsidR="007D188B" w:rsidRPr="00D45F58">
              <w:rPr>
                <w:rStyle w:val="Hyperlink"/>
                <w:noProof/>
                <w:lang w:val="en-US"/>
              </w:rPr>
              <w:t>1.0 Introduction</w:t>
            </w:r>
            <w:r w:rsidR="007D188B">
              <w:rPr>
                <w:noProof/>
                <w:webHidden/>
              </w:rPr>
              <w:tab/>
            </w:r>
            <w:r w:rsidR="007D188B">
              <w:rPr>
                <w:noProof/>
                <w:webHidden/>
              </w:rPr>
              <w:fldChar w:fldCharType="begin"/>
            </w:r>
            <w:r w:rsidR="007D188B">
              <w:rPr>
                <w:noProof/>
                <w:webHidden/>
              </w:rPr>
              <w:instrText xml:space="preserve"> PAGEREF _Toc214103252 \h </w:instrText>
            </w:r>
            <w:r w:rsidR="007D188B">
              <w:rPr>
                <w:noProof/>
                <w:webHidden/>
              </w:rPr>
            </w:r>
            <w:r w:rsidR="007D188B">
              <w:rPr>
                <w:noProof/>
                <w:webHidden/>
              </w:rPr>
              <w:fldChar w:fldCharType="separate"/>
            </w:r>
            <w:r w:rsidR="007D188B">
              <w:rPr>
                <w:noProof/>
                <w:webHidden/>
              </w:rPr>
              <w:t>4</w:t>
            </w:r>
            <w:r w:rsidR="007D188B">
              <w:rPr>
                <w:noProof/>
                <w:webHidden/>
              </w:rPr>
              <w:fldChar w:fldCharType="end"/>
            </w:r>
          </w:hyperlink>
        </w:p>
        <w:p w14:paraId="470ADD78" w14:textId="15D343B5" w:rsidR="007D188B" w:rsidRDefault="007D188B">
          <w:pPr>
            <w:pStyle w:val="TOC1"/>
            <w:tabs>
              <w:tab w:val="right" w:leader="dot" w:pos="9350"/>
            </w:tabs>
            <w:rPr>
              <w:rFonts w:asciiTheme="minorHAnsi" w:eastAsiaTheme="minorEastAsia" w:hAnsiTheme="minorHAnsi"/>
              <w:noProof/>
              <w:sz w:val="22"/>
              <w:lang w:val="en-US"/>
            </w:rPr>
          </w:pPr>
          <w:hyperlink w:anchor="_Toc214103253" w:history="1">
            <w:r w:rsidRPr="00D45F58">
              <w:rPr>
                <w:rStyle w:val="Hyperlink"/>
                <w:noProof/>
                <w:lang w:val="en-US"/>
              </w:rPr>
              <w:t>2.0 Financial Health Check</w:t>
            </w:r>
            <w:r>
              <w:rPr>
                <w:noProof/>
                <w:webHidden/>
              </w:rPr>
              <w:tab/>
            </w:r>
            <w:r>
              <w:rPr>
                <w:noProof/>
                <w:webHidden/>
              </w:rPr>
              <w:fldChar w:fldCharType="begin"/>
            </w:r>
            <w:r>
              <w:rPr>
                <w:noProof/>
                <w:webHidden/>
              </w:rPr>
              <w:instrText xml:space="preserve"> PAGEREF _Toc214103253 \h </w:instrText>
            </w:r>
            <w:r>
              <w:rPr>
                <w:noProof/>
                <w:webHidden/>
              </w:rPr>
            </w:r>
            <w:r>
              <w:rPr>
                <w:noProof/>
                <w:webHidden/>
              </w:rPr>
              <w:fldChar w:fldCharType="separate"/>
            </w:r>
            <w:r>
              <w:rPr>
                <w:noProof/>
                <w:webHidden/>
              </w:rPr>
              <w:t>5</w:t>
            </w:r>
            <w:r>
              <w:rPr>
                <w:noProof/>
                <w:webHidden/>
              </w:rPr>
              <w:fldChar w:fldCharType="end"/>
            </w:r>
          </w:hyperlink>
        </w:p>
        <w:p w14:paraId="06DF1A2A" w14:textId="076D93D7" w:rsidR="007D188B" w:rsidRDefault="007D188B">
          <w:pPr>
            <w:pStyle w:val="TOC2"/>
            <w:tabs>
              <w:tab w:val="right" w:leader="dot" w:pos="9350"/>
            </w:tabs>
            <w:rPr>
              <w:rFonts w:asciiTheme="minorHAnsi" w:eastAsiaTheme="minorEastAsia" w:hAnsiTheme="minorHAnsi"/>
              <w:noProof/>
              <w:sz w:val="22"/>
              <w:lang w:val="en-US"/>
            </w:rPr>
          </w:pPr>
          <w:hyperlink w:anchor="_Toc214103254" w:history="1">
            <w:r w:rsidRPr="00D45F58">
              <w:rPr>
                <w:rStyle w:val="Hyperlink"/>
                <w:noProof/>
              </w:rPr>
              <w:t>2.1 Profitability Ratios</w:t>
            </w:r>
            <w:r>
              <w:rPr>
                <w:noProof/>
                <w:webHidden/>
              </w:rPr>
              <w:tab/>
            </w:r>
            <w:r>
              <w:rPr>
                <w:noProof/>
                <w:webHidden/>
              </w:rPr>
              <w:fldChar w:fldCharType="begin"/>
            </w:r>
            <w:r>
              <w:rPr>
                <w:noProof/>
                <w:webHidden/>
              </w:rPr>
              <w:instrText xml:space="preserve"> PAGEREF _Toc214103254 \h </w:instrText>
            </w:r>
            <w:r>
              <w:rPr>
                <w:noProof/>
                <w:webHidden/>
              </w:rPr>
            </w:r>
            <w:r>
              <w:rPr>
                <w:noProof/>
                <w:webHidden/>
              </w:rPr>
              <w:fldChar w:fldCharType="separate"/>
            </w:r>
            <w:r>
              <w:rPr>
                <w:noProof/>
                <w:webHidden/>
              </w:rPr>
              <w:t>5</w:t>
            </w:r>
            <w:r>
              <w:rPr>
                <w:noProof/>
                <w:webHidden/>
              </w:rPr>
              <w:fldChar w:fldCharType="end"/>
            </w:r>
          </w:hyperlink>
        </w:p>
        <w:p w14:paraId="37FB815E" w14:textId="1D78ADD7" w:rsidR="007D188B" w:rsidRDefault="007D188B">
          <w:pPr>
            <w:pStyle w:val="TOC2"/>
            <w:tabs>
              <w:tab w:val="right" w:leader="dot" w:pos="9350"/>
            </w:tabs>
            <w:rPr>
              <w:rFonts w:asciiTheme="minorHAnsi" w:eastAsiaTheme="minorEastAsia" w:hAnsiTheme="minorHAnsi"/>
              <w:noProof/>
              <w:sz w:val="22"/>
              <w:lang w:val="en-US"/>
            </w:rPr>
          </w:pPr>
          <w:hyperlink w:anchor="_Toc214103255" w:history="1">
            <w:r w:rsidRPr="00D45F58">
              <w:rPr>
                <w:rStyle w:val="Hyperlink"/>
                <w:noProof/>
              </w:rPr>
              <w:t>2.2 Liquidity Ratios</w:t>
            </w:r>
            <w:r>
              <w:rPr>
                <w:noProof/>
                <w:webHidden/>
              </w:rPr>
              <w:tab/>
            </w:r>
            <w:r>
              <w:rPr>
                <w:noProof/>
                <w:webHidden/>
              </w:rPr>
              <w:fldChar w:fldCharType="begin"/>
            </w:r>
            <w:r>
              <w:rPr>
                <w:noProof/>
                <w:webHidden/>
              </w:rPr>
              <w:instrText xml:space="preserve"> PAGEREF _Toc214103255 \h </w:instrText>
            </w:r>
            <w:r>
              <w:rPr>
                <w:noProof/>
                <w:webHidden/>
              </w:rPr>
            </w:r>
            <w:r>
              <w:rPr>
                <w:noProof/>
                <w:webHidden/>
              </w:rPr>
              <w:fldChar w:fldCharType="separate"/>
            </w:r>
            <w:r>
              <w:rPr>
                <w:noProof/>
                <w:webHidden/>
              </w:rPr>
              <w:t>6</w:t>
            </w:r>
            <w:r>
              <w:rPr>
                <w:noProof/>
                <w:webHidden/>
              </w:rPr>
              <w:fldChar w:fldCharType="end"/>
            </w:r>
          </w:hyperlink>
        </w:p>
        <w:p w14:paraId="469ED142" w14:textId="17C38313" w:rsidR="007D188B" w:rsidRDefault="007D188B">
          <w:pPr>
            <w:pStyle w:val="TOC2"/>
            <w:tabs>
              <w:tab w:val="right" w:leader="dot" w:pos="9350"/>
            </w:tabs>
            <w:rPr>
              <w:rFonts w:asciiTheme="minorHAnsi" w:eastAsiaTheme="minorEastAsia" w:hAnsiTheme="minorHAnsi"/>
              <w:noProof/>
              <w:sz w:val="22"/>
              <w:lang w:val="en-US"/>
            </w:rPr>
          </w:pPr>
          <w:hyperlink w:anchor="_Toc214103256" w:history="1">
            <w:r w:rsidRPr="00D45F58">
              <w:rPr>
                <w:rStyle w:val="Hyperlink"/>
                <w:noProof/>
              </w:rPr>
              <w:t>2.3 Efficiency Ratios</w:t>
            </w:r>
            <w:r>
              <w:rPr>
                <w:noProof/>
                <w:webHidden/>
              </w:rPr>
              <w:tab/>
            </w:r>
            <w:r>
              <w:rPr>
                <w:noProof/>
                <w:webHidden/>
              </w:rPr>
              <w:fldChar w:fldCharType="begin"/>
            </w:r>
            <w:r>
              <w:rPr>
                <w:noProof/>
                <w:webHidden/>
              </w:rPr>
              <w:instrText xml:space="preserve"> PAGEREF _Toc214103256 \h </w:instrText>
            </w:r>
            <w:r>
              <w:rPr>
                <w:noProof/>
                <w:webHidden/>
              </w:rPr>
            </w:r>
            <w:r>
              <w:rPr>
                <w:noProof/>
                <w:webHidden/>
              </w:rPr>
              <w:fldChar w:fldCharType="separate"/>
            </w:r>
            <w:r>
              <w:rPr>
                <w:noProof/>
                <w:webHidden/>
              </w:rPr>
              <w:t>6</w:t>
            </w:r>
            <w:r>
              <w:rPr>
                <w:noProof/>
                <w:webHidden/>
              </w:rPr>
              <w:fldChar w:fldCharType="end"/>
            </w:r>
          </w:hyperlink>
        </w:p>
        <w:p w14:paraId="55CEB036" w14:textId="42A6FC94" w:rsidR="007D188B" w:rsidRDefault="007D188B">
          <w:pPr>
            <w:pStyle w:val="TOC2"/>
            <w:tabs>
              <w:tab w:val="right" w:leader="dot" w:pos="9350"/>
            </w:tabs>
            <w:rPr>
              <w:rFonts w:asciiTheme="minorHAnsi" w:eastAsiaTheme="minorEastAsia" w:hAnsiTheme="minorHAnsi"/>
              <w:noProof/>
              <w:sz w:val="22"/>
              <w:lang w:val="en-US"/>
            </w:rPr>
          </w:pPr>
          <w:hyperlink w:anchor="_Toc214103257" w:history="1">
            <w:r w:rsidRPr="00D45F58">
              <w:rPr>
                <w:rStyle w:val="Hyperlink"/>
                <w:noProof/>
              </w:rPr>
              <w:t>2.4 Gearing Ratios</w:t>
            </w:r>
            <w:r>
              <w:rPr>
                <w:noProof/>
                <w:webHidden/>
              </w:rPr>
              <w:tab/>
            </w:r>
            <w:r>
              <w:rPr>
                <w:noProof/>
                <w:webHidden/>
              </w:rPr>
              <w:fldChar w:fldCharType="begin"/>
            </w:r>
            <w:r>
              <w:rPr>
                <w:noProof/>
                <w:webHidden/>
              </w:rPr>
              <w:instrText xml:space="preserve"> PAGEREF _Toc214103257 \h </w:instrText>
            </w:r>
            <w:r>
              <w:rPr>
                <w:noProof/>
                <w:webHidden/>
              </w:rPr>
            </w:r>
            <w:r>
              <w:rPr>
                <w:noProof/>
                <w:webHidden/>
              </w:rPr>
              <w:fldChar w:fldCharType="separate"/>
            </w:r>
            <w:r>
              <w:rPr>
                <w:noProof/>
                <w:webHidden/>
              </w:rPr>
              <w:t>7</w:t>
            </w:r>
            <w:r>
              <w:rPr>
                <w:noProof/>
                <w:webHidden/>
              </w:rPr>
              <w:fldChar w:fldCharType="end"/>
            </w:r>
          </w:hyperlink>
        </w:p>
        <w:p w14:paraId="754ADC49" w14:textId="3C10246D" w:rsidR="007D188B" w:rsidRDefault="007D188B">
          <w:pPr>
            <w:pStyle w:val="TOC2"/>
            <w:tabs>
              <w:tab w:val="right" w:leader="dot" w:pos="9350"/>
            </w:tabs>
            <w:rPr>
              <w:rFonts w:asciiTheme="minorHAnsi" w:eastAsiaTheme="minorEastAsia" w:hAnsiTheme="minorHAnsi"/>
              <w:noProof/>
              <w:sz w:val="22"/>
              <w:lang w:val="en-US"/>
            </w:rPr>
          </w:pPr>
          <w:hyperlink w:anchor="_Toc214103258" w:history="1">
            <w:r w:rsidRPr="00D45F58">
              <w:rPr>
                <w:rStyle w:val="Hyperlink"/>
                <w:noProof/>
              </w:rPr>
              <w:t>2.5 Altman Z-Score Analysis</w:t>
            </w:r>
            <w:r>
              <w:rPr>
                <w:noProof/>
                <w:webHidden/>
              </w:rPr>
              <w:tab/>
            </w:r>
            <w:r>
              <w:rPr>
                <w:noProof/>
                <w:webHidden/>
              </w:rPr>
              <w:fldChar w:fldCharType="begin"/>
            </w:r>
            <w:r>
              <w:rPr>
                <w:noProof/>
                <w:webHidden/>
              </w:rPr>
              <w:instrText xml:space="preserve"> PAGEREF _Toc214103258 \h </w:instrText>
            </w:r>
            <w:r>
              <w:rPr>
                <w:noProof/>
                <w:webHidden/>
              </w:rPr>
            </w:r>
            <w:r>
              <w:rPr>
                <w:noProof/>
                <w:webHidden/>
              </w:rPr>
              <w:fldChar w:fldCharType="separate"/>
            </w:r>
            <w:r>
              <w:rPr>
                <w:noProof/>
                <w:webHidden/>
              </w:rPr>
              <w:t>8</w:t>
            </w:r>
            <w:r>
              <w:rPr>
                <w:noProof/>
                <w:webHidden/>
              </w:rPr>
              <w:fldChar w:fldCharType="end"/>
            </w:r>
          </w:hyperlink>
        </w:p>
        <w:p w14:paraId="53F1C019" w14:textId="5467076F" w:rsidR="007D188B" w:rsidRDefault="007D188B">
          <w:pPr>
            <w:pStyle w:val="TOC2"/>
            <w:tabs>
              <w:tab w:val="right" w:leader="dot" w:pos="9350"/>
            </w:tabs>
            <w:rPr>
              <w:rFonts w:asciiTheme="minorHAnsi" w:eastAsiaTheme="minorEastAsia" w:hAnsiTheme="minorHAnsi"/>
              <w:noProof/>
              <w:sz w:val="22"/>
              <w:lang w:val="en-US"/>
            </w:rPr>
          </w:pPr>
          <w:hyperlink w:anchor="_Toc214103259" w:history="1">
            <w:r w:rsidRPr="00D45F58">
              <w:rPr>
                <w:rStyle w:val="Hyperlink"/>
                <w:noProof/>
              </w:rPr>
              <w:t>2.6 Investment and Cash Flow Ratios</w:t>
            </w:r>
            <w:r>
              <w:rPr>
                <w:noProof/>
                <w:webHidden/>
              </w:rPr>
              <w:tab/>
            </w:r>
            <w:r>
              <w:rPr>
                <w:noProof/>
                <w:webHidden/>
              </w:rPr>
              <w:fldChar w:fldCharType="begin"/>
            </w:r>
            <w:r>
              <w:rPr>
                <w:noProof/>
                <w:webHidden/>
              </w:rPr>
              <w:instrText xml:space="preserve"> PAGEREF _Toc214103259 \h </w:instrText>
            </w:r>
            <w:r>
              <w:rPr>
                <w:noProof/>
                <w:webHidden/>
              </w:rPr>
            </w:r>
            <w:r>
              <w:rPr>
                <w:noProof/>
                <w:webHidden/>
              </w:rPr>
              <w:fldChar w:fldCharType="separate"/>
            </w:r>
            <w:r>
              <w:rPr>
                <w:noProof/>
                <w:webHidden/>
              </w:rPr>
              <w:t>8</w:t>
            </w:r>
            <w:r>
              <w:rPr>
                <w:noProof/>
                <w:webHidden/>
              </w:rPr>
              <w:fldChar w:fldCharType="end"/>
            </w:r>
          </w:hyperlink>
        </w:p>
        <w:p w14:paraId="7C63685A" w14:textId="123D9894" w:rsidR="007D188B" w:rsidRDefault="007D188B">
          <w:pPr>
            <w:pStyle w:val="TOC2"/>
            <w:tabs>
              <w:tab w:val="right" w:leader="dot" w:pos="9350"/>
            </w:tabs>
            <w:rPr>
              <w:rFonts w:asciiTheme="minorHAnsi" w:eastAsiaTheme="minorEastAsia" w:hAnsiTheme="minorHAnsi"/>
              <w:noProof/>
              <w:sz w:val="22"/>
              <w:lang w:val="en-US"/>
            </w:rPr>
          </w:pPr>
          <w:hyperlink w:anchor="_Toc214103260" w:history="1">
            <w:r w:rsidRPr="00D45F58">
              <w:rPr>
                <w:rStyle w:val="Hyperlink"/>
                <w:noProof/>
              </w:rPr>
              <w:t>2.7 Overall Financial Trends Analysis</w:t>
            </w:r>
            <w:r>
              <w:rPr>
                <w:noProof/>
                <w:webHidden/>
              </w:rPr>
              <w:tab/>
            </w:r>
            <w:r>
              <w:rPr>
                <w:noProof/>
                <w:webHidden/>
              </w:rPr>
              <w:fldChar w:fldCharType="begin"/>
            </w:r>
            <w:r>
              <w:rPr>
                <w:noProof/>
                <w:webHidden/>
              </w:rPr>
              <w:instrText xml:space="preserve"> PAGEREF _Toc214103260 \h </w:instrText>
            </w:r>
            <w:r>
              <w:rPr>
                <w:noProof/>
                <w:webHidden/>
              </w:rPr>
            </w:r>
            <w:r>
              <w:rPr>
                <w:noProof/>
                <w:webHidden/>
              </w:rPr>
              <w:fldChar w:fldCharType="separate"/>
            </w:r>
            <w:r>
              <w:rPr>
                <w:noProof/>
                <w:webHidden/>
              </w:rPr>
              <w:t>9</w:t>
            </w:r>
            <w:r>
              <w:rPr>
                <w:noProof/>
                <w:webHidden/>
              </w:rPr>
              <w:fldChar w:fldCharType="end"/>
            </w:r>
          </w:hyperlink>
        </w:p>
        <w:p w14:paraId="0CA74CC5" w14:textId="36E3A07B" w:rsidR="007D188B" w:rsidRDefault="007D188B">
          <w:pPr>
            <w:pStyle w:val="TOC1"/>
            <w:tabs>
              <w:tab w:val="right" w:leader="dot" w:pos="9350"/>
            </w:tabs>
            <w:rPr>
              <w:rFonts w:asciiTheme="minorHAnsi" w:eastAsiaTheme="minorEastAsia" w:hAnsiTheme="minorHAnsi"/>
              <w:noProof/>
              <w:sz w:val="22"/>
              <w:lang w:val="en-US"/>
            </w:rPr>
          </w:pPr>
          <w:hyperlink w:anchor="_Toc214103261" w:history="1">
            <w:r w:rsidRPr="00D45F58">
              <w:rPr>
                <w:rStyle w:val="Hyperlink"/>
                <w:noProof/>
              </w:rPr>
              <w:t>3.0 Working Capital Management Analysis</w:t>
            </w:r>
            <w:r>
              <w:rPr>
                <w:noProof/>
                <w:webHidden/>
              </w:rPr>
              <w:tab/>
            </w:r>
            <w:r>
              <w:rPr>
                <w:noProof/>
                <w:webHidden/>
              </w:rPr>
              <w:fldChar w:fldCharType="begin"/>
            </w:r>
            <w:r>
              <w:rPr>
                <w:noProof/>
                <w:webHidden/>
              </w:rPr>
              <w:instrText xml:space="preserve"> PAGEREF _Toc214103261 \h </w:instrText>
            </w:r>
            <w:r>
              <w:rPr>
                <w:noProof/>
                <w:webHidden/>
              </w:rPr>
            </w:r>
            <w:r>
              <w:rPr>
                <w:noProof/>
                <w:webHidden/>
              </w:rPr>
              <w:fldChar w:fldCharType="separate"/>
            </w:r>
            <w:r>
              <w:rPr>
                <w:noProof/>
                <w:webHidden/>
              </w:rPr>
              <w:t>11</w:t>
            </w:r>
            <w:r>
              <w:rPr>
                <w:noProof/>
                <w:webHidden/>
              </w:rPr>
              <w:fldChar w:fldCharType="end"/>
            </w:r>
          </w:hyperlink>
        </w:p>
        <w:p w14:paraId="0938CFA7" w14:textId="2C4B1B71" w:rsidR="007D188B" w:rsidRDefault="007D188B">
          <w:pPr>
            <w:pStyle w:val="TOC1"/>
            <w:tabs>
              <w:tab w:val="right" w:leader="dot" w:pos="9350"/>
            </w:tabs>
            <w:rPr>
              <w:rFonts w:asciiTheme="minorHAnsi" w:eastAsiaTheme="minorEastAsia" w:hAnsiTheme="minorHAnsi"/>
              <w:noProof/>
              <w:sz w:val="22"/>
              <w:lang w:val="en-US"/>
            </w:rPr>
          </w:pPr>
          <w:hyperlink w:anchor="_Toc214103262" w:history="1">
            <w:r w:rsidRPr="00D45F58">
              <w:rPr>
                <w:rStyle w:val="Hyperlink"/>
                <w:noProof/>
              </w:rPr>
              <w:t>4.0 Strategic Financial Restructuring Plan</w:t>
            </w:r>
            <w:r>
              <w:rPr>
                <w:noProof/>
                <w:webHidden/>
              </w:rPr>
              <w:tab/>
            </w:r>
            <w:r>
              <w:rPr>
                <w:noProof/>
                <w:webHidden/>
              </w:rPr>
              <w:fldChar w:fldCharType="begin"/>
            </w:r>
            <w:r>
              <w:rPr>
                <w:noProof/>
                <w:webHidden/>
              </w:rPr>
              <w:instrText xml:space="preserve"> PAGEREF _Toc214103262 \h </w:instrText>
            </w:r>
            <w:r>
              <w:rPr>
                <w:noProof/>
                <w:webHidden/>
              </w:rPr>
            </w:r>
            <w:r>
              <w:rPr>
                <w:noProof/>
                <w:webHidden/>
              </w:rPr>
              <w:fldChar w:fldCharType="separate"/>
            </w:r>
            <w:r>
              <w:rPr>
                <w:noProof/>
                <w:webHidden/>
              </w:rPr>
              <w:t>15</w:t>
            </w:r>
            <w:r>
              <w:rPr>
                <w:noProof/>
                <w:webHidden/>
              </w:rPr>
              <w:fldChar w:fldCharType="end"/>
            </w:r>
          </w:hyperlink>
        </w:p>
        <w:p w14:paraId="6382E1FA" w14:textId="0BA003B1" w:rsidR="007D188B" w:rsidRDefault="007D188B">
          <w:pPr>
            <w:pStyle w:val="TOC2"/>
            <w:tabs>
              <w:tab w:val="right" w:leader="dot" w:pos="9350"/>
            </w:tabs>
            <w:rPr>
              <w:rFonts w:asciiTheme="minorHAnsi" w:eastAsiaTheme="minorEastAsia" w:hAnsiTheme="minorHAnsi"/>
              <w:noProof/>
              <w:sz w:val="22"/>
              <w:lang w:val="en-US"/>
            </w:rPr>
          </w:pPr>
          <w:hyperlink w:anchor="_Toc214103263" w:history="1">
            <w:r w:rsidRPr="00D45F58">
              <w:rPr>
                <w:rStyle w:val="Hyperlink"/>
                <w:noProof/>
              </w:rPr>
              <w:t>4.1 Recommended Integrated Restructuring Strategy</w:t>
            </w:r>
            <w:r>
              <w:rPr>
                <w:noProof/>
                <w:webHidden/>
              </w:rPr>
              <w:tab/>
            </w:r>
            <w:r>
              <w:rPr>
                <w:noProof/>
                <w:webHidden/>
              </w:rPr>
              <w:fldChar w:fldCharType="begin"/>
            </w:r>
            <w:r>
              <w:rPr>
                <w:noProof/>
                <w:webHidden/>
              </w:rPr>
              <w:instrText xml:space="preserve"> PAGEREF _Toc214103263 \h </w:instrText>
            </w:r>
            <w:r>
              <w:rPr>
                <w:noProof/>
                <w:webHidden/>
              </w:rPr>
            </w:r>
            <w:r>
              <w:rPr>
                <w:noProof/>
                <w:webHidden/>
              </w:rPr>
              <w:fldChar w:fldCharType="separate"/>
            </w:r>
            <w:r>
              <w:rPr>
                <w:noProof/>
                <w:webHidden/>
              </w:rPr>
              <w:t>16</w:t>
            </w:r>
            <w:r>
              <w:rPr>
                <w:noProof/>
                <w:webHidden/>
              </w:rPr>
              <w:fldChar w:fldCharType="end"/>
            </w:r>
          </w:hyperlink>
        </w:p>
        <w:p w14:paraId="2F242962" w14:textId="711B2A06" w:rsidR="007D188B" w:rsidRDefault="007D188B">
          <w:pPr>
            <w:pStyle w:val="TOC1"/>
            <w:tabs>
              <w:tab w:val="right" w:leader="dot" w:pos="9350"/>
            </w:tabs>
            <w:rPr>
              <w:rFonts w:asciiTheme="minorHAnsi" w:eastAsiaTheme="minorEastAsia" w:hAnsiTheme="minorHAnsi"/>
              <w:noProof/>
              <w:sz w:val="22"/>
              <w:lang w:val="en-US"/>
            </w:rPr>
          </w:pPr>
          <w:hyperlink w:anchor="_Toc214103264" w:history="1">
            <w:r w:rsidRPr="00D45F58">
              <w:rPr>
                <w:rStyle w:val="Hyperlink"/>
                <w:noProof/>
              </w:rPr>
              <w:t>5.0 Investment Appraisal And Capital Budgeting</w:t>
            </w:r>
            <w:r>
              <w:rPr>
                <w:noProof/>
                <w:webHidden/>
              </w:rPr>
              <w:tab/>
            </w:r>
            <w:r>
              <w:rPr>
                <w:noProof/>
                <w:webHidden/>
              </w:rPr>
              <w:fldChar w:fldCharType="begin"/>
            </w:r>
            <w:r>
              <w:rPr>
                <w:noProof/>
                <w:webHidden/>
              </w:rPr>
              <w:instrText xml:space="preserve"> PAGEREF _Toc214103264 \h </w:instrText>
            </w:r>
            <w:r>
              <w:rPr>
                <w:noProof/>
                <w:webHidden/>
              </w:rPr>
            </w:r>
            <w:r>
              <w:rPr>
                <w:noProof/>
                <w:webHidden/>
              </w:rPr>
              <w:fldChar w:fldCharType="separate"/>
            </w:r>
            <w:r>
              <w:rPr>
                <w:noProof/>
                <w:webHidden/>
              </w:rPr>
              <w:t>19</w:t>
            </w:r>
            <w:r>
              <w:rPr>
                <w:noProof/>
                <w:webHidden/>
              </w:rPr>
              <w:fldChar w:fldCharType="end"/>
            </w:r>
          </w:hyperlink>
        </w:p>
        <w:p w14:paraId="19546E38" w14:textId="1731AE6D" w:rsidR="007D188B" w:rsidRDefault="007D188B">
          <w:pPr>
            <w:pStyle w:val="TOC2"/>
            <w:tabs>
              <w:tab w:val="right" w:leader="dot" w:pos="9350"/>
            </w:tabs>
            <w:rPr>
              <w:rFonts w:asciiTheme="minorHAnsi" w:eastAsiaTheme="minorEastAsia" w:hAnsiTheme="minorHAnsi"/>
              <w:noProof/>
              <w:sz w:val="22"/>
              <w:lang w:val="en-US"/>
            </w:rPr>
          </w:pPr>
          <w:hyperlink w:anchor="_Toc214103265" w:history="1">
            <w:r w:rsidRPr="00D45F58">
              <w:rPr>
                <w:rStyle w:val="Hyperlink"/>
                <w:noProof/>
              </w:rPr>
              <w:t>5.1 Project Appraisal Analysis</w:t>
            </w:r>
            <w:r>
              <w:rPr>
                <w:noProof/>
                <w:webHidden/>
              </w:rPr>
              <w:tab/>
            </w:r>
            <w:r>
              <w:rPr>
                <w:noProof/>
                <w:webHidden/>
              </w:rPr>
              <w:fldChar w:fldCharType="begin"/>
            </w:r>
            <w:r>
              <w:rPr>
                <w:noProof/>
                <w:webHidden/>
              </w:rPr>
              <w:instrText xml:space="preserve"> PAGEREF _Toc214103265 \h </w:instrText>
            </w:r>
            <w:r>
              <w:rPr>
                <w:noProof/>
                <w:webHidden/>
              </w:rPr>
            </w:r>
            <w:r>
              <w:rPr>
                <w:noProof/>
                <w:webHidden/>
              </w:rPr>
              <w:fldChar w:fldCharType="separate"/>
            </w:r>
            <w:r>
              <w:rPr>
                <w:noProof/>
                <w:webHidden/>
              </w:rPr>
              <w:t>19</w:t>
            </w:r>
            <w:r>
              <w:rPr>
                <w:noProof/>
                <w:webHidden/>
              </w:rPr>
              <w:fldChar w:fldCharType="end"/>
            </w:r>
          </w:hyperlink>
        </w:p>
        <w:p w14:paraId="5715171C" w14:textId="2D5D2E6D" w:rsidR="007D188B" w:rsidRDefault="007D188B">
          <w:pPr>
            <w:pStyle w:val="TOC3"/>
            <w:tabs>
              <w:tab w:val="right" w:leader="dot" w:pos="9350"/>
            </w:tabs>
            <w:rPr>
              <w:rFonts w:asciiTheme="minorHAnsi" w:eastAsiaTheme="minorEastAsia" w:hAnsiTheme="minorHAnsi"/>
              <w:noProof/>
              <w:sz w:val="22"/>
              <w:lang w:val="en-US"/>
            </w:rPr>
          </w:pPr>
          <w:hyperlink w:anchor="_Toc214103266" w:history="1">
            <w:r w:rsidRPr="00D45F58">
              <w:rPr>
                <w:rStyle w:val="Hyperlink"/>
                <w:noProof/>
              </w:rPr>
              <w:t>Project A</w:t>
            </w:r>
            <w:r>
              <w:rPr>
                <w:noProof/>
                <w:webHidden/>
              </w:rPr>
              <w:tab/>
            </w:r>
            <w:r>
              <w:rPr>
                <w:noProof/>
                <w:webHidden/>
              </w:rPr>
              <w:fldChar w:fldCharType="begin"/>
            </w:r>
            <w:r>
              <w:rPr>
                <w:noProof/>
                <w:webHidden/>
              </w:rPr>
              <w:instrText xml:space="preserve"> PAGEREF _Toc214103266 \h </w:instrText>
            </w:r>
            <w:r>
              <w:rPr>
                <w:noProof/>
                <w:webHidden/>
              </w:rPr>
            </w:r>
            <w:r>
              <w:rPr>
                <w:noProof/>
                <w:webHidden/>
              </w:rPr>
              <w:fldChar w:fldCharType="separate"/>
            </w:r>
            <w:r>
              <w:rPr>
                <w:noProof/>
                <w:webHidden/>
              </w:rPr>
              <w:t>19</w:t>
            </w:r>
            <w:r>
              <w:rPr>
                <w:noProof/>
                <w:webHidden/>
              </w:rPr>
              <w:fldChar w:fldCharType="end"/>
            </w:r>
          </w:hyperlink>
        </w:p>
        <w:p w14:paraId="5F2472EC" w14:textId="5348105A" w:rsidR="007D188B" w:rsidRDefault="007D188B">
          <w:pPr>
            <w:pStyle w:val="TOC3"/>
            <w:tabs>
              <w:tab w:val="right" w:leader="dot" w:pos="9350"/>
            </w:tabs>
            <w:rPr>
              <w:rFonts w:asciiTheme="minorHAnsi" w:eastAsiaTheme="minorEastAsia" w:hAnsiTheme="minorHAnsi"/>
              <w:noProof/>
              <w:sz w:val="22"/>
              <w:lang w:val="en-US"/>
            </w:rPr>
          </w:pPr>
          <w:hyperlink w:anchor="_Toc214103267" w:history="1">
            <w:r w:rsidRPr="00D45F58">
              <w:rPr>
                <w:rStyle w:val="Hyperlink"/>
                <w:noProof/>
              </w:rPr>
              <w:t>Project B</w:t>
            </w:r>
            <w:r>
              <w:rPr>
                <w:noProof/>
                <w:webHidden/>
              </w:rPr>
              <w:tab/>
            </w:r>
            <w:r>
              <w:rPr>
                <w:noProof/>
                <w:webHidden/>
              </w:rPr>
              <w:fldChar w:fldCharType="begin"/>
            </w:r>
            <w:r>
              <w:rPr>
                <w:noProof/>
                <w:webHidden/>
              </w:rPr>
              <w:instrText xml:space="preserve"> PAGEREF _Toc214103267 \h </w:instrText>
            </w:r>
            <w:r>
              <w:rPr>
                <w:noProof/>
                <w:webHidden/>
              </w:rPr>
            </w:r>
            <w:r>
              <w:rPr>
                <w:noProof/>
                <w:webHidden/>
              </w:rPr>
              <w:fldChar w:fldCharType="separate"/>
            </w:r>
            <w:r>
              <w:rPr>
                <w:noProof/>
                <w:webHidden/>
              </w:rPr>
              <w:t>22</w:t>
            </w:r>
            <w:r>
              <w:rPr>
                <w:noProof/>
                <w:webHidden/>
              </w:rPr>
              <w:fldChar w:fldCharType="end"/>
            </w:r>
          </w:hyperlink>
        </w:p>
        <w:p w14:paraId="1459BB34" w14:textId="3E428F49" w:rsidR="007D188B" w:rsidRDefault="007D188B">
          <w:pPr>
            <w:pStyle w:val="TOC3"/>
            <w:tabs>
              <w:tab w:val="right" w:leader="dot" w:pos="9350"/>
            </w:tabs>
            <w:rPr>
              <w:rFonts w:asciiTheme="minorHAnsi" w:eastAsiaTheme="minorEastAsia" w:hAnsiTheme="minorHAnsi"/>
              <w:noProof/>
              <w:sz w:val="22"/>
              <w:lang w:val="en-US"/>
            </w:rPr>
          </w:pPr>
          <w:hyperlink w:anchor="_Toc214103268" w:history="1">
            <w:r w:rsidRPr="00D45F58">
              <w:rPr>
                <w:rStyle w:val="Hyperlink"/>
                <w:noProof/>
              </w:rPr>
              <w:t>Project C</w:t>
            </w:r>
            <w:r>
              <w:rPr>
                <w:noProof/>
                <w:webHidden/>
              </w:rPr>
              <w:tab/>
            </w:r>
            <w:r>
              <w:rPr>
                <w:noProof/>
                <w:webHidden/>
              </w:rPr>
              <w:fldChar w:fldCharType="begin"/>
            </w:r>
            <w:r>
              <w:rPr>
                <w:noProof/>
                <w:webHidden/>
              </w:rPr>
              <w:instrText xml:space="preserve"> PAGEREF _Toc214103268 \h </w:instrText>
            </w:r>
            <w:r>
              <w:rPr>
                <w:noProof/>
                <w:webHidden/>
              </w:rPr>
            </w:r>
            <w:r>
              <w:rPr>
                <w:noProof/>
                <w:webHidden/>
              </w:rPr>
              <w:fldChar w:fldCharType="separate"/>
            </w:r>
            <w:r>
              <w:rPr>
                <w:noProof/>
                <w:webHidden/>
              </w:rPr>
              <w:t>24</w:t>
            </w:r>
            <w:r>
              <w:rPr>
                <w:noProof/>
                <w:webHidden/>
              </w:rPr>
              <w:fldChar w:fldCharType="end"/>
            </w:r>
          </w:hyperlink>
        </w:p>
        <w:p w14:paraId="516F69D8" w14:textId="6D04D1B6" w:rsidR="007D188B" w:rsidRDefault="007D188B">
          <w:pPr>
            <w:pStyle w:val="TOC2"/>
            <w:tabs>
              <w:tab w:val="right" w:leader="dot" w:pos="9350"/>
            </w:tabs>
            <w:rPr>
              <w:rFonts w:asciiTheme="minorHAnsi" w:eastAsiaTheme="minorEastAsia" w:hAnsiTheme="minorHAnsi"/>
              <w:noProof/>
              <w:sz w:val="22"/>
              <w:lang w:val="en-US"/>
            </w:rPr>
          </w:pPr>
          <w:hyperlink w:anchor="_Toc214103269" w:history="1">
            <w:r w:rsidRPr="00D45F58">
              <w:rPr>
                <w:rStyle w:val="Hyperlink"/>
                <w:noProof/>
              </w:rPr>
              <w:t>5.2 Comparison and Methodology Reconciliation</w:t>
            </w:r>
            <w:r>
              <w:rPr>
                <w:noProof/>
                <w:webHidden/>
              </w:rPr>
              <w:tab/>
            </w:r>
            <w:r>
              <w:rPr>
                <w:noProof/>
                <w:webHidden/>
              </w:rPr>
              <w:fldChar w:fldCharType="begin"/>
            </w:r>
            <w:r>
              <w:rPr>
                <w:noProof/>
                <w:webHidden/>
              </w:rPr>
              <w:instrText xml:space="preserve"> PAGEREF _Toc214103269 \h </w:instrText>
            </w:r>
            <w:r>
              <w:rPr>
                <w:noProof/>
                <w:webHidden/>
              </w:rPr>
            </w:r>
            <w:r>
              <w:rPr>
                <w:noProof/>
                <w:webHidden/>
              </w:rPr>
              <w:fldChar w:fldCharType="separate"/>
            </w:r>
            <w:r>
              <w:rPr>
                <w:noProof/>
                <w:webHidden/>
              </w:rPr>
              <w:t>26</w:t>
            </w:r>
            <w:r>
              <w:rPr>
                <w:noProof/>
                <w:webHidden/>
              </w:rPr>
              <w:fldChar w:fldCharType="end"/>
            </w:r>
          </w:hyperlink>
        </w:p>
        <w:p w14:paraId="3A3C66E6" w14:textId="33E6B369" w:rsidR="007D188B" w:rsidRDefault="007D188B">
          <w:pPr>
            <w:pStyle w:val="TOC2"/>
            <w:tabs>
              <w:tab w:val="right" w:leader="dot" w:pos="9350"/>
            </w:tabs>
            <w:rPr>
              <w:rFonts w:asciiTheme="minorHAnsi" w:eastAsiaTheme="minorEastAsia" w:hAnsiTheme="minorHAnsi"/>
              <w:noProof/>
              <w:sz w:val="22"/>
              <w:lang w:val="en-US"/>
            </w:rPr>
          </w:pPr>
          <w:hyperlink w:anchor="_Toc214103270" w:history="1">
            <w:r w:rsidRPr="00D45F58">
              <w:rPr>
                <w:rStyle w:val="Hyperlink"/>
                <w:noProof/>
              </w:rPr>
              <w:t>5.3 CAPM Rationalization of Constraints of Capital Rationing</w:t>
            </w:r>
            <w:r>
              <w:rPr>
                <w:noProof/>
                <w:webHidden/>
              </w:rPr>
              <w:tab/>
            </w:r>
            <w:r>
              <w:rPr>
                <w:noProof/>
                <w:webHidden/>
              </w:rPr>
              <w:fldChar w:fldCharType="begin"/>
            </w:r>
            <w:r>
              <w:rPr>
                <w:noProof/>
                <w:webHidden/>
              </w:rPr>
              <w:instrText xml:space="preserve"> PAGEREF _Toc214103270 \h </w:instrText>
            </w:r>
            <w:r>
              <w:rPr>
                <w:noProof/>
                <w:webHidden/>
              </w:rPr>
            </w:r>
            <w:r>
              <w:rPr>
                <w:noProof/>
                <w:webHidden/>
              </w:rPr>
              <w:fldChar w:fldCharType="separate"/>
            </w:r>
            <w:r>
              <w:rPr>
                <w:noProof/>
                <w:webHidden/>
              </w:rPr>
              <w:t>26</w:t>
            </w:r>
            <w:r>
              <w:rPr>
                <w:noProof/>
                <w:webHidden/>
              </w:rPr>
              <w:fldChar w:fldCharType="end"/>
            </w:r>
          </w:hyperlink>
        </w:p>
        <w:p w14:paraId="3A4460D1" w14:textId="742F3130" w:rsidR="007D188B" w:rsidRDefault="007D188B">
          <w:pPr>
            <w:pStyle w:val="TOC2"/>
            <w:tabs>
              <w:tab w:val="right" w:leader="dot" w:pos="9350"/>
            </w:tabs>
            <w:rPr>
              <w:rFonts w:asciiTheme="minorHAnsi" w:eastAsiaTheme="minorEastAsia" w:hAnsiTheme="minorHAnsi"/>
              <w:noProof/>
              <w:sz w:val="22"/>
              <w:lang w:val="en-US"/>
            </w:rPr>
          </w:pPr>
          <w:hyperlink w:anchor="_Toc214103271" w:history="1">
            <w:r w:rsidRPr="00D45F58">
              <w:rPr>
                <w:rStyle w:val="Hyperlink"/>
                <w:noProof/>
              </w:rPr>
              <w:t>5.4 Final Investment Recommendation</w:t>
            </w:r>
            <w:r>
              <w:rPr>
                <w:noProof/>
                <w:webHidden/>
              </w:rPr>
              <w:tab/>
            </w:r>
            <w:r>
              <w:rPr>
                <w:noProof/>
                <w:webHidden/>
              </w:rPr>
              <w:fldChar w:fldCharType="begin"/>
            </w:r>
            <w:r>
              <w:rPr>
                <w:noProof/>
                <w:webHidden/>
              </w:rPr>
              <w:instrText xml:space="preserve"> PAGEREF _Toc214103271 \h </w:instrText>
            </w:r>
            <w:r>
              <w:rPr>
                <w:noProof/>
                <w:webHidden/>
              </w:rPr>
            </w:r>
            <w:r>
              <w:rPr>
                <w:noProof/>
                <w:webHidden/>
              </w:rPr>
              <w:fldChar w:fldCharType="separate"/>
            </w:r>
            <w:r>
              <w:rPr>
                <w:noProof/>
                <w:webHidden/>
              </w:rPr>
              <w:t>27</w:t>
            </w:r>
            <w:r>
              <w:rPr>
                <w:noProof/>
                <w:webHidden/>
              </w:rPr>
              <w:fldChar w:fldCharType="end"/>
            </w:r>
          </w:hyperlink>
        </w:p>
        <w:p w14:paraId="6C4314E7" w14:textId="5EC21886" w:rsidR="007D188B" w:rsidRDefault="007D188B">
          <w:pPr>
            <w:pStyle w:val="TOC2"/>
            <w:tabs>
              <w:tab w:val="right" w:leader="dot" w:pos="9350"/>
            </w:tabs>
            <w:rPr>
              <w:rFonts w:asciiTheme="minorHAnsi" w:eastAsiaTheme="minorEastAsia" w:hAnsiTheme="minorHAnsi"/>
              <w:noProof/>
              <w:sz w:val="22"/>
              <w:lang w:val="en-US"/>
            </w:rPr>
          </w:pPr>
          <w:hyperlink w:anchor="_Toc214103272" w:history="1">
            <w:r w:rsidRPr="00D45F58">
              <w:rPr>
                <w:rStyle w:val="Hyperlink"/>
                <w:noProof/>
              </w:rPr>
              <w:t>5.5 Capital Allocation Sequencing Strategy</w:t>
            </w:r>
            <w:r>
              <w:rPr>
                <w:noProof/>
                <w:webHidden/>
              </w:rPr>
              <w:tab/>
            </w:r>
            <w:r>
              <w:rPr>
                <w:noProof/>
                <w:webHidden/>
              </w:rPr>
              <w:fldChar w:fldCharType="begin"/>
            </w:r>
            <w:r>
              <w:rPr>
                <w:noProof/>
                <w:webHidden/>
              </w:rPr>
              <w:instrText xml:space="preserve"> PAGEREF _Toc214103272 \h </w:instrText>
            </w:r>
            <w:r>
              <w:rPr>
                <w:noProof/>
                <w:webHidden/>
              </w:rPr>
            </w:r>
            <w:r>
              <w:rPr>
                <w:noProof/>
                <w:webHidden/>
              </w:rPr>
              <w:fldChar w:fldCharType="separate"/>
            </w:r>
            <w:r>
              <w:rPr>
                <w:noProof/>
                <w:webHidden/>
              </w:rPr>
              <w:t>29</w:t>
            </w:r>
            <w:r>
              <w:rPr>
                <w:noProof/>
                <w:webHidden/>
              </w:rPr>
              <w:fldChar w:fldCharType="end"/>
            </w:r>
          </w:hyperlink>
        </w:p>
        <w:p w14:paraId="6485E018" w14:textId="5F1AC949" w:rsidR="007D188B" w:rsidRDefault="007D188B">
          <w:pPr>
            <w:pStyle w:val="TOC1"/>
            <w:tabs>
              <w:tab w:val="right" w:leader="dot" w:pos="9350"/>
            </w:tabs>
            <w:rPr>
              <w:rFonts w:asciiTheme="minorHAnsi" w:eastAsiaTheme="minorEastAsia" w:hAnsiTheme="minorHAnsi"/>
              <w:noProof/>
              <w:sz w:val="22"/>
              <w:lang w:val="en-US"/>
            </w:rPr>
          </w:pPr>
          <w:hyperlink w:anchor="_Toc214103273" w:history="1">
            <w:r w:rsidRPr="00D45F58">
              <w:rPr>
                <w:rStyle w:val="Hyperlink"/>
                <w:noProof/>
              </w:rPr>
              <w:t>6.0 Conclusion</w:t>
            </w:r>
            <w:r>
              <w:rPr>
                <w:noProof/>
                <w:webHidden/>
              </w:rPr>
              <w:tab/>
            </w:r>
            <w:r>
              <w:rPr>
                <w:noProof/>
                <w:webHidden/>
              </w:rPr>
              <w:fldChar w:fldCharType="begin"/>
            </w:r>
            <w:r>
              <w:rPr>
                <w:noProof/>
                <w:webHidden/>
              </w:rPr>
              <w:instrText xml:space="preserve"> PAGEREF _Toc214103273 \h </w:instrText>
            </w:r>
            <w:r>
              <w:rPr>
                <w:noProof/>
                <w:webHidden/>
              </w:rPr>
            </w:r>
            <w:r>
              <w:rPr>
                <w:noProof/>
                <w:webHidden/>
              </w:rPr>
              <w:fldChar w:fldCharType="separate"/>
            </w:r>
            <w:r>
              <w:rPr>
                <w:noProof/>
                <w:webHidden/>
              </w:rPr>
              <w:t>30</w:t>
            </w:r>
            <w:r>
              <w:rPr>
                <w:noProof/>
                <w:webHidden/>
              </w:rPr>
              <w:fldChar w:fldCharType="end"/>
            </w:r>
          </w:hyperlink>
        </w:p>
        <w:p w14:paraId="7EF2F46C" w14:textId="3C64603B" w:rsidR="007D188B" w:rsidRDefault="007D188B">
          <w:pPr>
            <w:pStyle w:val="TOC1"/>
            <w:tabs>
              <w:tab w:val="right" w:leader="dot" w:pos="9350"/>
            </w:tabs>
            <w:rPr>
              <w:rFonts w:asciiTheme="minorHAnsi" w:eastAsiaTheme="minorEastAsia" w:hAnsiTheme="minorHAnsi"/>
              <w:noProof/>
              <w:sz w:val="22"/>
              <w:lang w:val="en-US"/>
            </w:rPr>
          </w:pPr>
          <w:hyperlink w:anchor="_Toc214103274" w:history="1">
            <w:r w:rsidRPr="00D45F58">
              <w:rPr>
                <w:rStyle w:val="Hyperlink"/>
                <w:noProof/>
              </w:rPr>
              <w:t>References</w:t>
            </w:r>
            <w:r>
              <w:rPr>
                <w:noProof/>
                <w:webHidden/>
              </w:rPr>
              <w:tab/>
            </w:r>
            <w:r>
              <w:rPr>
                <w:noProof/>
                <w:webHidden/>
              </w:rPr>
              <w:fldChar w:fldCharType="begin"/>
            </w:r>
            <w:r>
              <w:rPr>
                <w:noProof/>
                <w:webHidden/>
              </w:rPr>
              <w:instrText xml:space="preserve"> PAGEREF _Toc214103274 \h </w:instrText>
            </w:r>
            <w:r>
              <w:rPr>
                <w:noProof/>
                <w:webHidden/>
              </w:rPr>
            </w:r>
            <w:r>
              <w:rPr>
                <w:noProof/>
                <w:webHidden/>
              </w:rPr>
              <w:fldChar w:fldCharType="separate"/>
            </w:r>
            <w:r>
              <w:rPr>
                <w:noProof/>
                <w:webHidden/>
              </w:rPr>
              <w:t>31</w:t>
            </w:r>
            <w:r>
              <w:rPr>
                <w:noProof/>
                <w:webHidden/>
              </w:rPr>
              <w:fldChar w:fldCharType="end"/>
            </w:r>
          </w:hyperlink>
        </w:p>
        <w:p w14:paraId="4997CF2A" w14:textId="23514C21" w:rsidR="007D188B" w:rsidRDefault="007D188B">
          <w:pPr>
            <w:pStyle w:val="TOC1"/>
            <w:tabs>
              <w:tab w:val="right" w:leader="dot" w:pos="9350"/>
            </w:tabs>
            <w:rPr>
              <w:rFonts w:asciiTheme="minorHAnsi" w:eastAsiaTheme="minorEastAsia" w:hAnsiTheme="minorHAnsi"/>
              <w:noProof/>
              <w:sz w:val="22"/>
              <w:lang w:val="en-US"/>
            </w:rPr>
          </w:pPr>
          <w:hyperlink w:anchor="_Toc214103275" w:history="1">
            <w:r w:rsidRPr="00D45F58">
              <w:rPr>
                <w:rStyle w:val="Hyperlink"/>
                <w:noProof/>
              </w:rPr>
              <w:t>Appendices</w:t>
            </w:r>
            <w:r>
              <w:rPr>
                <w:noProof/>
                <w:webHidden/>
              </w:rPr>
              <w:tab/>
            </w:r>
            <w:r>
              <w:rPr>
                <w:noProof/>
                <w:webHidden/>
              </w:rPr>
              <w:fldChar w:fldCharType="begin"/>
            </w:r>
            <w:r>
              <w:rPr>
                <w:noProof/>
                <w:webHidden/>
              </w:rPr>
              <w:instrText xml:space="preserve"> PAGEREF _Toc214103275 \h </w:instrText>
            </w:r>
            <w:r>
              <w:rPr>
                <w:noProof/>
                <w:webHidden/>
              </w:rPr>
            </w:r>
            <w:r>
              <w:rPr>
                <w:noProof/>
                <w:webHidden/>
              </w:rPr>
              <w:fldChar w:fldCharType="separate"/>
            </w:r>
            <w:r>
              <w:rPr>
                <w:noProof/>
                <w:webHidden/>
              </w:rPr>
              <w:t>35</w:t>
            </w:r>
            <w:r>
              <w:rPr>
                <w:noProof/>
                <w:webHidden/>
              </w:rPr>
              <w:fldChar w:fldCharType="end"/>
            </w:r>
          </w:hyperlink>
        </w:p>
        <w:p w14:paraId="5FF368E1" w14:textId="4109E381" w:rsidR="007D188B" w:rsidRDefault="007D188B">
          <w:pPr>
            <w:pStyle w:val="TOC3"/>
            <w:tabs>
              <w:tab w:val="right" w:leader="dot" w:pos="9350"/>
            </w:tabs>
            <w:rPr>
              <w:rFonts w:asciiTheme="minorHAnsi" w:eastAsiaTheme="minorEastAsia" w:hAnsiTheme="minorHAnsi"/>
              <w:noProof/>
              <w:sz w:val="22"/>
              <w:lang w:val="en-US"/>
            </w:rPr>
          </w:pPr>
          <w:hyperlink w:anchor="_Toc214103276" w:history="1">
            <w:r w:rsidRPr="00D45F58">
              <w:rPr>
                <w:rStyle w:val="Hyperlink"/>
                <w:noProof/>
              </w:rPr>
              <w:t>Appendix-1 Ratio Analysis</w:t>
            </w:r>
            <w:r>
              <w:rPr>
                <w:noProof/>
                <w:webHidden/>
              </w:rPr>
              <w:tab/>
            </w:r>
            <w:r>
              <w:rPr>
                <w:noProof/>
                <w:webHidden/>
              </w:rPr>
              <w:fldChar w:fldCharType="begin"/>
            </w:r>
            <w:r>
              <w:rPr>
                <w:noProof/>
                <w:webHidden/>
              </w:rPr>
              <w:instrText xml:space="preserve"> PAGEREF _Toc214103276 \h </w:instrText>
            </w:r>
            <w:r>
              <w:rPr>
                <w:noProof/>
                <w:webHidden/>
              </w:rPr>
            </w:r>
            <w:r>
              <w:rPr>
                <w:noProof/>
                <w:webHidden/>
              </w:rPr>
              <w:fldChar w:fldCharType="separate"/>
            </w:r>
            <w:r>
              <w:rPr>
                <w:noProof/>
                <w:webHidden/>
              </w:rPr>
              <w:t>35</w:t>
            </w:r>
            <w:r>
              <w:rPr>
                <w:noProof/>
                <w:webHidden/>
              </w:rPr>
              <w:fldChar w:fldCharType="end"/>
            </w:r>
          </w:hyperlink>
        </w:p>
        <w:p w14:paraId="3F6931BF" w14:textId="180B6BCA" w:rsidR="003F7589" w:rsidRDefault="003F7589">
          <w:r>
            <w:rPr>
              <w:b/>
              <w:bCs/>
              <w:noProof/>
            </w:rPr>
            <w:fldChar w:fldCharType="end"/>
          </w:r>
        </w:p>
      </w:sdtContent>
    </w:sdt>
    <w:p w14:paraId="58DDAF11" w14:textId="77777777" w:rsidR="003F7589" w:rsidRDefault="003F7589">
      <w:pPr>
        <w:spacing w:line="259" w:lineRule="auto"/>
        <w:jc w:val="left"/>
        <w:rPr>
          <w:rFonts w:asciiTheme="majorBidi" w:eastAsiaTheme="majorEastAsia" w:hAnsiTheme="majorBidi" w:cstheme="majorBidi"/>
          <w:b/>
          <w:sz w:val="32"/>
          <w:szCs w:val="32"/>
          <w:lang w:val="en-US"/>
        </w:rPr>
      </w:pPr>
      <w:r>
        <w:rPr>
          <w:lang w:val="en-US"/>
        </w:rPr>
        <w:br w:type="page"/>
      </w:r>
    </w:p>
    <w:p w14:paraId="0FF5283C" w14:textId="6F730497" w:rsidR="0066061C" w:rsidRDefault="00A8739E" w:rsidP="0099316E">
      <w:pPr>
        <w:pStyle w:val="Heading1"/>
        <w:rPr>
          <w:lang w:val="en-US"/>
        </w:rPr>
      </w:pPr>
      <w:bookmarkStart w:id="0" w:name="_Toc214103252"/>
      <w:r>
        <w:rPr>
          <w:lang w:val="en-US"/>
        </w:rPr>
        <w:t xml:space="preserve">1.0 </w:t>
      </w:r>
      <w:r w:rsidR="0066061C">
        <w:rPr>
          <w:lang w:val="en-US"/>
        </w:rPr>
        <w:t>Introduction</w:t>
      </w:r>
      <w:bookmarkEnd w:id="0"/>
      <w:r w:rsidR="0066061C">
        <w:rPr>
          <w:lang w:val="en-US"/>
        </w:rPr>
        <w:t xml:space="preserve"> </w:t>
      </w:r>
    </w:p>
    <w:p w14:paraId="2685A8CC" w14:textId="1898A528" w:rsidR="0066061C" w:rsidRDefault="0099316E" w:rsidP="0099316E">
      <w:pPr>
        <w:rPr>
          <w:rFonts w:asciiTheme="majorBidi" w:eastAsiaTheme="majorEastAsia" w:hAnsiTheme="majorBidi" w:cstheme="majorBidi"/>
          <w:sz w:val="32"/>
          <w:szCs w:val="32"/>
          <w:lang w:val="en-US"/>
        </w:rPr>
      </w:pPr>
      <w:r w:rsidRPr="0099316E">
        <w:rPr>
          <w:lang w:val="en-US"/>
        </w:rPr>
        <w:t xml:space="preserve">General Electronics is currently having issues related to lack of profitability, low liquidity, and high leverage. In the last five years, the company has gone from making modest profits to making substantial losses. </w:t>
      </w:r>
      <w:r w:rsidR="008F45EB" w:rsidRPr="008F45EB">
        <w:t>Data shows negative margins, losses from equities, and asset impairments, indicating widespread unprofitability</w:t>
      </w:r>
      <w:r w:rsidRPr="0099316E">
        <w:rPr>
          <w:lang w:val="en-US"/>
        </w:rPr>
        <w:t xml:space="preserve">, and therefore showing lack of profits scattered across the board. Furthermore, liquidity has gone down, there's evidence of blocked operational flows, and the Altman Z Score measures a worrying increase of default risk. The company has been showing imbalanced working capital, showing extreme ratios on the capital cycle and debt. In order to maintain competitive advantage, </w:t>
      </w:r>
      <w:r w:rsidR="00EB70EF" w:rsidRPr="00EB70EF">
        <w:t>realignment of the current strategy is essential</w:t>
      </w:r>
      <w:r w:rsidRPr="0099316E">
        <w:rPr>
          <w:lang w:val="en-US"/>
        </w:rPr>
        <w:t xml:space="preserve"> and </w:t>
      </w:r>
      <w:r w:rsidR="00EB70EF" w:rsidRPr="00EB70EF">
        <w:t>strategic adjustments in operations</w:t>
      </w:r>
      <w:r w:rsidR="00EB70EF">
        <w:t xml:space="preserve"> </w:t>
      </w:r>
      <w:r w:rsidRPr="0099316E">
        <w:rPr>
          <w:lang w:val="en-US"/>
        </w:rPr>
        <w:t>could save General Electronics from losing stakeholder trust. This report further explains the financial trajectory, the firm’s major issues, and a unified multi-phase strategy to restructure the company to gain back General Electronics’ stakeholder</w:t>
      </w:r>
      <w:r>
        <w:rPr>
          <w:lang w:val="en-US"/>
        </w:rPr>
        <w:t>’</w:t>
      </w:r>
      <w:r w:rsidRPr="0099316E">
        <w:rPr>
          <w:lang w:val="en-US"/>
        </w:rPr>
        <w:t>s trust.</w:t>
      </w:r>
      <w:r w:rsidR="0066061C">
        <w:rPr>
          <w:lang w:val="en-US"/>
        </w:rPr>
        <w:br w:type="page"/>
      </w:r>
    </w:p>
    <w:p w14:paraId="10D7EBA2" w14:textId="5BDB5067" w:rsidR="00F70C09" w:rsidRDefault="00A8739E" w:rsidP="00252DC1">
      <w:pPr>
        <w:pStyle w:val="Heading1"/>
        <w:rPr>
          <w:lang w:val="en-US"/>
        </w:rPr>
      </w:pPr>
      <w:bookmarkStart w:id="1" w:name="_Toc214103253"/>
      <w:r>
        <w:rPr>
          <w:lang w:val="en-US"/>
        </w:rPr>
        <w:t xml:space="preserve">2.0 </w:t>
      </w:r>
      <w:r w:rsidR="00252DC1">
        <w:rPr>
          <w:lang w:val="en-US"/>
        </w:rPr>
        <w:t>Financial Health Check</w:t>
      </w:r>
      <w:bookmarkEnd w:id="1"/>
      <w:r w:rsidR="00252DC1">
        <w:rPr>
          <w:lang w:val="en-US"/>
        </w:rPr>
        <w:t xml:space="preserve"> </w:t>
      </w:r>
    </w:p>
    <w:p w14:paraId="692990B4" w14:textId="209C7E1E" w:rsidR="00E32078" w:rsidRDefault="00E32078" w:rsidP="00E32078">
      <w:r>
        <w:t xml:space="preserve">General Electronics is facing extreme financial distress characterized by the rapid decline in all the financial aspects. In the period between 2020 and 2024 (the five-year period), the company has switched from the profitability level to substantial losses, and net income has fallen between -24.0 million and 38.6 million (CFA Institute, 2025). Such a thorough analysis of ratios </w:t>
      </w:r>
      <w:r w:rsidR="00EB70EF" w:rsidRPr="00EB70EF">
        <w:t>allows us to conclude</w:t>
      </w:r>
      <w:r>
        <w:t xml:space="preserve"> that the business is facing systemic operational and financial issues that should be addressed</w:t>
      </w:r>
      <w:r w:rsidR="00EB70EF">
        <w:t xml:space="preserve"> </w:t>
      </w:r>
      <w:r w:rsidR="00EB70EF" w:rsidRPr="00EB70EF">
        <w:t>urgentl</w:t>
      </w:r>
      <w:r w:rsidR="00EB70EF">
        <w:t>y.</w:t>
      </w:r>
    </w:p>
    <w:p w14:paraId="2FE43B43" w14:textId="1AC4878D" w:rsidR="00252DC1" w:rsidRDefault="00A8739E" w:rsidP="00252DC1">
      <w:pPr>
        <w:pStyle w:val="Heading2"/>
      </w:pPr>
      <w:bookmarkStart w:id="2" w:name="_Toc214103254"/>
      <w:r>
        <w:t xml:space="preserve">2.1 </w:t>
      </w:r>
      <w:r w:rsidR="00252DC1">
        <w:t>Profitability Ratios</w:t>
      </w:r>
      <w:bookmarkEnd w:id="2"/>
      <w:r w:rsidR="00252DC1">
        <w:t xml:space="preserve"> </w:t>
      </w:r>
    </w:p>
    <w:p w14:paraId="7AA13BBA" w14:textId="7B9D1120" w:rsidR="00E32078" w:rsidRDefault="00E32078" w:rsidP="00E32078">
      <w:r>
        <w:rPr>
          <w:noProof/>
        </w:rPr>
        <w:drawing>
          <wp:inline distT="0" distB="0" distL="0" distR="0" wp14:anchorId="7689186E" wp14:editId="6AAB2299">
            <wp:extent cx="5943600" cy="2856865"/>
            <wp:effectExtent l="0" t="0" r="0" b="635"/>
            <wp:docPr id="1" name="Chart 1">
              <a:extLst xmlns:a="http://schemas.openxmlformats.org/drawingml/2006/main">
                <a:ext uri="{FF2B5EF4-FFF2-40B4-BE49-F238E27FC236}">
                  <a16:creationId xmlns:a16="http://schemas.microsoft.com/office/drawing/2014/main" id="{7F69C753-B993-400E-A256-EC987432F23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3A6E0B3" w14:textId="6CEAAFBF" w:rsidR="00E32078" w:rsidRDefault="00E32078" w:rsidP="00E32078">
      <w:pPr>
        <w:pStyle w:val="Caption"/>
        <w:spacing w:after="0"/>
        <w:jc w:val="center"/>
        <w:rPr>
          <w:b/>
          <w:bCs/>
          <w:i w:val="0"/>
          <w:iCs w:val="0"/>
          <w:sz w:val="22"/>
          <w:szCs w:val="22"/>
        </w:rPr>
      </w:pPr>
      <w:r w:rsidRPr="00E32078">
        <w:rPr>
          <w:b/>
          <w:bCs/>
          <w:i w:val="0"/>
          <w:iCs w:val="0"/>
          <w:sz w:val="22"/>
          <w:szCs w:val="22"/>
        </w:rPr>
        <w:t xml:space="preserve">Figure </w:t>
      </w:r>
      <w:r w:rsidRPr="00E32078">
        <w:rPr>
          <w:b/>
          <w:bCs/>
          <w:i w:val="0"/>
          <w:iCs w:val="0"/>
          <w:sz w:val="22"/>
          <w:szCs w:val="22"/>
        </w:rPr>
        <w:fldChar w:fldCharType="begin"/>
      </w:r>
      <w:r w:rsidRPr="00E32078">
        <w:rPr>
          <w:b/>
          <w:bCs/>
          <w:i w:val="0"/>
          <w:iCs w:val="0"/>
          <w:sz w:val="22"/>
          <w:szCs w:val="22"/>
        </w:rPr>
        <w:instrText xml:space="preserve"> SEQ Figure \* ARABIC </w:instrText>
      </w:r>
      <w:r w:rsidRPr="00E32078">
        <w:rPr>
          <w:b/>
          <w:bCs/>
          <w:i w:val="0"/>
          <w:iCs w:val="0"/>
          <w:sz w:val="22"/>
          <w:szCs w:val="22"/>
        </w:rPr>
        <w:fldChar w:fldCharType="separate"/>
      </w:r>
      <w:r w:rsidR="0066061C">
        <w:rPr>
          <w:b/>
          <w:bCs/>
          <w:i w:val="0"/>
          <w:iCs w:val="0"/>
          <w:noProof/>
          <w:sz w:val="22"/>
          <w:szCs w:val="22"/>
        </w:rPr>
        <w:t>1</w:t>
      </w:r>
      <w:r w:rsidRPr="00E32078">
        <w:rPr>
          <w:b/>
          <w:bCs/>
          <w:i w:val="0"/>
          <w:iCs w:val="0"/>
          <w:sz w:val="22"/>
          <w:szCs w:val="22"/>
        </w:rPr>
        <w:fldChar w:fldCharType="end"/>
      </w:r>
      <w:r w:rsidRPr="00E32078">
        <w:rPr>
          <w:b/>
          <w:bCs/>
          <w:i w:val="0"/>
          <w:iCs w:val="0"/>
          <w:sz w:val="22"/>
          <w:szCs w:val="22"/>
        </w:rPr>
        <w:t>: Profitability Ratio Graphical Representation</w:t>
      </w:r>
    </w:p>
    <w:p w14:paraId="064862CD" w14:textId="0E9F197E" w:rsidR="00E32078" w:rsidRPr="00E32078" w:rsidRDefault="00E32078" w:rsidP="00E32078">
      <w:pPr>
        <w:spacing w:after="0"/>
        <w:jc w:val="center"/>
      </w:pPr>
      <w:r>
        <w:t>Source: (Self Made)</w:t>
      </w:r>
    </w:p>
    <w:p w14:paraId="167D55D2" w14:textId="716C90AE" w:rsidR="00E32078" w:rsidRDefault="00E32078" w:rsidP="00E32078">
      <w:r>
        <w:t xml:space="preserve">Profitability ratios indicate disastrous performance deterioration. The gross profit margin has been comparatively stable at about 28%, implying that core production efficiency has been preserved but operating costs have gotten out of control, reaching 129.3 million in 2024, compared to 138.9 million in 2020, and at the same time revenues have declined by 36 percent </w:t>
      </w:r>
      <w:proofErr w:type="gramStart"/>
      <w:r>
        <w:t xml:space="preserve">( </w:t>
      </w:r>
      <w:proofErr w:type="spellStart"/>
      <w:r>
        <w:t>Atrill</w:t>
      </w:r>
      <w:proofErr w:type="spellEnd"/>
      <w:proofErr w:type="gramEnd"/>
      <w:r>
        <w:t xml:space="preserve"> &amp; </w:t>
      </w:r>
      <w:proofErr w:type="spellStart"/>
      <w:r>
        <w:t>Mclaney</w:t>
      </w:r>
      <w:proofErr w:type="spellEnd"/>
      <w:r>
        <w:t xml:space="preserve">, 2018). The operating profit margin has deteriorated, as 2020 recorded a positive of 6.06 percent and now reports a negative 3.87% in 2024 indicating the failure of the company to regulate discretionary spending. Most importantly, the net profit margin has </w:t>
      </w:r>
      <w:r w:rsidR="00E118AA" w:rsidRPr="00E118AA">
        <w:t>declined from 6.28% in 2020 to -6.09% in 2024</w:t>
      </w:r>
      <w:r>
        <w:t xml:space="preserve">, which means that the company is making losses on every pound of sales. Return on Assets (ROA) has fallen to negative 6.09%, and Return on Equity (ROE) is negative 15.69%, which </w:t>
      </w:r>
      <w:r w:rsidR="00E118AA" w:rsidRPr="00E118AA">
        <w:t>indicating a significant erosion of shareholder value”</w:t>
      </w:r>
      <w:r>
        <w:t xml:space="preserve"> (Berk and Demarzo, 2019).</w:t>
      </w:r>
    </w:p>
    <w:p w14:paraId="6B9872B6" w14:textId="29E6F048" w:rsidR="00252DC1" w:rsidRDefault="00221827" w:rsidP="00252DC1">
      <w:pPr>
        <w:pStyle w:val="Heading2"/>
      </w:pPr>
      <w:bookmarkStart w:id="3" w:name="_Toc214103255"/>
      <w:r>
        <w:t xml:space="preserve">2.2 </w:t>
      </w:r>
      <w:r w:rsidR="00252DC1">
        <w:t>Liquidity Ratios</w:t>
      </w:r>
      <w:bookmarkEnd w:id="3"/>
      <w:r w:rsidR="00252DC1">
        <w:t xml:space="preserve"> </w:t>
      </w:r>
    </w:p>
    <w:p w14:paraId="61520785" w14:textId="77777777" w:rsidR="00E32078" w:rsidRDefault="00E32078" w:rsidP="00E32078"/>
    <w:p w14:paraId="50454EE4" w14:textId="5902A73C" w:rsidR="00E32078" w:rsidRDefault="00E32078" w:rsidP="00E32078">
      <w:pPr>
        <w:jc w:val="center"/>
      </w:pPr>
      <w:r>
        <w:rPr>
          <w:noProof/>
        </w:rPr>
        <w:drawing>
          <wp:inline distT="0" distB="0" distL="0" distR="0" wp14:anchorId="28964ABF" wp14:editId="0D88ED42">
            <wp:extent cx="5105400" cy="2698750"/>
            <wp:effectExtent l="0" t="0" r="0" b="6350"/>
            <wp:docPr id="2" name="Chart 2">
              <a:extLst xmlns:a="http://schemas.openxmlformats.org/drawingml/2006/main">
                <a:ext uri="{FF2B5EF4-FFF2-40B4-BE49-F238E27FC236}">
                  <a16:creationId xmlns:a16="http://schemas.microsoft.com/office/drawing/2014/main" id="{4F6ED7AE-E0AC-4D72-AF23-7DBF9402D55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5D693B8" w14:textId="1AA783E9" w:rsidR="00E32078" w:rsidRPr="00E32078" w:rsidRDefault="00E32078" w:rsidP="00E32078">
      <w:pPr>
        <w:pStyle w:val="Caption"/>
        <w:spacing w:after="0"/>
        <w:jc w:val="center"/>
        <w:rPr>
          <w:b/>
          <w:bCs/>
          <w:i w:val="0"/>
          <w:iCs w:val="0"/>
          <w:sz w:val="22"/>
          <w:szCs w:val="22"/>
        </w:rPr>
      </w:pPr>
      <w:r w:rsidRPr="00E32078">
        <w:rPr>
          <w:b/>
          <w:bCs/>
          <w:i w:val="0"/>
          <w:iCs w:val="0"/>
          <w:sz w:val="22"/>
          <w:szCs w:val="22"/>
        </w:rPr>
        <w:t xml:space="preserve">Figure </w:t>
      </w:r>
      <w:r w:rsidRPr="00E32078">
        <w:rPr>
          <w:b/>
          <w:bCs/>
          <w:i w:val="0"/>
          <w:iCs w:val="0"/>
          <w:sz w:val="22"/>
          <w:szCs w:val="22"/>
        </w:rPr>
        <w:fldChar w:fldCharType="begin"/>
      </w:r>
      <w:r w:rsidRPr="00E32078">
        <w:rPr>
          <w:b/>
          <w:bCs/>
          <w:i w:val="0"/>
          <w:iCs w:val="0"/>
          <w:sz w:val="22"/>
          <w:szCs w:val="22"/>
        </w:rPr>
        <w:instrText xml:space="preserve"> SEQ Figure \* ARABIC </w:instrText>
      </w:r>
      <w:r w:rsidRPr="00E32078">
        <w:rPr>
          <w:b/>
          <w:bCs/>
          <w:i w:val="0"/>
          <w:iCs w:val="0"/>
          <w:sz w:val="22"/>
          <w:szCs w:val="22"/>
        </w:rPr>
        <w:fldChar w:fldCharType="separate"/>
      </w:r>
      <w:r w:rsidR="0066061C">
        <w:rPr>
          <w:b/>
          <w:bCs/>
          <w:i w:val="0"/>
          <w:iCs w:val="0"/>
          <w:noProof/>
          <w:sz w:val="22"/>
          <w:szCs w:val="22"/>
        </w:rPr>
        <w:t>2</w:t>
      </w:r>
      <w:r w:rsidRPr="00E32078">
        <w:rPr>
          <w:b/>
          <w:bCs/>
          <w:i w:val="0"/>
          <w:iCs w:val="0"/>
          <w:sz w:val="22"/>
          <w:szCs w:val="22"/>
        </w:rPr>
        <w:fldChar w:fldCharType="end"/>
      </w:r>
      <w:r w:rsidRPr="00E32078">
        <w:rPr>
          <w:b/>
          <w:bCs/>
          <w:i w:val="0"/>
          <w:iCs w:val="0"/>
          <w:sz w:val="22"/>
          <w:szCs w:val="22"/>
        </w:rPr>
        <w:t>: Graphical Representation of Liquidity Analysis</w:t>
      </w:r>
    </w:p>
    <w:p w14:paraId="7AC35E96" w14:textId="093B9AC7" w:rsidR="00E32078" w:rsidRPr="00E32078" w:rsidRDefault="00E32078" w:rsidP="00E32078">
      <w:pPr>
        <w:spacing w:after="0"/>
        <w:jc w:val="center"/>
      </w:pPr>
      <w:r w:rsidRPr="00E32078">
        <w:t>Source: (Self Made)</w:t>
      </w:r>
    </w:p>
    <w:p w14:paraId="22F755EE" w14:textId="52C7FCB5" w:rsidR="00E32078" w:rsidRDefault="00E32078" w:rsidP="00E32078">
      <w:r>
        <w:t xml:space="preserve">The liquidity ratios indicate moderate, though decreasing, financial flexibility. A current ratio of 1.532 in 2024 seems reasonable compared to the lower limit of 1.0 but this is lower than its level of 1.821 in 2020 (Arnold &amp; Lewis, 2019). Worse still, the quick ratio has gone down to 1.031, which means that without the inclusion of the inventory, the company can be said to be barely in terms of liquidity in the short term. </w:t>
      </w:r>
      <w:r w:rsidR="00DC7492" w:rsidRPr="00DC7492">
        <w:t>Immediate cash availability has fallen by 47%, as the cash ratio decreased from 0.318 in 2020 to 0.169 in 2021</w:t>
      </w:r>
      <w:r>
        <w:t xml:space="preserve">. </w:t>
      </w:r>
      <w:r w:rsidR="00DD6D43" w:rsidRPr="00DD6D43">
        <w:t>Cash and equivalents have decreased from £57.2 billion in 2020 to £26.8 billion in 2024.</w:t>
      </w:r>
      <w:r>
        <w:t>, which is a very serious limitation to flexibility of operation (Brigham &amp; Ehrhardt, 2020).</w:t>
      </w:r>
    </w:p>
    <w:p w14:paraId="3C735465" w14:textId="5B42D512" w:rsidR="00252DC1" w:rsidRDefault="00221827" w:rsidP="00252DC1">
      <w:pPr>
        <w:pStyle w:val="Heading2"/>
      </w:pPr>
      <w:bookmarkStart w:id="4" w:name="_Toc214103256"/>
      <w:r>
        <w:t xml:space="preserve">2.3 </w:t>
      </w:r>
      <w:r w:rsidR="00252DC1">
        <w:t>Efficiency Ratios</w:t>
      </w:r>
      <w:bookmarkEnd w:id="4"/>
    </w:p>
    <w:p w14:paraId="256EAD3D" w14:textId="1F895894" w:rsidR="00E32078" w:rsidRDefault="00DC7492" w:rsidP="00E32078">
      <w:r>
        <w:t>S</w:t>
      </w:r>
      <w:r w:rsidRPr="00DC7492">
        <w:t>ignificant deterioration in working capital efficiency</w:t>
      </w:r>
      <w:r w:rsidR="00E32078">
        <w:t xml:space="preserve">. The Days Sales Outstanding (DSO) has gone skyrocketing to 115.1 days compared to 82.6 days, meaning that the customers are paying at an extremely low pace. The Days Inventory outstanding (DIO) has also risen to 103.1 days compared to 100.3 days, indicating the build-up of obsolete stock. Days Payables Outstanding (DPO) has increased to 93.6 days, which reflects extended payment terms that are made by taking advantage of the suppliers. Most importantly, its Cash Conversion Cycle (CCC) has gone to 124.6 days against 113.6 days so that operations of the company need to be financed in over four months' time before the company can realize positive cash flows. This unreasonable requirement of working capital is </w:t>
      </w:r>
      <w:r w:rsidRPr="00DC7492">
        <w:t>severely constraining liquidity</w:t>
      </w:r>
      <w:r w:rsidRPr="00DC7492">
        <w:t xml:space="preserve"> </w:t>
      </w:r>
      <w:r w:rsidR="00E32078">
        <w:t>(Morgan, 2025).</w:t>
      </w:r>
    </w:p>
    <w:p w14:paraId="7EE89000" w14:textId="2DA3B38C" w:rsidR="00252DC1" w:rsidRDefault="00221827" w:rsidP="00252DC1">
      <w:pPr>
        <w:pStyle w:val="Heading2"/>
      </w:pPr>
      <w:bookmarkStart w:id="5" w:name="_Toc214103257"/>
      <w:r>
        <w:t xml:space="preserve">2.4 </w:t>
      </w:r>
      <w:r w:rsidR="00252DC1">
        <w:t>Gearing Ratios</w:t>
      </w:r>
      <w:bookmarkEnd w:id="5"/>
    </w:p>
    <w:p w14:paraId="21F8B2E3" w14:textId="6058C802" w:rsidR="00E32078" w:rsidRDefault="00E32078" w:rsidP="00E32078">
      <w:pPr>
        <w:jc w:val="center"/>
      </w:pPr>
      <w:r>
        <w:rPr>
          <w:noProof/>
        </w:rPr>
        <w:drawing>
          <wp:inline distT="0" distB="0" distL="0" distR="0" wp14:anchorId="4B5AB195" wp14:editId="715B82FC">
            <wp:extent cx="4572000" cy="2743200"/>
            <wp:effectExtent l="0" t="0" r="0" b="0"/>
            <wp:docPr id="3" name="Chart 3">
              <a:extLst xmlns:a="http://schemas.openxmlformats.org/drawingml/2006/main">
                <a:ext uri="{FF2B5EF4-FFF2-40B4-BE49-F238E27FC236}">
                  <a16:creationId xmlns:a16="http://schemas.microsoft.com/office/drawing/2014/main" id="{C3192FC2-84E7-4BC1-9FCE-0B9DDAEDCD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8FDE98A" w14:textId="57C28C99" w:rsidR="00E32078" w:rsidRPr="00E32078" w:rsidRDefault="00E32078" w:rsidP="00E32078">
      <w:pPr>
        <w:pStyle w:val="Caption"/>
        <w:spacing w:after="0"/>
        <w:jc w:val="center"/>
        <w:rPr>
          <w:b/>
          <w:bCs/>
          <w:i w:val="0"/>
          <w:iCs w:val="0"/>
          <w:sz w:val="22"/>
          <w:szCs w:val="22"/>
        </w:rPr>
      </w:pPr>
      <w:r w:rsidRPr="00E32078">
        <w:rPr>
          <w:b/>
          <w:bCs/>
          <w:i w:val="0"/>
          <w:iCs w:val="0"/>
          <w:sz w:val="22"/>
          <w:szCs w:val="22"/>
        </w:rPr>
        <w:t xml:space="preserve">Figure </w:t>
      </w:r>
      <w:r w:rsidRPr="00E32078">
        <w:rPr>
          <w:b/>
          <w:bCs/>
          <w:i w:val="0"/>
          <w:iCs w:val="0"/>
          <w:sz w:val="22"/>
          <w:szCs w:val="22"/>
        </w:rPr>
        <w:fldChar w:fldCharType="begin"/>
      </w:r>
      <w:r w:rsidRPr="00E32078">
        <w:rPr>
          <w:b/>
          <w:bCs/>
          <w:i w:val="0"/>
          <w:iCs w:val="0"/>
          <w:sz w:val="22"/>
          <w:szCs w:val="22"/>
        </w:rPr>
        <w:instrText xml:space="preserve"> SEQ Figure \* ARABIC </w:instrText>
      </w:r>
      <w:r w:rsidRPr="00E32078">
        <w:rPr>
          <w:b/>
          <w:bCs/>
          <w:i w:val="0"/>
          <w:iCs w:val="0"/>
          <w:sz w:val="22"/>
          <w:szCs w:val="22"/>
        </w:rPr>
        <w:fldChar w:fldCharType="separate"/>
      </w:r>
      <w:r w:rsidR="0066061C">
        <w:rPr>
          <w:b/>
          <w:bCs/>
          <w:i w:val="0"/>
          <w:iCs w:val="0"/>
          <w:noProof/>
          <w:sz w:val="22"/>
          <w:szCs w:val="22"/>
        </w:rPr>
        <w:t>3</w:t>
      </w:r>
      <w:r w:rsidRPr="00E32078">
        <w:rPr>
          <w:b/>
          <w:bCs/>
          <w:i w:val="0"/>
          <w:iCs w:val="0"/>
          <w:sz w:val="22"/>
          <w:szCs w:val="22"/>
        </w:rPr>
        <w:fldChar w:fldCharType="end"/>
      </w:r>
      <w:r w:rsidRPr="00E32078">
        <w:rPr>
          <w:b/>
          <w:bCs/>
          <w:i w:val="0"/>
          <w:iCs w:val="0"/>
          <w:sz w:val="22"/>
          <w:szCs w:val="22"/>
        </w:rPr>
        <w:t>:Graphical Representation of Gearing Ratio</w:t>
      </w:r>
    </w:p>
    <w:p w14:paraId="4BC0E6D9" w14:textId="488F1D5E" w:rsidR="00E32078" w:rsidRPr="00E32078" w:rsidRDefault="00E32078" w:rsidP="00E32078">
      <w:pPr>
        <w:spacing w:after="0"/>
        <w:jc w:val="center"/>
      </w:pPr>
      <w:r w:rsidRPr="00E32078">
        <w:t>Source: (Self Made)</w:t>
      </w:r>
    </w:p>
    <w:p w14:paraId="5CF36B01" w14:textId="4A39BB84" w:rsidR="00E32078" w:rsidRDefault="00E32078" w:rsidP="00E32078">
      <w:r>
        <w:t xml:space="preserve">The trends in the gearing ratio indicate an increase in financial risk. The debt-to-equity ratio has grown by more than five years by 1.112 against 0.629 to show that the liabilities are more than the equity. The debt ratio to assets has increased to 0.527 which indicates increased dependence on creditors to fund more than half of the assets. Worst of all is the interest coverage ratio, which has decreased to negative 4.55 times in 2024 compared to 26.21 times in 2020 signifying that the company </w:t>
      </w:r>
      <w:r w:rsidR="00DC7492" w:rsidRPr="00DC7492">
        <w:t>“cannot cover its interest obligations from operating earnings.”</w:t>
      </w:r>
      <w:r>
        <w:t xml:space="preserve"> (Andrade and Kaplan, 1998).</w:t>
      </w:r>
    </w:p>
    <w:p w14:paraId="38284441" w14:textId="77777777" w:rsidR="00221827" w:rsidRDefault="00221827">
      <w:pPr>
        <w:spacing w:line="259" w:lineRule="auto"/>
        <w:jc w:val="left"/>
        <w:rPr>
          <w:rFonts w:asciiTheme="majorBidi" w:eastAsiaTheme="majorEastAsia" w:hAnsiTheme="majorBidi" w:cstheme="majorBidi"/>
          <w:b/>
          <w:sz w:val="28"/>
          <w:szCs w:val="26"/>
        </w:rPr>
      </w:pPr>
      <w:r>
        <w:br w:type="page"/>
      </w:r>
    </w:p>
    <w:p w14:paraId="15C604E3" w14:textId="1ED2DAAB" w:rsidR="00252DC1" w:rsidRDefault="00325F10" w:rsidP="00252DC1">
      <w:pPr>
        <w:pStyle w:val="Heading2"/>
      </w:pPr>
      <w:bookmarkStart w:id="6" w:name="_Toc214103258"/>
      <w:r>
        <w:t xml:space="preserve">2.5 </w:t>
      </w:r>
      <w:r w:rsidR="00252DC1">
        <w:t>Altman Z-Score Analysis</w:t>
      </w:r>
      <w:bookmarkEnd w:id="6"/>
      <w:r w:rsidR="00252DC1">
        <w:t xml:space="preserve"> </w:t>
      </w:r>
    </w:p>
    <w:tbl>
      <w:tblPr>
        <w:tblW w:w="5000" w:type="pct"/>
        <w:tblLook w:val="04A0" w:firstRow="1" w:lastRow="0" w:firstColumn="1" w:lastColumn="0" w:noHBand="0" w:noVBand="1"/>
      </w:tblPr>
      <w:tblGrid>
        <w:gridCol w:w="1043"/>
        <w:gridCol w:w="2994"/>
        <w:gridCol w:w="923"/>
        <w:gridCol w:w="876"/>
        <w:gridCol w:w="876"/>
        <w:gridCol w:w="876"/>
        <w:gridCol w:w="876"/>
        <w:gridCol w:w="876"/>
      </w:tblGrid>
      <w:tr w:rsidR="00E32078" w:rsidRPr="00E32078" w14:paraId="1BA6F7AA" w14:textId="77777777" w:rsidTr="00E32078">
        <w:trPr>
          <w:trHeight w:val="300"/>
        </w:trPr>
        <w:tc>
          <w:tcPr>
            <w:tcW w:w="529" w:type="pct"/>
            <w:tcBorders>
              <w:top w:val="single" w:sz="8" w:space="0" w:color="000000"/>
              <w:left w:val="single" w:sz="8" w:space="0" w:color="000000"/>
              <w:bottom w:val="single" w:sz="8" w:space="0" w:color="000000"/>
              <w:right w:val="single" w:sz="8" w:space="0" w:color="000000"/>
            </w:tcBorders>
            <w:shd w:val="clear" w:color="000000" w:fill="FFFF00"/>
            <w:vAlign w:val="center"/>
            <w:hideMark/>
          </w:tcPr>
          <w:p w14:paraId="120C5F08" w14:textId="77777777" w:rsidR="00E32078" w:rsidRPr="00E32078" w:rsidRDefault="00E32078" w:rsidP="00E32078">
            <w:pPr>
              <w:rPr>
                <w:lang w:eastAsia="en-GB"/>
              </w:rPr>
            </w:pPr>
            <w:r w:rsidRPr="00E32078">
              <w:rPr>
                <w:lang w:eastAsia="en-GB"/>
              </w:rPr>
              <w:t>Variable</w:t>
            </w:r>
          </w:p>
        </w:tc>
        <w:tc>
          <w:tcPr>
            <w:tcW w:w="1740" w:type="pct"/>
            <w:tcBorders>
              <w:top w:val="single" w:sz="8" w:space="0" w:color="000000"/>
              <w:left w:val="nil"/>
              <w:bottom w:val="single" w:sz="8" w:space="0" w:color="000000"/>
              <w:right w:val="single" w:sz="8" w:space="0" w:color="000000"/>
            </w:tcBorders>
            <w:shd w:val="clear" w:color="000000" w:fill="FFFF00"/>
            <w:vAlign w:val="center"/>
            <w:hideMark/>
          </w:tcPr>
          <w:p w14:paraId="7FA66C00" w14:textId="77777777" w:rsidR="00E32078" w:rsidRPr="00E32078" w:rsidRDefault="00E32078" w:rsidP="00E32078">
            <w:pPr>
              <w:rPr>
                <w:lang w:eastAsia="en-GB"/>
              </w:rPr>
            </w:pPr>
            <w:r w:rsidRPr="00E32078">
              <w:rPr>
                <w:lang w:eastAsia="en-GB"/>
              </w:rPr>
              <w:t>Ratio</w:t>
            </w:r>
          </w:p>
        </w:tc>
        <w:tc>
          <w:tcPr>
            <w:tcW w:w="507" w:type="pct"/>
            <w:tcBorders>
              <w:top w:val="single" w:sz="8" w:space="0" w:color="000000"/>
              <w:left w:val="nil"/>
              <w:bottom w:val="single" w:sz="8" w:space="0" w:color="000000"/>
              <w:right w:val="single" w:sz="8" w:space="0" w:color="000000"/>
            </w:tcBorders>
            <w:shd w:val="clear" w:color="000000" w:fill="FFFF00"/>
            <w:vAlign w:val="center"/>
            <w:hideMark/>
          </w:tcPr>
          <w:p w14:paraId="2E8A41C0" w14:textId="77777777" w:rsidR="00E32078" w:rsidRPr="00E32078" w:rsidRDefault="00E32078" w:rsidP="00E32078">
            <w:pPr>
              <w:rPr>
                <w:lang w:eastAsia="en-GB"/>
              </w:rPr>
            </w:pPr>
            <w:r w:rsidRPr="00E32078">
              <w:rPr>
                <w:lang w:eastAsia="en-GB"/>
              </w:rPr>
              <w:t>Weight</w:t>
            </w:r>
          </w:p>
        </w:tc>
        <w:tc>
          <w:tcPr>
            <w:tcW w:w="445" w:type="pct"/>
            <w:tcBorders>
              <w:top w:val="single" w:sz="8" w:space="0" w:color="000000"/>
              <w:left w:val="nil"/>
              <w:bottom w:val="single" w:sz="8" w:space="0" w:color="000000"/>
              <w:right w:val="single" w:sz="8" w:space="0" w:color="000000"/>
            </w:tcBorders>
            <w:shd w:val="clear" w:color="000000" w:fill="FFFF00"/>
            <w:vAlign w:val="center"/>
            <w:hideMark/>
          </w:tcPr>
          <w:p w14:paraId="09091F12" w14:textId="77777777" w:rsidR="00E32078" w:rsidRPr="00E32078" w:rsidRDefault="00E32078" w:rsidP="00E32078">
            <w:pPr>
              <w:rPr>
                <w:lang w:eastAsia="en-GB"/>
              </w:rPr>
            </w:pPr>
            <w:r w:rsidRPr="00E32078">
              <w:rPr>
                <w:lang w:eastAsia="en-GB"/>
              </w:rPr>
              <w:t>2024</w:t>
            </w:r>
          </w:p>
        </w:tc>
        <w:tc>
          <w:tcPr>
            <w:tcW w:w="445" w:type="pct"/>
            <w:tcBorders>
              <w:top w:val="single" w:sz="8" w:space="0" w:color="000000"/>
              <w:left w:val="nil"/>
              <w:bottom w:val="single" w:sz="8" w:space="0" w:color="000000"/>
              <w:right w:val="single" w:sz="8" w:space="0" w:color="000000"/>
            </w:tcBorders>
            <w:shd w:val="clear" w:color="000000" w:fill="FFFF00"/>
            <w:vAlign w:val="center"/>
            <w:hideMark/>
          </w:tcPr>
          <w:p w14:paraId="3DF9B17B" w14:textId="77777777" w:rsidR="00E32078" w:rsidRPr="00E32078" w:rsidRDefault="00E32078" w:rsidP="00E32078">
            <w:pPr>
              <w:rPr>
                <w:lang w:eastAsia="en-GB"/>
              </w:rPr>
            </w:pPr>
            <w:r w:rsidRPr="00E32078">
              <w:rPr>
                <w:lang w:eastAsia="en-GB"/>
              </w:rPr>
              <w:t>2023</w:t>
            </w:r>
          </w:p>
        </w:tc>
        <w:tc>
          <w:tcPr>
            <w:tcW w:w="445" w:type="pct"/>
            <w:tcBorders>
              <w:top w:val="single" w:sz="8" w:space="0" w:color="000000"/>
              <w:left w:val="nil"/>
              <w:bottom w:val="single" w:sz="8" w:space="0" w:color="000000"/>
              <w:right w:val="single" w:sz="8" w:space="0" w:color="000000"/>
            </w:tcBorders>
            <w:shd w:val="clear" w:color="000000" w:fill="FFFF00"/>
            <w:vAlign w:val="center"/>
            <w:hideMark/>
          </w:tcPr>
          <w:p w14:paraId="2F1AA183" w14:textId="77777777" w:rsidR="00E32078" w:rsidRPr="00E32078" w:rsidRDefault="00E32078" w:rsidP="00E32078">
            <w:pPr>
              <w:rPr>
                <w:lang w:eastAsia="en-GB"/>
              </w:rPr>
            </w:pPr>
            <w:r w:rsidRPr="00E32078">
              <w:rPr>
                <w:lang w:eastAsia="en-GB"/>
              </w:rPr>
              <w:t>2022</w:t>
            </w:r>
          </w:p>
        </w:tc>
        <w:tc>
          <w:tcPr>
            <w:tcW w:w="445" w:type="pct"/>
            <w:tcBorders>
              <w:top w:val="single" w:sz="8" w:space="0" w:color="000000"/>
              <w:left w:val="nil"/>
              <w:bottom w:val="single" w:sz="8" w:space="0" w:color="000000"/>
              <w:right w:val="single" w:sz="8" w:space="0" w:color="000000"/>
            </w:tcBorders>
            <w:shd w:val="clear" w:color="000000" w:fill="FFFF00"/>
            <w:vAlign w:val="center"/>
            <w:hideMark/>
          </w:tcPr>
          <w:p w14:paraId="2BB2F2A9" w14:textId="77777777" w:rsidR="00E32078" w:rsidRPr="00E32078" w:rsidRDefault="00E32078" w:rsidP="00E32078">
            <w:pPr>
              <w:rPr>
                <w:lang w:eastAsia="en-GB"/>
              </w:rPr>
            </w:pPr>
            <w:r w:rsidRPr="00E32078">
              <w:rPr>
                <w:lang w:eastAsia="en-GB"/>
              </w:rPr>
              <w:t>2021</w:t>
            </w:r>
          </w:p>
        </w:tc>
        <w:tc>
          <w:tcPr>
            <w:tcW w:w="445" w:type="pct"/>
            <w:tcBorders>
              <w:top w:val="single" w:sz="8" w:space="0" w:color="000000"/>
              <w:left w:val="nil"/>
              <w:bottom w:val="single" w:sz="8" w:space="0" w:color="000000"/>
              <w:right w:val="single" w:sz="8" w:space="0" w:color="000000"/>
            </w:tcBorders>
            <w:shd w:val="clear" w:color="000000" w:fill="FFFF00"/>
            <w:vAlign w:val="center"/>
            <w:hideMark/>
          </w:tcPr>
          <w:p w14:paraId="0B140F98" w14:textId="77777777" w:rsidR="00E32078" w:rsidRPr="00E32078" w:rsidRDefault="00E32078" w:rsidP="00E32078">
            <w:pPr>
              <w:rPr>
                <w:lang w:eastAsia="en-GB"/>
              </w:rPr>
            </w:pPr>
            <w:r w:rsidRPr="00E32078">
              <w:rPr>
                <w:lang w:eastAsia="en-GB"/>
              </w:rPr>
              <w:t>2020</w:t>
            </w:r>
          </w:p>
        </w:tc>
      </w:tr>
      <w:tr w:rsidR="00E32078" w:rsidRPr="00E32078" w14:paraId="0142D022" w14:textId="77777777" w:rsidTr="00E32078">
        <w:trPr>
          <w:trHeight w:val="300"/>
        </w:trPr>
        <w:tc>
          <w:tcPr>
            <w:tcW w:w="529" w:type="pct"/>
            <w:tcBorders>
              <w:top w:val="nil"/>
              <w:left w:val="single" w:sz="8" w:space="0" w:color="000000"/>
              <w:bottom w:val="single" w:sz="8" w:space="0" w:color="000000"/>
              <w:right w:val="single" w:sz="8" w:space="0" w:color="000000"/>
            </w:tcBorders>
            <w:vAlign w:val="center"/>
            <w:hideMark/>
          </w:tcPr>
          <w:p w14:paraId="6F77E622" w14:textId="77777777" w:rsidR="00E32078" w:rsidRPr="00E32078" w:rsidRDefault="00E32078" w:rsidP="00E32078">
            <w:pPr>
              <w:rPr>
                <w:lang w:eastAsia="en-GB"/>
              </w:rPr>
            </w:pPr>
            <w:r w:rsidRPr="00E32078">
              <w:rPr>
                <w:lang w:eastAsia="en-GB"/>
              </w:rPr>
              <w:t>A</w:t>
            </w:r>
          </w:p>
        </w:tc>
        <w:tc>
          <w:tcPr>
            <w:tcW w:w="1740" w:type="pct"/>
            <w:tcBorders>
              <w:top w:val="nil"/>
              <w:left w:val="nil"/>
              <w:bottom w:val="single" w:sz="8" w:space="0" w:color="000000"/>
              <w:right w:val="single" w:sz="8" w:space="0" w:color="000000"/>
            </w:tcBorders>
            <w:vAlign w:val="center"/>
            <w:hideMark/>
          </w:tcPr>
          <w:p w14:paraId="65C49B16" w14:textId="77777777" w:rsidR="00E32078" w:rsidRPr="00E32078" w:rsidRDefault="00E32078" w:rsidP="00E32078">
            <w:pPr>
              <w:rPr>
                <w:lang w:eastAsia="en-GB"/>
              </w:rPr>
            </w:pPr>
            <w:r w:rsidRPr="00E32078">
              <w:rPr>
                <w:lang w:eastAsia="en-GB"/>
              </w:rPr>
              <w:t>Working Capital / Total Assets</w:t>
            </w:r>
          </w:p>
        </w:tc>
        <w:tc>
          <w:tcPr>
            <w:tcW w:w="507" w:type="pct"/>
            <w:tcBorders>
              <w:top w:val="nil"/>
              <w:left w:val="nil"/>
              <w:bottom w:val="single" w:sz="8" w:space="0" w:color="000000"/>
              <w:right w:val="single" w:sz="8" w:space="0" w:color="000000"/>
            </w:tcBorders>
            <w:vAlign w:val="center"/>
            <w:hideMark/>
          </w:tcPr>
          <w:p w14:paraId="427E9B32" w14:textId="77777777" w:rsidR="00E32078" w:rsidRPr="00E32078" w:rsidRDefault="00E32078" w:rsidP="00E32078">
            <w:pPr>
              <w:rPr>
                <w:lang w:eastAsia="en-GB"/>
              </w:rPr>
            </w:pPr>
            <w:r w:rsidRPr="00E32078">
              <w:rPr>
                <w:lang w:eastAsia="en-GB"/>
              </w:rPr>
              <w:t>1.2</w:t>
            </w:r>
          </w:p>
        </w:tc>
        <w:tc>
          <w:tcPr>
            <w:tcW w:w="445" w:type="pct"/>
            <w:tcBorders>
              <w:top w:val="nil"/>
              <w:left w:val="nil"/>
              <w:bottom w:val="single" w:sz="8" w:space="0" w:color="000000"/>
              <w:right w:val="single" w:sz="8" w:space="0" w:color="000000"/>
            </w:tcBorders>
            <w:vAlign w:val="center"/>
            <w:hideMark/>
          </w:tcPr>
          <w:p w14:paraId="0E149ED7" w14:textId="77777777" w:rsidR="00E32078" w:rsidRPr="00E32078" w:rsidRDefault="00E32078" w:rsidP="00E32078">
            <w:pPr>
              <w:rPr>
                <w:lang w:eastAsia="en-GB"/>
              </w:rPr>
            </w:pPr>
            <w:r w:rsidRPr="00E32078">
              <w:rPr>
                <w:lang w:eastAsia="en-GB"/>
              </w:rPr>
              <w:t>0.3125</w:t>
            </w:r>
          </w:p>
        </w:tc>
        <w:tc>
          <w:tcPr>
            <w:tcW w:w="445" w:type="pct"/>
            <w:tcBorders>
              <w:top w:val="nil"/>
              <w:left w:val="nil"/>
              <w:bottom w:val="single" w:sz="8" w:space="0" w:color="000000"/>
              <w:right w:val="single" w:sz="8" w:space="0" w:color="000000"/>
            </w:tcBorders>
            <w:vAlign w:val="center"/>
            <w:hideMark/>
          </w:tcPr>
          <w:p w14:paraId="481E5122" w14:textId="77777777" w:rsidR="00E32078" w:rsidRPr="00E32078" w:rsidRDefault="00E32078" w:rsidP="00E32078">
            <w:pPr>
              <w:rPr>
                <w:lang w:eastAsia="en-GB"/>
              </w:rPr>
            </w:pPr>
            <w:r w:rsidRPr="00E32078">
              <w:rPr>
                <w:lang w:eastAsia="en-GB"/>
              </w:rPr>
              <w:t>0.3295</w:t>
            </w:r>
          </w:p>
        </w:tc>
        <w:tc>
          <w:tcPr>
            <w:tcW w:w="445" w:type="pct"/>
            <w:tcBorders>
              <w:top w:val="nil"/>
              <w:left w:val="nil"/>
              <w:bottom w:val="single" w:sz="8" w:space="0" w:color="000000"/>
              <w:right w:val="single" w:sz="8" w:space="0" w:color="000000"/>
            </w:tcBorders>
            <w:vAlign w:val="center"/>
            <w:hideMark/>
          </w:tcPr>
          <w:p w14:paraId="4E1B5393" w14:textId="77777777" w:rsidR="00E32078" w:rsidRPr="00E32078" w:rsidRDefault="00E32078" w:rsidP="00E32078">
            <w:pPr>
              <w:rPr>
                <w:lang w:eastAsia="en-GB"/>
              </w:rPr>
            </w:pPr>
            <w:r w:rsidRPr="00E32078">
              <w:rPr>
                <w:lang w:eastAsia="en-GB"/>
              </w:rPr>
              <w:t>0.2894</w:t>
            </w:r>
          </w:p>
        </w:tc>
        <w:tc>
          <w:tcPr>
            <w:tcW w:w="445" w:type="pct"/>
            <w:tcBorders>
              <w:top w:val="nil"/>
              <w:left w:val="nil"/>
              <w:bottom w:val="single" w:sz="8" w:space="0" w:color="000000"/>
              <w:right w:val="single" w:sz="8" w:space="0" w:color="000000"/>
            </w:tcBorders>
            <w:vAlign w:val="center"/>
            <w:hideMark/>
          </w:tcPr>
          <w:p w14:paraId="09622086" w14:textId="77777777" w:rsidR="00E32078" w:rsidRPr="00E32078" w:rsidRDefault="00E32078" w:rsidP="00E32078">
            <w:pPr>
              <w:rPr>
                <w:lang w:eastAsia="en-GB"/>
              </w:rPr>
            </w:pPr>
            <w:r w:rsidRPr="00E32078">
              <w:rPr>
                <w:lang w:eastAsia="en-GB"/>
              </w:rPr>
              <w:t>0.283</w:t>
            </w:r>
          </w:p>
        </w:tc>
        <w:tc>
          <w:tcPr>
            <w:tcW w:w="445" w:type="pct"/>
            <w:tcBorders>
              <w:top w:val="nil"/>
              <w:left w:val="nil"/>
              <w:bottom w:val="single" w:sz="8" w:space="0" w:color="000000"/>
              <w:right w:val="single" w:sz="8" w:space="0" w:color="000000"/>
            </w:tcBorders>
            <w:vAlign w:val="center"/>
            <w:hideMark/>
          </w:tcPr>
          <w:p w14:paraId="14865A4C" w14:textId="77777777" w:rsidR="00E32078" w:rsidRPr="00E32078" w:rsidRDefault="00E32078" w:rsidP="00E32078">
            <w:pPr>
              <w:rPr>
                <w:lang w:eastAsia="en-GB"/>
              </w:rPr>
            </w:pPr>
            <w:r w:rsidRPr="00E32078">
              <w:rPr>
                <w:lang w:eastAsia="en-GB"/>
              </w:rPr>
              <w:t>0.3465</w:t>
            </w:r>
          </w:p>
        </w:tc>
      </w:tr>
      <w:tr w:rsidR="00E32078" w:rsidRPr="00E32078" w14:paraId="7DD7010B" w14:textId="77777777" w:rsidTr="00E32078">
        <w:trPr>
          <w:trHeight w:val="300"/>
        </w:trPr>
        <w:tc>
          <w:tcPr>
            <w:tcW w:w="529" w:type="pct"/>
            <w:tcBorders>
              <w:top w:val="nil"/>
              <w:left w:val="single" w:sz="8" w:space="0" w:color="000000"/>
              <w:bottom w:val="single" w:sz="8" w:space="0" w:color="000000"/>
              <w:right w:val="single" w:sz="8" w:space="0" w:color="000000"/>
            </w:tcBorders>
            <w:vAlign w:val="center"/>
            <w:hideMark/>
          </w:tcPr>
          <w:p w14:paraId="7B375681" w14:textId="77777777" w:rsidR="00E32078" w:rsidRPr="00E32078" w:rsidRDefault="00E32078" w:rsidP="00E32078">
            <w:pPr>
              <w:rPr>
                <w:lang w:eastAsia="en-GB"/>
              </w:rPr>
            </w:pPr>
            <w:r w:rsidRPr="00E32078">
              <w:rPr>
                <w:lang w:eastAsia="en-GB"/>
              </w:rPr>
              <w:t>B</w:t>
            </w:r>
          </w:p>
        </w:tc>
        <w:tc>
          <w:tcPr>
            <w:tcW w:w="1740" w:type="pct"/>
            <w:tcBorders>
              <w:top w:val="nil"/>
              <w:left w:val="nil"/>
              <w:bottom w:val="single" w:sz="8" w:space="0" w:color="000000"/>
              <w:right w:val="single" w:sz="8" w:space="0" w:color="000000"/>
            </w:tcBorders>
            <w:vAlign w:val="center"/>
            <w:hideMark/>
          </w:tcPr>
          <w:p w14:paraId="14FE8EE0" w14:textId="77777777" w:rsidR="00E32078" w:rsidRPr="00E32078" w:rsidRDefault="00E32078" w:rsidP="00E32078">
            <w:pPr>
              <w:rPr>
                <w:lang w:eastAsia="en-GB"/>
              </w:rPr>
            </w:pPr>
            <w:r w:rsidRPr="00E32078">
              <w:rPr>
                <w:lang w:eastAsia="en-GB"/>
              </w:rPr>
              <w:t>Retained Earnings / Total Assets</w:t>
            </w:r>
          </w:p>
        </w:tc>
        <w:tc>
          <w:tcPr>
            <w:tcW w:w="507" w:type="pct"/>
            <w:tcBorders>
              <w:top w:val="nil"/>
              <w:left w:val="nil"/>
              <w:bottom w:val="single" w:sz="8" w:space="0" w:color="000000"/>
              <w:right w:val="single" w:sz="8" w:space="0" w:color="000000"/>
            </w:tcBorders>
            <w:vAlign w:val="center"/>
            <w:hideMark/>
          </w:tcPr>
          <w:p w14:paraId="04BBD7B5" w14:textId="77777777" w:rsidR="00E32078" w:rsidRPr="00E32078" w:rsidRDefault="00E32078" w:rsidP="00E32078">
            <w:pPr>
              <w:rPr>
                <w:lang w:eastAsia="en-GB"/>
              </w:rPr>
            </w:pPr>
            <w:r w:rsidRPr="00E32078">
              <w:rPr>
                <w:lang w:eastAsia="en-GB"/>
              </w:rPr>
              <w:t>1.4</w:t>
            </w:r>
          </w:p>
        </w:tc>
        <w:tc>
          <w:tcPr>
            <w:tcW w:w="445" w:type="pct"/>
            <w:tcBorders>
              <w:top w:val="nil"/>
              <w:left w:val="nil"/>
              <w:bottom w:val="single" w:sz="8" w:space="0" w:color="000000"/>
              <w:right w:val="single" w:sz="8" w:space="0" w:color="000000"/>
            </w:tcBorders>
            <w:vAlign w:val="center"/>
            <w:hideMark/>
          </w:tcPr>
          <w:p w14:paraId="354EF44D" w14:textId="77777777" w:rsidR="00E32078" w:rsidRPr="00E32078" w:rsidRDefault="00E32078" w:rsidP="00E32078">
            <w:pPr>
              <w:rPr>
                <w:lang w:eastAsia="en-GB"/>
              </w:rPr>
            </w:pPr>
            <w:r w:rsidRPr="00E32078">
              <w:rPr>
                <w:lang w:eastAsia="en-GB"/>
              </w:rPr>
              <w:t>0.9024</w:t>
            </w:r>
          </w:p>
        </w:tc>
        <w:tc>
          <w:tcPr>
            <w:tcW w:w="445" w:type="pct"/>
            <w:tcBorders>
              <w:top w:val="nil"/>
              <w:left w:val="nil"/>
              <w:bottom w:val="single" w:sz="8" w:space="0" w:color="000000"/>
              <w:right w:val="single" w:sz="8" w:space="0" w:color="000000"/>
            </w:tcBorders>
            <w:vAlign w:val="center"/>
            <w:hideMark/>
          </w:tcPr>
          <w:p w14:paraId="30FEF4A2" w14:textId="77777777" w:rsidR="00E32078" w:rsidRPr="00E32078" w:rsidRDefault="00E32078" w:rsidP="00E32078">
            <w:pPr>
              <w:rPr>
                <w:lang w:eastAsia="en-GB"/>
              </w:rPr>
            </w:pPr>
            <w:r w:rsidRPr="00E32078">
              <w:rPr>
                <w:lang w:eastAsia="en-GB"/>
              </w:rPr>
              <w:t>0.9145</w:t>
            </w:r>
          </w:p>
        </w:tc>
        <w:tc>
          <w:tcPr>
            <w:tcW w:w="445" w:type="pct"/>
            <w:tcBorders>
              <w:top w:val="nil"/>
              <w:left w:val="nil"/>
              <w:bottom w:val="single" w:sz="8" w:space="0" w:color="000000"/>
              <w:right w:val="single" w:sz="8" w:space="0" w:color="000000"/>
            </w:tcBorders>
            <w:vAlign w:val="center"/>
            <w:hideMark/>
          </w:tcPr>
          <w:p w14:paraId="3FFBA958" w14:textId="77777777" w:rsidR="00E32078" w:rsidRPr="00E32078" w:rsidRDefault="00E32078" w:rsidP="00E32078">
            <w:pPr>
              <w:rPr>
                <w:lang w:eastAsia="en-GB"/>
              </w:rPr>
            </w:pPr>
            <w:r w:rsidRPr="00E32078">
              <w:rPr>
                <w:lang w:eastAsia="en-GB"/>
              </w:rPr>
              <w:t>0.9183</w:t>
            </w:r>
          </w:p>
        </w:tc>
        <w:tc>
          <w:tcPr>
            <w:tcW w:w="445" w:type="pct"/>
            <w:tcBorders>
              <w:top w:val="nil"/>
              <w:left w:val="nil"/>
              <w:bottom w:val="single" w:sz="8" w:space="0" w:color="000000"/>
              <w:right w:val="single" w:sz="8" w:space="0" w:color="000000"/>
            </w:tcBorders>
            <w:vAlign w:val="center"/>
            <w:hideMark/>
          </w:tcPr>
          <w:p w14:paraId="349C5B2D" w14:textId="77777777" w:rsidR="00E32078" w:rsidRPr="00E32078" w:rsidRDefault="00E32078" w:rsidP="00E32078">
            <w:pPr>
              <w:rPr>
                <w:lang w:eastAsia="en-GB"/>
              </w:rPr>
            </w:pPr>
            <w:r w:rsidRPr="00E32078">
              <w:rPr>
                <w:lang w:eastAsia="en-GB"/>
              </w:rPr>
              <w:t>0.9061</w:t>
            </w:r>
          </w:p>
        </w:tc>
        <w:tc>
          <w:tcPr>
            <w:tcW w:w="445" w:type="pct"/>
            <w:tcBorders>
              <w:top w:val="nil"/>
              <w:left w:val="nil"/>
              <w:bottom w:val="single" w:sz="8" w:space="0" w:color="000000"/>
              <w:right w:val="single" w:sz="8" w:space="0" w:color="000000"/>
            </w:tcBorders>
            <w:vAlign w:val="center"/>
            <w:hideMark/>
          </w:tcPr>
          <w:p w14:paraId="6D62AEC1" w14:textId="77777777" w:rsidR="00E32078" w:rsidRPr="00E32078" w:rsidRDefault="00E32078" w:rsidP="00E32078">
            <w:pPr>
              <w:rPr>
                <w:lang w:eastAsia="en-GB"/>
              </w:rPr>
            </w:pPr>
            <w:r w:rsidRPr="00E32078">
              <w:rPr>
                <w:lang w:eastAsia="en-GB"/>
              </w:rPr>
              <w:t>0.8916</w:t>
            </w:r>
          </w:p>
        </w:tc>
      </w:tr>
      <w:tr w:rsidR="00E32078" w:rsidRPr="00E32078" w14:paraId="4E00DD9B" w14:textId="77777777" w:rsidTr="00E32078">
        <w:trPr>
          <w:trHeight w:val="300"/>
        </w:trPr>
        <w:tc>
          <w:tcPr>
            <w:tcW w:w="529" w:type="pct"/>
            <w:tcBorders>
              <w:top w:val="nil"/>
              <w:left w:val="single" w:sz="8" w:space="0" w:color="000000"/>
              <w:bottom w:val="single" w:sz="8" w:space="0" w:color="000000"/>
              <w:right w:val="single" w:sz="8" w:space="0" w:color="000000"/>
            </w:tcBorders>
            <w:vAlign w:val="center"/>
            <w:hideMark/>
          </w:tcPr>
          <w:p w14:paraId="3C500898" w14:textId="77777777" w:rsidR="00E32078" w:rsidRPr="00E32078" w:rsidRDefault="00E32078" w:rsidP="00E32078">
            <w:pPr>
              <w:rPr>
                <w:lang w:eastAsia="en-GB"/>
              </w:rPr>
            </w:pPr>
            <w:r w:rsidRPr="00E32078">
              <w:rPr>
                <w:lang w:eastAsia="en-GB"/>
              </w:rPr>
              <w:t>C</w:t>
            </w:r>
          </w:p>
        </w:tc>
        <w:tc>
          <w:tcPr>
            <w:tcW w:w="1740" w:type="pct"/>
            <w:tcBorders>
              <w:top w:val="nil"/>
              <w:left w:val="nil"/>
              <w:bottom w:val="single" w:sz="8" w:space="0" w:color="000000"/>
              <w:right w:val="single" w:sz="8" w:space="0" w:color="000000"/>
            </w:tcBorders>
            <w:vAlign w:val="center"/>
            <w:hideMark/>
          </w:tcPr>
          <w:p w14:paraId="656683F6" w14:textId="77777777" w:rsidR="00E32078" w:rsidRPr="00E32078" w:rsidRDefault="00E32078" w:rsidP="00E32078">
            <w:pPr>
              <w:rPr>
                <w:lang w:eastAsia="en-GB"/>
              </w:rPr>
            </w:pPr>
            <w:r w:rsidRPr="00E32078">
              <w:rPr>
                <w:lang w:eastAsia="en-GB"/>
              </w:rPr>
              <w:t>EBIT / Total Assets</w:t>
            </w:r>
          </w:p>
        </w:tc>
        <w:tc>
          <w:tcPr>
            <w:tcW w:w="507" w:type="pct"/>
            <w:tcBorders>
              <w:top w:val="nil"/>
              <w:left w:val="nil"/>
              <w:bottom w:val="single" w:sz="8" w:space="0" w:color="000000"/>
              <w:right w:val="single" w:sz="8" w:space="0" w:color="000000"/>
            </w:tcBorders>
            <w:vAlign w:val="center"/>
            <w:hideMark/>
          </w:tcPr>
          <w:p w14:paraId="28E15EEB" w14:textId="77777777" w:rsidR="00E32078" w:rsidRPr="00E32078" w:rsidRDefault="00E32078" w:rsidP="00E32078">
            <w:pPr>
              <w:rPr>
                <w:lang w:eastAsia="en-GB"/>
              </w:rPr>
            </w:pPr>
            <w:r w:rsidRPr="00E32078">
              <w:rPr>
                <w:lang w:eastAsia="en-GB"/>
              </w:rPr>
              <w:t>3.3</w:t>
            </w:r>
          </w:p>
        </w:tc>
        <w:tc>
          <w:tcPr>
            <w:tcW w:w="445" w:type="pct"/>
            <w:tcBorders>
              <w:top w:val="nil"/>
              <w:left w:val="nil"/>
              <w:bottom w:val="single" w:sz="8" w:space="0" w:color="000000"/>
              <w:right w:val="single" w:sz="8" w:space="0" w:color="000000"/>
            </w:tcBorders>
            <w:vAlign w:val="center"/>
            <w:hideMark/>
          </w:tcPr>
          <w:p w14:paraId="69031C15" w14:textId="77777777" w:rsidR="00E32078" w:rsidRPr="00E32078" w:rsidRDefault="00E32078" w:rsidP="00E32078">
            <w:pPr>
              <w:rPr>
                <w:lang w:eastAsia="en-GB"/>
              </w:rPr>
            </w:pPr>
            <w:r w:rsidRPr="00E32078">
              <w:rPr>
                <w:lang w:eastAsia="en-GB"/>
              </w:rPr>
              <w:t>-0.1561</w:t>
            </w:r>
          </w:p>
        </w:tc>
        <w:tc>
          <w:tcPr>
            <w:tcW w:w="445" w:type="pct"/>
            <w:tcBorders>
              <w:top w:val="nil"/>
              <w:left w:val="nil"/>
              <w:bottom w:val="single" w:sz="8" w:space="0" w:color="000000"/>
              <w:right w:val="single" w:sz="8" w:space="0" w:color="000000"/>
            </w:tcBorders>
            <w:vAlign w:val="center"/>
            <w:hideMark/>
          </w:tcPr>
          <w:p w14:paraId="3759531B" w14:textId="77777777" w:rsidR="00E32078" w:rsidRPr="00E32078" w:rsidRDefault="00E32078" w:rsidP="00E32078">
            <w:pPr>
              <w:rPr>
                <w:lang w:eastAsia="en-GB"/>
              </w:rPr>
            </w:pPr>
            <w:r w:rsidRPr="00E32078">
              <w:rPr>
                <w:lang w:eastAsia="en-GB"/>
              </w:rPr>
              <w:t>-0.791</w:t>
            </w:r>
          </w:p>
        </w:tc>
        <w:tc>
          <w:tcPr>
            <w:tcW w:w="445" w:type="pct"/>
            <w:tcBorders>
              <w:top w:val="nil"/>
              <w:left w:val="nil"/>
              <w:bottom w:val="single" w:sz="8" w:space="0" w:color="000000"/>
              <w:right w:val="single" w:sz="8" w:space="0" w:color="000000"/>
            </w:tcBorders>
            <w:vAlign w:val="center"/>
            <w:hideMark/>
          </w:tcPr>
          <w:p w14:paraId="78D607D9" w14:textId="77777777" w:rsidR="00E32078" w:rsidRPr="00E32078" w:rsidRDefault="00E32078" w:rsidP="00E32078">
            <w:pPr>
              <w:rPr>
                <w:lang w:eastAsia="en-GB"/>
              </w:rPr>
            </w:pPr>
            <w:r w:rsidRPr="00E32078">
              <w:rPr>
                <w:lang w:eastAsia="en-GB"/>
              </w:rPr>
              <w:t>0.0952</w:t>
            </w:r>
          </w:p>
        </w:tc>
        <w:tc>
          <w:tcPr>
            <w:tcW w:w="445" w:type="pct"/>
            <w:tcBorders>
              <w:top w:val="nil"/>
              <w:left w:val="nil"/>
              <w:bottom w:val="single" w:sz="8" w:space="0" w:color="000000"/>
              <w:right w:val="single" w:sz="8" w:space="0" w:color="000000"/>
            </w:tcBorders>
            <w:vAlign w:val="center"/>
            <w:hideMark/>
          </w:tcPr>
          <w:p w14:paraId="45F81641" w14:textId="77777777" w:rsidR="00E32078" w:rsidRPr="00E32078" w:rsidRDefault="00E32078" w:rsidP="00E32078">
            <w:pPr>
              <w:rPr>
                <w:lang w:eastAsia="en-GB"/>
              </w:rPr>
            </w:pPr>
            <w:r w:rsidRPr="00E32078">
              <w:rPr>
                <w:lang w:eastAsia="en-GB"/>
              </w:rPr>
              <w:t>0.1504</w:t>
            </w:r>
          </w:p>
        </w:tc>
        <w:tc>
          <w:tcPr>
            <w:tcW w:w="445" w:type="pct"/>
            <w:tcBorders>
              <w:top w:val="nil"/>
              <w:left w:val="nil"/>
              <w:bottom w:val="single" w:sz="8" w:space="0" w:color="000000"/>
              <w:right w:val="single" w:sz="8" w:space="0" w:color="000000"/>
            </w:tcBorders>
            <w:vAlign w:val="center"/>
            <w:hideMark/>
          </w:tcPr>
          <w:p w14:paraId="597A905B" w14:textId="77777777" w:rsidR="00E32078" w:rsidRPr="00E32078" w:rsidRDefault="00E32078" w:rsidP="00E32078">
            <w:pPr>
              <w:rPr>
                <w:lang w:eastAsia="en-GB"/>
              </w:rPr>
            </w:pPr>
            <w:r w:rsidRPr="00E32078">
              <w:rPr>
                <w:lang w:eastAsia="en-GB"/>
              </w:rPr>
              <w:t>0.241</w:t>
            </w:r>
          </w:p>
        </w:tc>
      </w:tr>
      <w:tr w:rsidR="00E32078" w:rsidRPr="00E32078" w14:paraId="2B040F00" w14:textId="77777777" w:rsidTr="00E32078">
        <w:trPr>
          <w:trHeight w:val="300"/>
        </w:trPr>
        <w:tc>
          <w:tcPr>
            <w:tcW w:w="529" w:type="pct"/>
            <w:tcBorders>
              <w:top w:val="nil"/>
              <w:left w:val="single" w:sz="8" w:space="0" w:color="000000"/>
              <w:bottom w:val="single" w:sz="8" w:space="0" w:color="000000"/>
              <w:right w:val="single" w:sz="8" w:space="0" w:color="000000"/>
            </w:tcBorders>
            <w:vAlign w:val="center"/>
            <w:hideMark/>
          </w:tcPr>
          <w:p w14:paraId="12426864" w14:textId="77777777" w:rsidR="00E32078" w:rsidRPr="00E32078" w:rsidRDefault="00E32078" w:rsidP="00E32078">
            <w:pPr>
              <w:rPr>
                <w:lang w:eastAsia="en-GB"/>
              </w:rPr>
            </w:pPr>
            <w:r w:rsidRPr="00E32078">
              <w:rPr>
                <w:lang w:eastAsia="en-GB"/>
              </w:rPr>
              <w:t>D</w:t>
            </w:r>
          </w:p>
        </w:tc>
        <w:tc>
          <w:tcPr>
            <w:tcW w:w="1740" w:type="pct"/>
            <w:tcBorders>
              <w:top w:val="nil"/>
              <w:left w:val="nil"/>
              <w:bottom w:val="single" w:sz="8" w:space="0" w:color="000000"/>
              <w:right w:val="single" w:sz="8" w:space="0" w:color="000000"/>
            </w:tcBorders>
            <w:vAlign w:val="center"/>
            <w:hideMark/>
          </w:tcPr>
          <w:p w14:paraId="18AB7915" w14:textId="77777777" w:rsidR="00E32078" w:rsidRPr="00E32078" w:rsidRDefault="00E32078" w:rsidP="00E32078">
            <w:pPr>
              <w:rPr>
                <w:lang w:eastAsia="en-GB"/>
              </w:rPr>
            </w:pPr>
            <w:r w:rsidRPr="00E32078">
              <w:rPr>
                <w:lang w:eastAsia="en-GB"/>
              </w:rPr>
              <w:t>Book Value of Equity / Total Liabilities</w:t>
            </w:r>
          </w:p>
        </w:tc>
        <w:tc>
          <w:tcPr>
            <w:tcW w:w="507" w:type="pct"/>
            <w:tcBorders>
              <w:top w:val="nil"/>
              <w:left w:val="nil"/>
              <w:bottom w:val="single" w:sz="8" w:space="0" w:color="000000"/>
              <w:right w:val="single" w:sz="8" w:space="0" w:color="000000"/>
            </w:tcBorders>
            <w:vAlign w:val="center"/>
            <w:hideMark/>
          </w:tcPr>
          <w:p w14:paraId="0550C950" w14:textId="77777777" w:rsidR="00E32078" w:rsidRPr="00E32078" w:rsidRDefault="00E32078" w:rsidP="00E32078">
            <w:pPr>
              <w:rPr>
                <w:lang w:eastAsia="en-GB"/>
              </w:rPr>
            </w:pPr>
            <w:r w:rsidRPr="00E32078">
              <w:rPr>
                <w:lang w:eastAsia="en-GB"/>
              </w:rPr>
              <w:t>0.6</w:t>
            </w:r>
          </w:p>
        </w:tc>
        <w:tc>
          <w:tcPr>
            <w:tcW w:w="445" w:type="pct"/>
            <w:tcBorders>
              <w:top w:val="nil"/>
              <w:left w:val="nil"/>
              <w:bottom w:val="single" w:sz="8" w:space="0" w:color="000000"/>
              <w:right w:val="single" w:sz="8" w:space="0" w:color="000000"/>
            </w:tcBorders>
            <w:vAlign w:val="center"/>
            <w:hideMark/>
          </w:tcPr>
          <w:p w14:paraId="0747BBC3" w14:textId="77777777" w:rsidR="00E32078" w:rsidRPr="00E32078" w:rsidRDefault="00E32078" w:rsidP="00E32078">
            <w:pPr>
              <w:rPr>
                <w:lang w:eastAsia="en-GB"/>
              </w:rPr>
            </w:pPr>
            <w:r w:rsidRPr="00E32078">
              <w:rPr>
                <w:lang w:eastAsia="en-GB"/>
              </w:rPr>
              <w:t>0.5396</w:t>
            </w:r>
          </w:p>
        </w:tc>
        <w:tc>
          <w:tcPr>
            <w:tcW w:w="445" w:type="pct"/>
            <w:tcBorders>
              <w:top w:val="nil"/>
              <w:left w:val="nil"/>
              <w:bottom w:val="single" w:sz="8" w:space="0" w:color="000000"/>
              <w:right w:val="single" w:sz="8" w:space="0" w:color="000000"/>
            </w:tcBorders>
            <w:vAlign w:val="center"/>
            <w:hideMark/>
          </w:tcPr>
          <w:p w14:paraId="65FAD612" w14:textId="77777777" w:rsidR="00E32078" w:rsidRPr="00E32078" w:rsidRDefault="00E32078" w:rsidP="00E32078">
            <w:pPr>
              <w:rPr>
                <w:lang w:eastAsia="en-GB"/>
              </w:rPr>
            </w:pPr>
            <w:r w:rsidRPr="00E32078">
              <w:rPr>
                <w:lang w:eastAsia="en-GB"/>
              </w:rPr>
              <w:t>0.6067</w:t>
            </w:r>
          </w:p>
        </w:tc>
        <w:tc>
          <w:tcPr>
            <w:tcW w:w="445" w:type="pct"/>
            <w:tcBorders>
              <w:top w:val="nil"/>
              <w:left w:val="nil"/>
              <w:bottom w:val="single" w:sz="8" w:space="0" w:color="000000"/>
              <w:right w:val="single" w:sz="8" w:space="0" w:color="000000"/>
            </w:tcBorders>
            <w:vAlign w:val="center"/>
            <w:hideMark/>
          </w:tcPr>
          <w:p w14:paraId="62F34D26" w14:textId="77777777" w:rsidR="00E32078" w:rsidRPr="00E32078" w:rsidRDefault="00E32078" w:rsidP="00E32078">
            <w:pPr>
              <w:rPr>
                <w:lang w:eastAsia="en-GB"/>
              </w:rPr>
            </w:pPr>
            <w:r w:rsidRPr="00E32078">
              <w:rPr>
                <w:lang w:eastAsia="en-GB"/>
              </w:rPr>
              <w:t>0.6831</w:t>
            </w:r>
          </w:p>
        </w:tc>
        <w:tc>
          <w:tcPr>
            <w:tcW w:w="445" w:type="pct"/>
            <w:tcBorders>
              <w:top w:val="nil"/>
              <w:left w:val="nil"/>
              <w:bottom w:val="single" w:sz="8" w:space="0" w:color="000000"/>
              <w:right w:val="single" w:sz="8" w:space="0" w:color="000000"/>
            </w:tcBorders>
            <w:vAlign w:val="center"/>
            <w:hideMark/>
          </w:tcPr>
          <w:p w14:paraId="2AE39820" w14:textId="77777777" w:rsidR="00E32078" w:rsidRPr="00E32078" w:rsidRDefault="00E32078" w:rsidP="00E32078">
            <w:pPr>
              <w:rPr>
                <w:lang w:eastAsia="en-GB"/>
              </w:rPr>
            </w:pPr>
            <w:r w:rsidRPr="00E32078">
              <w:rPr>
                <w:lang w:eastAsia="en-GB"/>
              </w:rPr>
              <w:t>0.7064</w:t>
            </w:r>
          </w:p>
        </w:tc>
        <w:tc>
          <w:tcPr>
            <w:tcW w:w="445" w:type="pct"/>
            <w:tcBorders>
              <w:top w:val="nil"/>
              <w:left w:val="nil"/>
              <w:bottom w:val="single" w:sz="8" w:space="0" w:color="000000"/>
              <w:right w:val="single" w:sz="8" w:space="0" w:color="000000"/>
            </w:tcBorders>
            <w:vAlign w:val="center"/>
            <w:hideMark/>
          </w:tcPr>
          <w:p w14:paraId="784FDDFC" w14:textId="77777777" w:rsidR="00E32078" w:rsidRPr="00E32078" w:rsidRDefault="00E32078" w:rsidP="00E32078">
            <w:pPr>
              <w:rPr>
                <w:lang w:eastAsia="en-GB"/>
              </w:rPr>
            </w:pPr>
            <w:r w:rsidRPr="00E32078">
              <w:rPr>
                <w:lang w:eastAsia="en-GB"/>
              </w:rPr>
              <w:t>0.9543</w:t>
            </w:r>
          </w:p>
        </w:tc>
      </w:tr>
      <w:tr w:rsidR="00E32078" w:rsidRPr="00E32078" w14:paraId="3F0C4A5B" w14:textId="77777777" w:rsidTr="00E32078">
        <w:trPr>
          <w:trHeight w:val="300"/>
        </w:trPr>
        <w:tc>
          <w:tcPr>
            <w:tcW w:w="529" w:type="pct"/>
            <w:tcBorders>
              <w:top w:val="nil"/>
              <w:left w:val="single" w:sz="8" w:space="0" w:color="000000"/>
              <w:bottom w:val="single" w:sz="8" w:space="0" w:color="000000"/>
              <w:right w:val="single" w:sz="8" w:space="0" w:color="000000"/>
            </w:tcBorders>
            <w:vAlign w:val="center"/>
            <w:hideMark/>
          </w:tcPr>
          <w:p w14:paraId="55C02F9E" w14:textId="77777777" w:rsidR="00E32078" w:rsidRPr="00E32078" w:rsidRDefault="00E32078" w:rsidP="00E32078">
            <w:pPr>
              <w:rPr>
                <w:lang w:eastAsia="en-GB"/>
              </w:rPr>
            </w:pPr>
            <w:r w:rsidRPr="00E32078">
              <w:rPr>
                <w:lang w:eastAsia="en-GB"/>
              </w:rPr>
              <w:t>E</w:t>
            </w:r>
          </w:p>
        </w:tc>
        <w:tc>
          <w:tcPr>
            <w:tcW w:w="1740" w:type="pct"/>
            <w:tcBorders>
              <w:top w:val="nil"/>
              <w:left w:val="nil"/>
              <w:bottom w:val="single" w:sz="8" w:space="0" w:color="000000"/>
              <w:right w:val="single" w:sz="8" w:space="0" w:color="000000"/>
            </w:tcBorders>
            <w:vAlign w:val="center"/>
            <w:hideMark/>
          </w:tcPr>
          <w:p w14:paraId="48EF9837" w14:textId="77777777" w:rsidR="00E32078" w:rsidRPr="00E32078" w:rsidRDefault="00E32078" w:rsidP="00E32078">
            <w:pPr>
              <w:rPr>
                <w:lang w:eastAsia="en-GB"/>
              </w:rPr>
            </w:pPr>
            <w:r w:rsidRPr="00E32078">
              <w:rPr>
                <w:lang w:eastAsia="en-GB"/>
              </w:rPr>
              <w:t>Sales / Total Assets</w:t>
            </w:r>
          </w:p>
        </w:tc>
        <w:tc>
          <w:tcPr>
            <w:tcW w:w="507" w:type="pct"/>
            <w:tcBorders>
              <w:top w:val="nil"/>
              <w:left w:val="nil"/>
              <w:bottom w:val="single" w:sz="8" w:space="0" w:color="000000"/>
              <w:right w:val="single" w:sz="8" w:space="0" w:color="000000"/>
            </w:tcBorders>
            <w:vAlign w:val="center"/>
            <w:hideMark/>
          </w:tcPr>
          <w:p w14:paraId="2AAF4B53" w14:textId="77777777" w:rsidR="00E32078" w:rsidRPr="00E32078" w:rsidRDefault="00E32078" w:rsidP="00E32078">
            <w:pPr>
              <w:rPr>
                <w:lang w:eastAsia="en-GB"/>
              </w:rPr>
            </w:pPr>
            <w:r w:rsidRPr="00E32078">
              <w:rPr>
                <w:lang w:eastAsia="en-GB"/>
              </w:rPr>
              <w:t>1</w:t>
            </w:r>
          </w:p>
        </w:tc>
        <w:tc>
          <w:tcPr>
            <w:tcW w:w="445" w:type="pct"/>
            <w:tcBorders>
              <w:top w:val="nil"/>
              <w:left w:val="nil"/>
              <w:bottom w:val="single" w:sz="8" w:space="0" w:color="000000"/>
              <w:right w:val="single" w:sz="8" w:space="0" w:color="000000"/>
            </w:tcBorders>
            <w:vAlign w:val="center"/>
            <w:hideMark/>
          </w:tcPr>
          <w:p w14:paraId="21E984B9" w14:textId="77777777" w:rsidR="00E32078" w:rsidRPr="00E32078" w:rsidRDefault="00E32078" w:rsidP="00E32078">
            <w:pPr>
              <w:rPr>
                <w:lang w:eastAsia="en-GB"/>
              </w:rPr>
            </w:pPr>
            <w:r w:rsidRPr="00E32078">
              <w:rPr>
                <w:lang w:eastAsia="en-GB"/>
              </w:rPr>
              <w:t>1.2212</w:t>
            </w:r>
          </w:p>
        </w:tc>
        <w:tc>
          <w:tcPr>
            <w:tcW w:w="445" w:type="pct"/>
            <w:tcBorders>
              <w:top w:val="nil"/>
              <w:left w:val="nil"/>
              <w:bottom w:val="single" w:sz="8" w:space="0" w:color="000000"/>
              <w:right w:val="single" w:sz="8" w:space="0" w:color="000000"/>
            </w:tcBorders>
            <w:vAlign w:val="center"/>
            <w:hideMark/>
          </w:tcPr>
          <w:p w14:paraId="16957152" w14:textId="77777777" w:rsidR="00E32078" w:rsidRPr="00E32078" w:rsidRDefault="00E32078" w:rsidP="00E32078">
            <w:pPr>
              <w:rPr>
                <w:lang w:eastAsia="en-GB"/>
              </w:rPr>
            </w:pPr>
            <w:r w:rsidRPr="00E32078">
              <w:rPr>
                <w:lang w:eastAsia="en-GB"/>
              </w:rPr>
              <w:t>1.1815</w:t>
            </w:r>
          </w:p>
        </w:tc>
        <w:tc>
          <w:tcPr>
            <w:tcW w:w="445" w:type="pct"/>
            <w:tcBorders>
              <w:top w:val="nil"/>
              <w:left w:val="nil"/>
              <w:bottom w:val="single" w:sz="8" w:space="0" w:color="000000"/>
              <w:right w:val="single" w:sz="8" w:space="0" w:color="000000"/>
            </w:tcBorders>
            <w:vAlign w:val="center"/>
            <w:hideMark/>
          </w:tcPr>
          <w:p w14:paraId="7E290E88" w14:textId="77777777" w:rsidR="00E32078" w:rsidRPr="00E32078" w:rsidRDefault="00E32078" w:rsidP="00E32078">
            <w:pPr>
              <w:rPr>
                <w:lang w:eastAsia="en-GB"/>
              </w:rPr>
            </w:pPr>
            <w:r w:rsidRPr="00E32078">
              <w:rPr>
                <w:lang w:eastAsia="en-GB"/>
              </w:rPr>
              <w:t>1.0765</w:t>
            </w:r>
          </w:p>
        </w:tc>
        <w:tc>
          <w:tcPr>
            <w:tcW w:w="445" w:type="pct"/>
            <w:tcBorders>
              <w:top w:val="nil"/>
              <w:left w:val="nil"/>
              <w:bottom w:val="single" w:sz="8" w:space="0" w:color="000000"/>
              <w:right w:val="single" w:sz="8" w:space="0" w:color="000000"/>
            </w:tcBorders>
            <w:vAlign w:val="center"/>
            <w:hideMark/>
          </w:tcPr>
          <w:p w14:paraId="081F7D02" w14:textId="77777777" w:rsidR="00E32078" w:rsidRPr="00E32078" w:rsidRDefault="00E32078" w:rsidP="00E32078">
            <w:pPr>
              <w:rPr>
                <w:lang w:eastAsia="en-GB"/>
              </w:rPr>
            </w:pPr>
            <w:r w:rsidRPr="00E32078">
              <w:rPr>
                <w:lang w:eastAsia="en-GB"/>
              </w:rPr>
              <w:t>1.1788</w:t>
            </w:r>
          </w:p>
        </w:tc>
        <w:tc>
          <w:tcPr>
            <w:tcW w:w="445" w:type="pct"/>
            <w:tcBorders>
              <w:top w:val="nil"/>
              <w:left w:val="nil"/>
              <w:bottom w:val="single" w:sz="8" w:space="0" w:color="000000"/>
              <w:right w:val="single" w:sz="8" w:space="0" w:color="000000"/>
            </w:tcBorders>
            <w:vAlign w:val="center"/>
            <w:hideMark/>
          </w:tcPr>
          <w:p w14:paraId="3B0B641C" w14:textId="77777777" w:rsidR="00E32078" w:rsidRPr="00E32078" w:rsidRDefault="00E32078" w:rsidP="00E32078">
            <w:pPr>
              <w:rPr>
                <w:lang w:eastAsia="en-GB"/>
              </w:rPr>
            </w:pPr>
            <w:r w:rsidRPr="00E32078">
              <w:rPr>
                <w:lang w:eastAsia="en-GB"/>
              </w:rPr>
              <w:t>1.2046</w:t>
            </w:r>
          </w:p>
        </w:tc>
      </w:tr>
      <w:tr w:rsidR="00E32078" w:rsidRPr="00E32078" w14:paraId="226A28C0" w14:textId="77777777" w:rsidTr="00E32078">
        <w:trPr>
          <w:trHeight w:val="300"/>
        </w:trPr>
        <w:tc>
          <w:tcPr>
            <w:tcW w:w="529" w:type="pct"/>
            <w:tcBorders>
              <w:top w:val="nil"/>
              <w:left w:val="single" w:sz="8" w:space="0" w:color="000000"/>
              <w:bottom w:val="single" w:sz="8" w:space="0" w:color="000000"/>
              <w:right w:val="single" w:sz="8" w:space="0" w:color="000000"/>
            </w:tcBorders>
            <w:vAlign w:val="center"/>
            <w:hideMark/>
          </w:tcPr>
          <w:p w14:paraId="558D6A23" w14:textId="77777777" w:rsidR="00E32078" w:rsidRPr="00E32078" w:rsidRDefault="00E32078" w:rsidP="00E32078">
            <w:pPr>
              <w:rPr>
                <w:lang w:eastAsia="en-GB"/>
              </w:rPr>
            </w:pPr>
            <w:r w:rsidRPr="00E32078">
              <w:rPr>
                <w:lang w:eastAsia="en-GB"/>
              </w:rPr>
              <w:t>Z-Score</w:t>
            </w:r>
          </w:p>
        </w:tc>
        <w:tc>
          <w:tcPr>
            <w:tcW w:w="1740" w:type="pct"/>
            <w:tcBorders>
              <w:top w:val="nil"/>
              <w:left w:val="nil"/>
              <w:bottom w:val="single" w:sz="8" w:space="0" w:color="000000"/>
              <w:right w:val="single" w:sz="8" w:space="0" w:color="000000"/>
            </w:tcBorders>
            <w:vAlign w:val="center"/>
            <w:hideMark/>
          </w:tcPr>
          <w:p w14:paraId="2D2D9BD4" w14:textId="77777777" w:rsidR="00E32078" w:rsidRPr="00E32078" w:rsidRDefault="00E32078" w:rsidP="00E32078">
            <w:pPr>
              <w:rPr>
                <w:lang w:eastAsia="en-GB"/>
              </w:rPr>
            </w:pPr>
            <w:r w:rsidRPr="00E32078">
              <w:rPr>
                <w:lang w:eastAsia="en-GB"/>
              </w:rPr>
              <w:t>Total Z-Score</w:t>
            </w:r>
          </w:p>
        </w:tc>
        <w:tc>
          <w:tcPr>
            <w:tcW w:w="507" w:type="pct"/>
            <w:tcBorders>
              <w:top w:val="nil"/>
              <w:left w:val="nil"/>
              <w:bottom w:val="single" w:sz="8" w:space="0" w:color="000000"/>
              <w:right w:val="single" w:sz="8" w:space="0" w:color="000000"/>
            </w:tcBorders>
            <w:vAlign w:val="center"/>
            <w:hideMark/>
          </w:tcPr>
          <w:p w14:paraId="49BFE90F" w14:textId="77777777" w:rsidR="00E32078" w:rsidRPr="00E32078" w:rsidRDefault="00E32078" w:rsidP="00E32078">
            <w:pPr>
              <w:rPr>
                <w:lang w:eastAsia="en-GB"/>
              </w:rPr>
            </w:pPr>
            <w:r w:rsidRPr="00E32078">
              <w:rPr>
                <w:lang w:eastAsia="en-GB"/>
              </w:rPr>
              <w:t> </w:t>
            </w:r>
          </w:p>
        </w:tc>
        <w:tc>
          <w:tcPr>
            <w:tcW w:w="445" w:type="pct"/>
            <w:tcBorders>
              <w:top w:val="nil"/>
              <w:left w:val="nil"/>
              <w:bottom w:val="single" w:sz="8" w:space="0" w:color="000000"/>
              <w:right w:val="single" w:sz="8" w:space="0" w:color="000000"/>
            </w:tcBorders>
            <w:vAlign w:val="center"/>
            <w:hideMark/>
          </w:tcPr>
          <w:p w14:paraId="625CC481" w14:textId="77777777" w:rsidR="00E32078" w:rsidRPr="00E32078" w:rsidRDefault="00E32078" w:rsidP="00E32078">
            <w:pPr>
              <w:rPr>
                <w:lang w:eastAsia="en-GB"/>
              </w:rPr>
            </w:pPr>
            <w:r w:rsidRPr="00E32078">
              <w:rPr>
                <w:lang w:eastAsia="en-GB"/>
              </w:rPr>
              <w:t>2.8196</w:t>
            </w:r>
          </w:p>
        </w:tc>
        <w:tc>
          <w:tcPr>
            <w:tcW w:w="445" w:type="pct"/>
            <w:tcBorders>
              <w:top w:val="nil"/>
              <w:left w:val="nil"/>
              <w:bottom w:val="single" w:sz="8" w:space="0" w:color="000000"/>
              <w:right w:val="single" w:sz="8" w:space="0" w:color="000000"/>
            </w:tcBorders>
            <w:vAlign w:val="center"/>
            <w:hideMark/>
          </w:tcPr>
          <w:p w14:paraId="1BEB83D3" w14:textId="77777777" w:rsidR="00E32078" w:rsidRPr="00E32078" w:rsidRDefault="00E32078" w:rsidP="00E32078">
            <w:pPr>
              <w:rPr>
                <w:lang w:eastAsia="en-GB"/>
              </w:rPr>
            </w:pPr>
            <w:r w:rsidRPr="00E32078">
              <w:rPr>
                <w:lang w:eastAsia="en-GB"/>
              </w:rPr>
              <w:t>2.2411</w:t>
            </w:r>
          </w:p>
        </w:tc>
        <w:tc>
          <w:tcPr>
            <w:tcW w:w="445" w:type="pct"/>
            <w:tcBorders>
              <w:top w:val="nil"/>
              <w:left w:val="nil"/>
              <w:bottom w:val="single" w:sz="8" w:space="0" w:color="000000"/>
              <w:right w:val="single" w:sz="8" w:space="0" w:color="000000"/>
            </w:tcBorders>
            <w:vAlign w:val="center"/>
            <w:hideMark/>
          </w:tcPr>
          <w:p w14:paraId="352CEBE7" w14:textId="77777777" w:rsidR="00E32078" w:rsidRPr="00E32078" w:rsidRDefault="00E32078" w:rsidP="00E32078">
            <w:pPr>
              <w:rPr>
                <w:lang w:eastAsia="en-GB"/>
              </w:rPr>
            </w:pPr>
            <w:r w:rsidRPr="00E32078">
              <w:rPr>
                <w:lang w:eastAsia="en-GB"/>
              </w:rPr>
              <w:t>3.0625</w:t>
            </w:r>
          </w:p>
        </w:tc>
        <w:tc>
          <w:tcPr>
            <w:tcW w:w="445" w:type="pct"/>
            <w:tcBorders>
              <w:top w:val="nil"/>
              <w:left w:val="nil"/>
              <w:bottom w:val="single" w:sz="8" w:space="0" w:color="000000"/>
              <w:right w:val="single" w:sz="8" w:space="0" w:color="000000"/>
            </w:tcBorders>
            <w:vAlign w:val="center"/>
            <w:hideMark/>
          </w:tcPr>
          <w:p w14:paraId="1762C3E1" w14:textId="77777777" w:rsidR="00E32078" w:rsidRPr="00E32078" w:rsidRDefault="00E32078" w:rsidP="00E32078">
            <w:pPr>
              <w:rPr>
                <w:lang w:eastAsia="en-GB"/>
              </w:rPr>
            </w:pPr>
            <w:r w:rsidRPr="00E32078">
              <w:rPr>
                <w:lang w:eastAsia="en-GB"/>
              </w:rPr>
              <w:t>3.2246</w:t>
            </w:r>
          </w:p>
        </w:tc>
        <w:tc>
          <w:tcPr>
            <w:tcW w:w="445" w:type="pct"/>
            <w:tcBorders>
              <w:top w:val="nil"/>
              <w:left w:val="nil"/>
              <w:bottom w:val="single" w:sz="8" w:space="0" w:color="000000"/>
              <w:right w:val="single" w:sz="8" w:space="0" w:color="000000"/>
            </w:tcBorders>
            <w:vAlign w:val="center"/>
            <w:hideMark/>
          </w:tcPr>
          <w:p w14:paraId="430142BD" w14:textId="77777777" w:rsidR="00E32078" w:rsidRPr="00E32078" w:rsidRDefault="00E32078" w:rsidP="00E32078">
            <w:pPr>
              <w:rPr>
                <w:lang w:eastAsia="en-GB"/>
              </w:rPr>
            </w:pPr>
            <w:r w:rsidRPr="00E32078">
              <w:rPr>
                <w:lang w:eastAsia="en-GB"/>
              </w:rPr>
              <w:t>3.6379</w:t>
            </w:r>
          </w:p>
        </w:tc>
      </w:tr>
    </w:tbl>
    <w:p w14:paraId="015CFC94" w14:textId="2C78C9FD" w:rsidR="00E32078" w:rsidRPr="00E32078" w:rsidRDefault="00E32078" w:rsidP="00E32078">
      <w:pPr>
        <w:pStyle w:val="Caption"/>
        <w:jc w:val="center"/>
        <w:rPr>
          <w:b/>
          <w:bCs/>
          <w:i w:val="0"/>
          <w:iCs w:val="0"/>
          <w:sz w:val="22"/>
          <w:szCs w:val="22"/>
        </w:rPr>
      </w:pPr>
      <w:r w:rsidRPr="00E32078">
        <w:rPr>
          <w:b/>
          <w:bCs/>
          <w:i w:val="0"/>
          <w:iCs w:val="0"/>
          <w:sz w:val="22"/>
          <w:szCs w:val="22"/>
        </w:rPr>
        <w:t xml:space="preserve">Table </w:t>
      </w:r>
      <w:r w:rsidRPr="00E32078">
        <w:rPr>
          <w:b/>
          <w:bCs/>
          <w:i w:val="0"/>
          <w:iCs w:val="0"/>
          <w:sz w:val="22"/>
          <w:szCs w:val="22"/>
        </w:rPr>
        <w:fldChar w:fldCharType="begin"/>
      </w:r>
      <w:r w:rsidRPr="00E32078">
        <w:rPr>
          <w:b/>
          <w:bCs/>
          <w:i w:val="0"/>
          <w:iCs w:val="0"/>
          <w:sz w:val="22"/>
          <w:szCs w:val="22"/>
        </w:rPr>
        <w:instrText xml:space="preserve"> SEQ Table \* ARABIC </w:instrText>
      </w:r>
      <w:r w:rsidRPr="00E32078">
        <w:rPr>
          <w:b/>
          <w:bCs/>
          <w:i w:val="0"/>
          <w:iCs w:val="0"/>
          <w:sz w:val="22"/>
          <w:szCs w:val="22"/>
        </w:rPr>
        <w:fldChar w:fldCharType="separate"/>
      </w:r>
      <w:r w:rsidRPr="00E32078">
        <w:rPr>
          <w:b/>
          <w:bCs/>
          <w:i w:val="0"/>
          <w:iCs w:val="0"/>
          <w:noProof/>
          <w:sz w:val="22"/>
          <w:szCs w:val="22"/>
        </w:rPr>
        <w:t>1</w:t>
      </w:r>
      <w:r w:rsidRPr="00E32078">
        <w:rPr>
          <w:b/>
          <w:bCs/>
          <w:i w:val="0"/>
          <w:iCs w:val="0"/>
          <w:sz w:val="22"/>
          <w:szCs w:val="22"/>
        </w:rPr>
        <w:fldChar w:fldCharType="end"/>
      </w:r>
      <w:r w:rsidRPr="00E32078">
        <w:rPr>
          <w:b/>
          <w:bCs/>
          <w:i w:val="0"/>
          <w:iCs w:val="0"/>
          <w:sz w:val="22"/>
          <w:szCs w:val="22"/>
        </w:rPr>
        <w:t>: Altman Z Score Analysis for General Electronics</w:t>
      </w:r>
    </w:p>
    <w:p w14:paraId="67526CDD" w14:textId="609B90CD" w:rsidR="00E32078" w:rsidRDefault="00E32078" w:rsidP="00E32078">
      <w:r>
        <w:t xml:space="preserve">The Z-score analysis of Altman indicates conclusive signs of financial distress. The Z-Score of 2.82 is in the </w:t>
      </w:r>
      <w:proofErr w:type="spellStart"/>
      <w:r>
        <w:t>gray</w:t>
      </w:r>
      <w:proofErr w:type="spellEnd"/>
      <w:r>
        <w:t xml:space="preserve"> region of 1.81 to 2.99, which shows that the point is in the </w:t>
      </w:r>
      <w:proofErr w:type="spellStart"/>
      <w:r>
        <w:t>gray</w:t>
      </w:r>
      <w:proofErr w:type="spellEnd"/>
      <w:r>
        <w:t xml:space="preserve"> region, which indicates considerable default risk (Altman, 1968). The score has moved downward to 3.64 in 2020 which translates to adverse changes. The elements of the weighted score of the company show several red flags: the working capital indicators have been getting weaker, the EBIT is at a negative value, and the equity-to-liabilities ratio has reduced by half (Team, 2024).</w:t>
      </w:r>
    </w:p>
    <w:p w14:paraId="4B0F053A" w14:textId="6A950B62" w:rsidR="00252DC1" w:rsidRPr="00252DC1" w:rsidRDefault="00325F10" w:rsidP="00252DC1">
      <w:pPr>
        <w:pStyle w:val="Heading2"/>
      </w:pPr>
      <w:bookmarkStart w:id="7" w:name="_Toc214103259"/>
      <w:r>
        <w:t xml:space="preserve">2.6 </w:t>
      </w:r>
      <w:r w:rsidR="00252DC1" w:rsidRPr="00252DC1">
        <w:t>Investment and Cash Flow Ratios</w:t>
      </w:r>
      <w:bookmarkEnd w:id="7"/>
      <w:r w:rsidR="00252DC1" w:rsidRPr="00252DC1">
        <w:t xml:space="preserve"> </w:t>
      </w:r>
    </w:p>
    <w:p w14:paraId="60151290" w14:textId="77777777" w:rsidR="00E32078" w:rsidRDefault="00E32078" w:rsidP="00E32078">
      <w:r>
        <w:t>Distress assessment is further confirmed by investment ratios. The earnings per share have fallen to a negative level of -1.85 as compared to a positive figure of 2.78, crushing shareholders' wealth in totality. Decline in book value per share from £22.55 to 11.81 has reduced by half over the five years. They are both indicators of diminished operation and significant impairment of goodwill of more than £49 million in 2024 (</w:t>
      </w:r>
      <w:proofErr w:type="spellStart"/>
      <w:r>
        <w:t>Kieso</w:t>
      </w:r>
      <w:proofErr w:type="spellEnd"/>
      <w:r>
        <w:t xml:space="preserve"> and Weygandt, 2022). The impairment raises strategic performance failures by the management </w:t>
      </w:r>
      <w:proofErr w:type="spellStart"/>
      <w:r>
        <w:t>channeling</w:t>
      </w:r>
      <w:proofErr w:type="spellEnd"/>
      <w:r>
        <w:t xml:space="preserve"> the existing values of previous acquisitions failing to be recovered.</w:t>
      </w:r>
    </w:p>
    <w:p w14:paraId="024484BF" w14:textId="094F4556" w:rsidR="00E32078" w:rsidRDefault="00E32078" w:rsidP="00E32078">
      <w:r>
        <w:t>It has cash flow ratios of extremely limited liquidity. The cash flow to sales has dropped to 3.75 percent against 11.94</w:t>
      </w:r>
      <w:proofErr w:type="gramStart"/>
      <w:r>
        <w:t>%  and</w:t>
      </w:r>
      <w:proofErr w:type="gramEnd"/>
      <w:r>
        <w:t xml:space="preserve"> this means the cash generation is on a decline compared with revenue. The operating cash flow ratio has broken to 0.094 times the current liabilities compared with 0.409 times, which implies that the operation cash generation is now enough to meet 9.4% of the current obligations per quarter. This compression of the market liquidity leads to short-term acute refinancing risk, especially in regard to the fact that as lines of credit amount to a total of £36.96 billion, they must be renewed (Alnoor Bhimani and Bromwich, 2019).</w:t>
      </w:r>
    </w:p>
    <w:p w14:paraId="4123A672" w14:textId="1F2C012A" w:rsidR="00252DC1" w:rsidRDefault="00325F10" w:rsidP="00252DC1">
      <w:pPr>
        <w:pStyle w:val="Heading2"/>
      </w:pPr>
      <w:bookmarkStart w:id="8" w:name="_Toc214103260"/>
      <w:r>
        <w:t xml:space="preserve">2.7 </w:t>
      </w:r>
      <w:r w:rsidR="00252DC1">
        <w:t>Overall Financial Trends Analysis</w:t>
      </w:r>
      <w:bookmarkEnd w:id="8"/>
      <w:r w:rsidR="00252DC1">
        <w:t xml:space="preserve"> </w:t>
      </w:r>
    </w:p>
    <w:p w14:paraId="5F91F845" w14:textId="67DE6B60" w:rsidR="00E32078" w:rsidRDefault="00E32078" w:rsidP="00E32078">
      <w:pPr>
        <w:jc w:val="center"/>
      </w:pPr>
      <w:r>
        <w:rPr>
          <w:noProof/>
        </w:rPr>
        <w:drawing>
          <wp:inline distT="0" distB="0" distL="0" distR="0" wp14:anchorId="2FE6E6C2" wp14:editId="67955B5A">
            <wp:extent cx="5249847" cy="3731260"/>
            <wp:effectExtent l="0" t="0" r="8255"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a:extLst>
                        <a:ext uri="{28A0092B-C50C-407E-A947-70E740481C1C}">
                          <a14:useLocalDpi xmlns:a14="http://schemas.microsoft.com/office/drawing/2010/main" val="0"/>
                        </a:ext>
                      </a:extLst>
                    </a:blip>
                    <a:stretch>
                      <a:fillRect/>
                    </a:stretch>
                  </pic:blipFill>
                  <pic:spPr>
                    <a:xfrm>
                      <a:off x="0" y="0"/>
                      <a:ext cx="5255606" cy="3735353"/>
                    </a:xfrm>
                    <a:prstGeom prst="rect">
                      <a:avLst/>
                    </a:prstGeom>
                  </pic:spPr>
                </pic:pic>
              </a:graphicData>
            </a:graphic>
          </wp:inline>
        </w:drawing>
      </w:r>
    </w:p>
    <w:p w14:paraId="5ACA405A" w14:textId="14226363" w:rsidR="00E32078" w:rsidRPr="00E32078" w:rsidRDefault="00E32078" w:rsidP="00E32078">
      <w:pPr>
        <w:pStyle w:val="Caption"/>
        <w:spacing w:after="0"/>
        <w:jc w:val="center"/>
        <w:rPr>
          <w:b/>
          <w:bCs/>
          <w:i w:val="0"/>
          <w:iCs w:val="0"/>
          <w:sz w:val="24"/>
          <w:szCs w:val="24"/>
        </w:rPr>
      </w:pPr>
      <w:r w:rsidRPr="00E32078">
        <w:rPr>
          <w:b/>
          <w:bCs/>
          <w:i w:val="0"/>
          <w:iCs w:val="0"/>
          <w:sz w:val="24"/>
          <w:szCs w:val="24"/>
        </w:rPr>
        <w:t xml:space="preserve">Figure </w:t>
      </w:r>
      <w:r w:rsidRPr="00E32078">
        <w:rPr>
          <w:b/>
          <w:bCs/>
          <w:i w:val="0"/>
          <w:iCs w:val="0"/>
          <w:sz w:val="24"/>
          <w:szCs w:val="24"/>
        </w:rPr>
        <w:fldChar w:fldCharType="begin"/>
      </w:r>
      <w:r w:rsidRPr="00E32078">
        <w:rPr>
          <w:b/>
          <w:bCs/>
          <w:i w:val="0"/>
          <w:iCs w:val="0"/>
          <w:sz w:val="24"/>
          <w:szCs w:val="24"/>
        </w:rPr>
        <w:instrText xml:space="preserve"> SEQ Figure \* ARABIC </w:instrText>
      </w:r>
      <w:r w:rsidRPr="00E32078">
        <w:rPr>
          <w:b/>
          <w:bCs/>
          <w:i w:val="0"/>
          <w:iCs w:val="0"/>
          <w:sz w:val="24"/>
          <w:szCs w:val="24"/>
        </w:rPr>
        <w:fldChar w:fldCharType="separate"/>
      </w:r>
      <w:r w:rsidR="0066061C">
        <w:rPr>
          <w:b/>
          <w:bCs/>
          <w:i w:val="0"/>
          <w:iCs w:val="0"/>
          <w:noProof/>
          <w:sz w:val="24"/>
          <w:szCs w:val="24"/>
        </w:rPr>
        <w:t>4</w:t>
      </w:r>
      <w:r w:rsidRPr="00E32078">
        <w:rPr>
          <w:b/>
          <w:bCs/>
          <w:i w:val="0"/>
          <w:iCs w:val="0"/>
          <w:sz w:val="24"/>
          <w:szCs w:val="24"/>
        </w:rPr>
        <w:fldChar w:fldCharType="end"/>
      </w:r>
      <w:r w:rsidRPr="00E32078">
        <w:rPr>
          <w:b/>
          <w:bCs/>
          <w:i w:val="0"/>
          <w:iCs w:val="0"/>
          <w:sz w:val="24"/>
          <w:szCs w:val="24"/>
        </w:rPr>
        <w:t>: General Electronics: Five Year Financial Deterioration Trends</w:t>
      </w:r>
    </w:p>
    <w:p w14:paraId="602A93C4" w14:textId="420C283F" w:rsidR="00E32078" w:rsidRPr="00E32078" w:rsidRDefault="00E32078" w:rsidP="00E32078">
      <w:pPr>
        <w:spacing w:after="0"/>
        <w:jc w:val="center"/>
      </w:pPr>
      <w:r w:rsidRPr="00E32078">
        <w:t>Source: (Self Made)</w:t>
      </w:r>
    </w:p>
    <w:p w14:paraId="739109FC" w14:textId="77777777" w:rsidR="00E32078" w:rsidRDefault="00E32078" w:rsidP="00E32078">
      <w:r>
        <w:t>The trend analysis through the five years indicates a faster decrease instead of stagnation. Its profitability was modest up to 2022 but this has gone awry in the later years. To the markets under consumer electronics, the 36% decrease in revenue from 2020 through 2024 indicates the basic loss of market share or destruction of demand in the case of the market. At the same time, as a percentage of sales, the operating expenses were growing in the range of 22.6 to 32.7, implying that the management was not able to implement changes to the cost structures to reflect the decrease in revenues. This profit destruction mechanism is predominated by this operational inflexibility (Corporate Finance Institute, 2023).</w:t>
      </w:r>
    </w:p>
    <w:p w14:paraId="38B5BBE8" w14:textId="57A348D8" w:rsidR="00E32078" w:rsidRDefault="00E32078" w:rsidP="00E32078">
      <w:r>
        <w:t>Strategic opportunity is extreme: General Electronics is on the verge of financial problems. Reduction in revenues, which is coupled with fixed costs in rigidity, has resulted in an operational loss that cannot be replaced by growth within a relatively short period of time. The demand of excessive working capital is depleting the scarce cash resources each month. Weakening financial leverage results in very little operational liquidity. The Altman Z-Score situation in the distress zone proves that unless the company is given an immediate intervention, the company runs the risk of bankruptcy or of being forced to sell its assets within 12-18 months. It needs to be restructured in a comprehensive manner, taking into consideration all its dimensions, namely, operational, financial, and strategic dimensions; otherwise, it may run out of business (OPLER &amp; TITMAN, 1994).</w:t>
      </w:r>
    </w:p>
    <w:p w14:paraId="7C87F95D" w14:textId="77777777" w:rsidR="00325F10" w:rsidRDefault="00325F10">
      <w:pPr>
        <w:spacing w:line="259" w:lineRule="auto"/>
        <w:jc w:val="left"/>
        <w:rPr>
          <w:rFonts w:asciiTheme="majorBidi" w:eastAsiaTheme="majorEastAsia" w:hAnsiTheme="majorBidi" w:cstheme="majorBidi"/>
          <w:b/>
          <w:color w:val="44546A" w:themeColor="text2"/>
          <w:sz w:val="32"/>
          <w:szCs w:val="32"/>
        </w:rPr>
      </w:pPr>
      <w:r>
        <w:br w:type="page"/>
      </w:r>
    </w:p>
    <w:p w14:paraId="2E2E6F12" w14:textId="698262CE" w:rsidR="00252DC1" w:rsidRDefault="00325F10" w:rsidP="00252DC1">
      <w:pPr>
        <w:pStyle w:val="Heading1"/>
      </w:pPr>
      <w:bookmarkStart w:id="9" w:name="_Toc214103261"/>
      <w:r>
        <w:t xml:space="preserve">3.0 </w:t>
      </w:r>
      <w:r w:rsidR="00252DC1" w:rsidRPr="00252DC1">
        <w:t>Working Capital Management Analysis</w:t>
      </w:r>
      <w:bookmarkEnd w:id="9"/>
    </w:p>
    <w:p w14:paraId="34D954F0" w14:textId="77777777" w:rsidR="00252DC1" w:rsidRDefault="00252DC1" w:rsidP="00252DC1">
      <w:r>
        <w:t>The only most crucial intervention point at General Electronics is the working capital management. The existing operations demonstrate violent inefficiency in the management of receivables, inventory, and payables, and systematic change is necessary to reinstate the liquidity and the viability of operations (Bailey, 2025). The firm is stuck in a negative feedback loop of declining profitability moderating cash generation, which increases its reliance on working capital funds at the cost of valuable liquidity and slowly increases interest liabilities.</w:t>
      </w:r>
    </w:p>
    <w:p w14:paraId="109C5AB9" w14:textId="321CEF07" w:rsidR="00252DC1" w:rsidRDefault="006B74E7" w:rsidP="006B74E7">
      <w:pPr>
        <w:jc w:val="center"/>
      </w:pPr>
      <w:r>
        <w:rPr>
          <w:noProof/>
        </w:rPr>
        <w:drawing>
          <wp:inline distT="0" distB="0" distL="0" distR="0" wp14:anchorId="651B3D71" wp14:editId="61110166">
            <wp:extent cx="4572000" cy="2743200"/>
            <wp:effectExtent l="0" t="0" r="0" b="0"/>
            <wp:docPr id="5" name="Chart 5">
              <a:extLst xmlns:a="http://schemas.openxmlformats.org/drawingml/2006/main">
                <a:ext uri="{FF2B5EF4-FFF2-40B4-BE49-F238E27FC236}">
                  <a16:creationId xmlns:a16="http://schemas.microsoft.com/office/drawing/2014/main" id="{5242A713-C68C-429F-A304-6D9D8DD3C3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B0AAB39" w14:textId="2712D6CE" w:rsidR="006B74E7" w:rsidRDefault="006B74E7" w:rsidP="006B74E7">
      <w:pPr>
        <w:pStyle w:val="Caption"/>
        <w:spacing w:after="0"/>
        <w:jc w:val="center"/>
        <w:rPr>
          <w:b/>
          <w:bCs/>
          <w:i w:val="0"/>
          <w:iCs w:val="0"/>
          <w:sz w:val="22"/>
          <w:szCs w:val="22"/>
        </w:rPr>
      </w:pPr>
      <w:r w:rsidRPr="006B74E7">
        <w:rPr>
          <w:b/>
          <w:bCs/>
          <w:i w:val="0"/>
          <w:iCs w:val="0"/>
          <w:sz w:val="22"/>
          <w:szCs w:val="22"/>
        </w:rPr>
        <w:t xml:space="preserve">Figure </w:t>
      </w:r>
      <w:r w:rsidRPr="006B74E7">
        <w:rPr>
          <w:b/>
          <w:bCs/>
          <w:i w:val="0"/>
          <w:iCs w:val="0"/>
          <w:sz w:val="22"/>
          <w:szCs w:val="22"/>
        </w:rPr>
        <w:fldChar w:fldCharType="begin"/>
      </w:r>
      <w:r w:rsidRPr="006B74E7">
        <w:rPr>
          <w:b/>
          <w:bCs/>
          <w:i w:val="0"/>
          <w:iCs w:val="0"/>
          <w:sz w:val="22"/>
          <w:szCs w:val="22"/>
        </w:rPr>
        <w:instrText xml:space="preserve"> SEQ Figure \* ARABIC </w:instrText>
      </w:r>
      <w:r w:rsidRPr="006B74E7">
        <w:rPr>
          <w:b/>
          <w:bCs/>
          <w:i w:val="0"/>
          <w:iCs w:val="0"/>
          <w:sz w:val="22"/>
          <w:szCs w:val="22"/>
        </w:rPr>
        <w:fldChar w:fldCharType="separate"/>
      </w:r>
      <w:r w:rsidR="0066061C">
        <w:rPr>
          <w:b/>
          <w:bCs/>
          <w:i w:val="0"/>
          <w:iCs w:val="0"/>
          <w:noProof/>
          <w:sz w:val="22"/>
          <w:szCs w:val="22"/>
        </w:rPr>
        <w:t>5</w:t>
      </w:r>
      <w:r w:rsidRPr="006B74E7">
        <w:rPr>
          <w:b/>
          <w:bCs/>
          <w:i w:val="0"/>
          <w:iCs w:val="0"/>
          <w:sz w:val="22"/>
          <w:szCs w:val="22"/>
        </w:rPr>
        <w:fldChar w:fldCharType="end"/>
      </w:r>
      <w:r w:rsidRPr="006B74E7">
        <w:rPr>
          <w:b/>
          <w:bCs/>
          <w:i w:val="0"/>
          <w:iCs w:val="0"/>
          <w:sz w:val="22"/>
          <w:szCs w:val="22"/>
        </w:rPr>
        <w:t>: Graphical Representation of Cash Conversion Cycle</w:t>
      </w:r>
    </w:p>
    <w:p w14:paraId="647637FE" w14:textId="4996043A" w:rsidR="006B74E7" w:rsidRPr="006B74E7" w:rsidRDefault="006B74E7" w:rsidP="006B74E7">
      <w:pPr>
        <w:spacing w:after="0"/>
        <w:jc w:val="center"/>
      </w:pPr>
      <w:r>
        <w:t>Source: (Self Made)</w:t>
      </w:r>
    </w:p>
    <w:p w14:paraId="7A83C279" w14:textId="3016C339" w:rsidR="006B74E7" w:rsidRDefault="00252DC1" w:rsidP="00252DC1">
      <w:r>
        <w:t xml:space="preserve">Cash Conversion Cycle of 124.6 days is not sustainable and is the main working capital malfunction that requires urgent correction. The cycle is made up of 115.1 Days of receivables collection, 103.1 days of inventory holding, less 93.6 days of payable deferral. A reduction of Days Sales Outstanding by 20 days using vigorous collection practices would recapture cash of around £6.3 million per year. </w:t>
      </w:r>
    </w:p>
    <w:p w14:paraId="744C272A" w14:textId="646BA99C" w:rsidR="006B74E7" w:rsidRDefault="006B74E7" w:rsidP="00252DC1">
      <w:r>
        <w:rPr>
          <w:noProof/>
        </w:rPr>
        <w:drawing>
          <wp:inline distT="0" distB="0" distL="0" distR="0" wp14:anchorId="04ECEAE9" wp14:editId="131D41A2">
            <wp:extent cx="5943600" cy="37414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13">
                      <a:extLst>
                        <a:ext uri="{28A0092B-C50C-407E-A947-70E740481C1C}">
                          <a14:useLocalDpi xmlns:a14="http://schemas.microsoft.com/office/drawing/2010/main" val="0"/>
                        </a:ext>
                      </a:extLst>
                    </a:blip>
                    <a:srcRect t="16667" b="20385"/>
                    <a:stretch/>
                  </pic:blipFill>
                  <pic:spPr bwMode="auto">
                    <a:xfrm>
                      <a:off x="0" y="0"/>
                      <a:ext cx="5943600" cy="3741420"/>
                    </a:xfrm>
                    <a:prstGeom prst="rect">
                      <a:avLst/>
                    </a:prstGeom>
                    <a:ln>
                      <a:noFill/>
                    </a:ln>
                    <a:extLst>
                      <a:ext uri="{53640926-AAD7-44D8-BBD7-CCE9431645EC}">
                        <a14:shadowObscured xmlns:a14="http://schemas.microsoft.com/office/drawing/2010/main"/>
                      </a:ext>
                    </a:extLst>
                  </pic:spPr>
                </pic:pic>
              </a:graphicData>
            </a:graphic>
          </wp:inline>
        </w:drawing>
      </w:r>
    </w:p>
    <w:p w14:paraId="1156A3A3" w14:textId="49BC995E" w:rsidR="006B74E7" w:rsidRPr="006B74E7" w:rsidRDefault="006B74E7" w:rsidP="006B74E7">
      <w:pPr>
        <w:pStyle w:val="Caption"/>
        <w:spacing w:after="0"/>
        <w:jc w:val="center"/>
        <w:rPr>
          <w:b/>
          <w:bCs/>
          <w:i w:val="0"/>
          <w:iCs w:val="0"/>
          <w:sz w:val="22"/>
          <w:szCs w:val="22"/>
        </w:rPr>
      </w:pPr>
      <w:r w:rsidRPr="006B74E7">
        <w:rPr>
          <w:b/>
          <w:bCs/>
          <w:i w:val="0"/>
          <w:iCs w:val="0"/>
          <w:sz w:val="22"/>
          <w:szCs w:val="22"/>
        </w:rPr>
        <w:t xml:space="preserve">Figure </w:t>
      </w:r>
      <w:r w:rsidRPr="006B74E7">
        <w:rPr>
          <w:b/>
          <w:bCs/>
          <w:i w:val="0"/>
          <w:iCs w:val="0"/>
          <w:sz w:val="22"/>
          <w:szCs w:val="22"/>
        </w:rPr>
        <w:fldChar w:fldCharType="begin"/>
      </w:r>
      <w:r w:rsidRPr="006B74E7">
        <w:rPr>
          <w:b/>
          <w:bCs/>
          <w:i w:val="0"/>
          <w:iCs w:val="0"/>
          <w:sz w:val="22"/>
          <w:szCs w:val="22"/>
        </w:rPr>
        <w:instrText xml:space="preserve"> SEQ Figure \* ARABIC </w:instrText>
      </w:r>
      <w:r w:rsidRPr="006B74E7">
        <w:rPr>
          <w:b/>
          <w:bCs/>
          <w:i w:val="0"/>
          <w:iCs w:val="0"/>
          <w:sz w:val="22"/>
          <w:szCs w:val="22"/>
        </w:rPr>
        <w:fldChar w:fldCharType="separate"/>
      </w:r>
      <w:r w:rsidR="0066061C">
        <w:rPr>
          <w:b/>
          <w:bCs/>
          <w:i w:val="0"/>
          <w:iCs w:val="0"/>
          <w:noProof/>
          <w:sz w:val="22"/>
          <w:szCs w:val="22"/>
        </w:rPr>
        <w:t>6</w:t>
      </w:r>
      <w:r w:rsidRPr="006B74E7">
        <w:rPr>
          <w:b/>
          <w:bCs/>
          <w:i w:val="0"/>
          <w:iCs w:val="0"/>
          <w:sz w:val="22"/>
          <w:szCs w:val="22"/>
        </w:rPr>
        <w:fldChar w:fldCharType="end"/>
      </w:r>
      <w:r w:rsidRPr="006B74E7">
        <w:rPr>
          <w:b/>
          <w:bCs/>
          <w:i w:val="0"/>
          <w:iCs w:val="0"/>
          <w:sz w:val="22"/>
          <w:szCs w:val="22"/>
        </w:rPr>
        <w:t>: Working Capital Optimisation</w:t>
      </w:r>
    </w:p>
    <w:p w14:paraId="146CD3A9" w14:textId="7EE49000" w:rsidR="006B74E7" w:rsidRPr="006B74E7" w:rsidRDefault="006B74E7" w:rsidP="006B74E7">
      <w:pPr>
        <w:spacing w:after="0"/>
        <w:jc w:val="center"/>
      </w:pPr>
      <w:r w:rsidRPr="006B74E7">
        <w:t>Source: (Self Made)</w:t>
      </w:r>
    </w:p>
    <w:p w14:paraId="59513563" w14:textId="14862D47" w:rsidR="00252DC1" w:rsidRDefault="00252DC1" w:rsidP="00252DC1">
      <w:r>
        <w:t>The mechanisms applied to implement the same are automated billing systems, encouraging customers to pay early in a weak discount (usually 2-3</w:t>
      </w:r>
      <w:r w:rsidR="006B74E7">
        <w:t xml:space="preserve">% </w:t>
      </w:r>
      <w:r>
        <w:t>within 10 days), and selling problematic or old debts to special collection agencies (</w:t>
      </w:r>
      <w:proofErr w:type="spellStart"/>
      <w:r>
        <w:t>Atrill</w:t>
      </w:r>
      <w:proofErr w:type="spellEnd"/>
      <w:r>
        <w:t xml:space="preserve"> &amp; </w:t>
      </w:r>
      <w:proofErr w:type="spellStart"/>
      <w:r>
        <w:t>Mclaney</w:t>
      </w:r>
      <w:proofErr w:type="spellEnd"/>
      <w:r>
        <w:t>, 2018). Tightening credit policy and reassessing customers' creditworthiness would prevent future receivables issues. Such steps involve the prudent management of customer relationships to prevent the threat of losing the old customers, especially in the face of revenue constraints.</w:t>
      </w:r>
    </w:p>
    <w:p w14:paraId="49AE678E" w14:textId="77777777" w:rsidR="006B74E7" w:rsidRDefault="00252DC1" w:rsidP="00252DC1">
      <w:r>
        <w:t xml:space="preserve">The second important working capital effort is inventory rationalization. Days Inventory Outstanding of 103.1 days is way higher than the industry average as far as consumer electronics manufacturing is concerned (normally 60-75 days), which means that a lot of excess or obsolete inventory is being accumulated. A decrease in the number of days taken by DIO (103) to 80 would release about 15.2 million in working capital. The implementation would involve an extensive inventory audit of obsolete, slow-moving, or technologically obsolete stocks, which can be liquidated. </w:t>
      </w:r>
    </w:p>
    <w:p w14:paraId="2F152C26" w14:textId="2BC89950" w:rsidR="00252DC1" w:rsidRDefault="00252DC1" w:rsidP="00252DC1">
      <w:r>
        <w:t>The precautionary stockholding would be reduced by demand forecasting to enhance the use of predictive analytics. Adoption of the just-in-time supply chain practices would ensure that inventory is matched against the actual sales demand patterns. Rationalization of supplier relations Internationalization of purchasing with major suppliers would provide an opportunity to negotiate better inventory management and flexibility in payment terms (Drury, 2018). Strong discounting of old stock of merchandise to clear it fast, at the expense of gross margins, would speed up cash collection.</w:t>
      </w:r>
    </w:p>
    <w:p w14:paraId="1CA5AD61" w14:textId="77777777" w:rsidR="00252DC1" w:rsidRDefault="00252DC1" w:rsidP="00252DC1">
      <w:r>
        <w:t>The third working capital optimization opportunity is payables optimization. Impairment of Days Payable Outstanding Days Payable Outstanding would be improved to 110 days, with a short-term working capital relief of around 5.8 million, which is a form of interest-free supplier financing. Nonetheless, this strategy is a delicate management process that should not lead to disruption of supply chains or a negative relationship with suppliers. The best way to maximize this dimension without compromising critical supply continuity is to negotiate longer payment terms for noncritical materials, especially those with more than one qualified supplier. Such an objective would be achieved through supply chain financing programs where special financial intermediaries purchase supplier invoices at good rates, which would extend the payment terms but give suppliers access to early payments without harming relationships but also enhancing cash flows (Corporate Finance Institute, 2023).</w:t>
      </w:r>
    </w:p>
    <w:p w14:paraId="6027A622" w14:textId="77777777" w:rsidR="00252DC1" w:rsidRDefault="00252DC1" w:rsidP="00252DC1">
      <w:r>
        <w:t>Fundamental to working capital restructuring are the short-term and long-term financing decisions. The existing dependency on lines of credit (25.96 billion in 2024) is a costly short-term liquidity, changing depending on the mood of the lenders and adherence to the covenant. The reduction of the refinancing risk would be achieved by restructuring the short-term debt into medium-term facilities with definite maturity dates, which would provide some certainty to the capital planning. Asset-based lending initiatives secured by receivables and inventory can offer an efficient financing solution at lower rates of interest than unsecured credit lines, and interest processes will be decreased and payments will be spread out over a longer period, at the same time shortening the interest periods. Nevertheless, debt restructuring on a long-term basis is also necessary since the overall liability base of the company of over 170 billion burdens the financial flexibility in a severe way (Vipond, 2024). Term commitment and covenant flexibility of facilities would create multi-year facilities and would remove the monthly refinancing pressure, limiting the management decision-making.</w:t>
      </w:r>
    </w:p>
    <w:p w14:paraId="782551F1" w14:textId="071BBED7" w:rsidR="00252DC1" w:rsidRDefault="00252DC1" w:rsidP="00252DC1">
      <w:r>
        <w:t>These comprehensive working capital reforms would also reduce the Cash Conversion Cycle to about 98 days as opposed to 124.6 days, which is unsustainable, and this would free up about 10-12 million in cash, among others. This liquidity reinstatement would offer the much-needed breathing space to do strategic repositioning and debt reduction programs, as well as operating investment, without increased refinancing strains. This working capital discipline, in combination with operational enhancements dealing with revenue stabilization and control of costs, would essentially put the short-term financial health of the company back on its feet (Morgan, 2025).</w:t>
      </w:r>
    </w:p>
    <w:p w14:paraId="160E02D3" w14:textId="77777777" w:rsidR="00325F10" w:rsidRDefault="00325F10">
      <w:pPr>
        <w:spacing w:line="259" w:lineRule="auto"/>
        <w:jc w:val="left"/>
        <w:rPr>
          <w:rFonts w:asciiTheme="majorBidi" w:eastAsiaTheme="majorEastAsia" w:hAnsiTheme="majorBidi" w:cstheme="majorBidi"/>
          <w:b/>
          <w:color w:val="44546A" w:themeColor="text2"/>
          <w:sz w:val="32"/>
          <w:szCs w:val="32"/>
        </w:rPr>
      </w:pPr>
      <w:r>
        <w:br w:type="page"/>
      </w:r>
    </w:p>
    <w:p w14:paraId="4E74F9F9" w14:textId="5FE60300" w:rsidR="006B74E7" w:rsidRDefault="00325F10" w:rsidP="00325F10">
      <w:pPr>
        <w:pStyle w:val="Heading1"/>
      </w:pPr>
      <w:bookmarkStart w:id="10" w:name="_Toc214103262"/>
      <w:r>
        <w:t xml:space="preserve">4.0 </w:t>
      </w:r>
      <w:r w:rsidR="006B74E7" w:rsidRPr="006B74E7">
        <w:t>Strategic Financial Restructuring Plan</w:t>
      </w:r>
      <w:bookmarkEnd w:id="10"/>
    </w:p>
    <w:p w14:paraId="72041873" w14:textId="77777777" w:rsidR="00243305" w:rsidRDefault="00243305" w:rsidP="00243305">
      <w:r>
        <w:t>General Electronics needs to undergo basic financial restructuring that should bring back the viability and set the company on a path of competitive sustainability. There are several restructuring alternatives that should be fully analysed in comparison to shareholder value creation, flexibility of operation and maintaining relations with the stakeholders (</w:t>
      </w:r>
      <w:proofErr w:type="spellStart"/>
      <w:r>
        <w:t>Sudarsanam</w:t>
      </w:r>
      <w:proofErr w:type="spellEnd"/>
      <w:r>
        <w:t xml:space="preserve"> &amp; Lai, 2001).</w:t>
      </w:r>
    </w:p>
    <w:p w14:paraId="61834810" w14:textId="77777777" w:rsidR="00243305" w:rsidRDefault="00243305" w:rsidP="00243305">
      <w:r>
        <w:t xml:space="preserve">The first strategic restructuring is that of divestiture. The entire study of the portfolio must discover the underperforming divisions that drain capital without creating sufficient returns or strategic synergies. Divestiture candidates are non-core international businesses where competing is weak or the market does not favour it, commoditised product lines with diminishing margins, underutilised manufacturing companies with surplus capacity and non-integrating acquisitions. Strategic divestiture would result in proceeds amounting to £30-50 million and this would directly enhance the balance sheet equity and also decrease the overall asset base and the financing needs. </w:t>
      </w:r>
    </w:p>
    <w:p w14:paraId="67BB1E09" w14:textId="77777777" w:rsidR="00243305" w:rsidRDefault="00243305" w:rsidP="00243305">
      <w:r>
        <w:t>Selling assets would instantly move leverage metrics to sustainable levels, enhance financial covenant performances, and abolish the current operations losses in marginal businesses (Abraham, 2016). The proceeds of divestiture may be assigned more or less to debt liquidation and only a few are retained to optimise the working capital. Nevertheless, divestiture should be done in a strategic manner so that the result can be the highest valuation as opposed to creating asset fire sales that reduce proceeds.</w:t>
      </w:r>
    </w:p>
    <w:p w14:paraId="107C2F84" w14:textId="77777777" w:rsidR="00243305" w:rsidRDefault="00243305" w:rsidP="00243305"/>
    <w:p w14:paraId="0737922E" w14:textId="77777777" w:rsidR="00243305" w:rsidRDefault="00243305" w:rsidP="00243305">
      <w:r>
        <w:t xml:space="preserve">The second restructuring channel is an equity injection that has unique pros and cons. </w:t>
      </w:r>
      <w:proofErr w:type="gramStart"/>
      <w:r>
        <w:t>New</w:t>
      </w:r>
      <w:proofErr w:type="gramEnd"/>
      <w:r>
        <w:t xml:space="preserve"> equity, such as capitalisation of the company by its present shareholders or other external strategic investors, would also capitalise the company and the balance sheet would be strengthened by around £40-60 million, making the leverage ratios more sustainable. The new equity capital would create short-term financial flexibility and act as an indication that the stakeholders have trust in the turnaround strategy of the management. There would, however, be major dilution of the existing shareholders and thus wealth would be transferred to the new shareholders who would take advantage to purchase shares at depressed prices. </w:t>
      </w:r>
    </w:p>
    <w:p w14:paraId="786D45C5" w14:textId="77777777" w:rsidR="00243305" w:rsidRDefault="00243305" w:rsidP="00243305">
      <w:r>
        <w:t>Such a capital raise is extremely difficult under the existing market conditions due to the poor equity story of the company, which is marked by losses, leverage deterioration, and negative returns (Brealey, Myers and Allen, 2020). New investors would require large equity interests, high valuation, and even a board seat that would make governance more challenging and decrease the dominance of the incumbent shareholders.</w:t>
      </w:r>
    </w:p>
    <w:p w14:paraId="7F2AC8E5" w14:textId="77777777" w:rsidR="00243305" w:rsidRDefault="00243305" w:rsidP="00243305">
      <w:r>
        <w:t xml:space="preserve">The third dimension of restructuring and the essential financial intervention requirement is the debt restructuring. The current interest charge of £3.4 billion is a huge amount of money that significantly outstrips operating revenue and debt service is mathematically unaffordable without a radical change in how they operate. The company has three debt restructuring mechanisms: first, it needs to negotiate longer maturity profiles with current creditors, which involves spreading debt repayment over longer periods to lower annual payment rates; second, it requires refinancing high-coupon debt into low-rate facilities, thereby lowering annual interest payments; and third, it involves exchanging debt instruments with equity holders to ensure that current creditors still maintain their share in turnaround success. </w:t>
      </w:r>
    </w:p>
    <w:p w14:paraId="26BF92F5" w14:textId="06818323" w:rsidR="00243305" w:rsidRDefault="00243305" w:rsidP="00243305">
      <w:r>
        <w:t>All these mechanisms would result in an annual interest savings of between 0.5-1.0 million, which would be a much-needed cash flow to allow a rapid debt reduction (Jensen, 1986). Renegotiation of covenants with lenders would also provide a renewed flexibility of operations that were previously restricted by limiting financial covenants that restricted its ability to spend capital, manage working capital, and have the freedom to make strategic decisions and choices.</w:t>
      </w:r>
    </w:p>
    <w:p w14:paraId="7B16F975" w14:textId="4D03A7FD" w:rsidR="00243305" w:rsidRDefault="00227E04" w:rsidP="00325F10">
      <w:pPr>
        <w:pStyle w:val="Heading2"/>
      </w:pPr>
      <w:bookmarkStart w:id="11" w:name="_Toc214103263"/>
      <w:r>
        <w:t>4</w:t>
      </w:r>
      <w:r w:rsidR="00325F10">
        <w:t>.</w:t>
      </w:r>
      <w:r>
        <w:t>1</w:t>
      </w:r>
      <w:r w:rsidR="00325F10">
        <w:t xml:space="preserve"> </w:t>
      </w:r>
      <w:r w:rsidR="00243305">
        <w:t xml:space="preserve">Recommended Integrated Restructuring </w:t>
      </w:r>
      <w:r w:rsidR="00243305" w:rsidRPr="00325F10">
        <w:t>Strategy</w:t>
      </w:r>
      <w:bookmarkEnd w:id="11"/>
    </w:p>
    <w:p w14:paraId="7BF46F90" w14:textId="7D36147C" w:rsidR="00941E37" w:rsidRDefault="00941E37" w:rsidP="00941E37">
      <w:r>
        <w:t>The best method of restructuring is that which integrates a combination of several dimensions in this order:</w:t>
      </w:r>
    </w:p>
    <w:p w14:paraId="1EBCDE1F" w14:textId="61E5EB61" w:rsidR="001C61FE" w:rsidRDefault="001C61FE" w:rsidP="001C61FE">
      <w:pPr>
        <w:jc w:val="center"/>
      </w:pPr>
      <w:r>
        <w:rPr>
          <w:noProof/>
        </w:rPr>
        <w:drawing>
          <wp:inline distT="0" distB="0" distL="0" distR="0" wp14:anchorId="5FB7D707" wp14:editId="60F2E91D">
            <wp:extent cx="5577840" cy="3368040"/>
            <wp:effectExtent l="0" t="0" r="381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rotWithShape="1">
                    <a:blip r:embed="rId14">
                      <a:extLst>
                        <a:ext uri="{28A0092B-C50C-407E-A947-70E740481C1C}">
                          <a14:useLocalDpi xmlns:a14="http://schemas.microsoft.com/office/drawing/2010/main" val="0"/>
                        </a:ext>
                      </a:extLst>
                    </a:blip>
                    <a:srcRect l="3077" t="18334" r="3077" b="25000"/>
                    <a:stretch/>
                  </pic:blipFill>
                  <pic:spPr bwMode="auto">
                    <a:xfrm>
                      <a:off x="0" y="0"/>
                      <a:ext cx="5577840" cy="3368040"/>
                    </a:xfrm>
                    <a:prstGeom prst="rect">
                      <a:avLst/>
                    </a:prstGeom>
                    <a:ln>
                      <a:noFill/>
                    </a:ln>
                    <a:extLst>
                      <a:ext uri="{53640926-AAD7-44D8-BBD7-CCE9431645EC}">
                        <a14:shadowObscured xmlns:a14="http://schemas.microsoft.com/office/drawing/2010/main"/>
                      </a:ext>
                    </a:extLst>
                  </pic:spPr>
                </pic:pic>
              </a:graphicData>
            </a:graphic>
          </wp:inline>
        </w:drawing>
      </w:r>
    </w:p>
    <w:p w14:paraId="4C83CD04" w14:textId="476BB534" w:rsidR="001C61FE" w:rsidRDefault="001C61FE" w:rsidP="001C61FE">
      <w:pPr>
        <w:pStyle w:val="Caption"/>
        <w:spacing w:after="0"/>
        <w:jc w:val="center"/>
        <w:rPr>
          <w:b/>
          <w:bCs/>
          <w:i w:val="0"/>
          <w:iCs w:val="0"/>
          <w:sz w:val="22"/>
          <w:szCs w:val="22"/>
        </w:rPr>
      </w:pPr>
      <w:r w:rsidRPr="001C61FE">
        <w:rPr>
          <w:b/>
          <w:bCs/>
          <w:i w:val="0"/>
          <w:iCs w:val="0"/>
          <w:sz w:val="22"/>
          <w:szCs w:val="22"/>
        </w:rPr>
        <w:t xml:space="preserve">Figure </w:t>
      </w:r>
      <w:r w:rsidRPr="001C61FE">
        <w:rPr>
          <w:b/>
          <w:bCs/>
          <w:i w:val="0"/>
          <w:iCs w:val="0"/>
          <w:sz w:val="22"/>
          <w:szCs w:val="22"/>
        </w:rPr>
        <w:fldChar w:fldCharType="begin"/>
      </w:r>
      <w:r w:rsidRPr="001C61FE">
        <w:rPr>
          <w:b/>
          <w:bCs/>
          <w:i w:val="0"/>
          <w:iCs w:val="0"/>
          <w:sz w:val="22"/>
          <w:szCs w:val="22"/>
        </w:rPr>
        <w:instrText xml:space="preserve"> SEQ Figure \* ARABIC </w:instrText>
      </w:r>
      <w:r w:rsidRPr="001C61FE">
        <w:rPr>
          <w:b/>
          <w:bCs/>
          <w:i w:val="0"/>
          <w:iCs w:val="0"/>
          <w:sz w:val="22"/>
          <w:szCs w:val="22"/>
        </w:rPr>
        <w:fldChar w:fldCharType="separate"/>
      </w:r>
      <w:r w:rsidR="0066061C">
        <w:rPr>
          <w:b/>
          <w:bCs/>
          <w:i w:val="0"/>
          <w:iCs w:val="0"/>
          <w:noProof/>
          <w:sz w:val="22"/>
          <w:szCs w:val="22"/>
        </w:rPr>
        <w:t>7</w:t>
      </w:r>
      <w:r w:rsidRPr="001C61FE">
        <w:rPr>
          <w:b/>
          <w:bCs/>
          <w:i w:val="0"/>
          <w:iCs w:val="0"/>
          <w:sz w:val="22"/>
          <w:szCs w:val="22"/>
        </w:rPr>
        <w:fldChar w:fldCharType="end"/>
      </w:r>
      <w:r w:rsidRPr="001C61FE">
        <w:rPr>
          <w:b/>
          <w:bCs/>
          <w:i w:val="0"/>
          <w:iCs w:val="0"/>
          <w:sz w:val="22"/>
          <w:szCs w:val="22"/>
        </w:rPr>
        <w:t>: Financial Recovery Plan (24 Months)</w:t>
      </w:r>
    </w:p>
    <w:p w14:paraId="4200B15F" w14:textId="610D3D19" w:rsidR="001C61FE" w:rsidRPr="001C61FE" w:rsidRDefault="001C61FE" w:rsidP="001C61FE">
      <w:pPr>
        <w:spacing w:after="0"/>
        <w:jc w:val="center"/>
      </w:pPr>
      <w:r>
        <w:t>Source: (Self Made)</w:t>
      </w:r>
    </w:p>
    <w:p w14:paraId="33F0B468" w14:textId="77777777" w:rsidR="00941E37" w:rsidRDefault="00941E37" w:rsidP="00941E37">
      <w:r w:rsidRPr="00941E37">
        <w:rPr>
          <w:b/>
          <w:bCs/>
        </w:rPr>
        <w:t>Phase One (Months 1-6):</w:t>
      </w:r>
      <w:r>
        <w:t xml:space="preserve"> Exercise selective divestitures that will yield proceeds of £40 million. At the same time, employ intensive working capital optimization that slips the Cash Conversion Cycle off and releases £10 million of cash. At the same time, negotiate debt re-structuring with current lenders, and agree to long maturity and weaker covenants. Initial cash generation of targeting at 50 million.</w:t>
      </w:r>
    </w:p>
    <w:p w14:paraId="73BDA47C" w14:textId="77777777" w:rsidR="00941E37" w:rsidRDefault="00941E37" w:rsidP="00941E37">
      <w:r w:rsidRPr="00941E37">
        <w:rPr>
          <w:b/>
          <w:bCs/>
        </w:rPr>
        <w:t>Phase Two (Months 6-12):</w:t>
      </w:r>
      <w:r>
        <w:t xml:space="preserve"> Use divested proceeds and working capital releases to settle debt, aiming at reducing debt principal by £30 million. Intensive cost cutting of 15 percent operating expenses reduction (about 19 million every year). Pursue more working capital discipline, aiming at further release of working capital of an extra 5 million pounds. Target debt reduction of second phase of £30-35 million.</w:t>
      </w:r>
    </w:p>
    <w:p w14:paraId="63795010" w14:textId="77777777" w:rsidR="00941E37" w:rsidRDefault="00941E37" w:rsidP="00941E37">
      <w:r w:rsidRPr="00941E37">
        <w:rPr>
          <w:b/>
          <w:bCs/>
        </w:rPr>
        <w:t>Phase Three (Months 12-24):</w:t>
      </w:r>
      <w:r>
        <w:t xml:space="preserve"> Target operational improvement efforts on revenue stabilization and margin improvement. Maintain debt reduction path with the aim of removing between £15-20 million in yearly interest cost by means of collective debt redemption and refinancing. realize operating profitability by jointly stabilizing revenues and controlling costs.</w:t>
      </w:r>
    </w:p>
    <w:p w14:paraId="12757080" w14:textId="77777777" w:rsidR="00941E37" w:rsidRDefault="00941E37" w:rsidP="00941E37">
      <w:r>
        <w:t>The combination of such strategies tackles the urgent liquidity concerns by streamlining working capital, prepares the future cash flow by selling assets and enhancing operations, and provides the financial base on further competitive repositioning (Pike and Neale, 2022).</w:t>
      </w:r>
    </w:p>
    <w:p w14:paraId="4B751BCE" w14:textId="73B5CE1E" w:rsidR="00243305" w:rsidRPr="00243305" w:rsidRDefault="00941E37" w:rsidP="00941E37">
      <w:r>
        <w:t xml:space="preserve">Strategic attention must be expressly given to the consideration of the international and ethical issues. Hedging of the currency risk would cushion foreign operations against the depreciated pound in terms of competitive positioning. Management of inflation effects entails changes in pricing strategy to cover the margin without raising prices to cover the increase in input costs. The corporate social responsibility programs, especially workforce restructuring communication, community impact transparency, and stakeholder engagement are necessary in ensuring the organizational legitimacy and support of the stakeholders during the challenging turnaround period (Molina &amp; </w:t>
      </w:r>
      <w:proofErr w:type="spellStart"/>
      <w:r>
        <w:t>Wilestari</w:t>
      </w:r>
      <w:proofErr w:type="spellEnd"/>
      <w:r>
        <w:t>, 2023). Honest communication with employees, suppliers, customers, and creditors over restructuring efforts gives confidence in management capabilities with regard to handling the current performance issues.</w:t>
      </w:r>
    </w:p>
    <w:p w14:paraId="6F3CF25A" w14:textId="20B14FEF" w:rsidR="006B74E7" w:rsidRDefault="00243305" w:rsidP="00243305">
      <w:r>
        <w:t>Another fourth option of restructuring is the merger or acquisition, where a more powerful competitor buys the assets of General Electronics at a distressed rate. Acquisition would remove standalone financial distress by capital outlay and integration of operation in the financial and operational systems of a stronger parent company. But acquisition involves a change of ownership and loss of independent operations altogether, which is not a change of capital structure but a real turnaround. Acquisition becomes an option when internal restructuring efforts have been depleted or prove to be not viable enough (Andrade and Kaplan, 1998).</w:t>
      </w:r>
    </w:p>
    <w:p w14:paraId="479EB9F7" w14:textId="77777777" w:rsidR="00227E04" w:rsidRDefault="00227E04">
      <w:pPr>
        <w:spacing w:line="259" w:lineRule="auto"/>
        <w:jc w:val="left"/>
        <w:rPr>
          <w:rFonts w:asciiTheme="majorBidi" w:eastAsiaTheme="majorEastAsia" w:hAnsiTheme="majorBidi" w:cstheme="majorBidi"/>
          <w:b/>
          <w:color w:val="44546A" w:themeColor="text2"/>
          <w:sz w:val="32"/>
          <w:szCs w:val="32"/>
        </w:rPr>
      </w:pPr>
      <w:r>
        <w:br w:type="page"/>
      </w:r>
    </w:p>
    <w:p w14:paraId="4D544131" w14:textId="70E822D4" w:rsidR="00941E37" w:rsidRPr="006B74E7" w:rsidRDefault="00227E04" w:rsidP="00941E37">
      <w:pPr>
        <w:pStyle w:val="Heading1"/>
      </w:pPr>
      <w:bookmarkStart w:id="12" w:name="_Toc214103264"/>
      <w:r>
        <w:t xml:space="preserve">5.0 </w:t>
      </w:r>
      <w:r w:rsidR="00941E37">
        <w:t xml:space="preserve">Investment Appraisal </w:t>
      </w:r>
      <w:proofErr w:type="gramStart"/>
      <w:r w:rsidR="00941E37">
        <w:t>And</w:t>
      </w:r>
      <w:proofErr w:type="gramEnd"/>
      <w:r w:rsidR="00941E37">
        <w:t xml:space="preserve"> Capital Budgeting</w:t>
      </w:r>
      <w:bookmarkEnd w:id="12"/>
    </w:p>
    <w:p w14:paraId="2765E165" w14:textId="77777777" w:rsidR="00941E37" w:rsidRDefault="00941E37" w:rsidP="00941E37">
      <w:r>
        <w:t xml:space="preserve">General Electronics has such vital investment decisions where capital budgeting analysis must be carried out strictly with the use of various assessment methodologies. There are three separate projects, which should be fully </w:t>
      </w:r>
      <w:proofErr w:type="spellStart"/>
      <w:r>
        <w:t>analyzed</w:t>
      </w:r>
      <w:proofErr w:type="spellEnd"/>
      <w:r>
        <w:t xml:space="preserve"> through discount cash flow and conventional appraisal techniques, and have capital restrictions that will create discipline in selecting a project as binding (Ryan and Ryan, 2002).</w:t>
      </w:r>
    </w:p>
    <w:p w14:paraId="20AEC981" w14:textId="331DEE50" w:rsidR="00941E37" w:rsidRDefault="00227E04" w:rsidP="00941E37">
      <w:pPr>
        <w:pStyle w:val="Heading2"/>
      </w:pPr>
      <w:bookmarkStart w:id="13" w:name="_Toc214103265"/>
      <w:r>
        <w:t xml:space="preserve">5.1 </w:t>
      </w:r>
      <w:r w:rsidR="00941E37">
        <w:t>Project Appraisal Analysis</w:t>
      </w:r>
      <w:bookmarkEnd w:id="13"/>
    </w:p>
    <w:p w14:paraId="58A30314" w14:textId="124AB7B6" w:rsidR="001C61FE" w:rsidRDefault="001C61FE" w:rsidP="001C61FE">
      <w:pPr>
        <w:pStyle w:val="Heading3"/>
      </w:pPr>
      <w:bookmarkStart w:id="14" w:name="_Toc214103266"/>
      <w:r>
        <w:t>Project A</w:t>
      </w:r>
      <w:bookmarkEnd w:id="14"/>
      <w:r>
        <w:t xml:space="preserve"> </w:t>
      </w:r>
    </w:p>
    <w:p w14:paraId="7524AB3E" w14:textId="77777777" w:rsidR="00D75C3B" w:rsidRPr="00D75C3B" w:rsidRDefault="00D75C3B" w:rsidP="00D75C3B">
      <w:pPr>
        <w:rPr>
          <w:b/>
          <w:bCs/>
        </w:rPr>
      </w:pPr>
      <w:r w:rsidRPr="00D75C3B">
        <w:rPr>
          <w:b/>
          <w:bCs/>
        </w:rPr>
        <w:t xml:space="preserve">Pay Back Period </w:t>
      </w:r>
    </w:p>
    <w:p w14:paraId="1ACA665B" w14:textId="77777777" w:rsidR="00D75C3B" w:rsidRDefault="00D75C3B" w:rsidP="00D75C3B">
      <w:pPr>
        <w:jc w:val="center"/>
      </w:pPr>
      <w:r w:rsidRPr="0099316E">
        <w:rPr>
          <w:noProof/>
        </w:rPr>
        <w:drawing>
          <wp:inline distT="0" distB="0" distL="0" distR="0" wp14:anchorId="173CC9D4" wp14:editId="121786C9">
            <wp:extent cx="5105400" cy="2245995"/>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1339"/>
                    <a:stretch/>
                  </pic:blipFill>
                  <pic:spPr bwMode="auto">
                    <a:xfrm>
                      <a:off x="0" y="0"/>
                      <a:ext cx="5106113" cy="2246309"/>
                    </a:xfrm>
                    <a:prstGeom prst="rect">
                      <a:avLst/>
                    </a:prstGeom>
                    <a:ln>
                      <a:noFill/>
                    </a:ln>
                    <a:extLst>
                      <a:ext uri="{53640926-AAD7-44D8-BBD7-CCE9431645EC}">
                        <a14:shadowObscured xmlns:a14="http://schemas.microsoft.com/office/drawing/2010/main"/>
                      </a:ext>
                    </a:extLst>
                  </pic:spPr>
                </pic:pic>
              </a:graphicData>
            </a:graphic>
          </wp:inline>
        </w:drawing>
      </w:r>
    </w:p>
    <w:p w14:paraId="61C57C36" w14:textId="77777777" w:rsidR="00D75C3B" w:rsidRPr="00D75C3B" w:rsidRDefault="00D75C3B" w:rsidP="00D75C3B">
      <w:pPr>
        <w:rPr>
          <w:b/>
          <w:bCs/>
        </w:rPr>
      </w:pPr>
      <w:r w:rsidRPr="00D75C3B">
        <w:rPr>
          <w:b/>
          <w:bCs/>
        </w:rPr>
        <w:t xml:space="preserve">Net Present Value </w:t>
      </w:r>
    </w:p>
    <w:p w14:paraId="703B0492" w14:textId="77777777" w:rsidR="00D75C3B" w:rsidRDefault="00D75C3B" w:rsidP="00D75C3B">
      <w:r w:rsidRPr="00964F48">
        <w:rPr>
          <w:noProof/>
        </w:rPr>
        <w:drawing>
          <wp:inline distT="0" distB="0" distL="0" distR="0" wp14:anchorId="2B9A8C69" wp14:editId="6309653E">
            <wp:extent cx="5943600" cy="2360930"/>
            <wp:effectExtent l="0" t="0" r="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2360930"/>
                    </a:xfrm>
                    <a:prstGeom prst="rect">
                      <a:avLst/>
                    </a:prstGeom>
                  </pic:spPr>
                </pic:pic>
              </a:graphicData>
            </a:graphic>
          </wp:inline>
        </w:drawing>
      </w:r>
    </w:p>
    <w:p w14:paraId="232B56E4" w14:textId="77777777" w:rsidR="00D75C3B" w:rsidRPr="00D75C3B" w:rsidRDefault="00D75C3B" w:rsidP="00D75C3B">
      <w:pPr>
        <w:rPr>
          <w:b/>
          <w:bCs/>
        </w:rPr>
      </w:pPr>
      <w:r w:rsidRPr="00D75C3B">
        <w:rPr>
          <w:b/>
          <w:bCs/>
        </w:rPr>
        <w:t>Average Rate of Return</w:t>
      </w:r>
    </w:p>
    <w:p w14:paraId="50B13A6D" w14:textId="77777777" w:rsidR="00D75C3B" w:rsidRDefault="00D75C3B" w:rsidP="00D75C3B">
      <w:pPr>
        <w:pStyle w:val="NormalWeb"/>
        <w:spacing w:before="0" w:beforeAutospacing="0" w:after="240" w:afterAutospacing="0" w:line="360" w:lineRule="auto"/>
        <w:jc w:val="center"/>
      </w:pPr>
      <w:r w:rsidRPr="00964F48">
        <w:rPr>
          <w:noProof/>
        </w:rPr>
        <w:drawing>
          <wp:inline distT="0" distB="0" distL="0" distR="0" wp14:anchorId="7A7DF833" wp14:editId="4DA7C652">
            <wp:extent cx="5943600" cy="286639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2866390"/>
                    </a:xfrm>
                    <a:prstGeom prst="rect">
                      <a:avLst/>
                    </a:prstGeom>
                  </pic:spPr>
                </pic:pic>
              </a:graphicData>
            </a:graphic>
          </wp:inline>
        </w:drawing>
      </w:r>
    </w:p>
    <w:p w14:paraId="3A1B3A05" w14:textId="77777777" w:rsidR="00D75C3B" w:rsidRPr="00D75C3B" w:rsidRDefault="00D75C3B" w:rsidP="00D75C3B">
      <w:pPr>
        <w:rPr>
          <w:b/>
          <w:bCs/>
        </w:rPr>
      </w:pPr>
      <w:r w:rsidRPr="00D75C3B">
        <w:rPr>
          <w:b/>
          <w:bCs/>
        </w:rPr>
        <w:t xml:space="preserve">Internal Rate of Return </w:t>
      </w:r>
    </w:p>
    <w:p w14:paraId="418DA42A" w14:textId="77777777" w:rsidR="00D75C3B" w:rsidRDefault="00D75C3B" w:rsidP="00D75C3B">
      <w:pPr>
        <w:jc w:val="center"/>
      </w:pPr>
      <w:r w:rsidRPr="00964F48">
        <w:rPr>
          <w:noProof/>
        </w:rPr>
        <w:drawing>
          <wp:inline distT="0" distB="0" distL="0" distR="0" wp14:anchorId="38701321" wp14:editId="3E9A9C93">
            <wp:extent cx="2567940" cy="2000250"/>
            <wp:effectExtent l="0" t="0" r="381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319"/>
                    <a:stretch/>
                  </pic:blipFill>
                  <pic:spPr bwMode="auto">
                    <a:xfrm>
                      <a:off x="0" y="0"/>
                      <a:ext cx="2568298" cy="2000529"/>
                    </a:xfrm>
                    <a:prstGeom prst="rect">
                      <a:avLst/>
                    </a:prstGeom>
                    <a:ln>
                      <a:noFill/>
                    </a:ln>
                    <a:extLst>
                      <a:ext uri="{53640926-AAD7-44D8-BBD7-CCE9431645EC}">
                        <a14:shadowObscured xmlns:a14="http://schemas.microsoft.com/office/drawing/2010/main"/>
                      </a:ext>
                    </a:extLst>
                  </pic:spPr>
                </pic:pic>
              </a:graphicData>
            </a:graphic>
          </wp:inline>
        </w:drawing>
      </w:r>
    </w:p>
    <w:p w14:paraId="71DFAAA2" w14:textId="77777777" w:rsidR="00D75C3B" w:rsidRPr="00D75C3B" w:rsidRDefault="00D75C3B" w:rsidP="00D75C3B">
      <w:pPr>
        <w:rPr>
          <w:b/>
          <w:bCs/>
        </w:rPr>
      </w:pPr>
      <w:r w:rsidRPr="00D75C3B">
        <w:rPr>
          <w:b/>
          <w:bCs/>
        </w:rPr>
        <w:t xml:space="preserve">Profitability Index </w:t>
      </w:r>
    </w:p>
    <w:p w14:paraId="2CA1FEB7" w14:textId="77777777" w:rsidR="00D75C3B" w:rsidRDefault="00D75C3B" w:rsidP="00D75C3B">
      <w:pPr>
        <w:jc w:val="center"/>
      </w:pPr>
      <w:r w:rsidRPr="00964F48">
        <w:rPr>
          <w:noProof/>
        </w:rPr>
        <w:drawing>
          <wp:inline distT="0" distB="0" distL="0" distR="0" wp14:anchorId="4C758719" wp14:editId="53CC9FCD">
            <wp:extent cx="3962349" cy="1270000"/>
            <wp:effectExtent l="0" t="0" r="635"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140" t="1186"/>
                    <a:stretch/>
                  </pic:blipFill>
                  <pic:spPr bwMode="auto">
                    <a:xfrm>
                      <a:off x="0" y="0"/>
                      <a:ext cx="3964859" cy="1270804"/>
                    </a:xfrm>
                    <a:prstGeom prst="rect">
                      <a:avLst/>
                    </a:prstGeom>
                    <a:ln>
                      <a:noFill/>
                    </a:ln>
                    <a:extLst>
                      <a:ext uri="{53640926-AAD7-44D8-BBD7-CCE9431645EC}">
                        <a14:shadowObscured xmlns:a14="http://schemas.microsoft.com/office/drawing/2010/main"/>
                      </a:ext>
                    </a:extLst>
                  </pic:spPr>
                </pic:pic>
              </a:graphicData>
            </a:graphic>
          </wp:inline>
        </w:drawing>
      </w:r>
    </w:p>
    <w:p w14:paraId="5DB581AE" w14:textId="77777777" w:rsidR="00D75C3B" w:rsidRDefault="00D75C3B" w:rsidP="00D75C3B">
      <w:pPr>
        <w:jc w:val="center"/>
      </w:pPr>
    </w:p>
    <w:p w14:paraId="57766C46" w14:textId="77777777" w:rsidR="00D75C3B" w:rsidRPr="00D75C3B" w:rsidRDefault="00D75C3B" w:rsidP="00D75C3B"/>
    <w:p w14:paraId="6287A906" w14:textId="3A881998" w:rsidR="00941E37" w:rsidRDefault="00941E37" w:rsidP="00941E37">
      <w:r>
        <w:t>The cash inflows of the project are increasing up to Year 3 and thereafter stabilized, which indicates that the initial investment of the project is greater than the net cash inflows, i.e. the initial investment should be greater than the net cash inflows of the project. The trend is that of early penetration into the market and then market maturation and possibly competitive forces. The Payback Period of 3.40 years means that capital has been recovered within capital investment horizon, but 68 percent of the project life, there is a lot of capital at risk. The positive NPV of £1.314 million at 10 percent discount rate confirms the fact that the project was modestly viable but it can be seen that value creation margins are not high and hence are prone to downside risks. Accounting rate of Return of 14 percent is high compared to normal corporate hurdle rates and indicates that there is sufficient profit generation that is generated after depreciation. IRR of 11 per cent is almost higher than discount rate of 10 per cent indicating small value creation with low level of safety margin. The profitability Index represents 1.0329 which expresses the generated present value of 3.29 pence of 1 pound invested, slightly higher than breakeven generating of values (Zohran, 2022). In terms of capital rationing the low returns and lengthy payback period of Project A is a conservative value creation which is not enough to bring a company in turnaround crisis.</w:t>
      </w:r>
    </w:p>
    <w:p w14:paraId="10EFFCEB" w14:textId="77777777" w:rsidR="00D75C3B" w:rsidRDefault="00D75C3B">
      <w:pPr>
        <w:spacing w:line="259" w:lineRule="auto"/>
        <w:jc w:val="left"/>
        <w:rPr>
          <w:rFonts w:asciiTheme="majorBidi" w:eastAsiaTheme="majorEastAsia" w:hAnsiTheme="majorBidi" w:cstheme="majorBidi"/>
          <w:b/>
          <w:sz w:val="26"/>
          <w:szCs w:val="24"/>
        </w:rPr>
      </w:pPr>
      <w:r>
        <w:br w:type="page"/>
      </w:r>
    </w:p>
    <w:p w14:paraId="096C3DC0" w14:textId="61C678B8" w:rsidR="00941E37" w:rsidRDefault="001C61FE" w:rsidP="001C61FE">
      <w:pPr>
        <w:pStyle w:val="Heading3"/>
      </w:pPr>
      <w:bookmarkStart w:id="15" w:name="_Toc214103267"/>
      <w:r>
        <w:t>Project B</w:t>
      </w:r>
      <w:bookmarkEnd w:id="15"/>
      <w:r>
        <w:t xml:space="preserve"> </w:t>
      </w:r>
    </w:p>
    <w:p w14:paraId="1ED2BBAD" w14:textId="77777777" w:rsidR="00D75C3B" w:rsidRPr="00D75C3B" w:rsidRDefault="00D75C3B" w:rsidP="00D75C3B">
      <w:pPr>
        <w:rPr>
          <w:b/>
          <w:bCs/>
        </w:rPr>
      </w:pPr>
      <w:r w:rsidRPr="00D75C3B">
        <w:rPr>
          <w:b/>
          <w:bCs/>
        </w:rPr>
        <w:t xml:space="preserve">Pay Back Period </w:t>
      </w:r>
    </w:p>
    <w:p w14:paraId="1576AE1F" w14:textId="77777777" w:rsidR="00D75C3B" w:rsidRDefault="00D75C3B" w:rsidP="00D75C3B">
      <w:pPr>
        <w:jc w:val="center"/>
      </w:pPr>
      <w:r w:rsidRPr="00964F48">
        <w:rPr>
          <w:noProof/>
        </w:rPr>
        <w:drawing>
          <wp:inline distT="0" distB="0" distL="0" distR="0" wp14:anchorId="41CDDF99" wp14:editId="1207C27B">
            <wp:extent cx="4058216" cy="2000529"/>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058216" cy="2000529"/>
                    </a:xfrm>
                    <a:prstGeom prst="rect">
                      <a:avLst/>
                    </a:prstGeom>
                  </pic:spPr>
                </pic:pic>
              </a:graphicData>
            </a:graphic>
          </wp:inline>
        </w:drawing>
      </w:r>
    </w:p>
    <w:p w14:paraId="05029FAD" w14:textId="77777777" w:rsidR="00D75C3B" w:rsidRPr="00D75C3B" w:rsidRDefault="00D75C3B" w:rsidP="00D75C3B">
      <w:pPr>
        <w:rPr>
          <w:b/>
          <w:bCs/>
        </w:rPr>
      </w:pPr>
      <w:r w:rsidRPr="00D75C3B">
        <w:rPr>
          <w:b/>
          <w:bCs/>
        </w:rPr>
        <w:t xml:space="preserve">Net Present Value </w:t>
      </w:r>
    </w:p>
    <w:p w14:paraId="50B45D1B" w14:textId="77777777" w:rsidR="00D75C3B" w:rsidRPr="00964F48" w:rsidRDefault="00D75C3B" w:rsidP="00D75C3B">
      <w:pPr>
        <w:jc w:val="center"/>
      </w:pPr>
      <w:r w:rsidRPr="00964F48">
        <w:rPr>
          <w:noProof/>
        </w:rPr>
        <w:drawing>
          <wp:inline distT="0" distB="0" distL="0" distR="0" wp14:anchorId="4EBCB09D" wp14:editId="37D05F43">
            <wp:extent cx="5220429" cy="2229161"/>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220429" cy="2229161"/>
                    </a:xfrm>
                    <a:prstGeom prst="rect">
                      <a:avLst/>
                    </a:prstGeom>
                  </pic:spPr>
                </pic:pic>
              </a:graphicData>
            </a:graphic>
          </wp:inline>
        </w:drawing>
      </w:r>
    </w:p>
    <w:p w14:paraId="3264A38F" w14:textId="77777777" w:rsidR="00D75C3B" w:rsidRPr="00D75C3B" w:rsidRDefault="00D75C3B" w:rsidP="00D75C3B">
      <w:pPr>
        <w:rPr>
          <w:b/>
          <w:bCs/>
        </w:rPr>
      </w:pPr>
      <w:r w:rsidRPr="00D75C3B">
        <w:rPr>
          <w:b/>
          <w:bCs/>
        </w:rPr>
        <w:t xml:space="preserve">Average Rate of Return </w:t>
      </w:r>
    </w:p>
    <w:p w14:paraId="59E37B1E" w14:textId="77777777" w:rsidR="00D75C3B" w:rsidRPr="00964F48" w:rsidRDefault="00D75C3B" w:rsidP="00D75C3B">
      <w:pPr>
        <w:jc w:val="center"/>
      </w:pPr>
      <w:r w:rsidRPr="00964F48">
        <w:rPr>
          <w:noProof/>
        </w:rPr>
        <w:drawing>
          <wp:inline distT="0" distB="0" distL="0" distR="0" wp14:anchorId="4FE35A37" wp14:editId="35382763">
            <wp:extent cx="4807942" cy="221107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441" t="1606"/>
                    <a:stretch/>
                  </pic:blipFill>
                  <pic:spPr bwMode="auto">
                    <a:xfrm>
                      <a:off x="0" y="0"/>
                      <a:ext cx="4817457" cy="2215446"/>
                    </a:xfrm>
                    <a:prstGeom prst="rect">
                      <a:avLst/>
                    </a:prstGeom>
                    <a:ln>
                      <a:noFill/>
                    </a:ln>
                    <a:extLst>
                      <a:ext uri="{53640926-AAD7-44D8-BBD7-CCE9431645EC}">
                        <a14:shadowObscured xmlns:a14="http://schemas.microsoft.com/office/drawing/2010/main"/>
                      </a:ext>
                    </a:extLst>
                  </pic:spPr>
                </pic:pic>
              </a:graphicData>
            </a:graphic>
          </wp:inline>
        </w:drawing>
      </w:r>
    </w:p>
    <w:p w14:paraId="06F70365" w14:textId="77777777" w:rsidR="00D75C3B" w:rsidRPr="00D75C3B" w:rsidRDefault="00D75C3B" w:rsidP="00D75C3B">
      <w:pPr>
        <w:rPr>
          <w:b/>
          <w:bCs/>
        </w:rPr>
      </w:pPr>
      <w:r w:rsidRPr="00D75C3B">
        <w:rPr>
          <w:b/>
          <w:bCs/>
        </w:rPr>
        <w:t xml:space="preserve">Internal Rate of Return </w:t>
      </w:r>
    </w:p>
    <w:p w14:paraId="4D49F6D5" w14:textId="77777777" w:rsidR="00D75C3B" w:rsidRDefault="00D75C3B" w:rsidP="00D75C3B">
      <w:pPr>
        <w:jc w:val="center"/>
      </w:pPr>
      <w:r w:rsidRPr="00964F48">
        <w:rPr>
          <w:noProof/>
        </w:rPr>
        <w:drawing>
          <wp:inline distT="0" distB="0" distL="0" distR="0" wp14:anchorId="4E49F6E8" wp14:editId="0691FC6C">
            <wp:extent cx="2021032" cy="2266949"/>
            <wp:effectExtent l="0" t="0" r="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669"/>
                    <a:stretch/>
                  </pic:blipFill>
                  <pic:spPr bwMode="auto">
                    <a:xfrm>
                      <a:off x="0" y="0"/>
                      <a:ext cx="2021314" cy="2267266"/>
                    </a:xfrm>
                    <a:prstGeom prst="rect">
                      <a:avLst/>
                    </a:prstGeom>
                    <a:ln>
                      <a:noFill/>
                    </a:ln>
                    <a:extLst>
                      <a:ext uri="{53640926-AAD7-44D8-BBD7-CCE9431645EC}">
                        <a14:shadowObscured xmlns:a14="http://schemas.microsoft.com/office/drawing/2010/main"/>
                      </a:ext>
                    </a:extLst>
                  </pic:spPr>
                </pic:pic>
              </a:graphicData>
            </a:graphic>
          </wp:inline>
        </w:drawing>
      </w:r>
    </w:p>
    <w:p w14:paraId="298F2B9D" w14:textId="77777777" w:rsidR="00D75C3B" w:rsidRPr="00D75C3B" w:rsidRDefault="00D75C3B" w:rsidP="00D75C3B">
      <w:pPr>
        <w:rPr>
          <w:b/>
          <w:bCs/>
        </w:rPr>
      </w:pPr>
      <w:r w:rsidRPr="00D75C3B">
        <w:rPr>
          <w:b/>
          <w:bCs/>
        </w:rPr>
        <w:t xml:space="preserve">Profitability Index </w:t>
      </w:r>
    </w:p>
    <w:p w14:paraId="7488DE87" w14:textId="77777777" w:rsidR="00D75C3B" w:rsidRPr="00964F48" w:rsidRDefault="00D75C3B" w:rsidP="00D75C3B">
      <w:pPr>
        <w:jc w:val="center"/>
      </w:pPr>
      <w:r w:rsidRPr="00964F48">
        <w:rPr>
          <w:noProof/>
        </w:rPr>
        <w:drawing>
          <wp:inline distT="0" distB="0" distL="0" distR="0" wp14:anchorId="298D826B" wp14:editId="34D10BC7">
            <wp:extent cx="5410955" cy="1267002"/>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410955" cy="1267002"/>
                    </a:xfrm>
                    <a:prstGeom prst="rect">
                      <a:avLst/>
                    </a:prstGeom>
                  </pic:spPr>
                </pic:pic>
              </a:graphicData>
            </a:graphic>
          </wp:inline>
        </w:drawing>
      </w:r>
    </w:p>
    <w:p w14:paraId="16121146" w14:textId="77777777" w:rsidR="00D75C3B" w:rsidRPr="00D75C3B" w:rsidRDefault="00D75C3B" w:rsidP="00D75C3B"/>
    <w:p w14:paraId="7CA4E7D6" w14:textId="1479F463" w:rsidR="00D75C3B" w:rsidRPr="001A05A8" w:rsidRDefault="00941E37" w:rsidP="001A05A8">
      <w:r>
        <w:t xml:space="preserve">The initial investment of £30 million with a consistent cash inflow of annual cash of £6 million is a non-growth and non-market expansion cash generation. This trend indicates a level, developed and mature market with low organic growth prospects. The Payback Period of 5 years is also equal to the investment horizon at which the capital recovery has just been met meaning that there is no margin of error at which the terminal value or the cash that is left at the end of the project. This coincidence on timing indicates possible inadequacy of </w:t>
      </w:r>
      <w:proofErr w:type="spellStart"/>
      <w:r>
        <w:t>modeling</w:t>
      </w:r>
      <w:proofErr w:type="spellEnd"/>
      <w:r>
        <w:t xml:space="preserve">. More importantly, NPV is very low at negative values of 7.26 million pounds and this implies that unprecedented destruction of value takes place. ARR 0 percent translate to the </w:t>
      </w:r>
      <w:proofErr w:type="gramStart"/>
      <w:r>
        <w:t>depreciation based</w:t>
      </w:r>
      <w:proofErr w:type="gramEnd"/>
      <w:r>
        <w:t xml:space="preserve"> cash flows that generate zero surplus returns over and above the capital recovery, poor remuneration of the investment risk. IRR 0%.0 corresponds to depreciation rate </w:t>
      </w:r>
      <w:proofErr w:type="gramStart"/>
      <w:r>
        <w:t>( 30</w:t>
      </w:r>
      <w:proofErr w:type="gramEnd"/>
      <w:r>
        <w:t xml:space="preserve"> million/5 years=6million/year</w:t>
      </w:r>
      <w:proofErr w:type="gramStart"/>
      <w:r>
        <w:t>),</w:t>
      </w:r>
      <w:proofErr w:type="gramEnd"/>
      <w:r>
        <w:t xml:space="preserve"> thus zero economic value is created and hence IRR equals zero (zero). The discount rate of zero at an inflation-adjusted rate equals the internal rate of return of that rate. The value destruction is already high, and profitability Index is 0.758 which means that present value of returns is already at 76 percent of capital invested (Monga, 2025). Project B has clearly lower quality and kills shareholder value in systematic terms with cash returns that are less than the cost of capital.</w:t>
      </w:r>
    </w:p>
    <w:p w14:paraId="7191CEB7" w14:textId="5D5EFC92" w:rsidR="00941E37" w:rsidRDefault="001C61FE" w:rsidP="001C61FE">
      <w:pPr>
        <w:pStyle w:val="Heading3"/>
      </w:pPr>
      <w:bookmarkStart w:id="16" w:name="_Toc214103268"/>
      <w:r>
        <w:t>Project C</w:t>
      </w:r>
      <w:bookmarkEnd w:id="16"/>
      <w:r>
        <w:t xml:space="preserve"> </w:t>
      </w:r>
    </w:p>
    <w:p w14:paraId="5499530A" w14:textId="77777777" w:rsidR="00D75C3B" w:rsidRPr="00D75C3B" w:rsidRDefault="00D75C3B" w:rsidP="00D75C3B">
      <w:pPr>
        <w:rPr>
          <w:b/>
          <w:bCs/>
        </w:rPr>
      </w:pPr>
      <w:r w:rsidRPr="00D75C3B">
        <w:rPr>
          <w:b/>
          <w:bCs/>
        </w:rPr>
        <w:t xml:space="preserve">Pay Back Period </w:t>
      </w:r>
    </w:p>
    <w:p w14:paraId="19137C94" w14:textId="77777777" w:rsidR="00D75C3B" w:rsidRDefault="00D75C3B" w:rsidP="00D75C3B">
      <w:pPr>
        <w:jc w:val="center"/>
      </w:pPr>
      <w:r w:rsidRPr="003F7589">
        <w:rPr>
          <w:noProof/>
        </w:rPr>
        <w:drawing>
          <wp:inline distT="0" distB="0" distL="0" distR="0" wp14:anchorId="0FDA3669" wp14:editId="4166060E">
            <wp:extent cx="5191850" cy="2010056"/>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191850" cy="2010056"/>
                    </a:xfrm>
                    <a:prstGeom prst="rect">
                      <a:avLst/>
                    </a:prstGeom>
                  </pic:spPr>
                </pic:pic>
              </a:graphicData>
            </a:graphic>
          </wp:inline>
        </w:drawing>
      </w:r>
    </w:p>
    <w:p w14:paraId="1B9EFA5B" w14:textId="77777777" w:rsidR="00D75C3B" w:rsidRPr="00D75C3B" w:rsidRDefault="00D75C3B" w:rsidP="00D75C3B">
      <w:pPr>
        <w:rPr>
          <w:b/>
          <w:bCs/>
        </w:rPr>
      </w:pPr>
      <w:r w:rsidRPr="00D75C3B">
        <w:rPr>
          <w:b/>
          <w:bCs/>
        </w:rPr>
        <w:t xml:space="preserve">Net Present Value </w:t>
      </w:r>
    </w:p>
    <w:p w14:paraId="3CF73E90" w14:textId="77777777" w:rsidR="00D75C3B" w:rsidRPr="003F7589" w:rsidRDefault="00D75C3B" w:rsidP="00D75C3B">
      <w:pPr>
        <w:jc w:val="center"/>
      </w:pPr>
      <w:r w:rsidRPr="003F7589">
        <w:rPr>
          <w:noProof/>
        </w:rPr>
        <w:drawing>
          <wp:inline distT="0" distB="0" distL="0" distR="0" wp14:anchorId="02030B80" wp14:editId="49DCDAC2">
            <wp:extent cx="5943600" cy="1613535"/>
            <wp:effectExtent l="0" t="0" r="0" b="57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1613535"/>
                    </a:xfrm>
                    <a:prstGeom prst="rect">
                      <a:avLst/>
                    </a:prstGeom>
                  </pic:spPr>
                </pic:pic>
              </a:graphicData>
            </a:graphic>
          </wp:inline>
        </w:drawing>
      </w:r>
    </w:p>
    <w:p w14:paraId="7427FB6B" w14:textId="77777777" w:rsidR="00D75C3B" w:rsidRPr="00D75C3B" w:rsidRDefault="00D75C3B" w:rsidP="00D75C3B">
      <w:pPr>
        <w:rPr>
          <w:b/>
          <w:bCs/>
        </w:rPr>
      </w:pPr>
      <w:r w:rsidRPr="00D75C3B">
        <w:rPr>
          <w:b/>
          <w:bCs/>
        </w:rPr>
        <w:t xml:space="preserve">Average Rate of Return </w:t>
      </w:r>
    </w:p>
    <w:p w14:paraId="64C7DC42" w14:textId="368974FF" w:rsidR="00D75C3B" w:rsidRPr="001A05A8" w:rsidRDefault="00D75C3B" w:rsidP="001A05A8">
      <w:pPr>
        <w:jc w:val="center"/>
      </w:pPr>
      <w:r w:rsidRPr="003F7589">
        <w:rPr>
          <w:noProof/>
        </w:rPr>
        <w:drawing>
          <wp:inline distT="0" distB="0" distL="0" distR="0" wp14:anchorId="38C1133B" wp14:editId="620B853D">
            <wp:extent cx="5908964" cy="1934210"/>
            <wp:effectExtent l="0" t="0" r="0" b="889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583"/>
                    <a:stretch/>
                  </pic:blipFill>
                  <pic:spPr bwMode="auto">
                    <a:xfrm>
                      <a:off x="0" y="0"/>
                      <a:ext cx="5908964" cy="1934210"/>
                    </a:xfrm>
                    <a:prstGeom prst="rect">
                      <a:avLst/>
                    </a:prstGeom>
                    <a:ln>
                      <a:noFill/>
                    </a:ln>
                    <a:extLst>
                      <a:ext uri="{53640926-AAD7-44D8-BBD7-CCE9431645EC}">
                        <a14:shadowObscured xmlns:a14="http://schemas.microsoft.com/office/drawing/2010/main"/>
                      </a:ext>
                    </a:extLst>
                  </pic:spPr>
                </pic:pic>
              </a:graphicData>
            </a:graphic>
          </wp:inline>
        </w:drawing>
      </w:r>
    </w:p>
    <w:p w14:paraId="3D3B29F7" w14:textId="6ADE1491" w:rsidR="00D75C3B" w:rsidRPr="00D75C3B" w:rsidRDefault="00D75C3B" w:rsidP="00D75C3B">
      <w:pPr>
        <w:rPr>
          <w:b/>
          <w:bCs/>
        </w:rPr>
      </w:pPr>
      <w:r w:rsidRPr="00D75C3B">
        <w:rPr>
          <w:b/>
          <w:bCs/>
        </w:rPr>
        <w:t xml:space="preserve">Internal Rate of Return </w:t>
      </w:r>
    </w:p>
    <w:p w14:paraId="21C5BBE7" w14:textId="77777777" w:rsidR="00D75C3B" w:rsidRPr="003F7589" w:rsidRDefault="00D75C3B" w:rsidP="00D75C3B">
      <w:pPr>
        <w:jc w:val="center"/>
      </w:pPr>
      <w:r w:rsidRPr="003F7589">
        <w:rPr>
          <w:noProof/>
        </w:rPr>
        <w:drawing>
          <wp:inline distT="0" distB="0" distL="0" distR="0" wp14:anchorId="6F0367F3" wp14:editId="70B7B99B">
            <wp:extent cx="2619741" cy="2019582"/>
            <wp:effectExtent l="0" t="0" r="952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619741" cy="2019582"/>
                    </a:xfrm>
                    <a:prstGeom prst="rect">
                      <a:avLst/>
                    </a:prstGeom>
                  </pic:spPr>
                </pic:pic>
              </a:graphicData>
            </a:graphic>
          </wp:inline>
        </w:drawing>
      </w:r>
    </w:p>
    <w:p w14:paraId="39C65839" w14:textId="77777777" w:rsidR="00D75C3B" w:rsidRPr="00D75C3B" w:rsidRDefault="00D75C3B" w:rsidP="00D75C3B">
      <w:pPr>
        <w:rPr>
          <w:b/>
          <w:bCs/>
        </w:rPr>
      </w:pPr>
      <w:r w:rsidRPr="00D75C3B">
        <w:rPr>
          <w:b/>
          <w:bCs/>
        </w:rPr>
        <w:t xml:space="preserve">Profitability Index </w:t>
      </w:r>
    </w:p>
    <w:p w14:paraId="09334B3E" w14:textId="77777777" w:rsidR="00D75C3B" w:rsidRPr="003F7589" w:rsidRDefault="00D75C3B" w:rsidP="00D75C3B">
      <w:pPr>
        <w:jc w:val="center"/>
      </w:pPr>
      <w:r w:rsidRPr="003F7589">
        <w:rPr>
          <w:noProof/>
        </w:rPr>
        <w:drawing>
          <wp:inline distT="0" distB="0" distL="0" distR="0" wp14:anchorId="5358518A" wp14:editId="7E3CFA10">
            <wp:extent cx="3877216" cy="1286054"/>
            <wp:effectExtent l="0" t="0" r="9525"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877216" cy="1286054"/>
                    </a:xfrm>
                    <a:prstGeom prst="rect">
                      <a:avLst/>
                    </a:prstGeom>
                  </pic:spPr>
                </pic:pic>
              </a:graphicData>
            </a:graphic>
          </wp:inline>
        </w:drawing>
      </w:r>
    </w:p>
    <w:p w14:paraId="01B43F9D" w14:textId="624A37C4" w:rsidR="00941E37" w:rsidRDefault="00D75C3B" w:rsidP="00941E37">
      <w:r>
        <w:t>T</w:t>
      </w:r>
      <w:r w:rsidR="00941E37">
        <w:t xml:space="preserve">he maximum investment available in a project is the initial investment of £50 million followed by the cash flows rising as (£5 million Years 1, 10 and 20 and 25 Years 4-5) will have the highest level of capital requirement followed by extremely high returns. This trend indicates the late value recognition which may follow with schedules of market growth, launching new products or expansion in geographic areas. It has a Payback Period of 3.60 years which means that rather, the capital is recovered faster although the capital requirement is front loaded. NPV of £4.215 million is the highest of all the projects </w:t>
      </w:r>
      <w:proofErr w:type="spellStart"/>
      <w:r w:rsidR="00941E37">
        <w:t>analyzed</w:t>
      </w:r>
      <w:proofErr w:type="spellEnd"/>
      <w:r w:rsidR="00941E37">
        <w:t xml:space="preserve"> in terms of absolute value creation and this gives a significant value addition to the cost of capital. ARR of 20 percent is better profit generation and is better than standardizing investors risk of undertaking the project and capital usage. The highest internal rate of return stands at 13 percent, as it yields 300 basis points above the 10 percent discount rate- huge premium of returns. Profitability Index 1.0843 is showing maximum value created per pound invested and present value of returns is 108.43 percent of the invested capital (Chen, Dong, Wu and Zhang, 2022). When it comes to Project C, the outstanding financial measures in all dimensions culminate in the value creation that is strong in ultimate value creation.</w:t>
      </w:r>
    </w:p>
    <w:p w14:paraId="43E7E581" w14:textId="544A328B" w:rsidR="00941E37" w:rsidRPr="00D75C3B" w:rsidRDefault="00227E04" w:rsidP="00D75C3B">
      <w:pPr>
        <w:pStyle w:val="Heading2"/>
      </w:pPr>
      <w:r>
        <w:br w:type="page"/>
      </w:r>
      <w:bookmarkStart w:id="17" w:name="_Toc214103269"/>
      <w:r>
        <w:t xml:space="preserve">5.2 </w:t>
      </w:r>
      <w:r w:rsidR="00941E37">
        <w:t xml:space="preserve">Comparison and </w:t>
      </w:r>
      <w:r w:rsidR="001C61FE">
        <w:t>M</w:t>
      </w:r>
      <w:r w:rsidR="00941E37">
        <w:t xml:space="preserve">ethodology </w:t>
      </w:r>
      <w:r w:rsidR="001C61FE">
        <w:t>R</w:t>
      </w:r>
      <w:r w:rsidR="00941E37">
        <w:t>econciliation</w:t>
      </w:r>
      <w:bookmarkEnd w:id="17"/>
    </w:p>
    <w:p w14:paraId="1AFEA304" w14:textId="77777777" w:rsidR="00941E37" w:rsidRDefault="00941E37" w:rsidP="00941E37">
      <w:r>
        <w:t>An overall comparison of five conventional investment appraisal methodologies has associated similar trends. Project B clearly and obviously has a worse figure in all measures, and rejection will be easy. Both projects A and C generate a positive value, but in very different aspects. Project A yields predictable and risky cash flows and has a long payback taking patient capital. Project C has better total returns but more volatility on the cash flow, namely front-loaded investments, late payoffs, and increasing returns in year 3-4 with execution risk in case market development is slower than expected.</w:t>
      </w:r>
    </w:p>
    <w:p w14:paraId="37D0F945" w14:textId="77777777" w:rsidR="00941E37" w:rsidRDefault="00941E37" w:rsidP="00941E37">
      <w:r>
        <w:t>The traditional methodologies (Payback Period, ARR) and discounted cash flows (NPV, IRR, PI) are generally in agreement with slight methodological variations. NPV and PI measures focus on creating value in both absolute and relative measures whereas IRR focuses on percentage of returns against investment. Payback Period focuses on a speed of recovery of the liquidity but not value creation. In the case of a company with the financial status held by General Electronics, it is essential to compromise on capital-preservation (that provides less payback time) with value-creation (that presents the maximum NPV) (</w:t>
      </w:r>
      <w:proofErr w:type="spellStart"/>
      <w:r>
        <w:t>Kieso</w:t>
      </w:r>
      <w:proofErr w:type="spellEnd"/>
      <w:r>
        <w:t xml:space="preserve"> &amp; Weygandt, 2022).</w:t>
      </w:r>
    </w:p>
    <w:p w14:paraId="42CA67CD" w14:textId="0DDCD9CE" w:rsidR="00941E37" w:rsidRDefault="00227E04" w:rsidP="001C61FE">
      <w:pPr>
        <w:pStyle w:val="Heading2"/>
      </w:pPr>
      <w:bookmarkStart w:id="18" w:name="_Toc214103270"/>
      <w:r>
        <w:t xml:space="preserve">5.3 </w:t>
      </w:r>
      <w:r w:rsidR="00941E37">
        <w:t xml:space="preserve">CAPM Rationalization </w:t>
      </w:r>
      <w:r w:rsidR="001C61FE">
        <w:t>of Constraints of Capital Rationing</w:t>
      </w:r>
      <w:bookmarkEnd w:id="18"/>
    </w:p>
    <w:p w14:paraId="2B2125A1" w14:textId="22D99459" w:rsidR="00941E37" w:rsidRDefault="00941E37" w:rsidP="00941E37">
      <w:r>
        <w:t>The most important limitation that should be properly examined is capital rationing. Since there is a maximum of the investment capital, which is 60 million pounds, the number of combinations is limited: (1) Project C (minimum 50 million investment, 10 million undeployed); (2) Projects A and B combined (70 million-capacity overrun); (3) Projects B and C combined (80 million -capacity overrun); (4) Projects A and C combined (90 million -capacity overrun). With such constraint as the 60 million pounds there is no option as to select Project C alone, or the combinations have to be analy</w:t>
      </w:r>
      <w:r w:rsidR="001C61FE">
        <w:t>s</w:t>
      </w:r>
      <w:r>
        <w:t>ed whether they can be partially viable.</w:t>
      </w:r>
    </w:p>
    <w:p w14:paraId="101CEC88" w14:textId="22E8A549" w:rsidR="001C61FE" w:rsidRDefault="001C61FE" w:rsidP="0066061C">
      <w:pPr>
        <w:jc w:val="center"/>
      </w:pPr>
      <w:r>
        <w:rPr>
          <w:noProof/>
        </w:rPr>
        <w:drawing>
          <wp:inline distT="0" distB="0" distL="0" distR="0" wp14:anchorId="455C6BC7" wp14:editId="7E3DC62D">
            <wp:extent cx="4388839" cy="3138170"/>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rotWithShape="1">
                    <a:blip r:embed="rId30">
                      <a:extLst>
                        <a:ext uri="{28A0092B-C50C-407E-A947-70E740481C1C}">
                          <a14:useLocalDpi xmlns:a14="http://schemas.microsoft.com/office/drawing/2010/main" val="0"/>
                        </a:ext>
                      </a:extLst>
                    </a:blip>
                    <a:srcRect t="6538" b="16923"/>
                    <a:stretch/>
                  </pic:blipFill>
                  <pic:spPr bwMode="auto">
                    <a:xfrm>
                      <a:off x="0" y="0"/>
                      <a:ext cx="4394927" cy="3142523"/>
                    </a:xfrm>
                    <a:prstGeom prst="rect">
                      <a:avLst/>
                    </a:prstGeom>
                    <a:ln>
                      <a:noFill/>
                    </a:ln>
                    <a:extLst>
                      <a:ext uri="{53640926-AAD7-44D8-BBD7-CCE9431645EC}">
                        <a14:shadowObscured xmlns:a14="http://schemas.microsoft.com/office/drawing/2010/main"/>
                      </a:ext>
                    </a:extLst>
                  </pic:spPr>
                </pic:pic>
              </a:graphicData>
            </a:graphic>
          </wp:inline>
        </w:drawing>
      </w:r>
    </w:p>
    <w:p w14:paraId="52199B97" w14:textId="47DFAF9A" w:rsidR="0066061C" w:rsidRDefault="0066061C" w:rsidP="0066061C">
      <w:pPr>
        <w:pStyle w:val="Caption"/>
        <w:spacing w:after="0"/>
        <w:jc w:val="center"/>
        <w:rPr>
          <w:b/>
          <w:bCs/>
          <w:i w:val="0"/>
          <w:iCs w:val="0"/>
          <w:sz w:val="22"/>
          <w:szCs w:val="22"/>
        </w:rPr>
      </w:pPr>
      <w:r w:rsidRPr="0066061C">
        <w:rPr>
          <w:b/>
          <w:bCs/>
          <w:i w:val="0"/>
          <w:iCs w:val="0"/>
          <w:sz w:val="22"/>
          <w:szCs w:val="22"/>
        </w:rPr>
        <w:t xml:space="preserve">Figure </w:t>
      </w:r>
      <w:r w:rsidRPr="0066061C">
        <w:rPr>
          <w:b/>
          <w:bCs/>
          <w:i w:val="0"/>
          <w:iCs w:val="0"/>
          <w:sz w:val="22"/>
          <w:szCs w:val="22"/>
        </w:rPr>
        <w:fldChar w:fldCharType="begin"/>
      </w:r>
      <w:r w:rsidRPr="0066061C">
        <w:rPr>
          <w:b/>
          <w:bCs/>
          <w:i w:val="0"/>
          <w:iCs w:val="0"/>
          <w:sz w:val="22"/>
          <w:szCs w:val="22"/>
        </w:rPr>
        <w:instrText xml:space="preserve"> SEQ Figure \* ARABIC </w:instrText>
      </w:r>
      <w:r w:rsidRPr="0066061C">
        <w:rPr>
          <w:b/>
          <w:bCs/>
          <w:i w:val="0"/>
          <w:iCs w:val="0"/>
          <w:sz w:val="22"/>
          <w:szCs w:val="22"/>
        </w:rPr>
        <w:fldChar w:fldCharType="separate"/>
      </w:r>
      <w:r w:rsidRPr="0066061C">
        <w:rPr>
          <w:b/>
          <w:bCs/>
          <w:i w:val="0"/>
          <w:iCs w:val="0"/>
          <w:noProof/>
          <w:sz w:val="22"/>
          <w:szCs w:val="22"/>
        </w:rPr>
        <w:t>8</w:t>
      </w:r>
      <w:r w:rsidRPr="0066061C">
        <w:rPr>
          <w:b/>
          <w:bCs/>
          <w:i w:val="0"/>
          <w:iCs w:val="0"/>
          <w:sz w:val="22"/>
          <w:szCs w:val="22"/>
        </w:rPr>
        <w:fldChar w:fldCharType="end"/>
      </w:r>
      <w:r w:rsidRPr="0066061C">
        <w:rPr>
          <w:b/>
          <w:bCs/>
          <w:i w:val="0"/>
          <w:iCs w:val="0"/>
          <w:sz w:val="22"/>
          <w:szCs w:val="22"/>
        </w:rPr>
        <w:t>: Optimal Capital Allocation of £60 Million Among projects</w:t>
      </w:r>
    </w:p>
    <w:p w14:paraId="6B607A6A" w14:textId="131B1FA5" w:rsidR="0066061C" w:rsidRPr="0066061C" w:rsidRDefault="0066061C" w:rsidP="0066061C">
      <w:pPr>
        <w:spacing w:after="0"/>
        <w:jc w:val="center"/>
      </w:pPr>
      <w:r>
        <w:t>Source: (Self Made)</w:t>
      </w:r>
    </w:p>
    <w:p w14:paraId="64B08A8C" w14:textId="77777777" w:rsidR="00941E37" w:rsidRDefault="00941E37" w:rsidP="00941E37">
      <w:r>
        <w:t>The best capital allocation uses the entire capital budget of 60million, using 50million to Project C which is the better project and the remaining 10million to working capital optimization projects instead of working on the destruction of value in Project B. Such allocation decision acknowledges that Project B has negative NPV, and the decision to partially invest in it is equally harmful as well, even at a lower scale, the project is obliterating shareholders. The remaining funds (£10 million) ought to be invested in accelerating improvements in working capital by launching additional accounts receivable acceleration programs, inventory turnover, and payable extension programs (Horngren, 2020).</w:t>
      </w:r>
    </w:p>
    <w:p w14:paraId="5AE5CEF8" w14:textId="158920D4" w:rsidR="00941E37" w:rsidRDefault="00227E04" w:rsidP="001C61FE">
      <w:pPr>
        <w:pStyle w:val="Heading2"/>
      </w:pPr>
      <w:bookmarkStart w:id="19" w:name="_Toc214103271"/>
      <w:r>
        <w:t xml:space="preserve">5.4 </w:t>
      </w:r>
      <w:r w:rsidR="00941E37">
        <w:t>Final Investment Recommendation</w:t>
      </w:r>
      <w:bookmarkEnd w:id="19"/>
    </w:p>
    <w:p w14:paraId="226F3634" w14:textId="77777777" w:rsidR="00941E37" w:rsidRDefault="00941E37" w:rsidP="00941E37">
      <w:r>
        <w:t>The first-choice of the available projects that should be immediately boarded and allocated resources is Project C. The intersection of the best metrics in the highest NPV (£4.215 million), highest IRR (13 percent), highest ARR (20 percent), and the highest Profitability Index (1.0843) in all dimensions of investment appraisal presents strong grounds. The pace of cash flow, which is projected to be hasty in year 3-4 on project C, coincides directly with the turnaround period of the corporation as the future project would be able to generate the much-needed cash in the year 3-4 when the company should see operational enhancements and the pace of de-</w:t>
      </w:r>
      <w:proofErr w:type="spellStart"/>
      <w:r>
        <w:t>debting</w:t>
      </w:r>
      <w:proofErr w:type="spellEnd"/>
      <w:r>
        <w:t xml:space="preserve"> gains momentum (Reilly, Brown &amp; Leeds, 2020).</w:t>
      </w:r>
    </w:p>
    <w:p w14:paraId="6FB1574B" w14:textId="19D5BDE3" w:rsidR="00941E37" w:rsidRDefault="00941E37" w:rsidP="00941E37">
      <w:r>
        <w:t>The other two million pound of the capital budget of the 60 million should be well invested in optimising working capital instead of going after the value-destructive cash flows of Project B. The negative NPV (value is -10,000), zero IRR, and 0</w:t>
      </w:r>
      <w:proofErr w:type="gramStart"/>
      <w:r w:rsidR="001C61FE">
        <w:t xml:space="preserve">% </w:t>
      </w:r>
      <w:r>
        <w:t xml:space="preserve"> ARR</w:t>
      </w:r>
      <w:proofErr w:type="gramEnd"/>
      <w:r>
        <w:t xml:space="preserve"> of Project B confirm category rejection of the project even at a smaller scale; the company must categorically reject the project (Corporate Finance Institute, 2023).</w:t>
      </w:r>
    </w:p>
    <w:p w14:paraId="12CED869" w14:textId="5AA3595E" w:rsidR="00941E37" w:rsidRDefault="00941E37" w:rsidP="00941E37">
      <w:r>
        <w:t xml:space="preserve">Project C has a </w:t>
      </w:r>
      <w:proofErr w:type="gramStart"/>
      <w:r>
        <w:t>high risk</w:t>
      </w:r>
      <w:proofErr w:type="gramEnd"/>
      <w:r>
        <w:t xml:space="preserve"> rating which is in favo</w:t>
      </w:r>
      <w:r w:rsidR="001C61FE">
        <w:t>u</w:t>
      </w:r>
      <w:r>
        <w:t>r of that project despite having higher volatility in cash flow. The project C is facing execution risk because of the progressive cash flow generated by the project, necessitating a successful scaling and acceptance of the operational processes in the market. Nevertheless, the delicate financial status of General Electric Company requires higher yielding, moderate risk projects. The low returns of project A cannot justify recovery of capital covering a heavy debt load of the company, the high returns of Project C cannot assure an overall turnaround success. N</w:t>
      </w:r>
      <w:r w:rsidR="001C61FE">
        <w:t>P</w:t>
      </w:r>
      <w:r>
        <w:t>V of Project C of the amount of 4.2 million alongside the use of 10 million working capital optimization generates a significant amount of financial base in terms of larger restructuring (Alnoor Bhimani &amp; Bromwich, 2019).</w:t>
      </w:r>
    </w:p>
    <w:p w14:paraId="532D3B78" w14:textId="0E5652F2" w:rsidR="00252DC1" w:rsidRDefault="00941E37" w:rsidP="00941E37">
      <w:r>
        <w:t>The volatility of cash flow in Project C represents a justified operational scaling risk, but having a well-managed project with a stage-by-stage implementation, with go/no-go decision points at specific milestones (Year 1 cash validation, Year 2 market penetration assessment, Year 3 scaling decision) can properly address the risk of the project being poorly executed. The financial status of the company does not allow taking the risk-reduced, return-reduced strategies; the risk-return profile of Project C fits the turnaround goals (Reilly, Brown and Leeds, 2020).</w:t>
      </w:r>
    </w:p>
    <w:p w14:paraId="2ABB91D2" w14:textId="77777777" w:rsidR="00227E04" w:rsidRDefault="00227E04">
      <w:pPr>
        <w:spacing w:line="259" w:lineRule="auto"/>
        <w:jc w:val="left"/>
        <w:rPr>
          <w:rFonts w:asciiTheme="majorBidi" w:eastAsiaTheme="majorEastAsia" w:hAnsiTheme="majorBidi" w:cstheme="majorBidi"/>
          <w:b/>
          <w:sz w:val="28"/>
          <w:szCs w:val="26"/>
        </w:rPr>
      </w:pPr>
      <w:r>
        <w:br w:type="page"/>
      </w:r>
    </w:p>
    <w:p w14:paraId="3B07F23B" w14:textId="338259CB" w:rsidR="0099316E" w:rsidRDefault="00227E04" w:rsidP="0099316E">
      <w:pPr>
        <w:pStyle w:val="Heading2"/>
      </w:pPr>
      <w:bookmarkStart w:id="20" w:name="_Toc214103272"/>
      <w:r>
        <w:t xml:space="preserve">5.5 </w:t>
      </w:r>
      <w:r w:rsidR="0099316E">
        <w:t>Capital Allocation Sequencing Strategy</w:t>
      </w:r>
      <w:bookmarkEnd w:id="20"/>
    </w:p>
    <w:p w14:paraId="20B8C4FD" w14:textId="426BC932" w:rsidR="0099316E" w:rsidRDefault="0099316E" w:rsidP="0099316E">
      <w:r>
        <w:t xml:space="preserve">This strategy needs bit of discipline in execution. In Year 1, C-Phase infrastructure development, market entry and operational capabilities should receive £50 million. The balance of £10 million should also be spent on achieving the CCC target by reducing the CCC from 124.6 days to 98 days. This is possible with working capital optimization. These approaches facilitate the company to service debt in the coming years. By Year 3, Project Cash C is expected to provide £20 million in cash inflows, and the rest of the working capital improvements should yield a total of £5 million, resulting in a total cash inflow of £25 million. This inflow generation is achieved with the debt being aggressively reduced, allowing for the compliance of financial covenants and the company achieving financial stability. </w:t>
      </w:r>
    </w:p>
    <w:p w14:paraId="6780DEB1" w14:textId="77777777" w:rsidR="00A8739E" w:rsidRDefault="00A8739E">
      <w:pPr>
        <w:spacing w:line="259" w:lineRule="auto"/>
        <w:jc w:val="left"/>
        <w:rPr>
          <w:rFonts w:asciiTheme="majorBidi" w:eastAsiaTheme="majorEastAsia" w:hAnsiTheme="majorBidi" w:cstheme="majorBidi"/>
          <w:b/>
          <w:sz w:val="32"/>
          <w:szCs w:val="32"/>
        </w:rPr>
      </w:pPr>
      <w:r>
        <w:br w:type="page"/>
      </w:r>
    </w:p>
    <w:p w14:paraId="3C125F07" w14:textId="24ED6EFD" w:rsidR="0099316E" w:rsidRDefault="00227E04" w:rsidP="0099316E">
      <w:pPr>
        <w:pStyle w:val="Heading1"/>
      </w:pPr>
      <w:bookmarkStart w:id="21" w:name="_Toc214103273"/>
      <w:r>
        <w:t xml:space="preserve">6.0 </w:t>
      </w:r>
      <w:r w:rsidR="0099316E">
        <w:t>Conclusion</w:t>
      </w:r>
      <w:bookmarkEnd w:id="21"/>
      <w:r w:rsidR="0099316E">
        <w:t xml:space="preserve"> </w:t>
      </w:r>
    </w:p>
    <w:p w14:paraId="35EF2378" w14:textId="2DF58728" w:rsidR="0099316E" w:rsidRDefault="004B4DDE" w:rsidP="004B4DDE">
      <w:r w:rsidRPr="004B4DDE">
        <w:t>General Electronics is in desperate need of changing its approach towards its balance sheet, failing which, unless they do this immediately to correct the situation, they risk being driven into insolvency as well as losing a large portion of their work capabilities. The profitability erosion in the balance sheet, and excessive high leverage ratio and inadequate working capital management have tarnished the liquidity and value to the shareholders. The negative net margins, decreasing Return on Equity (ROE) and the lack of cascading of the Cash Conversion Cycle among several others imply a deeper underlying issue. The only viable way of stabilizing the situation is a recovery plan that is biased towards the gradual divestment and also debt restructuring and working capital management. The divestitures will offer enough equity where essential liquidity can be discharged by use of stricter control on receivables and inventories. Debt renegotiation will reduce interest pay</w:t>
      </w:r>
      <w:r>
        <w:t>-</w:t>
      </w:r>
      <w:r w:rsidRPr="004B4DDE">
        <w:t>outs as well as will make the covenant and cashflow burden adaptable. The addition of investment to Project C will maximize value by providing assistance both in operation capital and strategy. General Electronics will be faced with a need to underscore the Ethical Engagement with the Stakeholders and the development of the International Risk Management in the entire turnaround cycle. General Electronics can use its plan to avoid the majority of its competitors in the consumer electronics affairs in order to realize a more sustainable recovery, increased investor trust, and competitive advantage.</w:t>
      </w:r>
      <w:r w:rsidR="0099316E">
        <w:br w:type="page"/>
      </w:r>
    </w:p>
    <w:p w14:paraId="6BD7F81B" w14:textId="5D312ED2" w:rsidR="0099316E" w:rsidRPr="0099316E" w:rsidRDefault="0099316E" w:rsidP="0099316E">
      <w:pPr>
        <w:pStyle w:val="Heading1"/>
      </w:pPr>
      <w:bookmarkStart w:id="22" w:name="_Toc214103274"/>
      <w:r w:rsidRPr="0099316E">
        <w:t>Reference</w:t>
      </w:r>
      <w:r w:rsidR="00227E04">
        <w:t>s</w:t>
      </w:r>
      <w:bookmarkEnd w:id="22"/>
    </w:p>
    <w:p w14:paraId="575603CA" w14:textId="261296AE" w:rsidR="0099316E" w:rsidRDefault="0099316E" w:rsidP="0099316E">
      <w:pPr>
        <w:pStyle w:val="NormalWeb"/>
        <w:spacing w:before="0" w:beforeAutospacing="0" w:after="240" w:afterAutospacing="0" w:line="360" w:lineRule="auto"/>
        <w:jc w:val="both"/>
      </w:pPr>
      <w:r>
        <w:t xml:space="preserve">Abraham, B. (2016). </w:t>
      </w:r>
      <w:r>
        <w:rPr>
          <w:i/>
          <w:iCs/>
        </w:rPr>
        <w:t>CORPORATE RESTRUCTURING AND CHANGE MANAGEMENT: STRATEGIES FOR TURNAROUND AND TRANSFORMATION</w:t>
      </w:r>
      <w:r>
        <w:t xml:space="preserve">. [online] pp.1–3. Available at: https://ijrar.org/papers/IJRAR19D5081.pdf. </w:t>
      </w:r>
    </w:p>
    <w:p w14:paraId="19DC5073" w14:textId="77777777" w:rsidR="0099316E" w:rsidRDefault="0099316E" w:rsidP="0099316E">
      <w:pPr>
        <w:pStyle w:val="NormalWeb"/>
        <w:spacing w:before="0" w:beforeAutospacing="0" w:after="240" w:afterAutospacing="0" w:line="360" w:lineRule="auto"/>
        <w:jc w:val="both"/>
      </w:pPr>
      <w:r>
        <w:t xml:space="preserve">Alnoor Bhimani and Bromwich, M. (2019). </w:t>
      </w:r>
      <w:r>
        <w:rPr>
          <w:i/>
          <w:iCs/>
        </w:rPr>
        <w:t xml:space="preserve">Management </w:t>
      </w:r>
      <w:proofErr w:type="gramStart"/>
      <w:r>
        <w:rPr>
          <w:i/>
          <w:iCs/>
        </w:rPr>
        <w:t>accounting :</w:t>
      </w:r>
      <w:proofErr w:type="gramEnd"/>
      <w:r>
        <w:rPr>
          <w:i/>
          <w:iCs/>
        </w:rPr>
        <w:t xml:space="preserve"> retrospect and prospect</w:t>
      </w:r>
      <w:r>
        <w:t xml:space="preserve">. </w:t>
      </w:r>
      <w:proofErr w:type="gramStart"/>
      <w:r>
        <w:t>Amsterdam ;</w:t>
      </w:r>
      <w:proofErr w:type="gramEnd"/>
      <w:r>
        <w:t xml:space="preserve"> Boston: Cima/Elsevier.</w:t>
      </w:r>
    </w:p>
    <w:p w14:paraId="34070D1E" w14:textId="77777777" w:rsidR="0099316E" w:rsidRDefault="0099316E" w:rsidP="0099316E">
      <w:pPr>
        <w:pStyle w:val="NormalWeb"/>
        <w:spacing w:before="0" w:beforeAutospacing="0" w:after="240" w:afterAutospacing="0" w:line="360" w:lineRule="auto"/>
        <w:jc w:val="both"/>
      </w:pPr>
      <w:r>
        <w:t xml:space="preserve">Altman, E.I. (1968). FINANCIAL RATIOS, DISCRIMINANT ANALYSIS AND THE PREDICTION OF CORPORATE BANKRUPTCY. </w:t>
      </w:r>
      <w:r>
        <w:rPr>
          <w:i/>
          <w:iCs/>
        </w:rPr>
        <w:t>The Journal of Finance</w:t>
      </w:r>
      <w:r>
        <w:t xml:space="preserve">, 23(4), pp.589–609. </w:t>
      </w:r>
      <w:proofErr w:type="spellStart"/>
      <w:proofErr w:type="gramStart"/>
      <w:r>
        <w:t>doi:https</w:t>
      </w:r>
      <w:proofErr w:type="spellEnd"/>
      <w:r>
        <w:t>://doi.org/doi.org/10.1111/j.1540-6261.1968.tb00843.x</w:t>
      </w:r>
      <w:proofErr w:type="gramEnd"/>
      <w:r>
        <w:t>.</w:t>
      </w:r>
    </w:p>
    <w:p w14:paraId="0D8EFA5D" w14:textId="77777777" w:rsidR="0099316E" w:rsidRDefault="0099316E" w:rsidP="0099316E">
      <w:pPr>
        <w:pStyle w:val="NormalWeb"/>
        <w:spacing w:before="0" w:beforeAutospacing="0" w:after="240" w:afterAutospacing="0" w:line="360" w:lineRule="auto"/>
        <w:jc w:val="both"/>
      </w:pPr>
      <w:r>
        <w:t xml:space="preserve">Andrade, G. and Kaplan, S.N. (1998). How Costly is Financial (Not Economic) Distress? Evidence from Highly Leveraged Transactions that Became Distressed. </w:t>
      </w:r>
      <w:r>
        <w:rPr>
          <w:i/>
          <w:iCs/>
        </w:rPr>
        <w:t>The Journal of Finance</w:t>
      </w:r>
      <w:r>
        <w:t xml:space="preserve">, 53(5), pp.1443–1493. </w:t>
      </w:r>
      <w:proofErr w:type="spellStart"/>
      <w:proofErr w:type="gramStart"/>
      <w:r>
        <w:t>doi:https</w:t>
      </w:r>
      <w:proofErr w:type="spellEnd"/>
      <w:r>
        <w:t>://doi.org/10.1111/0022-1082.00062</w:t>
      </w:r>
      <w:proofErr w:type="gramEnd"/>
      <w:r>
        <w:t>.</w:t>
      </w:r>
    </w:p>
    <w:p w14:paraId="412779AF" w14:textId="77777777" w:rsidR="0099316E" w:rsidRDefault="0099316E" w:rsidP="0099316E">
      <w:pPr>
        <w:pStyle w:val="NormalWeb"/>
        <w:spacing w:before="0" w:beforeAutospacing="0" w:after="240" w:afterAutospacing="0" w:line="360" w:lineRule="auto"/>
        <w:jc w:val="both"/>
      </w:pPr>
      <w:r>
        <w:t xml:space="preserve">Arnold, G. and Lewis, D.S. (2019). </w:t>
      </w:r>
      <w:r>
        <w:rPr>
          <w:i/>
          <w:iCs/>
        </w:rPr>
        <w:t>Corporate Financial Management</w:t>
      </w:r>
      <w:r>
        <w:t>. 6th ed. Harlow, England: Pearson Education Limited.</w:t>
      </w:r>
    </w:p>
    <w:p w14:paraId="2273F562" w14:textId="77777777" w:rsidR="0099316E" w:rsidRDefault="0099316E" w:rsidP="0099316E">
      <w:pPr>
        <w:pStyle w:val="NormalWeb"/>
        <w:spacing w:before="0" w:beforeAutospacing="0" w:after="240" w:afterAutospacing="0" w:line="360" w:lineRule="auto"/>
        <w:jc w:val="both"/>
      </w:pPr>
      <w:proofErr w:type="spellStart"/>
      <w:r>
        <w:t>Atrill</w:t>
      </w:r>
      <w:proofErr w:type="spellEnd"/>
      <w:r>
        <w:t xml:space="preserve">, P. and </w:t>
      </w:r>
      <w:proofErr w:type="spellStart"/>
      <w:r>
        <w:t>Mclaney</w:t>
      </w:r>
      <w:proofErr w:type="spellEnd"/>
      <w:r>
        <w:t xml:space="preserve">, E. (2018). </w:t>
      </w:r>
      <w:r>
        <w:rPr>
          <w:i/>
          <w:iCs/>
        </w:rPr>
        <w:t>Accounting and Finance for non-specialists.</w:t>
      </w:r>
      <w:r>
        <w:t xml:space="preserve"> 11th ed. London: Pitman Publishing.</w:t>
      </w:r>
    </w:p>
    <w:p w14:paraId="55997D07" w14:textId="77777777" w:rsidR="0099316E" w:rsidRDefault="0099316E" w:rsidP="0099316E">
      <w:pPr>
        <w:pStyle w:val="NormalWeb"/>
        <w:spacing w:before="0" w:beforeAutospacing="0" w:after="240" w:afterAutospacing="0" w:line="360" w:lineRule="auto"/>
        <w:jc w:val="both"/>
      </w:pPr>
      <w:r>
        <w:t xml:space="preserve">Bailey, K. (2025). </w:t>
      </w:r>
      <w:r>
        <w:rPr>
          <w:i/>
          <w:iCs/>
        </w:rPr>
        <w:t>Negative Working Capital: Strength or a Warning Sign?</w:t>
      </w:r>
      <w:r>
        <w:t xml:space="preserve"> [online] Corporate Finance Institute. Available at: https://corporatefinanceinstitute.com/resources/financial-modeling/negative-working-capital-analysis/.</w:t>
      </w:r>
    </w:p>
    <w:p w14:paraId="7C5E59DE" w14:textId="77777777" w:rsidR="0099316E" w:rsidRDefault="0099316E" w:rsidP="0099316E">
      <w:pPr>
        <w:pStyle w:val="NormalWeb"/>
        <w:spacing w:before="0" w:beforeAutospacing="0" w:after="240" w:afterAutospacing="0" w:line="360" w:lineRule="auto"/>
        <w:jc w:val="both"/>
      </w:pPr>
      <w:r>
        <w:t xml:space="preserve">Berk, J. and Demarzo, P. (2019). </w:t>
      </w:r>
      <w:r>
        <w:rPr>
          <w:i/>
          <w:iCs/>
        </w:rPr>
        <w:t>Corporate Finance</w:t>
      </w:r>
      <w:r>
        <w:t>. 5th ed. Harlow: Pearson Education Limited.</w:t>
      </w:r>
    </w:p>
    <w:p w14:paraId="4AAAA22B" w14:textId="77777777" w:rsidR="0099316E" w:rsidRDefault="0099316E" w:rsidP="0099316E">
      <w:pPr>
        <w:pStyle w:val="NormalWeb"/>
        <w:spacing w:before="0" w:beforeAutospacing="0" w:after="240" w:afterAutospacing="0" w:line="360" w:lineRule="auto"/>
        <w:jc w:val="both"/>
      </w:pPr>
      <w:r>
        <w:t xml:space="preserve">Brealey, R.A., Myers, S.C. and Allen, F. (2020). </w:t>
      </w:r>
      <w:r>
        <w:rPr>
          <w:i/>
          <w:iCs/>
        </w:rPr>
        <w:t>Principles of Corporate Finance</w:t>
      </w:r>
      <w:r>
        <w:t>. 13th ed. New York: McGraw-Hill Education.</w:t>
      </w:r>
    </w:p>
    <w:p w14:paraId="0F1C23AA" w14:textId="77777777" w:rsidR="0099316E" w:rsidRDefault="0099316E" w:rsidP="0099316E">
      <w:pPr>
        <w:pStyle w:val="NormalWeb"/>
        <w:spacing w:before="0" w:beforeAutospacing="0" w:after="240" w:afterAutospacing="0" w:line="360" w:lineRule="auto"/>
        <w:jc w:val="both"/>
      </w:pPr>
      <w:r>
        <w:t xml:space="preserve">Brigham, E.F. and Ehrhardt, M.C. (2020). </w:t>
      </w:r>
      <w:r>
        <w:rPr>
          <w:i/>
          <w:iCs/>
        </w:rPr>
        <w:t xml:space="preserve">Financial </w:t>
      </w:r>
      <w:proofErr w:type="gramStart"/>
      <w:r>
        <w:rPr>
          <w:i/>
          <w:iCs/>
        </w:rPr>
        <w:t>management :</w:t>
      </w:r>
      <w:proofErr w:type="gramEnd"/>
      <w:r>
        <w:rPr>
          <w:i/>
          <w:iCs/>
        </w:rPr>
        <w:t xml:space="preserve"> theory &amp; practice</w:t>
      </w:r>
      <w:r>
        <w:t>. 16th ed. Boston, Ma: Cengage.</w:t>
      </w:r>
    </w:p>
    <w:p w14:paraId="4590F4A5" w14:textId="77777777" w:rsidR="0099316E" w:rsidRDefault="0099316E" w:rsidP="0099316E">
      <w:pPr>
        <w:pStyle w:val="NormalWeb"/>
        <w:spacing w:before="0" w:beforeAutospacing="0" w:after="240" w:afterAutospacing="0" w:line="360" w:lineRule="auto"/>
        <w:jc w:val="both"/>
      </w:pPr>
      <w:r>
        <w:t xml:space="preserve">CFA Institute (2025). </w:t>
      </w:r>
      <w:r>
        <w:rPr>
          <w:i/>
          <w:iCs/>
        </w:rPr>
        <w:t>Introduction to Financial Statement Analysis</w:t>
      </w:r>
      <w:r>
        <w:t>. [online] CFA Institute. Available at: https://www.cfainstitute.org/insights/professional-learning/refresher-readings/2025/introduction-financial-statement-analysis.</w:t>
      </w:r>
    </w:p>
    <w:p w14:paraId="65062725" w14:textId="77777777" w:rsidR="0099316E" w:rsidRDefault="0099316E" w:rsidP="0099316E">
      <w:pPr>
        <w:pStyle w:val="NormalWeb"/>
        <w:spacing w:before="0" w:beforeAutospacing="0" w:after="240" w:afterAutospacing="0" w:line="360" w:lineRule="auto"/>
        <w:jc w:val="both"/>
      </w:pPr>
      <w:r>
        <w:t xml:space="preserve">Chen, Y., Dong, Z., Wu, Y. and Zhang, W. (2022). </w:t>
      </w:r>
      <w:r>
        <w:rPr>
          <w:i/>
          <w:iCs/>
        </w:rPr>
        <w:t>Various Methods Aim to Solve the Limitation of IRR</w:t>
      </w:r>
      <w:r>
        <w:t xml:space="preserve">. [online] www.atlantis-press.com. </w:t>
      </w:r>
      <w:proofErr w:type="spellStart"/>
      <w:proofErr w:type="gramStart"/>
      <w:r>
        <w:t>doi:https</w:t>
      </w:r>
      <w:proofErr w:type="spellEnd"/>
      <w:r>
        <w:t>://doi.org/10.2991/aebmr.k.220307.198</w:t>
      </w:r>
      <w:proofErr w:type="gramEnd"/>
      <w:r>
        <w:t>.</w:t>
      </w:r>
    </w:p>
    <w:p w14:paraId="3818A20A" w14:textId="77777777" w:rsidR="0099316E" w:rsidRDefault="0099316E" w:rsidP="0099316E">
      <w:pPr>
        <w:pStyle w:val="NormalWeb"/>
        <w:spacing w:before="0" w:beforeAutospacing="0" w:after="240" w:afterAutospacing="0" w:line="360" w:lineRule="auto"/>
        <w:jc w:val="both"/>
      </w:pPr>
      <w:r>
        <w:t xml:space="preserve">Corporate Finance Institute (2023). </w:t>
      </w:r>
      <w:r>
        <w:rPr>
          <w:i/>
          <w:iCs/>
        </w:rPr>
        <w:t>Financial ratios</w:t>
      </w:r>
      <w:r>
        <w:t>. [online] Corporate Finance Institute. Available at: https://corporatefinanceinstitute.com/resources/accounting/financial-ratios/.</w:t>
      </w:r>
    </w:p>
    <w:p w14:paraId="240D2D2E" w14:textId="77777777" w:rsidR="0099316E" w:rsidRDefault="0099316E" w:rsidP="0099316E">
      <w:pPr>
        <w:pStyle w:val="NormalWeb"/>
        <w:spacing w:before="0" w:beforeAutospacing="0" w:after="240" w:afterAutospacing="0" w:line="360" w:lineRule="auto"/>
        <w:jc w:val="both"/>
      </w:pPr>
      <w:r>
        <w:t xml:space="preserve">Drury, C. (2018). </w:t>
      </w:r>
      <w:r>
        <w:rPr>
          <w:i/>
          <w:iCs/>
        </w:rPr>
        <w:t>Management and Cost Accounting</w:t>
      </w:r>
      <w:r>
        <w:t>. 10th ed. Andover, Hampshire Cengage.</w:t>
      </w:r>
    </w:p>
    <w:p w14:paraId="288B057E" w14:textId="77777777" w:rsidR="0099316E" w:rsidRDefault="0099316E" w:rsidP="0099316E">
      <w:pPr>
        <w:pStyle w:val="NormalWeb"/>
        <w:spacing w:before="0" w:beforeAutospacing="0" w:after="240" w:afterAutospacing="0" w:line="360" w:lineRule="auto"/>
        <w:jc w:val="both"/>
      </w:pPr>
      <w:r>
        <w:t xml:space="preserve">Francis, A. (2013). </w:t>
      </w:r>
      <w:r>
        <w:rPr>
          <w:i/>
          <w:iCs/>
        </w:rPr>
        <w:t>The Benefits and Limitations of Budgets</w:t>
      </w:r>
      <w:r>
        <w:t>. [online] MBA Knowledge Base. Available at: https://www.mbaknol.com/business-finance/the-benefits-and-limitations-of-budgets/.</w:t>
      </w:r>
    </w:p>
    <w:p w14:paraId="785E8D0F" w14:textId="77777777" w:rsidR="0099316E" w:rsidRDefault="0099316E" w:rsidP="0099316E">
      <w:pPr>
        <w:pStyle w:val="NormalWeb"/>
        <w:spacing w:before="0" w:beforeAutospacing="0" w:after="240" w:afterAutospacing="0" w:line="360" w:lineRule="auto"/>
        <w:jc w:val="both"/>
      </w:pPr>
      <w:r>
        <w:t xml:space="preserve">Horngren, C.T. (2020). </w:t>
      </w:r>
      <w:r>
        <w:rPr>
          <w:i/>
          <w:iCs/>
        </w:rPr>
        <w:t>Accounting</w:t>
      </w:r>
      <w:r>
        <w:t>. Toronto: Pearson Canada.</w:t>
      </w:r>
    </w:p>
    <w:p w14:paraId="5E5673EE" w14:textId="77777777" w:rsidR="0099316E" w:rsidRDefault="0099316E" w:rsidP="0099316E">
      <w:pPr>
        <w:pStyle w:val="NormalWeb"/>
        <w:spacing w:before="0" w:beforeAutospacing="0" w:after="240" w:afterAutospacing="0" w:line="360" w:lineRule="auto"/>
        <w:jc w:val="both"/>
      </w:pPr>
      <w:r>
        <w:t xml:space="preserve">Jensen, M.C. (1986). Agency Costs of Free Cash Flow, Corporate Finance, and Takeovers. </w:t>
      </w:r>
      <w:r>
        <w:rPr>
          <w:i/>
          <w:iCs/>
        </w:rPr>
        <w:t>The American Economic Review</w:t>
      </w:r>
      <w:r>
        <w:t>, [online] 76(2), pp.323–329. Available at: https://www.jstor.org/stable/1818789.</w:t>
      </w:r>
    </w:p>
    <w:p w14:paraId="35AA587D" w14:textId="77777777" w:rsidR="0099316E" w:rsidRDefault="0099316E" w:rsidP="0099316E">
      <w:pPr>
        <w:pStyle w:val="NormalWeb"/>
        <w:spacing w:before="0" w:beforeAutospacing="0" w:after="240" w:afterAutospacing="0" w:line="360" w:lineRule="auto"/>
        <w:jc w:val="both"/>
      </w:pPr>
      <w:proofErr w:type="spellStart"/>
      <w:r>
        <w:t>Kieso</w:t>
      </w:r>
      <w:proofErr w:type="spellEnd"/>
      <w:r>
        <w:t xml:space="preserve">, D.E. and Weygandt, J.J. (2022). </w:t>
      </w:r>
      <w:r>
        <w:rPr>
          <w:i/>
          <w:iCs/>
        </w:rPr>
        <w:t>Intermediate accounting</w:t>
      </w:r>
      <w:r>
        <w:t>. Hoboken, Nj Wiley.</w:t>
      </w:r>
    </w:p>
    <w:p w14:paraId="631183E2" w14:textId="77777777" w:rsidR="0099316E" w:rsidRDefault="0099316E" w:rsidP="0099316E">
      <w:pPr>
        <w:pStyle w:val="NormalWeb"/>
        <w:spacing w:before="0" w:beforeAutospacing="0" w:after="240" w:afterAutospacing="0" w:line="360" w:lineRule="auto"/>
        <w:jc w:val="both"/>
      </w:pPr>
      <w:r>
        <w:t xml:space="preserve">Modigliani, F. and Miller, M.H. (1958). The Cost of Capital, Corporation Finance and the Theory of Investment. </w:t>
      </w:r>
      <w:r>
        <w:rPr>
          <w:i/>
          <w:iCs/>
        </w:rPr>
        <w:t>The American Economic Review</w:t>
      </w:r>
      <w:r>
        <w:t>, [online] 48(3), pp.261–297. Available at: https://www.jstor.org/stable/1809766.</w:t>
      </w:r>
    </w:p>
    <w:p w14:paraId="31FD5217" w14:textId="77777777" w:rsidR="0099316E" w:rsidRDefault="0099316E" w:rsidP="0099316E">
      <w:pPr>
        <w:pStyle w:val="NormalWeb"/>
        <w:spacing w:before="0" w:beforeAutospacing="0" w:after="240" w:afterAutospacing="0" w:line="360" w:lineRule="auto"/>
        <w:jc w:val="both"/>
      </w:pPr>
      <w:r>
        <w:t xml:space="preserve">Molina, M. and </w:t>
      </w:r>
      <w:proofErr w:type="spellStart"/>
      <w:r>
        <w:t>Wilestari</w:t>
      </w:r>
      <w:proofErr w:type="spellEnd"/>
      <w:r>
        <w:t xml:space="preserve">, M. (2023). Examining Financial Strategy Management: Understanding Financial Performance, Investment Decisions, and Strategic Approaches through Qualitative Description and Literature Review. </w:t>
      </w:r>
      <w:proofErr w:type="spellStart"/>
      <w:proofErr w:type="gramStart"/>
      <w:r>
        <w:rPr>
          <w:i/>
          <w:iCs/>
        </w:rPr>
        <w:t>Atestasi</w:t>
      </w:r>
      <w:proofErr w:type="spellEnd"/>
      <w:r>
        <w:rPr>
          <w:i/>
          <w:iCs/>
        </w:rPr>
        <w:t xml:space="preserve"> :</w:t>
      </w:r>
      <w:proofErr w:type="gramEnd"/>
      <w:r>
        <w:rPr>
          <w:i/>
          <w:iCs/>
        </w:rPr>
        <w:t xml:space="preserve"> </w:t>
      </w:r>
      <w:proofErr w:type="spellStart"/>
      <w:r>
        <w:rPr>
          <w:i/>
          <w:iCs/>
        </w:rPr>
        <w:t>Jurnal</w:t>
      </w:r>
      <w:proofErr w:type="spellEnd"/>
      <w:r>
        <w:rPr>
          <w:i/>
          <w:iCs/>
        </w:rPr>
        <w:t xml:space="preserve"> </w:t>
      </w:r>
      <w:proofErr w:type="spellStart"/>
      <w:r>
        <w:rPr>
          <w:i/>
          <w:iCs/>
        </w:rPr>
        <w:t>Ilmiah</w:t>
      </w:r>
      <w:proofErr w:type="spellEnd"/>
      <w:r>
        <w:rPr>
          <w:i/>
          <w:iCs/>
        </w:rPr>
        <w:t xml:space="preserve"> Akuntansi</w:t>
      </w:r>
      <w:r>
        <w:t xml:space="preserve">, [online] 6(1), pp.406–419. </w:t>
      </w:r>
      <w:proofErr w:type="spellStart"/>
      <w:proofErr w:type="gramStart"/>
      <w:r>
        <w:t>doi:https</w:t>
      </w:r>
      <w:proofErr w:type="spellEnd"/>
      <w:r>
        <w:t>://doi.org/10.57178/atestasi.v6i1.814</w:t>
      </w:r>
      <w:proofErr w:type="gramEnd"/>
      <w:r>
        <w:t>.</w:t>
      </w:r>
    </w:p>
    <w:p w14:paraId="5E42FFCA" w14:textId="77777777" w:rsidR="0099316E" w:rsidRDefault="0099316E" w:rsidP="0099316E">
      <w:pPr>
        <w:pStyle w:val="NormalWeb"/>
        <w:spacing w:before="0" w:beforeAutospacing="0" w:after="240" w:afterAutospacing="0" w:line="360" w:lineRule="auto"/>
        <w:jc w:val="both"/>
      </w:pPr>
      <w:r>
        <w:t xml:space="preserve">Monga, S. (2025). </w:t>
      </w:r>
      <w:r>
        <w:rPr>
          <w:i/>
          <w:iCs/>
        </w:rPr>
        <w:t>What are the Net Present Value Advantages and Disadvantages?</w:t>
      </w:r>
      <w:r>
        <w:t xml:space="preserve"> [online] Plutus Blog. Available at: https://plutuseducation.com/blog/net-present-value-advantages-and-disadvantages/.</w:t>
      </w:r>
    </w:p>
    <w:p w14:paraId="4B5BD481" w14:textId="77777777" w:rsidR="0099316E" w:rsidRDefault="0099316E" w:rsidP="0099316E">
      <w:pPr>
        <w:pStyle w:val="NormalWeb"/>
        <w:spacing w:before="0" w:beforeAutospacing="0" w:after="240" w:afterAutospacing="0" w:line="360" w:lineRule="auto"/>
        <w:jc w:val="both"/>
      </w:pPr>
      <w:r>
        <w:t xml:space="preserve">Morgan, J.P. (2025). </w:t>
      </w:r>
      <w:r>
        <w:rPr>
          <w:i/>
          <w:iCs/>
        </w:rPr>
        <w:t>6 Ways to Increase Working Capital | J.P. Morgan</w:t>
      </w:r>
      <w:r>
        <w:t>. [online] Jpmorgan.com. Available at: https://www.jpmorgan.com/insights/treasury/treasury-management/6-ways-to-increase-working-capital [Accessed 3 Nov. 2025].</w:t>
      </w:r>
    </w:p>
    <w:p w14:paraId="1CF436D3" w14:textId="77777777" w:rsidR="0099316E" w:rsidRDefault="0099316E" w:rsidP="0099316E">
      <w:pPr>
        <w:pStyle w:val="NormalWeb"/>
        <w:spacing w:before="0" w:beforeAutospacing="0" w:after="240" w:afterAutospacing="0" w:line="360" w:lineRule="auto"/>
        <w:jc w:val="both"/>
      </w:pPr>
      <w:r>
        <w:t xml:space="preserve">OPLER, T.C. and TITMAN, S. (1994). Financial Distress and Corporate Performance. </w:t>
      </w:r>
      <w:r>
        <w:rPr>
          <w:i/>
          <w:iCs/>
        </w:rPr>
        <w:t>The Journal of Finance</w:t>
      </w:r>
      <w:r>
        <w:t xml:space="preserve">, 49(3), pp.1015–1040. </w:t>
      </w:r>
      <w:proofErr w:type="spellStart"/>
      <w:proofErr w:type="gramStart"/>
      <w:r>
        <w:t>doi:https</w:t>
      </w:r>
      <w:proofErr w:type="spellEnd"/>
      <w:r>
        <w:t>://doi.org/10.1111/j.1540-6261.1994.tb00086.x</w:t>
      </w:r>
      <w:proofErr w:type="gramEnd"/>
      <w:r>
        <w:t>.</w:t>
      </w:r>
    </w:p>
    <w:p w14:paraId="5FE80DF3" w14:textId="77777777" w:rsidR="0099316E" w:rsidRDefault="0099316E" w:rsidP="0099316E">
      <w:pPr>
        <w:pStyle w:val="NormalWeb"/>
        <w:spacing w:before="0" w:beforeAutospacing="0" w:after="240" w:afterAutospacing="0" w:line="360" w:lineRule="auto"/>
        <w:jc w:val="both"/>
      </w:pPr>
      <w:r>
        <w:t xml:space="preserve">Pike, R. and Neale, B. (2022). </w:t>
      </w:r>
      <w:r>
        <w:rPr>
          <w:i/>
          <w:iCs/>
        </w:rPr>
        <w:t xml:space="preserve">Corporate finance and </w:t>
      </w:r>
      <w:proofErr w:type="gramStart"/>
      <w:r>
        <w:rPr>
          <w:i/>
          <w:iCs/>
        </w:rPr>
        <w:t>investment :</w:t>
      </w:r>
      <w:proofErr w:type="gramEnd"/>
      <w:r>
        <w:rPr>
          <w:i/>
          <w:iCs/>
        </w:rPr>
        <w:t xml:space="preserve"> decisions and strategies</w:t>
      </w:r>
      <w:r>
        <w:t>. 9th ed. Harlow, United Kingdom: Pearson.</w:t>
      </w:r>
    </w:p>
    <w:p w14:paraId="646C0030" w14:textId="77777777" w:rsidR="0099316E" w:rsidRDefault="0099316E" w:rsidP="0099316E">
      <w:pPr>
        <w:pStyle w:val="NormalWeb"/>
        <w:spacing w:before="0" w:beforeAutospacing="0" w:after="240" w:afterAutospacing="0" w:line="360" w:lineRule="auto"/>
        <w:jc w:val="both"/>
      </w:pPr>
      <w:r>
        <w:t xml:space="preserve">Reilly, F.K., Brown, K.C. and Leeds, S.J. (2020). </w:t>
      </w:r>
      <w:r>
        <w:rPr>
          <w:i/>
          <w:iCs/>
        </w:rPr>
        <w:t>Investment analysis and portfolio management</w:t>
      </w:r>
      <w:r>
        <w:t>. Australia Cengage.</w:t>
      </w:r>
    </w:p>
    <w:p w14:paraId="1E501445" w14:textId="77777777" w:rsidR="0099316E" w:rsidRDefault="0099316E" w:rsidP="0099316E">
      <w:pPr>
        <w:pStyle w:val="NormalWeb"/>
        <w:spacing w:before="0" w:beforeAutospacing="0" w:after="240" w:afterAutospacing="0" w:line="360" w:lineRule="auto"/>
        <w:jc w:val="both"/>
      </w:pPr>
      <w:r>
        <w:t xml:space="preserve">Ross, S.A., Westerfield, R. and Jordan, B.D. (2024). </w:t>
      </w:r>
      <w:r>
        <w:rPr>
          <w:i/>
          <w:iCs/>
        </w:rPr>
        <w:t>Fundamentals of Corporate Finance</w:t>
      </w:r>
      <w:r>
        <w:t>. 13th ed. New York, NY: McGraw-Hill Education.</w:t>
      </w:r>
    </w:p>
    <w:p w14:paraId="012664F3" w14:textId="77777777" w:rsidR="0099316E" w:rsidRDefault="0099316E" w:rsidP="0099316E">
      <w:pPr>
        <w:pStyle w:val="NormalWeb"/>
        <w:spacing w:before="0" w:beforeAutospacing="0" w:after="240" w:afterAutospacing="0" w:line="360" w:lineRule="auto"/>
        <w:jc w:val="both"/>
      </w:pPr>
      <w:r>
        <w:t xml:space="preserve">Ryan, P.A. and Ryan, G.P. (2002). Capital Budgeting Practices of the Fortune 1000: How Have Things Changed. </w:t>
      </w:r>
      <w:r>
        <w:rPr>
          <w:i/>
          <w:iCs/>
        </w:rPr>
        <w:t>Journal of Business and Management</w:t>
      </w:r>
      <w:r>
        <w:t xml:space="preserve">, 8(4), pp.355–364. </w:t>
      </w:r>
      <w:proofErr w:type="spellStart"/>
      <w:proofErr w:type="gramStart"/>
      <w:r>
        <w:t>doi:https</w:t>
      </w:r>
      <w:proofErr w:type="spellEnd"/>
      <w:r>
        <w:t>://doi.org/10.1504/jbm.2002.141091</w:t>
      </w:r>
      <w:proofErr w:type="gramEnd"/>
      <w:r>
        <w:t>.</w:t>
      </w:r>
    </w:p>
    <w:p w14:paraId="38FB7580" w14:textId="77777777" w:rsidR="0099316E" w:rsidRDefault="0099316E" w:rsidP="0099316E">
      <w:pPr>
        <w:pStyle w:val="NormalWeb"/>
        <w:spacing w:before="0" w:beforeAutospacing="0" w:after="240" w:afterAutospacing="0" w:line="360" w:lineRule="auto"/>
        <w:jc w:val="both"/>
      </w:pPr>
      <w:proofErr w:type="spellStart"/>
      <w:r>
        <w:t>Sudarsanam</w:t>
      </w:r>
      <w:proofErr w:type="spellEnd"/>
      <w:r>
        <w:t xml:space="preserve">, S. and Lai, J. (2001). Corporate Financial Distress and Turnaround Strategies: An Empirical Analysis. </w:t>
      </w:r>
      <w:r>
        <w:rPr>
          <w:i/>
          <w:iCs/>
        </w:rPr>
        <w:t>British Journal of Management</w:t>
      </w:r>
      <w:r>
        <w:t xml:space="preserve">, 12(3), pp.183–199. </w:t>
      </w:r>
      <w:proofErr w:type="spellStart"/>
      <w:proofErr w:type="gramStart"/>
      <w:r>
        <w:t>doi:https</w:t>
      </w:r>
      <w:proofErr w:type="spellEnd"/>
      <w:r>
        <w:t>://doi.org/10.1111/1467-8551.00193</w:t>
      </w:r>
      <w:proofErr w:type="gramEnd"/>
      <w:r>
        <w:t>.</w:t>
      </w:r>
    </w:p>
    <w:p w14:paraId="21D78452" w14:textId="77777777" w:rsidR="0099316E" w:rsidRDefault="0099316E" w:rsidP="0099316E">
      <w:pPr>
        <w:pStyle w:val="NormalWeb"/>
        <w:spacing w:before="0" w:beforeAutospacing="0" w:after="240" w:afterAutospacing="0" w:line="360" w:lineRule="auto"/>
        <w:jc w:val="both"/>
      </w:pPr>
      <w:r>
        <w:t xml:space="preserve">Team, C. (2024). </w:t>
      </w:r>
      <w:r>
        <w:rPr>
          <w:i/>
          <w:iCs/>
        </w:rPr>
        <w:t>What is the Altman Z-Score? Why Should You Know About it? - CFI Education</w:t>
      </w:r>
      <w:r>
        <w:t>. [online] CFI Education. Available at: https://www.cfieducation.in/blogs/altman-z-score/ [Accessed 3 Nov. 2025].</w:t>
      </w:r>
    </w:p>
    <w:p w14:paraId="63FC1468" w14:textId="77777777" w:rsidR="0099316E" w:rsidRDefault="0099316E" w:rsidP="0099316E">
      <w:pPr>
        <w:pStyle w:val="NormalWeb"/>
        <w:spacing w:before="0" w:beforeAutospacing="0" w:after="240" w:afterAutospacing="0" w:line="360" w:lineRule="auto"/>
        <w:jc w:val="both"/>
      </w:pPr>
      <w:r>
        <w:t xml:space="preserve">Vipond, T. (2024). </w:t>
      </w:r>
      <w:r>
        <w:rPr>
          <w:i/>
          <w:iCs/>
        </w:rPr>
        <w:t>Debt vs Equity Financing</w:t>
      </w:r>
      <w:r>
        <w:t>. [online] Corporate Finance Institute. Available at: https://corporatefinanceinstitute.com/resources/commercial-lending/debt-vs-equity/ [Accessed 3 Nov. 2025].</w:t>
      </w:r>
    </w:p>
    <w:p w14:paraId="58A7B2B8" w14:textId="77777777" w:rsidR="0099316E" w:rsidRDefault="0099316E" w:rsidP="0099316E">
      <w:pPr>
        <w:pStyle w:val="NormalWeb"/>
        <w:spacing w:before="0" w:beforeAutospacing="0" w:after="240" w:afterAutospacing="0" w:line="360" w:lineRule="auto"/>
        <w:jc w:val="both"/>
      </w:pPr>
      <w:r>
        <w:t xml:space="preserve">Weygandt, J.J., Kimmel, P.D. and </w:t>
      </w:r>
      <w:proofErr w:type="spellStart"/>
      <w:r>
        <w:t>Kieso</w:t>
      </w:r>
      <w:proofErr w:type="spellEnd"/>
      <w:r>
        <w:t xml:space="preserve">, D.E. (2020). </w:t>
      </w:r>
      <w:r>
        <w:rPr>
          <w:i/>
          <w:iCs/>
        </w:rPr>
        <w:t>Financial accounting</w:t>
      </w:r>
      <w:r>
        <w:t>. Hoboken, Nj: Wiley.</w:t>
      </w:r>
    </w:p>
    <w:p w14:paraId="34802DFD" w14:textId="4F47D23A" w:rsidR="0099316E" w:rsidRDefault="0099316E" w:rsidP="0099316E">
      <w:pPr>
        <w:pStyle w:val="NormalWeb"/>
        <w:spacing w:before="0" w:beforeAutospacing="0" w:after="240" w:afterAutospacing="0" w:line="360" w:lineRule="auto"/>
        <w:jc w:val="both"/>
      </w:pPr>
      <w:r>
        <w:t xml:space="preserve">Zohran, T. (2022). </w:t>
      </w:r>
      <w:r>
        <w:rPr>
          <w:i/>
          <w:iCs/>
        </w:rPr>
        <w:t xml:space="preserve">Investment Appraisal Methods: Traditional vs. Discounted Cash Flow • MBA Notes by </w:t>
      </w:r>
      <w:proofErr w:type="spellStart"/>
      <w:r>
        <w:rPr>
          <w:i/>
          <w:iCs/>
        </w:rPr>
        <w:t>TheMBA.Institute</w:t>
      </w:r>
      <w:proofErr w:type="spellEnd"/>
      <w:r>
        <w:t>. [online] The MBA Institute - In-depth Topic-wise MBA Resource. Available at: https://themba.institute/financial-management/investment-appraisal-methods/ [Accessed 3 Nov. 2025].</w:t>
      </w:r>
    </w:p>
    <w:p w14:paraId="1158DD3B" w14:textId="192BD1F7" w:rsidR="0099316E" w:rsidRDefault="0099316E">
      <w:pPr>
        <w:spacing w:line="259" w:lineRule="auto"/>
        <w:jc w:val="left"/>
        <w:rPr>
          <w:rFonts w:eastAsia="Times New Roman" w:cs="Times New Roman"/>
          <w:szCs w:val="24"/>
          <w:lang w:eastAsia="en-GB"/>
        </w:rPr>
      </w:pPr>
      <w:r>
        <w:br w:type="page"/>
      </w:r>
    </w:p>
    <w:p w14:paraId="4122A6AE" w14:textId="6AB89A0A" w:rsidR="0099316E" w:rsidRDefault="0099316E" w:rsidP="0099316E">
      <w:pPr>
        <w:pStyle w:val="Heading1"/>
      </w:pPr>
      <w:bookmarkStart w:id="23" w:name="_Toc214103275"/>
      <w:r>
        <w:t>Appendices</w:t>
      </w:r>
      <w:bookmarkEnd w:id="23"/>
      <w:r>
        <w:t xml:space="preserve"> </w:t>
      </w:r>
    </w:p>
    <w:p w14:paraId="46FA72CF" w14:textId="20338A5E" w:rsidR="0099316E" w:rsidRDefault="0099316E" w:rsidP="003F7589">
      <w:pPr>
        <w:pStyle w:val="Heading3"/>
      </w:pPr>
      <w:bookmarkStart w:id="24" w:name="_Toc214103276"/>
      <w:r>
        <w:t>Appendix-1 Ratio Analysis</w:t>
      </w:r>
      <w:bookmarkEnd w:id="24"/>
      <w:r>
        <w:t xml:space="preserve"> </w:t>
      </w:r>
    </w:p>
    <w:p w14:paraId="744FEC98" w14:textId="08D5AFC8" w:rsidR="0099316E" w:rsidRPr="0099316E" w:rsidRDefault="0099316E" w:rsidP="0099316E">
      <w:pPr>
        <w:jc w:val="center"/>
      </w:pPr>
      <w:r w:rsidRPr="0099316E">
        <w:rPr>
          <w:noProof/>
        </w:rPr>
        <w:drawing>
          <wp:inline distT="0" distB="0" distL="0" distR="0" wp14:anchorId="08C54847" wp14:editId="73AA2A78">
            <wp:extent cx="5943600" cy="4552315"/>
            <wp:effectExtent l="0" t="0" r="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943600" cy="4552315"/>
                    </a:xfrm>
                    <a:prstGeom prst="rect">
                      <a:avLst/>
                    </a:prstGeom>
                  </pic:spPr>
                </pic:pic>
              </a:graphicData>
            </a:graphic>
          </wp:inline>
        </w:drawing>
      </w:r>
    </w:p>
    <w:p w14:paraId="1E91F640" w14:textId="6A87A152" w:rsidR="0099316E" w:rsidRDefault="0099316E">
      <w:pPr>
        <w:spacing w:line="259" w:lineRule="auto"/>
        <w:jc w:val="left"/>
        <w:rPr>
          <w:rFonts w:eastAsia="Times New Roman" w:cs="Times New Roman"/>
          <w:szCs w:val="24"/>
          <w:lang w:eastAsia="en-GB"/>
        </w:rPr>
      </w:pPr>
    </w:p>
    <w:sectPr w:rsidR="0099316E">
      <w:footerReference w:type="default" r:id="rId3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A34CFD" w14:textId="77777777" w:rsidR="001C4BF9" w:rsidRDefault="001C4BF9" w:rsidP="003F7589">
      <w:pPr>
        <w:spacing w:after="0" w:line="240" w:lineRule="auto"/>
      </w:pPr>
      <w:r>
        <w:separator/>
      </w:r>
    </w:p>
  </w:endnote>
  <w:endnote w:type="continuationSeparator" w:id="0">
    <w:p w14:paraId="5460CB9F" w14:textId="77777777" w:rsidR="001C4BF9" w:rsidRDefault="001C4BF9" w:rsidP="003F75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6608475"/>
      <w:docPartObj>
        <w:docPartGallery w:val="Page Numbers (Bottom of Page)"/>
        <w:docPartUnique/>
      </w:docPartObj>
    </w:sdtPr>
    <w:sdtEndPr>
      <w:rPr>
        <w:noProof/>
      </w:rPr>
    </w:sdtEndPr>
    <w:sdtContent>
      <w:p w14:paraId="4706C135" w14:textId="4893267E" w:rsidR="003F7589" w:rsidRDefault="003F758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F85583" w14:textId="77777777" w:rsidR="003F7589" w:rsidRDefault="003F75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8C6C69" w14:textId="77777777" w:rsidR="001C4BF9" w:rsidRDefault="001C4BF9" w:rsidP="003F7589">
      <w:pPr>
        <w:spacing w:after="0" w:line="240" w:lineRule="auto"/>
      </w:pPr>
      <w:r>
        <w:separator/>
      </w:r>
    </w:p>
  </w:footnote>
  <w:footnote w:type="continuationSeparator" w:id="0">
    <w:p w14:paraId="7853B1DD" w14:textId="77777777" w:rsidR="001C4BF9" w:rsidRDefault="001C4BF9" w:rsidP="003F758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078"/>
    <w:rsid w:val="000D565A"/>
    <w:rsid w:val="001031E8"/>
    <w:rsid w:val="0017685A"/>
    <w:rsid w:val="00176B6D"/>
    <w:rsid w:val="001A05A8"/>
    <w:rsid w:val="001C4BF9"/>
    <w:rsid w:val="001C61FE"/>
    <w:rsid w:val="00221827"/>
    <w:rsid w:val="00227E04"/>
    <w:rsid w:val="0023007F"/>
    <w:rsid w:val="00243305"/>
    <w:rsid w:val="00252DC1"/>
    <w:rsid w:val="00325F10"/>
    <w:rsid w:val="003F7589"/>
    <w:rsid w:val="004B4DDE"/>
    <w:rsid w:val="00573A20"/>
    <w:rsid w:val="006265DE"/>
    <w:rsid w:val="0066061C"/>
    <w:rsid w:val="006628A3"/>
    <w:rsid w:val="006A5C26"/>
    <w:rsid w:val="006B74E7"/>
    <w:rsid w:val="00713BE7"/>
    <w:rsid w:val="007D188B"/>
    <w:rsid w:val="008C38B8"/>
    <w:rsid w:val="008F45EB"/>
    <w:rsid w:val="00941E37"/>
    <w:rsid w:val="00964F48"/>
    <w:rsid w:val="0099316E"/>
    <w:rsid w:val="00A068FF"/>
    <w:rsid w:val="00A8739E"/>
    <w:rsid w:val="00B62080"/>
    <w:rsid w:val="00B65C62"/>
    <w:rsid w:val="00B86E84"/>
    <w:rsid w:val="00CA3BA6"/>
    <w:rsid w:val="00D17CC7"/>
    <w:rsid w:val="00D75C3B"/>
    <w:rsid w:val="00DC7492"/>
    <w:rsid w:val="00DD6D43"/>
    <w:rsid w:val="00E118AA"/>
    <w:rsid w:val="00E32078"/>
    <w:rsid w:val="00E8537A"/>
    <w:rsid w:val="00E900C2"/>
    <w:rsid w:val="00EB70EF"/>
    <w:rsid w:val="00EC616C"/>
    <w:rsid w:val="00F312C6"/>
    <w:rsid w:val="00F328E6"/>
    <w:rsid w:val="00F70C0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BEFBA15"/>
  <w15:chartTrackingRefBased/>
  <w15:docId w15:val="{9ADFF9D7-B4C7-4350-8234-955ACD21D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38B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8739E"/>
    <w:pPr>
      <w:keepNext/>
      <w:keepLines/>
      <w:spacing w:before="240" w:after="0"/>
      <w:outlineLvl w:val="0"/>
    </w:pPr>
    <w:rPr>
      <w:rFonts w:asciiTheme="majorBidi" w:eastAsiaTheme="majorEastAsia" w:hAnsiTheme="majorBidi" w:cstheme="majorBidi"/>
      <w:b/>
      <w:color w:val="44546A" w:themeColor="text2"/>
      <w:sz w:val="32"/>
      <w:szCs w:val="32"/>
    </w:rPr>
  </w:style>
  <w:style w:type="paragraph" w:styleId="Heading2">
    <w:name w:val="heading 2"/>
    <w:basedOn w:val="Normal"/>
    <w:next w:val="Normal"/>
    <w:link w:val="Heading2Char"/>
    <w:uiPriority w:val="9"/>
    <w:unhideWhenUsed/>
    <w:qFormat/>
    <w:rsid w:val="00B65C62"/>
    <w:pPr>
      <w:keepNext/>
      <w:keepLines/>
      <w:spacing w:before="40" w:after="0"/>
      <w:outlineLvl w:val="1"/>
    </w:pPr>
    <w:rPr>
      <w:rFonts w:asciiTheme="majorBidi" w:eastAsiaTheme="majorEastAsia" w:hAnsiTheme="majorBidi" w:cstheme="majorBidi"/>
      <w:b/>
      <w:sz w:val="28"/>
      <w:szCs w:val="26"/>
    </w:rPr>
  </w:style>
  <w:style w:type="paragraph" w:styleId="Heading3">
    <w:name w:val="heading 3"/>
    <w:basedOn w:val="Normal"/>
    <w:next w:val="Normal"/>
    <w:link w:val="Heading3Char"/>
    <w:uiPriority w:val="9"/>
    <w:unhideWhenUsed/>
    <w:qFormat/>
    <w:rsid w:val="006265DE"/>
    <w:pPr>
      <w:keepNext/>
      <w:keepLines/>
      <w:spacing w:before="40" w:after="0"/>
      <w:outlineLvl w:val="2"/>
    </w:pPr>
    <w:rPr>
      <w:rFonts w:asciiTheme="majorBidi" w:eastAsiaTheme="majorEastAsia" w:hAnsiTheme="majorBidi" w:cstheme="majorBidi"/>
      <w:b/>
      <w:sz w:val="26"/>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739E"/>
    <w:rPr>
      <w:rFonts w:asciiTheme="majorBidi" w:eastAsiaTheme="majorEastAsia" w:hAnsiTheme="majorBidi" w:cstheme="majorBidi"/>
      <w:b/>
      <w:color w:val="44546A" w:themeColor="text2"/>
      <w:sz w:val="32"/>
      <w:szCs w:val="32"/>
    </w:rPr>
  </w:style>
  <w:style w:type="character" w:customStyle="1" w:styleId="Heading2Char">
    <w:name w:val="Heading 2 Char"/>
    <w:basedOn w:val="DefaultParagraphFont"/>
    <w:link w:val="Heading2"/>
    <w:uiPriority w:val="9"/>
    <w:rsid w:val="00B65C62"/>
    <w:rPr>
      <w:rFonts w:asciiTheme="majorBidi" w:eastAsiaTheme="majorEastAsia" w:hAnsiTheme="majorBidi" w:cstheme="majorBidi"/>
      <w:b/>
      <w:sz w:val="28"/>
      <w:szCs w:val="26"/>
    </w:rPr>
  </w:style>
  <w:style w:type="character" w:customStyle="1" w:styleId="Heading3Char">
    <w:name w:val="Heading 3 Char"/>
    <w:basedOn w:val="DefaultParagraphFont"/>
    <w:link w:val="Heading3"/>
    <w:uiPriority w:val="9"/>
    <w:rsid w:val="006265DE"/>
    <w:rPr>
      <w:rFonts w:asciiTheme="majorBidi" w:eastAsiaTheme="majorEastAsia" w:hAnsiTheme="majorBidi" w:cstheme="majorBidi"/>
      <w:b/>
      <w:sz w:val="26"/>
      <w:szCs w:val="24"/>
    </w:rPr>
  </w:style>
  <w:style w:type="paragraph" w:styleId="Caption">
    <w:name w:val="caption"/>
    <w:basedOn w:val="Normal"/>
    <w:next w:val="Normal"/>
    <w:uiPriority w:val="35"/>
    <w:unhideWhenUsed/>
    <w:qFormat/>
    <w:rsid w:val="00E32078"/>
    <w:pPr>
      <w:spacing w:after="200" w:line="240" w:lineRule="auto"/>
    </w:pPr>
    <w:rPr>
      <w:i/>
      <w:iCs/>
      <w:color w:val="44546A" w:themeColor="text2"/>
      <w:sz w:val="18"/>
      <w:szCs w:val="18"/>
    </w:rPr>
  </w:style>
  <w:style w:type="paragraph" w:styleId="NormalWeb">
    <w:name w:val="Normal (Web)"/>
    <w:basedOn w:val="Normal"/>
    <w:uiPriority w:val="99"/>
    <w:semiHidden/>
    <w:unhideWhenUsed/>
    <w:rsid w:val="0099316E"/>
    <w:pPr>
      <w:spacing w:before="100" w:beforeAutospacing="1" w:after="100" w:afterAutospacing="1" w:line="240" w:lineRule="auto"/>
      <w:jc w:val="left"/>
    </w:pPr>
    <w:rPr>
      <w:rFonts w:eastAsia="Times New Roman" w:cs="Times New Roman"/>
      <w:szCs w:val="24"/>
      <w:lang w:eastAsia="en-GB"/>
    </w:rPr>
  </w:style>
  <w:style w:type="character" w:styleId="Hyperlink">
    <w:name w:val="Hyperlink"/>
    <w:basedOn w:val="DefaultParagraphFont"/>
    <w:uiPriority w:val="99"/>
    <w:unhideWhenUsed/>
    <w:rsid w:val="0099316E"/>
    <w:rPr>
      <w:color w:val="0563C1" w:themeColor="hyperlink"/>
      <w:u w:val="single"/>
    </w:rPr>
  </w:style>
  <w:style w:type="character" w:styleId="UnresolvedMention">
    <w:name w:val="Unresolved Mention"/>
    <w:basedOn w:val="DefaultParagraphFont"/>
    <w:uiPriority w:val="99"/>
    <w:semiHidden/>
    <w:unhideWhenUsed/>
    <w:rsid w:val="0099316E"/>
    <w:rPr>
      <w:color w:val="605E5C"/>
      <w:shd w:val="clear" w:color="auto" w:fill="E1DFDD"/>
    </w:rPr>
  </w:style>
  <w:style w:type="paragraph" w:styleId="Header">
    <w:name w:val="header"/>
    <w:basedOn w:val="Normal"/>
    <w:link w:val="HeaderChar"/>
    <w:uiPriority w:val="99"/>
    <w:unhideWhenUsed/>
    <w:rsid w:val="003F7589"/>
    <w:pPr>
      <w:tabs>
        <w:tab w:val="center" w:pos="4680"/>
        <w:tab w:val="right" w:pos="9360"/>
      </w:tabs>
      <w:spacing w:after="0" w:line="240" w:lineRule="auto"/>
    </w:pPr>
  </w:style>
  <w:style w:type="character" w:customStyle="1" w:styleId="HeaderChar">
    <w:name w:val="Header Char"/>
    <w:basedOn w:val="DefaultParagraphFont"/>
    <w:link w:val="Header"/>
    <w:uiPriority w:val="99"/>
    <w:rsid w:val="003F7589"/>
    <w:rPr>
      <w:rFonts w:ascii="Times New Roman" w:hAnsi="Times New Roman"/>
      <w:sz w:val="24"/>
    </w:rPr>
  </w:style>
  <w:style w:type="paragraph" w:styleId="Footer">
    <w:name w:val="footer"/>
    <w:basedOn w:val="Normal"/>
    <w:link w:val="FooterChar"/>
    <w:uiPriority w:val="99"/>
    <w:unhideWhenUsed/>
    <w:rsid w:val="003F75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F7589"/>
    <w:rPr>
      <w:rFonts w:ascii="Times New Roman" w:hAnsi="Times New Roman"/>
      <w:sz w:val="24"/>
    </w:rPr>
  </w:style>
  <w:style w:type="paragraph" w:styleId="TOCHeading">
    <w:name w:val="TOC Heading"/>
    <w:basedOn w:val="Heading1"/>
    <w:next w:val="Normal"/>
    <w:uiPriority w:val="39"/>
    <w:unhideWhenUsed/>
    <w:qFormat/>
    <w:rsid w:val="003F7589"/>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3F7589"/>
    <w:pPr>
      <w:spacing w:after="100"/>
    </w:pPr>
  </w:style>
  <w:style w:type="paragraph" w:styleId="TOC2">
    <w:name w:val="toc 2"/>
    <w:basedOn w:val="Normal"/>
    <w:next w:val="Normal"/>
    <w:autoRedefine/>
    <w:uiPriority w:val="39"/>
    <w:unhideWhenUsed/>
    <w:rsid w:val="003F7589"/>
    <w:pPr>
      <w:spacing w:after="100"/>
      <w:ind w:left="240"/>
    </w:pPr>
  </w:style>
  <w:style w:type="paragraph" w:styleId="TOC3">
    <w:name w:val="toc 3"/>
    <w:basedOn w:val="Normal"/>
    <w:next w:val="Normal"/>
    <w:autoRedefine/>
    <w:uiPriority w:val="39"/>
    <w:unhideWhenUsed/>
    <w:rsid w:val="003F758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212069">
      <w:bodyDiv w:val="1"/>
      <w:marLeft w:val="0"/>
      <w:marRight w:val="0"/>
      <w:marTop w:val="0"/>
      <w:marBottom w:val="0"/>
      <w:divBdr>
        <w:top w:val="none" w:sz="0" w:space="0" w:color="auto"/>
        <w:left w:val="none" w:sz="0" w:space="0" w:color="auto"/>
        <w:bottom w:val="none" w:sz="0" w:space="0" w:color="auto"/>
        <w:right w:val="none" w:sz="0" w:space="0" w:color="auto"/>
      </w:divBdr>
    </w:div>
    <w:div w:id="275907982">
      <w:bodyDiv w:val="1"/>
      <w:marLeft w:val="0"/>
      <w:marRight w:val="0"/>
      <w:marTop w:val="0"/>
      <w:marBottom w:val="0"/>
      <w:divBdr>
        <w:top w:val="none" w:sz="0" w:space="0" w:color="auto"/>
        <w:left w:val="none" w:sz="0" w:space="0" w:color="auto"/>
        <w:bottom w:val="none" w:sz="0" w:space="0" w:color="auto"/>
        <w:right w:val="none" w:sz="0" w:space="0" w:color="auto"/>
      </w:divBdr>
      <w:divsChild>
        <w:div w:id="477041646">
          <w:marLeft w:val="0"/>
          <w:marRight w:val="0"/>
          <w:marTop w:val="0"/>
          <w:marBottom w:val="0"/>
          <w:divBdr>
            <w:top w:val="none" w:sz="0" w:space="0" w:color="auto"/>
            <w:left w:val="none" w:sz="0" w:space="0" w:color="auto"/>
            <w:bottom w:val="none" w:sz="0" w:space="0" w:color="auto"/>
            <w:right w:val="none" w:sz="0" w:space="0" w:color="auto"/>
          </w:divBdr>
        </w:div>
      </w:divsChild>
    </w:div>
    <w:div w:id="489294228">
      <w:bodyDiv w:val="1"/>
      <w:marLeft w:val="0"/>
      <w:marRight w:val="0"/>
      <w:marTop w:val="0"/>
      <w:marBottom w:val="0"/>
      <w:divBdr>
        <w:top w:val="none" w:sz="0" w:space="0" w:color="auto"/>
        <w:left w:val="none" w:sz="0" w:space="0" w:color="auto"/>
        <w:bottom w:val="none" w:sz="0" w:space="0" w:color="auto"/>
        <w:right w:val="none" w:sz="0" w:space="0" w:color="auto"/>
      </w:divBdr>
    </w:div>
    <w:div w:id="643122042">
      <w:bodyDiv w:val="1"/>
      <w:marLeft w:val="0"/>
      <w:marRight w:val="0"/>
      <w:marTop w:val="0"/>
      <w:marBottom w:val="0"/>
      <w:divBdr>
        <w:top w:val="none" w:sz="0" w:space="0" w:color="auto"/>
        <w:left w:val="none" w:sz="0" w:space="0" w:color="auto"/>
        <w:bottom w:val="none" w:sz="0" w:space="0" w:color="auto"/>
        <w:right w:val="none" w:sz="0" w:space="0" w:color="auto"/>
      </w:divBdr>
      <w:divsChild>
        <w:div w:id="1197042980">
          <w:marLeft w:val="0"/>
          <w:marRight w:val="0"/>
          <w:marTop w:val="0"/>
          <w:marBottom w:val="0"/>
          <w:divBdr>
            <w:top w:val="none" w:sz="0" w:space="0" w:color="auto"/>
            <w:left w:val="none" w:sz="0" w:space="0" w:color="auto"/>
            <w:bottom w:val="none" w:sz="0" w:space="0" w:color="auto"/>
            <w:right w:val="none" w:sz="0" w:space="0" w:color="auto"/>
          </w:divBdr>
        </w:div>
      </w:divsChild>
    </w:div>
    <w:div w:id="1115564919">
      <w:bodyDiv w:val="1"/>
      <w:marLeft w:val="0"/>
      <w:marRight w:val="0"/>
      <w:marTop w:val="0"/>
      <w:marBottom w:val="0"/>
      <w:divBdr>
        <w:top w:val="none" w:sz="0" w:space="0" w:color="auto"/>
        <w:left w:val="none" w:sz="0" w:space="0" w:color="auto"/>
        <w:bottom w:val="none" w:sz="0" w:space="0" w:color="auto"/>
        <w:right w:val="none" w:sz="0" w:space="0" w:color="auto"/>
      </w:divBdr>
    </w:div>
    <w:div w:id="1396782358">
      <w:bodyDiv w:val="1"/>
      <w:marLeft w:val="0"/>
      <w:marRight w:val="0"/>
      <w:marTop w:val="0"/>
      <w:marBottom w:val="0"/>
      <w:divBdr>
        <w:top w:val="none" w:sz="0" w:space="0" w:color="auto"/>
        <w:left w:val="none" w:sz="0" w:space="0" w:color="auto"/>
        <w:bottom w:val="none" w:sz="0" w:space="0" w:color="auto"/>
        <w:right w:val="none" w:sz="0" w:space="0" w:color="auto"/>
      </w:divBdr>
    </w:div>
    <w:div w:id="1547524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settings" Target="settings.xml"/><Relationship Id="rId21" Type="http://schemas.openxmlformats.org/officeDocument/2006/relationships/image" Target="media/image11.png"/><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chart" Target="charts/chart4.xm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image" Target="media/image14.png"/><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chart" Target="charts/chart3.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8"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MD%20Taufiq\Downloads\General%20Electronics%20Data%20Analysi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MD%20Taufiq\Downloads\General%20Electronics%20Data%20Analysi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MD%20Taufiq\Downloads\General%20Electronics%20Data%20Analysi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MD%20Taufiq\Downloads\General%20Electronics%20Data%20Analysis.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Profitability Ratio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'Ratio Analysis '!$K$6</c:f>
              <c:strCache>
                <c:ptCount val="1"/>
                <c:pt idx="0">
                  <c:v>Gross Profit Margin</c:v>
                </c:pt>
              </c:strCache>
            </c:strRef>
          </c:tx>
          <c:spPr>
            <a:ln w="28575" cap="rnd">
              <a:solidFill>
                <a:schemeClr val="accent1"/>
              </a:solidFill>
              <a:round/>
            </a:ln>
            <a:effectLst/>
          </c:spPr>
          <c:marker>
            <c:symbol val="none"/>
          </c:marker>
          <c:cat>
            <c:numRef>
              <c:f>'Ratio Analysis '!$L$5:$P$5</c:f>
              <c:numCache>
                <c:formatCode>General</c:formatCode>
                <c:ptCount val="5"/>
                <c:pt idx="0">
                  <c:v>2024</c:v>
                </c:pt>
                <c:pt idx="1">
                  <c:v>2023</c:v>
                </c:pt>
                <c:pt idx="2">
                  <c:v>2022</c:v>
                </c:pt>
                <c:pt idx="3">
                  <c:v>2021</c:v>
                </c:pt>
                <c:pt idx="4">
                  <c:v>2020</c:v>
                </c:pt>
              </c:numCache>
            </c:numRef>
          </c:cat>
          <c:val>
            <c:numRef>
              <c:f>'Ratio Analysis '!$L$6:$P$6</c:f>
              <c:numCache>
                <c:formatCode>0.00%</c:formatCode>
                <c:ptCount val="5"/>
                <c:pt idx="0">
                  <c:v>0.28868083640811487</c:v>
                </c:pt>
                <c:pt idx="1">
                  <c:v>0.23203324002216635</c:v>
                </c:pt>
                <c:pt idx="2">
                  <c:v>0.28059275800505207</c:v>
                </c:pt>
                <c:pt idx="3">
                  <c:v>0.28759212901552855</c:v>
                </c:pt>
                <c:pt idx="4">
                  <c:v>0.28674432224897506</c:v>
                </c:pt>
              </c:numCache>
            </c:numRef>
          </c:val>
          <c:smooth val="0"/>
          <c:extLst>
            <c:ext xmlns:c16="http://schemas.microsoft.com/office/drawing/2014/chart" uri="{C3380CC4-5D6E-409C-BE32-E72D297353CC}">
              <c16:uniqueId val="{00000000-44DB-41AB-9064-ABE4E3078B6B}"/>
            </c:ext>
          </c:extLst>
        </c:ser>
        <c:ser>
          <c:idx val="1"/>
          <c:order val="1"/>
          <c:tx>
            <c:strRef>
              <c:f>'Ratio Analysis '!$K$7</c:f>
              <c:strCache>
                <c:ptCount val="1"/>
                <c:pt idx="0">
                  <c:v>Operating Profit Margin</c:v>
                </c:pt>
              </c:strCache>
            </c:strRef>
          </c:tx>
          <c:spPr>
            <a:ln w="28575" cap="rnd">
              <a:solidFill>
                <a:schemeClr val="accent2"/>
              </a:solidFill>
              <a:round/>
            </a:ln>
            <a:effectLst/>
          </c:spPr>
          <c:marker>
            <c:symbol val="none"/>
          </c:marker>
          <c:cat>
            <c:numRef>
              <c:f>'Ratio Analysis '!$L$5:$P$5</c:f>
              <c:numCache>
                <c:formatCode>General</c:formatCode>
                <c:ptCount val="5"/>
                <c:pt idx="0">
                  <c:v>2024</c:v>
                </c:pt>
                <c:pt idx="1">
                  <c:v>2023</c:v>
                </c:pt>
                <c:pt idx="2">
                  <c:v>2022</c:v>
                </c:pt>
                <c:pt idx="3">
                  <c:v>2021</c:v>
                </c:pt>
                <c:pt idx="4">
                  <c:v>2020</c:v>
                </c:pt>
              </c:numCache>
            </c:numRef>
          </c:cat>
          <c:val>
            <c:numRef>
              <c:f>'Ratio Analysis '!$L$7:$P$7</c:f>
              <c:numCache>
                <c:formatCode>0.00%</c:formatCode>
                <c:ptCount val="5"/>
                <c:pt idx="0">
                  <c:v>-3.8738448993235905E-2</c:v>
                </c:pt>
                <c:pt idx="1">
                  <c:v>-0.20287686969178775</c:v>
                </c:pt>
                <c:pt idx="2">
                  <c:v>2.6804188292605634E-2</c:v>
                </c:pt>
                <c:pt idx="3">
                  <c:v>3.8651799694814845E-2</c:v>
                </c:pt>
                <c:pt idx="4">
                  <c:v>6.0628294397084663E-2</c:v>
                </c:pt>
              </c:numCache>
            </c:numRef>
          </c:val>
          <c:smooth val="0"/>
          <c:extLst>
            <c:ext xmlns:c16="http://schemas.microsoft.com/office/drawing/2014/chart" uri="{C3380CC4-5D6E-409C-BE32-E72D297353CC}">
              <c16:uniqueId val="{00000001-44DB-41AB-9064-ABE4E3078B6B}"/>
            </c:ext>
          </c:extLst>
        </c:ser>
        <c:ser>
          <c:idx val="2"/>
          <c:order val="2"/>
          <c:tx>
            <c:strRef>
              <c:f>'Ratio Analysis '!$K$8</c:f>
              <c:strCache>
                <c:ptCount val="1"/>
                <c:pt idx="0">
                  <c:v>Net Profit Margin</c:v>
                </c:pt>
              </c:strCache>
            </c:strRef>
          </c:tx>
          <c:spPr>
            <a:ln w="28575" cap="rnd">
              <a:solidFill>
                <a:schemeClr val="accent3"/>
              </a:solidFill>
              <a:round/>
            </a:ln>
            <a:effectLst/>
          </c:spPr>
          <c:marker>
            <c:symbol val="none"/>
          </c:marker>
          <c:cat>
            <c:numRef>
              <c:f>'Ratio Analysis '!$L$5:$P$5</c:f>
              <c:numCache>
                <c:formatCode>General</c:formatCode>
                <c:ptCount val="5"/>
                <c:pt idx="0">
                  <c:v>2024</c:v>
                </c:pt>
                <c:pt idx="1">
                  <c:v>2023</c:v>
                </c:pt>
                <c:pt idx="2">
                  <c:v>2022</c:v>
                </c:pt>
                <c:pt idx="3">
                  <c:v>2021</c:v>
                </c:pt>
                <c:pt idx="4">
                  <c:v>2020</c:v>
                </c:pt>
              </c:numCache>
            </c:numRef>
          </c:cat>
          <c:val>
            <c:numRef>
              <c:f>'Ratio Analysis '!$L$8:$P$8</c:f>
              <c:numCache>
                <c:formatCode>0.00%</c:formatCode>
                <c:ptCount val="5"/>
                <c:pt idx="0">
                  <c:v>-6.0851551994408414E-2</c:v>
                </c:pt>
                <c:pt idx="1">
                  <c:v>-0.23364577114901167</c:v>
                </c:pt>
                <c:pt idx="2">
                  <c:v>7.4988346405626153E-4</c:v>
                </c:pt>
                <c:pt idx="3">
                  <c:v>8.8114733661124791E-3</c:v>
                </c:pt>
                <c:pt idx="4">
                  <c:v>6.2751350296089026E-2</c:v>
                </c:pt>
              </c:numCache>
            </c:numRef>
          </c:val>
          <c:smooth val="0"/>
          <c:extLst>
            <c:ext xmlns:c16="http://schemas.microsoft.com/office/drawing/2014/chart" uri="{C3380CC4-5D6E-409C-BE32-E72D297353CC}">
              <c16:uniqueId val="{00000002-44DB-41AB-9064-ABE4E3078B6B}"/>
            </c:ext>
          </c:extLst>
        </c:ser>
        <c:ser>
          <c:idx val="3"/>
          <c:order val="3"/>
          <c:tx>
            <c:strRef>
              <c:f>'Ratio Analysis '!$K$9</c:f>
              <c:strCache>
                <c:ptCount val="1"/>
                <c:pt idx="0">
                  <c:v>Return on Assets (ROA)</c:v>
                </c:pt>
              </c:strCache>
            </c:strRef>
          </c:tx>
          <c:spPr>
            <a:ln w="28575" cap="rnd">
              <a:solidFill>
                <a:schemeClr val="accent4"/>
              </a:solidFill>
              <a:round/>
            </a:ln>
            <a:effectLst/>
          </c:spPr>
          <c:marker>
            <c:symbol val="none"/>
          </c:marker>
          <c:cat>
            <c:numRef>
              <c:f>'Ratio Analysis '!$L$5:$P$5</c:f>
              <c:numCache>
                <c:formatCode>General</c:formatCode>
                <c:ptCount val="5"/>
                <c:pt idx="0">
                  <c:v>2024</c:v>
                </c:pt>
                <c:pt idx="1">
                  <c:v>2023</c:v>
                </c:pt>
                <c:pt idx="2">
                  <c:v>2022</c:v>
                </c:pt>
                <c:pt idx="3">
                  <c:v>2021</c:v>
                </c:pt>
                <c:pt idx="4">
                  <c:v>2020</c:v>
                </c:pt>
              </c:numCache>
            </c:numRef>
          </c:cat>
          <c:val>
            <c:numRef>
              <c:f>'Ratio Analysis '!$L$9:$P$9</c:f>
              <c:numCache>
                <c:formatCode>0.00%</c:formatCode>
                <c:ptCount val="5"/>
                <c:pt idx="0">
                  <c:v>-6.0851551994408414E-2</c:v>
                </c:pt>
                <c:pt idx="1">
                  <c:v>-0.23364577114901167</c:v>
                </c:pt>
                <c:pt idx="2">
                  <c:v>7.4988346405626153E-4</c:v>
                </c:pt>
                <c:pt idx="3">
                  <c:v>8.8114733661124791E-3</c:v>
                </c:pt>
                <c:pt idx="4">
                  <c:v>6.2751350296089026E-2</c:v>
                </c:pt>
              </c:numCache>
            </c:numRef>
          </c:val>
          <c:smooth val="0"/>
          <c:extLst>
            <c:ext xmlns:c16="http://schemas.microsoft.com/office/drawing/2014/chart" uri="{C3380CC4-5D6E-409C-BE32-E72D297353CC}">
              <c16:uniqueId val="{00000003-44DB-41AB-9064-ABE4E3078B6B}"/>
            </c:ext>
          </c:extLst>
        </c:ser>
        <c:ser>
          <c:idx val="4"/>
          <c:order val="4"/>
          <c:tx>
            <c:strRef>
              <c:f>'Ratio Analysis '!$K$10</c:f>
              <c:strCache>
                <c:ptCount val="1"/>
                <c:pt idx="0">
                  <c:v>Return on Equity (ROE)</c:v>
                </c:pt>
              </c:strCache>
            </c:strRef>
          </c:tx>
          <c:spPr>
            <a:ln w="28575" cap="rnd">
              <a:solidFill>
                <a:schemeClr val="accent5"/>
              </a:solidFill>
              <a:round/>
            </a:ln>
            <a:effectLst/>
          </c:spPr>
          <c:marker>
            <c:symbol val="none"/>
          </c:marker>
          <c:cat>
            <c:numRef>
              <c:f>'Ratio Analysis '!$L$5:$P$5</c:f>
              <c:numCache>
                <c:formatCode>General</c:formatCode>
                <c:ptCount val="5"/>
                <c:pt idx="0">
                  <c:v>2024</c:v>
                </c:pt>
                <c:pt idx="1">
                  <c:v>2023</c:v>
                </c:pt>
                <c:pt idx="2">
                  <c:v>2022</c:v>
                </c:pt>
                <c:pt idx="3">
                  <c:v>2021</c:v>
                </c:pt>
                <c:pt idx="4">
                  <c:v>2020</c:v>
                </c:pt>
              </c:numCache>
            </c:numRef>
          </c:cat>
          <c:val>
            <c:numRef>
              <c:f>'Ratio Analysis '!$L$10:$P$10</c:f>
              <c:numCache>
                <c:formatCode>0.00%</c:formatCode>
                <c:ptCount val="5"/>
                <c:pt idx="0">
                  <c:v>-0.1569445805166389</c:v>
                </c:pt>
                <c:pt idx="1">
                  <c:v>-0.54906103286384977</c:v>
                </c:pt>
                <c:pt idx="2">
                  <c:v>1.5163595448685946E-3</c:v>
                </c:pt>
                <c:pt idx="3">
                  <c:v>1.9210071426241804E-2</c:v>
                </c:pt>
                <c:pt idx="4">
                  <c:v>0.1231148320624575</c:v>
                </c:pt>
              </c:numCache>
            </c:numRef>
          </c:val>
          <c:smooth val="0"/>
          <c:extLst>
            <c:ext xmlns:c16="http://schemas.microsoft.com/office/drawing/2014/chart" uri="{C3380CC4-5D6E-409C-BE32-E72D297353CC}">
              <c16:uniqueId val="{00000004-44DB-41AB-9064-ABE4E3078B6B}"/>
            </c:ext>
          </c:extLst>
        </c:ser>
        <c:dLbls>
          <c:showLegendKey val="0"/>
          <c:showVal val="0"/>
          <c:showCatName val="0"/>
          <c:showSerName val="0"/>
          <c:showPercent val="0"/>
          <c:showBubbleSize val="0"/>
        </c:dLbls>
        <c:smooth val="0"/>
        <c:axId val="1857971439"/>
        <c:axId val="1857967695"/>
      </c:lineChart>
      <c:catAx>
        <c:axId val="18579714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7967695"/>
        <c:crosses val="autoZero"/>
        <c:auto val="1"/>
        <c:lblAlgn val="ctr"/>
        <c:lblOffset val="100"/>
        <c:noMultiLvlLbl val="0"/>
      </c:catAx>
      <c:valAx>
        <c:axId val="1857967695"/>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797143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Liquidity Ratio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 Analysis '!$K$12</c:f>
              <c:strCache>
                <c:ptCount val="1"/>
                <c:pt idx="0">
                  <c:v>Current Ratio</c:v>
                </c:pt>
              </c:strCache>
            </c:strRef>
          </c:tx>
          <c:spPr>
            <a:solidFill>
              <a:schemeClr val="accent1"/>
            </a:solidFill>
            <a:ln>
              <a:noFill/>
            </a:ln>
            <a:effectLst/>
          </c:spPr>
          <c:invertIfNegative val="0"/>
          <c:cat>
            <c:numRef>
              <c:f>'Ratio Analysis '!$L$11:$P$11</c:f>
              <c:numCache>
                <c:formatCode>General</c:formatCode>
                <c:ptCount val="5"/>
                <c:pt idx="0">
                  <c:v>2024</c:v>
                </c:pt>
                <c:pt idx="1">
                  <c:v>2023</c:v>
                </c:pt>
                <c:pt idx="2">
                  <c:v>2022</c:v>
                </c:pt>
                <c:pt idx="3">
                  <c:v>2021</c:v>
                </c:pt>
                <c:pt idx="4">
                  <c:v>2020</c:v>
                </c:pt>
              </c:numCache>
            </c:numRef>
          </c:cat>
          <c:val>
            <c:numRef>
              <c:f>'Ratio Analysis '!$L$12:$P$12</c:f>
              <c:numCache>
                <c:formatCode>General</c:formatCode>
                <c:ptCount val="5"/>
                <c:pt idx="0">
                  <c:v>1.532</c:v>
                </c:pt>
                <c:pt idx="1">
                  <c:v>1.6063000000000001</c:v>
                </c:pt>
                <c:pt idx="2">
                  <c:v>1.5616000000000001</c:v>
                </c:pt>
                <c:pt idx="3">
                  <c:v>1.5551999999999999</c:v>
                </c:pt>
                <c:pt idx="4">
                  <c:v>1.8208</c:v>
                </c:pt>
              </c:numCache>
            </c:numRef>
          </c:val>
          <c:extLst>
            <c:ext xmlns:c16="http://schemas.microsoft.com/office/drawing/2014/chart" uri="{C3380CC4-5D6E-409C-BE32-E72D297353CC}">
              <c16:uniqueId val="{00000000-6CED-44CD-A8AD-A3A4A26D1135}"/>
            </c:ext>
          </c:extLst>
        </c:ser>
        <c:ser>
          <c:idx val="1"/>
          <c:order val="1"/>
          <c:tx>
            <c:strRef>
              <c:f>'Ratio Analysis '!$K$13</c:f>
              <c:strCache>
                <c:ptCount val="1"/>
                <c:pt idx="0">
                  <c:v>Quick Ratio</c:v>
                </c:pt>
              </c:strCache>
            </c:strRef>
          </c:tx>
          <c:spPr>
            <a:solidFill>
              <a:schemeClr val="accent2"/>
            </a:solidFill>
            <a:ln>
              <a:noFill/>
            </a:ln>
            <a:effectLst/>
          </c:spPr>
          <c:invertIfNegative val="0"/>
          <c:cat>
            <c:numRef>
              <c:f>'Ratio Analysis '!$L$11:$P$11</c:f>
              <c:numCache>
                <c:formatCode>General</c:formatCode>
                <c:ptCount val="5"/>
                <c:pt idx="0">
                  <c:v>2024</c:v>
                </c:pt>
                <c:pt idx="1">
                  <c:v>2023</c:v>
                </c:pt>
                <c:pt idx="2">
                  <c:v>2022</c:v>
                </c:pt>
                <c:pt idx="3">
                  <c:v>2021</c:v>
                </c:pt>
                <c:pt idx="4">
                  <c:v>2020</c:v>
                </c:pt>
              </c:numCache>
            </c:numRef>
          </c:cat>
          <c:val>
            <c:numRef>
              <c:f>'Ratio Analysis '!$L$13:$P$13</c:f>
              <c:numCache>
                <c:formatCode>General</c:formatCode>
                <c:ptCount val="5"/>
                <c:pt idx="0">
                  <c:v>1.0306</c:v>
                </c:pt>
                <c:pt idx="1">
                  <c:v>1.0585</c:v>
                </c:pt>
                <c:pt idx="2">
                  <c:v>0.91400000000000003</c:v>
                </c:pt>
                <c:pt idx="3">
                  <c:v>0.93489999999999995</c:v>
                </c:pt>
                <c:pt idx="4">
                  <c:v>1.1498999999999999</c:v>
                </c:pt>
              </c:numCache>
            </c:numRef>
          </c:val>
          <c:extLst>
            <c:ext xmlns:c16="http://schemas.microsoft.com/office/drawing/2014/chart" uri="{C3380CC4-5D6E-409C-BE32-E72D297353CC}">
              <c16:uniqueId val="{00000001-6CED-44CD-A8AD-A3A4A26D1135}"/>
            </c:ext>
          </c:extLst>
        </c:ser>
        <c:ser>
          <c:idx val="2"/>
          <c:order val="2"/>
          <c:tx>
            <c:strRef>
              <c:f>'Ratio Analysis '!$K$14</c:f>
              <c:strCache>
                <c:ptCount val="1"/>
                <c:pt idx="0">
                  <c:v>Cash Ratio</c:v>
                </c:pt>
              </c:strCache>
            </c:strRef>
          </c:tx>
          <c:spPr>
            <a:solidFill>
              <a:schemeClr val="accent3"/>
            </a:solidFill>
            <a:ln>
              <a:noFill/>
            </a:ln>
            <a:effectLst/>
          </c:spPr>
          <c:invertIfNegative val="0"/>
          <c:cat>
            <c:numRef>
              <c:f>'Ratio Analysis '!$L$11:$P$11</c:f>
              <c:numCache>
                <c:formatCode>General</c:formatCode>
                <c:ptCount val="5"/>
                <c:pt idx="0">
                  <c:v>2024</c:v>
                </c:pt>
                <c:pt idx="1">
                  <c:v>2023</c:v>
                </c:pt>
                <c:pt idx="2">
                  <c:v>2022</c:v>
                </c:pt>
                <c:pt idx="3">
                  <c:v>2021</c:v>
                </c:pt>
                <c:pt idx="4">
                  <c:v>2020</c:v>
                </c:pt>
              </c:numCache>
            </c:numRef>
          </c:cat>
          <c:val>
            <c:numRef>
              <c:f>'Ratio Analysis '!$L$14:$P$14</c:f>
              <c:numCache>
                <c:formatCode>General</c:formatCode>
                <c:ptCount val="5"/>
                <c:pt idx="0">
                  <c:v>0.16919999999999999</c:v>
                </c:pt>
                <c:pt idx="1">
                  <c:v>0.26529999999999998</c:v>
                </c:pt>
                <c:pt idx="2">
                  <c:v>0.30830000000000002</c:v>
                </c:pt>
                <c:pt idx="3">
                  <c:v>0.28050000000000003</c:v>
                </c:pt>
                <c:pt idx="4">
                  <c:v>0.31840000000000002</c:v>
                </c:pt>
              </c:numCache>
            </c:numRef>
          </c:val>
          <c:extLst>
            <c:ext xmlns:c16="http://schemas.microsoft.com/office/drawing/2014/chart" uri="{C3380CC4-5D6E-409C-BE32-E72D297353CC}">
              <c16:uniqueId val="{00000002-6CED-44CD-A8AD-A3A4A26D1135}"/>
            </c:ext>
          </c:extLst>
        </c:ser>
        <c:dLbls>
          <c:showLegendKey val="0"/>
          <c:showVal val="0"/>
          <c:showCatName val="0"/>
          <c:showSerName val="0"/>
          <c:showPercent val="0"/>
          <c:showBubbleSize val="0"/>
        </c:dLbls>
        <c:gapWidth val="219"/>
        <c:overlap val="-27"/>
        <c:axId val="1897786767"/>
        <c:axId val="1897785519"/>
      </c:barChart>
      <c:catAx>
        <c:axId val="189778676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7785519"/>
        <c:crosses val="autoZero"/>
        <c:auto val="1"/>
        <c:lblAlgn val="ctr"/>
        <c:lblOffset val="100"/>
        <c:noMultiLvlLbl val="0"/>
      </c:catAx>
      <c:valAx>
        <c:axId val="189778551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77867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Gearing Ratios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 Analysis '!$K$26</c:f>
              <c:strCache>
                <c:ptCount val="1"/>
                <c:pt idx="0">
                  <c:v>Debt-to-Equity Ratio</c:v>
                </c:pt>
              </c:strCache>
            </c:strRef>
          </c:tx>
          <c:spPr>
            <a:solidFill>
              <a:schemeClr val="accent2">
                <a:shade val="65000"/>
              </a:schemeClr>
            </a:solidFill>
            <a:ln>
              <a:noFill/>
            </a:ln>
            <a:effectLst/>
          </c:spPr>
          <c:invertIfNegative val="0"/>
          <c:cat>
            <c:numRef>
              <c:f>'Ratio Analysis '!$L$25:$O$25</c:f>
              <c:numCache>
                <c:formatCode>General</c:formatCode>
                <c:ptCount val="4"/>
                <c:pt idx="0">
                  <c:v>2024</c:v>
                </c:pt>
                <c:pt idx="1">
                  <c:v>2023</c:v>
                </c:pt>
                <c:pt idx="2">
                  <c:v>2022</c:v>
                </c:pt>
                <c:pt idx="3">
                  <c:v>2021</c:v>
                </c:pt>
              </c:numCache>
            </c:numRef>
          </c:cat>
          <c:val>
            <c:numRef>
              <c:f>'Ratio Analysis '!$L$26:$O$26</c:f>
              <c:numCache>
                <c:formatCode>General</c:formatCode>
                <c:ptCount val="4"/>
                <c:pt idx="0">
                  <c:v>1.1120000000000001</c:v>
                </c:pt>
                <c:pt idx="1">
                  <c:v>0.98899999999999999</c:v>
                </c:pt>
                <c:pt idx="2">
                  <c:v>0.87839999999999996</c:v>
                </c:pt>
                <c:pt idx="3">
                  <c:v>0.84940000000000004</c:v>
                </c:pt>
              </c:numCache>
            </c:numRef>
          </c:val>
          <c:extLst>
            <c:ext xmlns:c16="http://schemas.microsoft.com/office/drawing/2014/chart" uri="{C3380CC4-5D6E-409C-BE32-E72D297353CC}">
              <c16:uniqueId val="{00000000-17DD-40F0-8F82-99BCF8E70AB3}"/>
            </c:ext>
          </c:extLst>
        </c:ser>
        <c:ser>
          <c:idx val="1"/>
          <c:order val="1"/>
          <c:tx>
            <c:strRef>
              <c:f>'Ratio Analysis '!$K$27</c:f>
              <c:strCache>
                <c:ptCount val="1"/>
                <c:pt idx="0">
                  <c:v>Debt-to-Assets Ratio</c:v>
                </c:pt>
              </c:strCache>
            </c:strRef>
          </c:tx>
          <c:spPr>
            <a:solidFill>
              <a:schemeClr val="accent2"/>
            </a:solidFill>
            <a:ln>
              <a:noFill/>
            </a:ln>
            <a:effectLst/>
          </c:spPr>
          <c:invertIfNegative val="0"/>
          <c:cat>
            <c:numRef>
              <c:f>'Ratio Analysis '!$L$25:$O$25</c:f>
              <c:numCache>
                <c:formatCode>General</c:formatCode>
                <c:ptCount val="4"/>
                <c:pt idx="0">
                  <c:v>2024</c:v>
                </c:pt>
                <c:pt idx="1">
                  <c:v>2023</c:v>
                </c:pt>
                <c:pt idx="2">
                  <c:v>2022</c:v>
                </c:pt>
                <c:pt idx="3">
                  <c:v>2021</c:v>
                </c:pt>
              </c:numCache>
            </c:numRef>
          </c:cat>
          <c:val>
            <c:numRef>
              <c:f>'Ratio Analysis '!$L$27:$O$27</c:f>
              <c:numCache>
                <c:formatCode>General</c:formatCode>
                <c:ptCount val="4"/>
                <c:pt idx="0">
                  <c:v>0.52649999999999997</c:v>
                </c:pt>
                <c:pt idx="1">
                  <c:v>0.49719999999999998</c:v>
                </c:pt>
                <c:pt idx="2">
                  <c:v>0.46760000000000002</c:v>
                </c:pt>
                <c:pt idx="3">
                  <c:v>0.45929999999999999</c:v>
                </c:pt>
              </c:numCache>
            </c:numRef>
          </c:val>
          <c:extLst>
            <c:ext xmlns:c16="http://schemas.microsoft.com/office/drawing/2014/chart" uri="{C3380CC4-5D6E-409C-BE32-E72D297353CC}">
              <c16:uniqueId val="{00000001-17DD-40F0-8F82-99BCF8E70AB3}"/>
            </c:ext>
          </c:extLst>
        </c:ser>
        <c:ser>
          <c:idx val="2"/>
          <c:order val="2"/>
          <c:tx>
            <c:strRef>
              <c:f>'Ratio Analysis '!$K$28</c:f>
              <c:strCache>
                <c:ptCount val="1"/>
                <c:pt idx="0">
                  <c:v>Interest Coverage Ratio</c:v>
                </c:pt>
              </c:strCache>
            </c:strRef>
          </c:tx>
          <c:spPr>
            <a:solidFill>
              <a:schemeClr val="accent2">
                <a:tint val="65000"/>
              </a:schemeClr>
            </a:solidFill>
            <a:ln>
              <a:noFill/>
            </a:ln>
            <a:effectLst/>
          </c:spPr>
          <c:invertIfNegative val="0"/>
          <c:cat>
            <c:numRef>
              <c:f>'Ratio Analysis '!$L$25:$O$25</c:f>
              <c:numCache>
                <c:formatCode>General</c:formatCode>
                <c:ptCount val="4"/>
                <c:pt idx="0">
                  <c:v>2024</c:v>
                </c:pt>
                <c:pt idx="1">
                  <c:v>2023</c:v>
                </c:pt>
                <c:pt idx="2">
                  <c:v>2022</c:v>
                </c:pt>
                <c:pt idx="3">
                  <c:v>2021</c:v>
                </c:pt>
              </c:numCache>
            </c:numRef>
          </c:cat>
          <c:val>
            <c:numRef>
              <c:f>'Ratio Analysis '!$L$28:$O$28</c:f>
              <c:numCache>
                <c:formatCode>General</c:formatCode>
                <c:ptCount val="4"/>
                <c:pt idx="0">
                  <c:v>-4.5513000000000003</c:v>
                </c:pt>
                <c:pt idx="1">
                  <c:v>-19.690899999999999</c:v>
                </c:pt>
                <c:pt idx="2">
                  <c:v>6.6127000000000002</c:v>
                </c:pt>
                <c:pt idx="3">
                  <c:v>41.082999999999998</c:v>
                </c:pt>
              </c:numCache>
            </c:numRef>
          </c:val>
          <c:extLst>
            <c:ext xmlns:c16="http://schemas.microsoft.com/office/drawing/2014/chart" uri="{C3380CC4-5D6E-409C-BE32-E72D297353CC}">
              <c16:uniqueId val="{00000002-17DD-40F0-8F82-99BCF8E70AB3}"/>
            </c:ext>
          </c:extLst>
        </c:ser>
        <c:dLbls>
          <c:showLegendKey val="0"/>
          <c:showVal val="0"/>
          <c:showCatName val="0"/>
          <c:showSerName val="0"/>
          <c:showPercent val="0"/>
          <c:showBubbleSize val="0"/>
        </c:dLbls>
        <c:gapWidth val="219"/>
        <c:overlap val="-27"/>
        <c:axId val="1897790927"/>
        <c:axId val="1897788015"/>
      </c:barChart>
      <c:catAx>
        <c:axId val="18977909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7788015"/>
        <c:crosses val="autoZero"/>
        <c:auto val="1"/>
        <c:lblAlgn val="ctr"/>
        <c:lblOffset val="100"/>
        <c:noMultiLvlLbl val="0"/>
      </c:catAx>
      <c:valAx>
        <c:axId val="189778801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779092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'Ratio Analysis '!$K$59</c:f>
              <c:strCache>
                <c:ptCount val="1"/>
                <c:pt idx="0">
                  <c:v>Cash Conversion Cycle (CCC)</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'Ratio Analysis '!$L$58:$P$58</c:f>
              <c:numCache>
                <c:formatCode>General</c:formatCode>
                <c:ptCount val="5"/>
                <c:pt idx="0">
                  <c:v>2024</c:v>
                </c:pt>
                <c:pt idx="1">
                  <c:v>2023</c:v>
                </c:pt>
                <c:pt idx="2">
                  <c:v>2022</c:v>
                </c:pt>
                <c:pt idx="3">
                  <c:v>2021</c:v>
                </c:pt>
                <c:pt idx="4">
                  <c:v>2020</c:v>
                </c:pt>
              </c:numCache>
            </c:numRef>
          </c:cat>
          <c:val>
            <c:numRef>
              <c:f>'Ratio Analysis '!$L$59:$P$59</c:f>
              <c:numCache>
                <c:formatCode>General</c:formatCode>
                <c:ptCount val="5"/>
                <c:pt idx="0">
                  <c:v>124.62269999999999</c:v>
                </c:pt>
                <c:pt idx="1">
                  <c:v>136.73910000000001</c:v>
                </c:pt>
                <c:pt idx="2">
                  <c:v>145.25149999999999</c:v>
                </c:pt>
                <c:pt idx="3">
                  <c:v>117.0034</c:v>
                </c:pt>
                <c:pt idx="4">
                  <c:v>113.57980000000001</c:v>
                </c:pt>
              </c:numCache>
            </c:numRef>
          </c:val>
          <c:smooth val="0"/>
          <c:extLst>
            <c:ext xmlns:c16="http://schemas.microsoft.com/office/drawing/2014/chart" uri="{C3380CC4-5D6E-409C-BE32-E72D297353CC}">
              <c16:uniqueId val="{00000000-5B8E-48B7-A426-A0CAD0DCB4AB}"/>
            </c:ext>
          </c:extLst>
        </c:ser>
        <c:dLbls>
          <c:dLblPos val="t"/>
          <c:showLegendKey val="0"/>
          <c:showVal val="1"/>
          <c:showCatName val="0"/>
          <c:showSerName val="0"/>
          <c:showPercent val="0"/>
          <c:showBubbleSize val="0"/>
        </c:dLbls>
        <c:smooth val="0"/>
        <c:axId val="1948032559"/>
        <c:axId val="1948032975"/>
      </c:lineChart>
      <c:catAx>
        <c:axId val="19480325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8032975"/>
        <c:crosses val="autoZero"/>
        <c:auto val="1"/>
        <c:lblAlgn val="ctr"/>
        <c:lblOffset val="100"/>
        <c:noMultiLvlLbl val="0"/>
      </c:catAx>
      <c:valAx>
        <c:axId val="194803297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803255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withinLinear" id="15">
  <a:schemeClr val="accent2"/>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0CF703-B624-4FAA-9DE7-4AF811DF47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35</Pages>
  <Words>6088</Words>
  <Characters>35517</Characters>
  <Application>Microsoft Office Word</Application>
  <DocSecurity>0</DocSecurity>
  <Lines>637</Lines>
  <Paragraphs>224</Paragraphs>
  <ScaleCrop>false</ScaleCrop>
  <HeadingPairs>
    <vt:vector size="4" baseType="variant">
      <vt:variant>
        <vt:lpstr>Title</vt:lpstr>
      </vt:variant>
      <vt:variant>
        <vt:i4>1</vt:i4>
      </vt:variant>
      <vt:variant>
        <vt:lpstr>Headings</vt:lpstr>
      </vt:variant>
      <vt:variant>
        <vt:i4>25</vt:i4>
      </vt:variant>
    </vt:vector>
  </HeadingPairs>
  <TitlesOfParts>
    <vt:vector size="26" baseType="lpstr">
      <vt:lpstr/>
      <vt:lpstr>1.0 Introduction </vt:lpstr>
      <vt:lpstr>2.0 Financial Health Check </vt:lpstr>
      <vt:lpstr>    2.1 Profitability Ratios </vt:lpstr>
      <vt:lpstr>    2.2 Liquidity Ratios </vt:lpstr>
      <vt:lpstr>    2.3 Efficiency Ratios</vt:lpstr>
      <vt:lpstr>    2.4 Gearing Ratios</vt:lpstr>
      <vt:lpstr>    2.5 Altman Z-Score Analysis </vt:lpstr>
      <vt:lpstr>    2.6 Investment and Cash Flow Ratios </vt:lpstr>
      <vt:lpstr>    2.7 Overall Financial Trends Analysis </vt:lpstr>
      <vt:lpstr>3.0 Working Capital Management Analysis</vt:lpstr>
      <vt:lpstr>4.0 Strategic Financial Restructuring Plan</vt:lpstr>
      <vt:lpstr>    4.1 Recommended Integrated Restructuring Strategy</vt:lpstr>
      <vt:lpstr>5.0 Investment Appraisal And Capital Budgeting</vt:lpstr>
      <vt:lpstr>    5.1 Project Appraisal Analysis</vt:lpstr>
      <vt:lpstr>        Project A </vt:lpstr>
      <vt:lpstr>        Project B </vt:lpstr>
      <vt:lpstr>        Project C </vt:lpstr>
      <vt:lpstr>    5.2 Comparison and Methodology Reconciliation</vt:lpstr>
      <vt:lpstr>    5.3 CAPM Rationalization of Constraints of Capital Rationing</vt:lpstr>
      <vt:lpstr>    5.4 Final Investment Recommendation</vt:lpstr>
      <vt:lpstr>    5.5 Capital Allocation Sequencing Strategy</vt:lpstr>
      <vt:lpstr>6.0 Conclusion </vt:lpstr>
      <vt:lpstr>References</vt:lpstr>
      <vt:lpstr>Appendices </vt:lpstr>
      <vt:lpstr>        Appendix-1 Ratio Analysis </vt:lpstr>
    </vt:vector>
  </TitlesOfParts>
  <Company/>
  <LinksUpToDate>false</LinksUpToDate>
  <CharactersWithSpaces>41413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Assaba supty</cp:lastModifiedBy>
  <cp:revision>2</cp:revision>
  <dcterms:created xsi:type="dcterms:W3CDTF">2025-11-18T21:11:00Z</dcterms:created>
  <dcterms:modified xsi:type="dcterms:W3CDTF">2025-11-18T21:11:00Z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50d48943-8281-482e-b225-16c8166ce6b9</vt:lpwstr>
  </property>
</Properties>
</file>