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455876" w:rsidRPr="000E2335" w:rsidRDefault="00455876" w:rsidP="001D2EE8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="001D2EE8" w:rsidRPr="000E2335" w:rsidRDefault="001D2EE8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455876" w:rsidRPr="00F703C5" w:rsidRDefault="00455876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36"/>
          <w:szCs w:val="36"/>
          <w:lang w:val="en-GB"/>
        </w:rPr>
      </w:pPr>
      <w:r w:rsidRPr="00F703C5">
        <w:rPr>
          <w:rFonts w:ascii="Times New Roman" w:hAnsi="Times New Roman" w:cs="Times New Roman"/>
          <w:b/>
          <w:sz w:val="36"/>
          <w:szCs w:val="36"/>
          <w:lang w:val="en-GB"/>
        </w:rPr>
        <w:t>ACCOUNTING QUESTIONS</w:t>
      </w:r>
    </w:p>
    <w:p w:rsidR="00455876" w:rsidRPr="000E2335" w:rsidRDefault="00455876" w:rsidP="001D2EE8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:rsidR="001D2EE8" w:rsidRPr="000E2335" w:rsidRDefault="001D2EE8" w:rsidP="001D2EE8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:rsidR="001D2EE8" w:rsidRPr="000E2335" w:rsidRDefault="001D2EE8" w:rsidP="001D2EE8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:rsidR="00455876" w:rsidRPr="00242BF2" w:rsidRDefault="001D2EE8" w:rsidP="001D2EE8">
      <w:pPr>
        <w:spacing w:after="0" w:line="480" w:lineRule="auto"/>
        <w:jc w:val="center"/>
        <w:rPr>
          <w:rFonts w:ascii="Times New Roman" w:hAnsi="Times New Roman" w:cs="Times New Roman"/>
          <w:sz w:val="36"/>
          <w:szCs w:val="36"/>
          <w:lang w:val="en-GB"/>
        </w:rPr>
      </w:pP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D66BE" w:rsidRPr="00242BF2">
        <w:rPr>
          <w:rFonts w:ascii="Times New Roman" w:hAnsi="Times New Roman" w:cs="Times New Roman"/>
          <w:sz w:val="36"/>
          <w:szCs w:val="36"/>
          <w:lang w:val="en-GB"/>
        </w:rPr>
        <w:t xml:space="preserve">Nikolay Uchkunov </w:t>
      </w:r>
    </w:p>
    <w:p w:rsidR="00455876" w:rsidRPr="00242BF2" w:rsidRDefault="00455876" w:rsidP="001D2EE8">
      <w:pPr>
        <w:spacing w:after="0" w:line="480" w:lineRule="auto"/>
        <w:jc w:val="center"/>
        <w:rPr>
          <w:rFonts w:ascii="Times New Roman" w:hAnsi="Times New Roman" w:cs="Times New Roman"/>
          <w:sz w:val="36"/>
          <w:szCs w:val="36"/>
          <w:lang w:val="en-GB"/>
        </w:rPr>
      </w:pPr>
      <w:r w:rsidRPr="00242BF2">
        <w:rPr>
          <w:rFonts w:ascii="Times New Roman" w:hAnsi="Times New Roman" w:cs="Times New Roman"/>
          <w:sz w:val="36"/>
          <w:szCs w:val="36"/>
          <w:lang w:val="en-GB"/>
        </w:rPr>
        <w:t xml:space="preserve"> </w:t>
      </w:r>
    </w:p>
    <w:p w:rsidR="00455876" w:rsidRPr="00242BF2" w:rsidRDefault="001D2EE8" w:rsidP="001D2EE8">
      <w:pPr>
        <w:spacing w:after="0" w:line="480" w:lineRule="auto"/>
        <w:jc w:val="center"/>
        <w:rPr>
          <w:rFonts w:ascii="Times New Roman" w:hAnsi="Times New Roman" w:cs="Times New Roman"/>
          <w:sz w:val="36"/>
          <w:szCs w:val="36"/>
          <w:lang w:val="en-GB"/>
        </w:rPr>
      </w:pPr>
      <w:r w:rsidRPr="00242BF2">
        <w:rPr>
          <w:rFonts w:ascii="Times New Roman" w:hAnsi="Times New Roman" w:cs="Times New Roman"/>
          <w:sz w:val="36"/>
          <w:szCs w:val="36"/>
          <w:lang w:val="en-GB"/>
        </w:rPr>
        <w:t xml:space="preserve">  </w:t>
      </w:r>
      <w:r w:rsidR="00455876" w:rsidRPr="00242BF2">
        <w:rPr>
          <w:rFonts w:ascii="Times New Roman" w:hAnsi="Times New Roman" w:cs="Times New Roman"/>
          <w:sz w:val="36"/>
          <w:szCs w:val="36"/>
          <w:lang w:val="en-GB"/>
        </w:rPr>
        <w:t xml:space="preserve"> </w:t>
      </w:r>
    </w:p>
    <w:p w:rsidR="001D2EE8" w:rsidRPr="00242BF2" w:rsidRDefault="00455876" w:rsidP="001D2EE8">
      <w:pPr>
        <w:spacing w:after="0" w:line="480" w:lineRule="auto"/>
        <w:jc w:val="center"/>
        <w:rPr>
          <w:rFonts w:ascii="Times New Roman" w:hAnsi="Times New Roman" w:cs="Times New Roman"/>
          <w:sz w:val="36"/>
          <w:szCs w:val="36"/>
          <w:lang w:val="en-GB"/>
        </w:rPr>
      </w:pPr>
      <w:r w:rsidRPr="00242BF2">
        <w:rPr>
          <w:rFonts w:ascii="Times New Roman" w:hAnsi="Times New Roman" w:cs="Times New Roman"/>
          <w:sz w:val="36"/>
          <w:szCs w:val="36"/>
          <w:lang w:val="en-GB"/>
        </w:rPr>
        <w:t xml:space="preserve"> </w:t>
      </w:r>
    </w:p>
    <w:p w:rsidR="00455876" w:rsidRPr="00242BF2" w:rsidRDefault="00FD66BE" w:rsidP="001D2EE8">
      <w:pPr>
        <w:spacing w:after="0" w:line="480" w:lineRule="auto"/>
        <w:jc w:val="center"/>
        <w:rPr>
          <w:rFonts w:ascii="Times New Roman" w:hAnsi="Times New Roman" w:cs="Times New Roman"/>
          <w:sz w:val="36"/>
          <w:szCs w:val="36"/>
          <w:lang w:val="en-GB"/>
        </w:rPr>
      </w:pPr>
      <w:r w:rsidRPr="00242BF2">
        <w:rPr>
          <w:rFonts w:ascii="Times New Roman" w:hAnsi="Times New Roman" w:cs="Times New Roman"/>
          <w:sz w:val="36"/>
          <w:szCs w:val="36"/>
          <w:lang w:val="en-GB"/>
        </w:rPr>
        <w:t xml:space="preserve">Accounting Fundamentals </w:t>
      </w:r>
    </w:p>
    <w:p w:rsidR="00FD66BE" w:rsidRPr="00242BF2" w:rsidRDefault="00FD66BE" w:rsidP="001D2EE8">
      <w:pPr>
        <w:spacing w:after="0" w:line="480" w:lineRule="auto"/>
        <w:jc w:val="center"/>
        <w:rPr>
          <w:rFonts w:ascii="Times New Roman" w:hAnsi="Times New Roman" w:cs="Times New Roman"/>
          <w:sz w:val="36"/>
          <w:szCs w:val="36"/>
          <w:lang w:val="en-GB"/>
        </w:rPr>
      </w:pPr>
    </w:p>
    <w:p w:rsidR="00FD66BE" w:rsidRPr="00242BF2" w:rsidRDefault="00242BF2" w:rsidP="001D2EE8">
      <w:pPr>
        <w:spacing w:after="0" w:line="480" w:lineRule="auto"/>
        <w:jc w:val="center"/>
        <w:rPr>
          <w:rFonts w:ascii="Times New Roman" w:hAnsi="Times New Roman" w:cs="Times New Roman"/>
          <w:sz w:val="36"/>
          <w:szCs w:val="36"/>
          <w:lang w:val="en-GB"/>
        </w:rPr>
      </w:pPr>
      <w:r w:rsidRPr="00242BF2">
        <w:rPr>
          <w:rFonts w:ascii="Times New Roman" w:hAnsi="Times New Roman" w:cs="Times New Roman"/>
          <w:sz w:val="36"/>
          <w:szCs w:val="36"/>
          <w:lang w:val="en-GB"/>
        </w:rPr>
        <w:t>11.01.2022</w:t>
      </w:r>
    </w:p>
    <w:p w:rsidR="00455876" w:rsidRPr="000E2335" w:rsidRDefault="00455876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 </w:t>
      </w:r>
    </w:p>
    <w:p w:rsidR="00455876" w:rsidRPr="000E2335" w:rsidRDefault="00455876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455876" w:rsidRPr="000E2335" w:rsidRDefault="00455876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455876" w:rsidRPr="000E2335" w:rsidRDefault="00455876" w:rsidP="001D2EE8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="00455876" w:rsidRPr="000E2335" w:rsidRDefault="00455876" w:rsidP="001D2EE8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="00245249" w:rsidRDefault="00245249" w:rsidP="00F703C5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="00F703C5" w:rsidRDefault="00F703C5" w:rsidP="00F703C5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lastRenderedPageBreak/>
        <w:t>Question 1</w:t>
      </w:r>
    </w:p>
    <w:p w:rsidR="00F703C5" w:rsidRDefault="00F703C5" w:rsidP="00F703C5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4A476D">
        <w:rPr>
          <w:rFonts w:ascii="Times New Roman" w:hAnsi="Times New Roman" w:cs="Times New Roman"/>
          <w:sz w:val="24"/>
          <w:szCs w:val="24"/>
          <w:lang w:val="en-GB"/>
        </w:rPr>
        <w:t>:</w:t>
      </w:r>
    </w:p>
    <w:p w:rsidR="00245249" w:rsidRPr="000E2335" w:rsidRDefault="00245249" w:rsidP="00245249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  <w:proofErr w:type="spellStart"/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t>Kendison</w:t>
      </w:r>
      <w:proofErr w:type="spellEnd"/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t xml:space="preserve"> PLC financial statements</w:t>
      </w:r>
    </w:p>
    <w:tbl>
      <w:tblPr>
        <w:tblW w:w="5955" w:type="dxa"/>
        <w:tblInd w:w="93" w:type="dxa"/>
        <w:tblLook w:val="04A0" w:firstRow="1" w:lastRow="0" w:firstColumn="1" w:lastColumn="0" w:noHBand="0" w:noVBand="1"/>
      </w:tblPr>
      <w:tblGrid>
        <w:gridCol w:w="3380"/>
        <w:gridCol w:w="2575"/>
      </w:tblGrid>
      <w:tr w:rsidR="00245249" w:rsidRPr="000E2335" w:rsidTr="0001705F">
        <w:trPr>
          <w:trHeight w:val="330"/>
        </w:trPr>
        <w:tc>
          <w:tcPr>
            <w:tcW w:w="3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GB"/>
              </w:rPr>
              <w:t xml:space="preserve">Profit and Loss account </w:t>
            </w:r>
          </w:p>
        </w:tc>
        <w:tc>
          <w:tcPr>
            <w:tcW w:w="2575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 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826,650.00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 xml:space="preserve">COGS  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578,650.00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GP(Gross Profit)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248,000.00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 xml:space="preserve">Expenses 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 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 xml:space="preserve">Dividends(Ordinary) 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20,000.00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 xml:space="preserve">Interest Paid 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2,000.00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Administrative Expenses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30,000.00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 xml:space="preserve">Preference dividends 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30,000.00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Distribution Costs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28,000.00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Directors remuneration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5,000.00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 xml:space="preserve">Total expenses 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115,000</w:t>
            </w:r>
          </w:p>
        </w:tc>
      </w:tr>
      <w:tr w:rsidR="00245249" w:rsidRPr="000E2335" w:rsidTr="0001705F">
        <w:trPr>
          <w:trHeight w:val="315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 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 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EBIT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133,000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 xml:space="preserve">Corporate tax 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68,000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Retained  Earnings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GB"/>
              </w:rPr>
              <w:t>65,000</w:t>
            </w:r>
          </w:p>
        </w:tc>
      </w:tr>
      <w:tr w:rsidR="00245249" w:rsidRPr="000E2335" w:rsidTr="0001705F">
        <w:trPr>
          <w:trHeight w:val="315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 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 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GB"/>
              </w:rPr>
              <w:t xml:space="preserve">Statement  of Financial position 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 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lastRenderedPageBreak/>
              <w:t>Assets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 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 xml:space="preserve">Stock 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330,600.00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Debtors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170,125.00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 xml:space="preserve">Plant and Equipment 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632,730.00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Debtors accrued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980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 xml:space="preserve">Cash and bank 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12,900.00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GB"/>
              </w:rPr>
              <w:t>Total Assets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GB"/>
              </w:rPr>
              <w:t>1,147,335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 xml:space="preserve">Liabilities 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 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Trade Creditors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171,355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 xml:space="preserve">Commission owed to Sales men 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3,000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GB"/>
              </w:rPr>
              <w:t>Total liabilities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GB"/>
              </w:rPr>
              <w:t>174,355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 xml:space="preserve">Financed By 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 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Retained profits brought forward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12,900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Retained earnings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65,000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 xml:space="preserve">Ordinary shares 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310,000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 xml:space="preserve">10% Preference shares 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300,000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 xml:space="preserve">4% Debentures 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100,000</w:t>
            </w:r>
          </w:p>
        </w:tc>
      </w:tr>
      <w:tr w:rsidR="00245249" w:rsidRPr="000E2335" w:rsidTr="0001705F">
        <w:trPr>
          <w:trHeight w:val="330"/>
        </w:trPr>
        <w:tc>
          <w:tcPr>
            <w:tcW w:w="3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 xml:space="preserve">Owners Equity 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hideMark/>
          </w:tcPr>
          <w:p w:rsidR="00245249" w:rsidRPr="000E2335" w:rsidRDefault="00245249" w:rsidP="0001705F">
            <w:pPr>
              <w:spacing w:after="0" w:line="48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val="en-GB"/>
              </w:rPr>
              <w:t>185,080</w:t>
            </w:r>
          </w:p>
        </w:tc>
      </w:tr>
    </w:tbl>
    <w:p w:rsidR="00245249" w:rsidRPr="000E2335" w:rsidRDefault="00245249" w:rsidP="00245249">
      <w:pPr>
        <w:spacing w:after="0" w:line="480" w:lineRule="auto"/>
        <w:ind w:firstLine="720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4A476D" w:rsidRDefault="004A476D" w:rsidP="00356EF9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4A476D" w:rsidRDefault="004A476D" w:rsidP="00356EF9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4A476D" w:rsidRDefault="004A476D" w:rsidP="00356EF9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4A476D" w:rsidRPr="004A476D" w:rsidRDefault="00245249" w:rsidP="00356EF9">
      <w:pPr>
        <w:spacing w:after="0" w:line="480" w:lineRule="auto"/>
        <w:rPr>
          <w:rFonts w:ascii="Times New Roman" w:hAnsi="Times New Roman" w:cs="Times New Roman"/>
          <w:bCs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lastRenderedPageBreak/>
        <w:t xml:space="preserve"> </w:t>
      </w:r>
      <w:r w:rsidR="004A476D" w:rsidRPr="004A476D">
        <w:rPr>
          <w:rFonts w:ascii="Times New Roman" w:hAnsi="Times New Roman" w:cs="Times New Roman"/>
          <w:bCs/>
          <w:sz w:val="24"/>
          <w:szCs w:val="24"/>
          <w:lang w:val="en-GB"/>
        </w:rPr>
        <w:t>B:</w:t>
      </w:r>
    </w:p>
    <w:p w:rsidR="00245249" w:rsidRPr="000E2335" w:rsidRDefault="00245249" w:rsidP="00356EF9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t>Why does the statement of financial position balance?</w:t>
      </w:r>
    </w:p>
    <w:p w:rsidR="00245249" w:rsidRPr="000E2335" w:rsidRDefault="00245249" w:rsidP="00245249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The IFRS statute of double entry is the main rationale why a balance sheet balances. All entries are recorded in at least two different accounts as required by the IFRS standards. The same standard provides guidelines that serve as a check to ensure that the entries are comparable. Assets should always match the total of liabilities and owner's equity as required by the IFRS principle. </w:t>
      </w:r>
    </w:p>
    <w:p w:rsidR="00245249" w:rsidRDefault="00245249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356EF9" w:rsidRDefault="00356EF9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356EF9" w:rsidRDefault="00356EF9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356EF9" w:rsidRDefault="00356EF9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356EF9" w:rsidRDefault="00356EF9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356EF9" w:rsidRDefault="00356EF9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356EF9" w:rsidRDefault="00356EF9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356EF9" w:rsidRDefault="00356EF9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356EF9" w:rsidRDefault="00356EF9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356EF9" w:rsidRDefault="00356EF9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356EF9" w:rsidRDefault="00356EF9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356EF9" w:rsidRDefault="00356EF9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356EF9" w:rsidRDefault="00356EF9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356EF9" w:rsidRDefault="00356EF9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356EF9" w:rsidRDefault="00356EF9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4B52DA" w:rsidRDefault="004B52DA" w:rsidP="004B52DA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4B52DA" w:rsidRDefault="004B52DA" w:rsidP="004B52DA">
      <w:pPr>
        <w:spacing w:after="0" w:line="480" w:lineRule="auto"/>
        <w:rPr>
          <w:rFonts w:ascii="Times New Roman" w:hAnsi="Times New Roman" w:cs="Times New Roman"/>
          <w:bCs/>
          <w:sz w:val="24"/>
          <w:szCs w:val="24"/>
          <w:lang w:val="en-GB"/>
        </w:rPr>
      </w:pPr>
      <w:r w:rsidRPr="004B52DA">
        <w:rPr>
          <w:rFonts w:ascii="Times New Roman" w:hAnsi="Times New Roman" w:cs="Times New Roman"/>
          <w:bCs/>
          <w:sz w:val="24"/>
          <w:szCs w:val="24"/>
          <w:lang w:val="en-GB"/>
        </w:rPr>
        <w:lastRenderedPageBreak/>
        <w:t>Question 2</w:t>
      </w:r>
    </w:p>
    <w:p w:rsidR="004B52DA" w:rsidRPr="004B52DA" w:rsidRDefault="004B52DA" w:rsidP="004B52DA">
      <w:pPr>
        <w:spacing w:after="0" w:line="480" w:lineRule="auto"/>
        <w:rPr>
          <w:rFonts w:ascii="Times New Roman" w:hAnsi="Times New Roman" w:cs="Times New Roman"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Cs/>
          <w:sz w:val="24"/>
          <w:szCs w:val="24"/>
          <w:lang w:val="en-GB"/>
        </w:rPr>
        <w:t>A:</w:t>
      </w:r>
    </w:p>
    <w:p w:rsidR="00F9035B" w:rsidRDefault="00F9035B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t xml:space="preserve">Ratios for </w:t>
      </w:r>
      <w:proofErr w:type="spellStart"/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t>Chocco</w:t>
      </w:r>
      <w:proofErr w:type="spellEnd"/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t xml:space="preserve"> plc 2019 and 2020</w:t>
      </w:r>
    </w:p>
    <w:p w:rsidR="00067112" w:rsidRPr="000E2335" w:rsidRDefault="00067112" w:rsidP="00067112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 xml:space="preserve">The Rations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72"/>
        <w:gridCol w:w="6682"/>
        <w:gridCol w:w="1011"/>
        <w:gridCol w:w="1011"/>
      </w:tblGrid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2020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2019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 ROCE =  EBIT/Capital Employed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EBIT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846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720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Capital Employed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7225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7041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ROCE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0.117093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0.102258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ROE =Net Income / Shareholders’ Equity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2020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2019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Net Income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431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366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E939E6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Shareholders’</w:t>
            </w:r>
            <w:r w:rsidR="00067112"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 Equity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3088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2912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ROE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0.139573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0.125687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EPS=(Net income - preferred dividends)/Average outstanding common shares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2020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2019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Net income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431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366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Average outstanding common shares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1.436667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1.22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Net Profit margin = Net Profit  ⁄  Total revenue x 100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2020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2019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Net profit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431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366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Total Revenue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6738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6441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6.396557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5.682347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Asset turnover Ratio=Net sales/ Average Assets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2020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2019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Net sales revenues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6738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6441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Average Assets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9736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10087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0.692071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0.638545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6</w:t>
            </w: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Stock holding days =(Inventory/Cost of sales)*365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2020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2019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Inventory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708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659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Cost of Sales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3235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3096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79.88253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77.69218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7</w:t>
            </w: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Debtors collection Period=(Trade Receivables/ Sales Revenue)*365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2020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2019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Trade Receivables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1249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1287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Sales Revenue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6738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6441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67.6588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72.932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Current ratio=Current Assets/Current Liabilities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2020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2019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Current Assets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2303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2355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Current Liabilities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2511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3046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0.917164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0.773145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9</w:t>
            </w:r>
          </w:p>
        </w:tc>
        <w:tc>
          <w:tcPr>
            <w:tcW w:w="7540" w:type="dxa"/>
            <w:noWrap/>
            <w:hideMark/>
          </w:tcPr>
          <w:p w:rsidR="00067112" w:rsidRPr="00067112" w:rsidRDefault="00E939E6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Gearing Ratio=Total debt/Stock</w:t>
            </w: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holders’</w:t>
            </w:r>
            <w:r w:rsidR="00067112"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Equity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2020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2019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Total debt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4137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4129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Stockholders’ Equity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3088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2912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1.339702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1.417926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Inventory Cover ratio=Cost of goods Sold/Average Inventory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2020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2019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Cost of goods sold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3235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3096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 xml:space="preserve">Average Inventory 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708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659</w:t>
            </w:r>
          </w:p>
        </w:tc>
      </w:tr>
      <w:tr w:rsidR="00067112" w:rsidRPr="00067112" w:rsidTr="00067112">
        <w:trPr>
          <w:trHeight w:val="300"/>
        </w:trPr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54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4.569209</w:t>
            </w:r>
          </w:p>
        </w:tc>
        <w:tc>
          <w:tcPr>
            <w:tcW w:w="960" w:type="dxa"/>
            <w:noWrap/>
            <w:hideMark/>
          </w:tcPr>
          <w:p w:rsidR="00067112" w:rsidRPr="00067112" w:rsidRDefault="00067112" w:rsidP="002756B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67112">
              <w:rPr>
                <w:rFonts w:ascii="Times New Roman" w:hAnsi="Times New Roman" w:cs="Times New Roman"/>
                <w:sz w:val="24"/>
                <w:szCs w:val="24"/>
              </w:rPr>
              <w:t>4.698027</w:t>
            </w:r>
          </w:p>
        </w:tc>
      </w:tr>
    </w:tbl>
    <w:p w:rsidR="00356EF9" w:rsidRDefault="00356EF9" w:rsidP="00356EF9">
      <w:pPr>
        <w:spacing w:after="0" w:line="480" w:lineRule="auto"/>
      </w:pPr>
    </w:p>
    <w:p w:rsidR="002756BB" w:rsidRPr="002756BB" w:rsidRDefault="002756BB" w:rsidP="00356EF9">
      <w:pPr>
        <w:spacing w:after="0" w:line="480" w:lineRule="auto"/>
        <w:rPr>
          <w:b/>
        </w:rPr>
      </w:pPr>
      <w:r w:rsidRPr="002756BB">
        <w:rPr>
          <w:b/>
        </w:rPr>
        <w:t xml:space="preserve">Statement of Financial position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00"/>
        <w:gridCol w:w="1409"/>
      </w:tblGrid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pPr>
              <w:rPr>
                <w:b/>
                <w:bCs/>
              </w:rPr>
            </w:pPr>
            <w:r w:rsidRPr="002756BB">
              <w:rPr>
                <w:b/>
                <w:bCs/>
              </w:rPr>
              <w:t xml:space="preserve">Profit and Loss account 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/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 xml:space="preserve">Sales 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826,650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 xml:space="preserve">Cost of sales 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578,650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>Gross profit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248,000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 xml:space="preserve">Expenses 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/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 xml:space="preserve">Ordinary dividends 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  20,000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 xml:space="preserve">Preference dividends 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  30,000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proofErr w:type="spellStart"/>
            <w:r w:rsidRPr="002756BB">
              <w:t>Administative</w:t>
            </w:r>
            <w:proofErr w:type="spellEnd"/>
            <w:r w:rsidRPr="002756BB">
              <w:t xml:space="preserve"> Expenses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  30,000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 xml:space="preserve">Interest Paid 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    2,000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>Directors renumeration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    5,000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>Distribution Costs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  28,000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 xml:space="preserve">Total expenses 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115,000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/>
        </w:tc>
        <w:tc>
          <w:tcPr>
            <w:tcW w:w="1409" w:type="dxa"/>
            <w:noWrap/>
            <w:hideMark/>
          </w:tcPr>
          <w:p w:rsidR="002756BB" w:rsidRPr="002756BB" w:rsidRDefault="002756BB" w:rsidP="002756BB"/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lastRenderedPageBreak/>
              <w:t>EBIT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133,000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 xml:space="preserve">Corporate tax 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  68,000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>Retained  Earnings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pPr>
              <w:rPr>
                <w:b/>
                <w:bCs/>
              </w:rPr>
            </w:pPr>
            <w:r w:rsidRPr="002756BB">
              <w:rPr>
                <w:b/>
                <w:bCs/>
              </w:rPr>
              <w:t xml:space="preserve">               65,000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/>
        </w:tc>
        <w:tc>
          <w:tcPr>
            <w:tcW w:w="1409" w:type="dxa"/>
            <w:noWrap/>
            <w:hideMark/>
          </w:tcPr>
          <w:p w:rsidR="002756BB" w:rsidRPr="002756BB" w:rsidRDefault="002756BB" w:rsidP="002756BB"/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pPr>
              <w:rPr>
                <w:b/>
                <w:bCs/>
              </w:rPr>
            </w:pPr>
            <w:r w:rsidRPr="002756BB">
              <w:rPr>
                <w:b/>
                <w:bCs/>
              </w:rPr>
              <w:t xml:space="preserve">Statement  of Financial </w:t>
            </w:r>
            <w:proofErr w:type="spellStart"/>
            <w:r w:rsidRPr="002756BB">
              <w:rPr>
                <w:b/>
                <w:bCs/>
              </w:rPr>
              <w:t>positon</w:t>
            </w:r>
            <w:proofErr w:type="spellEnd"/>
            <w:r w:rsidRPr="002756BB">
              <w:rPr>
                <w:b/>
                <w:bCs/>
              </w:rPr>
              <w:t xml:space="preserve"> 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/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/>
        </w:tc>
        <w:tc>
          <w:tcPr>
            <w:tcW w:w="1409" w:type="dxa"/>
            <w:noWrap/>
            <w:hideMark/>
          </w:tcPr>
          <w:p w:rsidR="002756BB" w:rsidRPr="002756BB" w:rsidRDefault="002756BB" w:rsidP="002756BB"/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>Assets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/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 xml:space="preserve">Plant and Equipment 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632,730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 xml:space="preserve">Stock 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330,600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>Debtors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170,125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>Debtors accrued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        980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 xml:space="preserve">Cash and bank 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  12,900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pPr>
              <w:rPr>
                <w:b/>
                <w:bCs/>
              </w:rPr>
            </w:pPr>
            <w:r w:rsidRPr="002756BB">
              <w:rPr>
                <w:b/>
                <w:bCs/>
              </w:rPr>
              <w:t>Total Assets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pPr>
              <w:rPr>
                <w:b/>
                <w:bCs/>
              </w:rPr>
            </w:pPr>
            <w:r w:rsidRPr="002756BB">
              <w:rPr>
                <w:b/>
                <w:bCs/>
              </w:rPr>
              <w:t xml:space="preserve">         1,147,335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 xml:space="preserve">Liabilities 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/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>Trade Creditors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171,355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 xml:space="preserve">Commission owed to Sales men 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    3,000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pPr>
              <w:rPr>
                <w:b/>
                <w:bCs/>
              </w:rPr>
            </w:pPr>
            <w:r w:rsidRPr="002756BB">
              <w:rPr>
                <w:b/>
                <w:bCs/>
              </w:rPr>
              <w:t>Total liabilities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pPr>
              <w:rPr>
                <w:b/>
                <w:bCs/>
              </w:rPr>
            </w:pPr>
            <w:r w:rsidRPr="002756BB">
              <w:rPr>
                <w:b/>
                <w:bCs/>
              </w:rPr>
              <w:t xml:space="preserve">             174,355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 xml:space="preserve">Financed By 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/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>Retained profits brought forward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  12,900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>Retained earnings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  65,000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 xml:space="preserve">Ordinary shares 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310,000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 xml:space="preserve">10% Preference shares 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300,000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 xml:space="preserve">4% Debentures 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100,000 </w:t>
            </w:r>
          </w:p>
        </w:tc>
      </w:tr>
      <w:tr w:rsidR="002756BB" w:rsidRPr="002756BB" w:rsidTr="002756BB">
        <w:trPr>
          <w:trHeight w:val="300"/>
        </w:trPr>
        <w:tc>
          <w:tcPr>
            <w:tcW w:w="3100" w:type="dxa"/>
            <w:noWrap/>
            <w:hideMark/>
          </w:tcPr>
          <w:p w:rsidR="002756BB" w:rsidRPr="002756BB" w:rsidRDefault="002756BB" w:rsidP="002756BB">
            <w:r w:rsidRPr="002756BB">
              <w:t xml:space="preserve">Owners Equity </w:t>
            </w:r>
          </w:p>
        </w:tc>
        <w:tc>
          <w:tcPr>
            <w:tcW w:w="1409" w:type="dxa"/>
            <w:noWrap/>
            <w:hideMark/>
          </w:tcPr>
          <w:p w:rsidR="002756BB" w:rsidRPr="002756BB" w:rsidRDefault="002756BB" w:rsidP="002756BB">
            <w:r w:rsidRPr="002756BB">
              <w:t xml:space="preserve">             185,080 </w:t>
            </w:r>
          </w:p>
        </w:tc>
      </w:tr>
    </w:tbl>
    <w:p w:rsidR="002756BB" w:rsidRPr="00067112" w:rsidRDefault="002756BB" w:rsidP="00356EF9">
      <w:pPr>
        <w:spacing w:after="0" w:line="480" w:lineRule="auto"/>
      </w:pPr>
    </w:p>
    <w:p w:rsidR="00F9035B" w:rsidRPr="000E2335" w:rsidRDefault="00F9035B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t>ROCE</w:t>
      </w:r>
    </w:p>
    <w:p w:rsidR="00F9035B" w:rsidRPr="000E2335" w:rsidRDefault="00195C46" w:rsidP="001D2EE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ROCE is </w:t>
      </w:r>
      <w:r w:rsidR="001A55A1" w:rsidRPr="000E2335">
        <w:rPr>
          <w:rFonts w:ascii="Times New Roman" w:hAnsi="Times New Roman" w:cs="Times New Roman"/>
          <w:sz w:val="24"/>
          <w:szCs w:val="24"/>
          <w:lang w:val="en-GB"/>
        </w:rPr>
        <w:t>a profitability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financial ratio</w:t>
      </w:r>
      <w:r w:rsidR="006E6DC8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 that assesses how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proficiently </w:t>
      </w:r>
      <w:r w:rsidR="00455876" w:rsidRPr="000E2335">
        <w:rPr>
          <w:rFonts w:ascii="Times New Roman" w:hAnsi="Times New Roman" w:cs="Times New Roman"/>
          <w:sz w:val="24"/>
          <w:szCs w:val="24"/>
          <w:lang w:val="en-GB"/>
        </w:rPr>
        <w:t>a firm</w:t>
      </w:r>
      <w:r w:rsidR="006E6DC8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spends its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>funds</w:t>
      </w:r>
      <w:r w:rsidR="006E6DC8" w:rsidRPr="000E2335">
        <w:rPr>
          <w:rFonts w:ascii="Times New Roman" w:hAnsi="Times New Roman" w:cs="Times New Roman"/>
          <w:sz w:val="24"/>
          <w:szCs w:val="24"/>
          <w:lang w:val="en-GB"/>
        </w:rPr>
        <w:t>. The</w:t>
      </w:r>
      <w:r w:rsidR="00A426BA" w:rsidRPr="000E2335">
        <w:rPr>
          <w:rFonts w:ascii="Times New Roman" w:hAnsi="Times New Roman" w:cs="Times New Roman"/>
          <w:sz w:val="24"/>
          <w:szCs w:val="24"/>
          <w:lang w:val="en-GB"/>
        </w:rPr>
        <w:t> ratio</w:t>
      </w:r>
      <w:r w:rsidR="006E6DC8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denotes to</w:t>
      </w:r>
      <w:r w:rsidR="00455876" w:rsidRPr="000E2335">
        <w:rPr>
          <w:rFonts w:ascii="Times New Roman" w:hAnsi="Times New Roman" w:cs="Times New Roman"/>
          <w:sz w:val="24"/>
          <w:szCs w:val="24"/>
          <w:lang w:val="en-GB"/>
        </w:rPr>
        <w:t> the</w:t>
      </w:r>
      <w:r w:rsidR="006E6DC8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analyst how much profit each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>amount of currency generates. ROCE</w:t>
      </w:r>
      <w:r w:rsidR="006E6DC8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is computed by dividing a corporation's </w:t>
      </w:r>
      <w:r w:rsidR="001D2EE8" w:rsidRPr="000E2335">
        <w:rPr>
          <w:rFonts w:ascii="Times New Roman" w:hAnsi="Times New Roman" w:cs="Times New Roman"/>
          <w:sz w:val="24"/>
          <w:szCs w:val="24"/>
          <w:lang w:val="en-GB"/>
        </w:rPr>
        <w:t>EBIT (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net earnings before interest and taxes) </w:t>
      </w:r>
      <w:r w:rsidR="006E6DC8" w:rsidRPr="000E2335">
        <w:rPr>
          <w:rFonts w:ascii="Times New Roman" w:hAnsi="Times New Roman" w:cs="Times New Roman"/>
          <w:sz w:val="24"/>
          <w:szCs w:val="24"/>
          <w:lang w:val="en-GB"/>
        </w:rPr>
        <w:t>by the capital employed. Capital employed is defined as the total assets o</w:t>
      </w:r>
      <w:r w:rsidR="001A55A1" w:rsidRPr="000E2335">
        <w:rPr>
          <w:rFonts w:ascii="Times New Roman" w:hAnsi="Times New Roman" w:cs="Times New Roman"/>
          <w:sz w:val="24"/>
          <w:szCs w:val="24"/>
          <w:lang w:val="en-GB"/>
        </w:rPr>
        <w:t>f the firm less all liabilities</w:t>
      </w:r>
      <w:r w:rsidR="000E233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A55A1" w:rsidRPr="000E2335">
        <w:rPr>
          <w:rFonts w:ascii="Times New Roman" w:hAnsi="Times New Roman" w:cs="Times New Roman"/>
          <w:sz w:val="24"/>
          <w:szCs w:val="24"/>
          <w:lang w:val="en-GB"/>
        </w:rPr>
        <w:t>(</w:t>
      </w:r>
      <w:proofErr w:type="spellStart"/>
      <w:r w:rsidR="001A55A1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Shrotriya</w:t>
      </w:r>
      <w:proofErr w:type="spellEnd"/>
      <w:r w:rsidR="001A55A1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 2019)</w:t>
      </w:r>
      <w:r w:rsidR="006E6DC8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  </w:t>
      </w:r>
      <w:r w:rsidR="00986884" w:rsidRPr="000E2335">
        <w:rPr>
          <w:rFonts w:ascii="Times New Roman" w:hAnsi="Times New Roman" w:cs="Times New Roman"/>
          <w:sz w:val="24"/>
          <w:szCs w:val="24"/>
          <w:lang w:val="en-GB"/>
        </w:rPr>
        <w:t>EBIT often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referred to as operating</w:t>
      </w:r>
      <w:r w:rsidR="006E6DC8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86884" w:rsidRPr="000E2335">
        <w:rPr>
          <w:rFonts w:ascii="Times New Roman" w:hAnsi="Times New Roman" w:cs="Times New Roman"/>
          <w:sz w:val="24"/>
          <w:szCs w:val="24"/>
          <w:lang w:val="en-GB"/>
        </w:rPr>
        <w:t>income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denotes</w:t>
      </w:r>
      <w:r w:rsidR="006E6DC8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how much a firm earns from its o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perations exclusively, not including </w:t>
      </w:r>
      <w:r w:rsidR="006E6DC8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inte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>rest and taxes. EBIT is computed by deducting sales revenue</w:t>
      </w:r>
      <w:r w:rsidR="006E6DC8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from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COGS </w:t>
      </w:r>
      <w:r w:rsidR="001A55A1" w:rsidRPr="000E2335">
        <w:rPr>
          <w:rFonts w:ascii="Times New Roman" w:hAnsi="Times New Roman" w:cs="Times New Roman"/>
          <w:sz w:val="24"/>
          <w:szCs w:val="24"/>
          <w:lang w:val="en-GB"/>
        </w:rPr>
        <w:t>(cost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of goods sold)</w:t>
      </w:r>
      <w:r w:rsidR="006E6DC8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and operating </w:t>
      </w:r>
      <w:r w:rsidR="001A55A1" w:rsidRPr="000E2335">
        <w:rPr>
          <w:rFonts w:ascii="Times New Roman" w:hAnsi="Times New Roman" w:cs="Times New Roman"/>
          <w:sz w:val="24"/>
          <w:szCs w:val="24"/>
          <w:lang w:val="en-GB"/>
        </w:rPr>
        <w:t>expense (</w:t>
      </w:r>
      <w:proofErr w:type="spellStart"/>
      <w:r w:rsidR="001A55A1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Shrotriya</w:t>
      </w:r>
      <w:proofErr w:type="spellEnd"/>
      <w:r w:rsidR="001A55A1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 2019)</w:t>
      </w:r>
      <w:r w:rsidR="006E6DC8" w:rsidRPr="000E2335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:rsidR="00A426BA" w:rsidRPr="000E2335" w:rsidRDefault="00A426BA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t xml:space="preserve">ROCE=  EBIT/Capital Employed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00"/>
        <w:gridCol w:w="1116"/>
        <w:gridCol w:w="1116"/>
      </w:tblGrid>
      <w:tr w:rsidR="00E26DF4" w:rsidRPr="000E2335" w:rsidTr="00E26DF4">
        <w:trPr>
          <w:trHeight w:val="300"/>
        </w:trPr>
        <w:tc>
          <w:tcPr>
            <w:tcW w:w="3100" w:type="dxa"/>
            <w:noWrap/>
            <w:hideMark/>
          </w:tcPr>
          <w:p w:rsidR="00E26DF4" w:rsidRPr="000E2335" w:rsidRDefault="00E26DF4" w:rsidP="001D2EE8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1053" w:type="dxa"/>
            <w:noWrap/>
            <w:hideMark/>
          </w:tcPr>
          <w:p w:rsidR="00E26DF4" w:rsidRPr="000E2335" w:rsidRDefault="00E26DF4" w:rsidP="001D2EE8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2020</w:t>
            </w:r>
          </w:p>
        </w:tc>
        <w:tc>
          <w:tcPr>
            <w:tcW w:w="1053" w:type="dxa"/>
            <w:noWrap/>
            <w:hideMark/>
          </w:tcPr>
          <w:p w:rsidR="00E26DF4" w:rsidRPr="000E2335" w:rsidRDefault="00E26DF4" w:rsidP="001D2EE8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2019</w:t>
            </w:r>
          </w:p>
        </w:tc>
      </w:tr>
      <w:tr w:rsidR="00E26DF4" w:rsidRPr="000E2335" w:rsidTr="00E26DF4">
        <w:trPr>
          <w:trHeight w:val="300"/>
        </w:trPr>
        <w:tc>
          <w:tcPr>
            <w:tcW w:w="3100" w:type="dxa"/>
            <w:noWrap/>
            <w:hideMark/>
          </w:tcPr>
          <w:p w:rsidR="00E26DF4" w:rsidRPr="000E2335" w:rsidRDefault="00E26DF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ROCE =  EBIT/Capital Employed </w:t>
            </w:r>
          </w:p>
        </w:tc>
        <w:tc>
          <w:tcPr>
            <w:tcW w:w="1053" w:type="dxa"/>
            <w:noWrap/>
            <w:hideMark/>
          </w:tcPr>
          <w:p w:rsidR="00E26DF4" w:rsidRPr="000E2335" w:rsidRDefault="00E26DF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053" w:type="dxa"/>
            <w:noWrap/>
            <w:hideMark/>
          </w:tcPr>
          <w:p w:rsidR="00E26DF4" w:rsidRPr="000E2335" w:rsidRDefault="00E26DF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E26DF4" w:rsidRPr="000E2335" w:rsidTr="00E26DF4">
        <w:trPr>
          <w:trHeight w:val="300"/>
        </w:trPr>
        <w:tc>
          <w:tcPr>
            <w:tcW w:w="3100" w:type="dxa"/>
            <w:noWrap/>
            <w:hideMark/>
          </w:tcPr>
          <w:p w:rsidR="00E26DF4" w:rsidRPr="000E2335" w:rsidRDefault="00E26DF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EBIT </w:t>
            </w:r>
          </w:p>
        </w:tc>
        <w:tc>
          <w:tcPr>
            <w:tcW w:w="1053" w:type="dxa"/>
            <w:noWrap/>
            <w:hideMark/>
          </w:tcPr>
          <w:p w:rsidR="00E26DF4" w:rsidRPr="000E2335" w:rsidRDefault="00E26DF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846</w:t>
            </w:r>
          </w:p>
        </w:tc>
        <w:tc>
          <w:tcPr>
            <w:tcW w:w="1053" w:type="dxa"/>
            <w:noWrap/>
            <w:hideMark/>
          </w:tcPr>
          <w:p w:rsidR="00E26DF4" w:rsidRPr="000E2335" w:rsidRDefault="00E26DF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720</w:t>
            </w:r>
          </w:p>
        </w:tc>
      </w:tr>
      <w:tr w:rsidR="00E26DF4" w:rsidRPr="000E2335" w:rsidTr="00E26DF4">
        <w:trPr>
          <w:trHeight w:val="300"/>
        </w:trPr>
        <w:tc>
          <w:tcPr>
            <w:tcW w:w="3100" w:type="dxa"/>
            <w:noWrap/>
            <w:hideMark/>
          </w:tcPr>
          <w:p w:rsidR="00E26DF4" w:rsidRPr="000E2335" w:rsidRDefault="00E26DF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Employed </w:t>
            </w:r>
          </w:p>
        </w:tc>
        <w:tc>
          <w:tcPr>
            <w:tcW w:w="1053" w:type="dxa"/>
            <w:noWrap/>
            <w:hideMark/>
          </w:tcPr>
          <w:p w:rsidR="00E26DF4" w:rsidRPr="000E2335" w:rsidRDefault="00E26DF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7225</w:t>
            </w:r>
          </w:p>
        </w:tc>
        <w:tc>
          <w:tcPr>
            <w:tcW w:w="1053" w:type="dxa"/>
            <w:noWrap/>
            <w:hideMark/>
          </w:tcPr>
          <w:p w:rsidR="00E26DF4" w:rsidRPr="000E2335" w:rsidRDefault="00E26DF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7041</w:t>
            </w:r>
          </w:p>
        </w:tc>
      </w:tr>
      <w:tr w:rsidR="00E26DF4" w:rsidRPr="000E2335" w:rsidTr="00E26DF4">
        <w:trPr>
          <w:trHeight w:val="300"/>
        </w:trPr>
        <w:tc>
          <w:tcPr>
            <w:tcW w:w="3100" w:type="dxa"/>
            <w:noWrap/>
            <w:hideMark/>
          </w:tcPr>
          <w:p w:rsidR="00E26DF4" w:rsidRPr="000E2335" w:rsidRDefault="00E26DF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ROCE</w:t>
            </w:r>
          </w:p>
        </w:tc>
        <w:tc>
          <w:tcPr>
            <w:tcW w:w="1053" w:type="dxa"/>
            <w:noWrap/>
            <w:hideMark/>
          </w:tcPr>
          <w:p w:rsidR="00E26DF4" w:rsidRPr="000E2335" w:rsidRDefault="00E26DF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0.117093</w:t>
            </w:r>
          </w:p>
        </w:tc>
        <w:tc>
          <w:tcPr>
            <w:tcW w:w="1053" w:type="dxa"/>
            <w:noWrap/>
            <w:hideMark/>
          </w:tcPr>
          <w:p w:rsidR="00E26DF4" w:rsidRPr="000E2335" w:rsidRDefault="00E26DF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0.102258</w:t>
            </w:r>
          </w:p>
        </w:tc>
      </w:tr>
    </w:tbl>
    <w:p w:rsidR="001A55A1" w:rsidRPr="000E2335" w:rsidRDefault="001A55A1" w:rsidP="001D2EE8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="00E26DF4" w:rsidRPr="000E2335" w:rsidRDefault="00E26DF4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t>ROE</w:t>
      </w:r>
    </w:p>
    <w:p w:rsidR="00E26DF4" w:rsidRPr="000E2335" w:rsidRDefault="00A95F12" w:rsidP="001D2EE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sz w:val="24"/>
          <w:szCs w:val="24"/>
          <w:lang w:val="en-GB"/>
        </w:rPr>
        <w:t>ROE is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 the measure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of a firm's annual revenue divided by the value of f</w:t>
      </w:r>
      <w:r w:rsidR="00455876" w:rsidRPr="000E2335">
        <w:rPr>
          <w:rFonts w:ascii="Times New Roman" w:hAnsi="Times New Roman" w:cs="Times New Roman"/>
          <w:sz w:val="24"/>
          <w:szCs w:val="24"/>
          <w:lang w:val="en-GB"/>
        </w:rPr>
        <w:t>irm entire shareholders' equity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given as a percentage. ROE can also be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computed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by dividing the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firm’s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dividend by its profits retention rate. ROE is a metric that quantifies a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firm’s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profitability in relat</w:t>
      </w:r>
      <w:r w:rsidR="001A55A1" w:rsidRPr="000E2335">
        <w:rPr>
          <w:rFonts w:ascii="Times New Roman" w:hAnsi="Times New Roman" w:cs="Times New Roman"/>
          <w:sz w:val="24"/>
          <w:szCs w:val="24"/>
          <w:lang w:val="en-GB"/>
        </w:rPr>
        <w:t>ion to its stockholders' equity (</w:t>
      </w:r>
      <w:proofErr w:type="spellStart"/>
      <w:r w:rsidR="001A55A1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Utami</w:t>
      </w:r>
      <w:proofErr w:type="spellEnd"/>
      <w:r w:rsidR="001A55A1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and </w:t>
      </w:r>
      <w:proofErr w:type="spellStart"/>
      <w:r w:rsidR="001A55A1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Darmawan</w:t>
      </w:r>
      <w:proofErr w:type="spellEnd"/>
      <w:r w:rsidR="001A55A1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2019,</w:t>
      </w:r>
      <w:r w:rsid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</w:t>
      </w:r>
      <w:r w:rsidR="001A55A1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p 20)</w:t>
      </w:r>
      <w:r w:rsidR="001A55A1" w:rsidRPr="000E2335">
        <w:rPr>
          <w:rFonts w:ascii="Times New Roman" w:hAnsi="Times New Roman" w:cs="Times New Roman"/>
          <w:sz w:val="24"/>
          <w:szCs w:val="24"/>
          <w:lang w:val="en-GB"/>
        </w:rPr>
        <w:t>.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The higher the return on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equity the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better a </w:t>
      </w:r>
      <w:r w:rsidR="000E2335" w:rsidRPr="000E2335">
        <w:rPr>
          <w:rFonts w:ascii="Times New Roman" w:hAnsi="Times New Roman" w:cs="Times New Roman"/>
          <w:sz w:val="24"/>
          <w:szCs w:val="24"/>
          <w:lang w:val="en-GB"/>
        </w:rPr>
        <w:t>firm’s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> management is at creating profits and growth from its equity investment.</w:t>
      </w:r>
    </w:p>
    <w:p w:rsidR="00A95F12" w:rsidRPr="000E2335" w:rsidRDefault="00A95F12" w:rsidP="001D2EE8">
      <w:p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ROE = </w:t>
      </w:r>
      <w:r w:rsidRPr="000E2335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Net </w:t>
      </w:r>
      <w:r w:rsidR="00195C46" w:rsidRPr="000E2335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earnings (Income) </w:t>
      </w:r>
      <w:r w:rsidRPr="000E2335">
        <w:rPr>
          <w:rFonts w:ascii="Times New Roman" w:hAnsi="Times New Roman" w:cs="Times New Roman"/>
          <w:bCs/>
          <w:sz w:val="24"/>
          <w:szCs w:val="24"/>
          <w:lang w:val="en-GB"/>
        </w:rPr>
        <w:t>/ Shareholders’ Equity</w:t>
      </w:r>
      <w:r w:rsidRPr="000E2335">
        <w:rPr>
          <w:rFonts w:ascii="Times New Roman" w:hAnsi="Times New Roman" w:cs="Times New Roman"/>
          <w:b/>
          <w:bCs/>
          <w:sz w:val="24"/>
          <w:szCs w:val="24"/>
          <w:lang w:val="en-GB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00"/>
        <w:gridCol w:w="1116"/>
        <w:gridCol w:w="960"/>
      </w:tblGrid>
      <w:tr w:rsidR="00A95F12" w:rsidRPr="000E2335" w:rsidTr="00A95F12">
        <w:trPr>
          <w:trHeight w:val="300"/>
        </w:trPr>
        <w:tc>
          <w:tcPr>
            <w:tcW w:w="3100" w:type="dxa"/>
            <w:noWrap/>
            <w:hideMark/>
          </w:tcPr>
          <w:p w:rsidR="00A95F12" w:rsidRPr="000E2335" w:rsidRDefault="00195C46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 xml:space="preserve">ROE </w:t>
            </w:r>
            <w:r w:rsidR="00A95F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960" w:type="dxa"/>
            <w:noWrap/>
            <w:hideMark/>
          </w:tcPr>
          <w:p w:rsidR="00A95F12" w:rsidRPr="000E2335" w:rsidRDefault="00A95F12" w:rsidP="001D2EE8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2020</w:t>
            </w:r>
          </w:p>
        </w:tc>
        <w:tc>
          <w:tcPr>
            <w:tcW w:w="960" w:type="dxa"/>
            <w:noWrap/>
            <w:hideMark/>
          </w:tcPr>
          <w:p w:rsidR="00A95F12" w:rsidRPr="000E2335" w:rsidRDefault="00A95F12" w:rsidP="001D2EE8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2019</w:t>
            </w:r>
          </w:p>
        </w:tc>
      </w:tr>
      <w:tr w:rsidR="00A95F12" w:rsidRPr="000E2335" w:rsidTr="00A95F12">
        <w:trPr>
          <w:trHeight w:val="300"/>
        </w:trPr>
        <w:tc>
          <w:tcPr>
            <w:tcW w:w="3100" w:type="dxa"/>
            <w:noWrap/>
            <w:hideMark/>
          </w:tcPr>
          <w:p w:rsidR="00A95F12" w:rsidRPr="000E2335" w:rsidRDefault="00A95F12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Net Income </w:t>
            </w:r>
          </w:p>
        </w:tc>
        <w:tc>
          <w:tcPr>
            <w:tcW w:w="960" w:type="dxa"/>
            <w:noWrap/>
            <w:hideMark/>
          </w:tcPr>
          <w:p w:rsidR="00A95F12" w:rsidRPr="000E2335" w:rsidRDefault="00A95F12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431</w:t>
            </w:r>
            <w:r w:rsidR="00195C46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.0</w:t>
            </w:r>
          </w:p>
        </w:tc>
        <w:tc>
          <w:tcPr>
            <w:tcW w:w="960" w:type="dxa"/>
            <w:noWrap/>
            <w:hideMark/>
          </w:tcPr>
          <w:p w:rsidR="00A95F12" w:rsidRPr="000E2335" w:rsidRDefault="00A95F12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366</w:t>
            </w:r>
            <w:r w:rsidR="00195C46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.0</w:t>
            </w:r>
          </w:p>
        </w:tc>
      </w:tr>
      <w:tr w:rsidR="00A95F12" w:rsidRPr="000E2335" w:rsidTr="00A95F12">
        <w:trPr>
          <w:trHeight w:val="300"/>
        </w:trPr>
        <w:tc>
          <w:tcPr>
            <w:tcW w:w="3100" w:type="dxa"/>
            <w:noWrap/>
            <w:hideMark/>
          </w:tcPr>
          <w:p w:rsidR="00A95F12" w:rsidRPr="000E2335" w:rsidRDefault="0098688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Shareholders’</w:t>
            </w:r>
            <w:r w:rsidR="00A95F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Equity </w:t>
            </w:r>
          </w:p>
        </w:tc>
        <w:tc>
          <w:tcPr>
            <w:tcW w:w="960" w:type="dxa"/>
            <w:noWrap/>
            <w:hideMark/>
          </w:tcPr>
          <w:p w:rsidR="00A95F12" w:rsidRPr="000E2335" w:rsidRDefault="00A95F12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3088</w:t>
            </w:r>
            <w:r w:rsidR="00195C46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.0</w:t>
            </w:r>
          </w:p>
        </w:tc>
        <w:tc>
          <w:tcPr>
            <w:tcW w:w="960" w:type="dxa"/>
            <w:noWrap/>
            <w:hideMark/>
          </w:tcPr>
          <w:p w:rsidR="00A95F12" w:rsidRPr="000E2335" w:rsidRDefault="00A95F12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2912</w:t>
            </w:r>
            <w:r w:rsidR="00195C46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.0</w:t>
            </w:r>
          </w:p>
        </w:tc>
      </w:tr>
      <w:tr w:rsidR="00A95F12" w:rsidRPr="000E2335" w:rsidTr="00A95F12">
        <w:trPr>
          <w:trHeight w:val="300"/>
        </w:trPr>
        <w:tc>
          <w:tcPr>
            <w:tcW w:w="3100" w:type="dxa"/>
            <w:noWrap/>
            <w:hideMark/>
          </w:tcPr>
          <w:p w:rsidR="00A95F12" w:rsidRPr="000E2335" w:rsidRDefault="00A95F12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</w:t>
            </w:r>
            <w:r w:rsidR="00195C46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esult</w:t>
            </w:r>
          </w:p>
        </w:tc>
        <w:tc>
          <w:tcPr>
            <w:tcW w:w="960" w:type="dxa"/>
            <w:noWrap/>
            <w:hideMark/>
          </w:tcPr>
          <w:p w:rsidR="00A95F12" w:rsidRPr="000E2335" w:rsidRDefault="00A95F12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0.139573</w:t>
            </w:r>
          </w:p>
        </w:tc>
        <w:tc>
          <w:tcPr>
            <w:tcW w:w="960" w:type="dxa"/>
            <w:noWrap/>
            <w:hideMark/>
          </w:tcPr>
          <w:p w:rsidR="00A95F12" w:rsidRPr="000E2335" w:rsidRDefault="00A95F12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0.12</w:t>
            </w:r>
            <w:r w:rsidR="00195C46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98</w:t>
            </w:r>
          </w:p>
        </w:tc>
      </w:tr>
    </w:tbl>
    <w:p w:rsidR="00A95F12" w:rsidRPr="000E2335" w:rsidRDefault="00A95F12" w:rsidP="001D2EE8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="00A95F12" w:rsidRPr="000E2335" w:rsidRDefault="00A95F12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t xml:space="preserve">Earnings per </w:t>
      </w:r>
      <w:r w:rsidR="00455876" w:rsidRPr="000E2335">
        <w:rPr>
          <w:rFonts w:ascii="Times New Roman" w:hAnsi="Times New Roman" w:cs="Times New Roman"/>
          <w:b/>
          <w:sz w:val="24"/>
          <w:szCs w:val="24"/>
          <w:lang w:val="en-GB"/>
        </w:rPr>
        <w:t>Share (</w:t>
      </w:r>
      <w:r w:rsidR="00195C46" w:rsidRPr="000E2335">
        <w:rPr>
          <w:rFonts w:ascii="Times New Roman" w:hAnsi="Times New Roman" w:cs="Times New Roman"/>
          <w:b/>
          <w:sz w:val="24"/>
          <w:szCs w:val="24"/>
          <w:lang w:val="en-GB"/>
        </w:rPr>
        <w:t>EPS)</w:t>
      </w:r>
    </w:p>
    <w:p w:rsidR="00A95F12" w:rsidRPr="000E2335" w:rsidRDefault="00A95F12" w:rsidP="001D2EE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EPS stands is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computed by dividing net income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accessible to common shareholders by th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e average number of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>shares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outstanding for specified time duration(t).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The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EPS is computed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by dividing a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firm’s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net Income</w:t>
      </w:r>
      <w:r w:rsidR="00455876" w:rsidRPr="000E2335">
        <w:rPr>
          <w:rFonts w:ascii="Times New Roman" w:hAnsi="Times New Roman" w:cs="Times New Roman"/>
          <w:sz w:val="24"/>
          <w:szCs w:val="24"/>
          <w:lang w:val="en-GB"/>
        </w:rPr>
        <w:t> by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the number of outstanding shares of common stock. Since corporations may issue or buy back shares year round, the genuine EPS is difficult to calculate , an average is </w:t>
      </w:r>
      <w:r w:rsidR="00382DFC" w:rsidRPr="000E2335">
        <w:rPr>
          <w:rFonts w:ascii="Times New Roman" w:hAnsi="Times New Roman" w:cs="Times New Roman"/>
          <w:sz w:val="24"/>
          <w:szCs w:val="24"/>
          <w:lang w:val="en-GB"/>
        </w:rPr>
        <w:t>utilised</w:t>
      </w:r>
      <w:r w:rsidR="001A55A1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when computing the ratio(</w:t>
      </w:r>
      <w:proofErr w:type="spellStart"/>
      <w:r w:rsidR="001A55A1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Arsal</w:t>
      </w:r>
      <w:proofErr w:type="spellEnd"/>
      <w:r w:rsidR="001A55A1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 2021, p. 15)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Since the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quantity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of outstanding sha</w:t>
      </w:r>
      <w:r w:rsidR="00492D12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res can fluctuate, </w:t>
      </w:r>
      <w:r w:rsidR="00382DFC" w:rsidRPr="000E2335">
        <w:rPr>
          <w:rFonts w:ascii="Times New Roman" w:hAnsi="Times New Roman" w:cs="Times New Roman"/>
          <w:sz w:val="24"/>
          <w:szCs w:val="24"/>
          <w:lang w:val="en-GB"/>
        </w:rPr>
        <w:t>utilising</w:t>
      </w:r>
      <w:r w:rsidR="00492D12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a mean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of out</w:t>
      </w:r>
      <w:r w:rsidR="00492D12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standing shares yields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a more precise representation of the firm ’s earnings.</w:t>
      </w:r>
    </w:p>
    <w:p w:rsidR="00FC7E47" w:rsidRPr="000E2335" w:rsidRDefault="00FC7E47" w:rsidP="001D2EE8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sz w:val="24"/>
          <w:szCs w:val="24"/>
          <w:lang w:val="en-GB"/>
        </w:rPr>
        <w:t>EPS=(Net incom</w:t>
      </w:r>
      <w:r w:rsidR="00492D12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e(earnings) - preferred dividends)/ Mean average of  outstanding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shares</w:t>
      </w:r>
      <w:r w:rsidR="00492D12" w:rsidRPr="000E2335">
        <w:rPr>
          <w:rFonts w:ascii="Times New Roman" w:hAnsi="Times New Roman" w:cs="Times New Roman"/>
          <w:sz w:val="24"/>
          <w:szCs w:val="24"/>
          <w:lang w:val="en-GB"/>
        </w:rPr>
        <w:t>(common)</w:t>
      </w:r>
    </w:p>
    <w:p w:rsidR="00FC7E47" w:rsidRPr="000E2335" w:rsidRDefault="00FC7E47" w:rsidP="001D2EE8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40"/>
        <w:gridCol w:w="960"/>
        <w:gridCol w:w="960"/>
      </w:tblGrid>
      <w:tr w:rsidR="00A95F12" w:rsidRPr="000E2335" w:rsidTr="00A95F12">
        <w:trPr>
          <w:trHeight w:val="300"/>
        </w:trPr>
        <w:tc>
          <w:tcPr>
            <w:tcW w:w="7540" w:type="dxa"/>
            <w:noWrap/>
            <w:hideMark/>
          </w:tcPr>
          <w:p w:rsidR="00A95F12" w:rsidRPr="000E2335" w:rsidRDefault="00A95F12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EPS</w:t>
            </w:r>
          </w:p>
        </w:tc>
        <w:tc>
          <w:tcPr>
            <w:tcW w:w="960" w:type="dxa"/>
            <w:noWrap/>
            <w:hideMark/>
          </w:tcPr>
          <w:p w:rsidR="00A95F12" w:rsidRPr="000E2335" w:rsidRDefault="00A95F12" w:rsidP="001D2EE8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2020</w:t>
            </w:r>
          </w:p>
        </w:tc>
        <w:tc>
          <w:tcPr>
            <w:tcW w:w="960" w:type="dxa"/>
            <w:noWrap/>
            <w:hideMark/>
          </w:tcPr>
          <w:p w:rsidR="00A95F12" w:rsidRPr="000E2335" w:rsidRDefault="00A95F12" w:rsidP="001D2EE8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2019</w:t>
            </w:r>
          </w:p>
        </w:tc>
      </w:tr>
      <w:tr w:rsidR="00A95F12" w:rsidRPr="000E2335" w:rsidTr="00A95F12">
        <w:trPr>
          <w:trHeight w:val="300"/>
        </w:trPr>
        <w:tc>
          <w:tcPr>
            <w:tcW w:w="7540" w:type="dxa"/>
            <w:noWrap/>
            <w:hideMark/>
          </w:tcPr>
          <w:p w:rsidR="00A95F12" w:rsidRPr="000E2335" w:rsidRDefault="00A95F12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Net income </w:t>
            </w:r>
          </w:p>
        </w:tc>
        <w:tc>
          <w:tcPr>
            <w:tcW w:w="960" w:type="dxa"/>
            <w:noWrap/>
            <w:hideMark/>
          </w:tcPr>
          <w:p w:rsidR="00A95F12" w:rsidRPr="000E2335" w:rsidRDefault="00A95F12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431</w:t>
            </w:r>
            <w:r w:rsidR="00492D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.0</w:t>
            </w:r>
          </w:p>
        </w:tc>
        <w:tc>
          <w:tcPr>
            <w:tcW w:w="960" w:type="dxa"/>
            <w:noWrap/>
            <w:hideMark/>
          </w:tcPr>
          <w:p w:rsidR="00A95F12" w:rsidRPr="000E2335" w:rsidRDefault="00A95F12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366</w:t>
            </w:r>
            <w:r w:rsidR="00492D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.0</w:t>
            </w:r>
          </w:p>
        </w:tc>
      </w:tr>
      <w:tr w:rsidR="00A95F12" w:rsidRPr="000E2335" w:rsidTr="00A95F12">
        <w:trPr>
          <w:trHeight w:val="300"/>
        </w:trPr>
        <w:tc>
          <w:tcPr>
            <w:tcW w:w="7540" w:type="dxa"/>
            <w:noWrap/>
            <w:hideMark/>
          </w:tcPr>
          <w:p w:rsidR="00A95F12" w:rsidRPr="000E2335" w:rsidRDefault="00A95F12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Average outstanding common shares</w:t>
            </w:r>
          </w:p>
        </w:tc>
        <w:tc>
          <w:tcPr>
            <w:tcW w:w="960" w:type="dxa"/>
            <w:noWrap/>
            <w:hideMark/>
          </w:tcPr>
          <w:p w:rsidR="00A95F12" w:rsidRPr="000E2335" w:rsidRDefault="00A95F12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  <w:r w:rsidR="00492D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.0</w:t>
            </w:r>
          </w:p>
        </w:tc>
        <w:tc>
          <w:tcPr>
            <w:tcW w:w="960" w:type="dxa"/>
            <w:noWrap/>
            <w:hideMark/>
          </w:tcPr>
          <w:p w:rsidR="00A95F12" w:rsidRPr="000E2335" w:rsidRDefault="00A95F12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  <w:r w:rsidR="00492D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.0</w:t>
            </w:r>
          </w:p>
        </w:tc>
      </w:tr>
      <w:tr w:rsidR="00A95F12" w:rsidRPr="000E2335" w:rsidTr="00A95F12">
        <w:trPr>
          <w:trHeight w:val="300"/>
        </w:trPr>
        <w:tc>
          <w:tcPr>
            <w:tcW w:w="7540" w:type="dxa"/>
            <w:noWrap/>
            <w:hideMark/>
          </w:tcPr>
          <w:p w:rsidR="00A95F12" w:rsidRPr="000E2335" w:rsidRDefault="00BD7A0B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EPS</w:t>
            </w:r>
          </w:p>
        </w:tc>
        <w:tc>
          <w:tcPr>
            <w:tcW w:w="960" w:type="dxa"/>
            <w:noWrap/>
            <w:hideMark/>
          </w:tcPr>
          <w:p w:rsidR="00A95F12" w:rsidRPr="000E2335" w:rsidRDefault="00492D12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1.489</w:t>
            </w:r>
            <w:r w:rsidR="00A95F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</w:t>
            </w:r>
          </w:p>
        </w:tc>
        <w:tc>
          <w:tcPr>
            <w:tcW w:w="960" w:type="dxa"/>
            <w:noWrap/>
            <w:hideMark/>
          </w:tcPr>
          <w:p w:rsidR="00A95F12" w:rsidRPr="000E2335" w:rsidRDefault="00A95F12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1.22</w:t>
            </w:r>
          </w:p>
        </w:tc>
      </w:tr>
    </w:tbl>
    <w:p w:rsidR="00BD7A0B" w:rsidRPr="000E2335" w:rsidRDefault="00BD7A0B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t>Net profit Margin</w:t>
      </w:r>
    </w:p>
    <w:p w:rsidR="00BD7A0B" w:rsidRPr="000E2335" w:rsidRDefault="00492D12" w:rsidP="001D2EE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The NP </w:t>
      </w:r>
      <w:r w:rsidR="00BD7A0B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margin is a </w:t>
      </w:r>
      <w:r w:rsidR="001A55A1" w:rsidRPr="000E2335">
        <w:rPr>
          <w:rFonts w:ascii="Times New Roman" w:hAnsi="Times New Roman" w:cs="Times New Roman"/>
          <w:sz w:val="24"/>
          <w:szCs w:val="24"/>
          <w:lang w:val="en-GB"/>
        </w:rPr>
        <w:t>profitability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> ratio</w:t>
      </w:r>
      <w:r w:rsidR="00BD7A0B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that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>computes</w:t>
      </w:r>
      <w:r w:rsidR="00BD7A0B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net income or profit as a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>percentage</w:t>
      </w:r>
      <w:r w:rsidR="00BD7A0B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of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sales </w:t>
      </w:r>
      <w:r w:rsidR="00BD7A0B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revenue. This ratio represents a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firm’s</w:t>
      </w:r>
      <w:r w:rsidR="00BD7A0B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segment's net profits</w:t>
      </w:r>
      <w:r w:rsidR="000E233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>(earnings</w:t>
      </w:r>
      <w:r w:rsidR="000E2335" w:rsidRPr="000E2335">
        <w:rPr>
          <w:rFonts w:ascii="Times New Roman" w:hAnsi="Times New Roman" w:cs="Times New Roman"/>
          <w:sz w:val="24"/>
          <w:szCs w:val="24"/>
          <w:lang w:val="en-GB"/>
        </w:rPr>
        <w:t>) to</w:t>
      </w:r>
      <w:r w:rsidR="00BD7A0B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gross </w:t>
      </w:r>
      <w:r w:rsidR="00BD7A0B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revenues. </w:t>
      </w:r>
      <w:r w:rsidR="00BD7A0B" w:rsidRPr="000E2335">
        <w:rPr>
          <w:rFonts w:ascii="Times New Roman" w:hAnsi="Times New Roman" w:cs="Times New Roman"/>
          <w:sz w:val="24"/>
          <w:szCs w:val="24"/>
          <w:lang w:val="en-GB"/>
        </w:rPr>
        <w:lastRenderedPageBreak/>
        <w:t>The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NP margin</w:t>
      </w:r>
      <w:r w:rsidR="00BD7A0B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indicates ho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w much profit a firm can generate out of </w:t>
      </w:r>
      <w:r w:rsidR="00BD7A0B" w:rsidRPr="000E2335">
        <w:rPr>
          <w:rFonts w:ascii="Times New Roman" w:hAnsi="Times New Roman" w:cs="Times New Roman"/>
          <w:sz w:val="24"/>
          <w:szCs w:val="24"/>
          <w:lang w:val="en-GB"/>
        </w:rPr>
        <w:t>each dollar of revenu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e it receives. Investors can </w:t>
      </w:r>
      <w:r w:rsidR="00864FA4" w:rsidRPr="000E2335">
        <w:rPr>
          <w:rFonts w:ascii="Times New Roman" w:hAnsi="Times New Roman" w:cs="Times New Roman"/>
          <w:sz w:val="24"/>
          <w:szCs w:val="24"/>
          <w:lang w:val="en-GB"/>
        </w:rPr>
        <w:t>utilise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the NP margin</w:t>
      </w:r>
      <w:r w:rsidR="00BD7A0B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to see if a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firm’s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management is making adequate sales revenue money from its sales </w:t>
      </w:r>
      <w:r w:rsidR="001A55A1" w:rsidRPr="000E2335">
        <w:rPr>
          <w:rFonts w:ascii="Times New Roman" w:hAnsi="Times New Roman" w:cs="Times New Roman"/>
          <w:sz w:val="24"/>
          <w:szCs w:val="24"/>
          <w:lang w:val="en-GB"/>
        </w:rPr>
        <w:t>and also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ensure that</w:t>
      </w:r>
      <w:r w:rsidR="00BD7A0B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operational and overhead co</w:t>
      </w:r>
      <w:r w:rsidR="00455876" w:rsidRPr="000E2335">
        <w:rPr>
          <w:rFonts w:ascii="Times New Roman" w:hAnsi="Times New Roman" w:cs="Times New Roman"/>
          <w:sz w:val="24"/>
          <w:szCs w:val="24"/>
          <w:lang w:val="en-GB"/>
        </w:rPr>
        <w:t>sts are under control (</w:t>
      </w:r>
      <w:proofErr w:type="spellStart"/>
      <w:r w:rsidR="00455876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Nariswari</w:t>
      </w:r>
      <w:proofErr w:type="spellEnd"/>
      <w:r w:rsidR="00455876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and </w:t>
      </w:r>
      <w:proofErr w:type="spellStart"/>
      <w:r w:rsidR="00455876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Nugraha</w:t>
      </w:r>
      <w:proofErr w:type="spellEnd"/>
      <w:r w:rsidR="00455876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 2020</w:t>
      </w:r>
      <w:r w:rsid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</w:t>
      </w:r>
      <w:r w:rsidR="00455876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p.88) </w:t>
      </w:r>
      <w:r w:rsidR="00BD7A0B" w:rsidRPr="000E2335">
        <w:rPr>
          <w:rFonts w:ascii="Times New Roman" w:hAnsi="Times New Roman" w:cs="Times New Roman"/>
          <w:sz w:val="24"/>
          <w:szCs w:val="24"/>
          <w:lang w:val="en-GB"/>
        </w:rPr>
        <w:t>This profitability ratio is determined as a percentage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> by</w:t>
      </w:r>
      <w:r w:rsidR="00BD7A0B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subtracting all of the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firm’s</w:t>
      </w:r>
      <w:r w:rsidR="00BD7A0B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expenses from its total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sales </w:t>
      </w:r>
      <w:r w:rsidR="00BD7A0B" w:rsidRPr="000E2335">
        <w:rPr>
          <w:rFonts w:ascii="Times New Roman" w:hAnsi="Times New Roman" w:cs="Times New Roman"/>
          <w:sz w:val="24"/>
          <w:szCs w:val="24"/>
          <w:lang w:val="en-GB"/>
        </w:rPr>
        <w:t>revenue.</w:t>
      </w:r>
    </w:p>
    <w:p w:rsidR="00FC7E47" w:rsidRPr="000E2335" w:rsidRDefault="00FC7E47" w:rsidP="001D2EE8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sz w:val="24"/>
          <w:szCs w:val="24"/>
          <w:lang w:val="en-GB"/>
        </w:rPr>
        <w:t>Net Profit margin = Net Profit  ⁄  Total revenue x 100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382"/>
        <w:gridCol w:w="1097"/>
        <w:gridCol w:w="1097"/>
      </w:tblGrid>
      <w:tr w:rsidR="00BD7A0B" w:rsidRPr="000E2335" w:rsidTr="00BD7A0B">
        <w:trPr>
          <w:trHeight w:val="300"/>
        </w:trPr>
        <w:tc>
          <w:tcPr>
            <w:tcW w:w="7540" w:type="dxa"/>
            <w:noWrap/>
            <w:hideMark/>
          </w:tcPr>
          <w:p w:rsidR="00BD7A0B" w:rsidRPr="000E2335" w:rsidRDefault="00BD7A0B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60" w:type="dxa"/>
            <w:noWrap/>
            <w:hideMark/>
          </w:tcPr>
          <w:p w:rsidR="00BD7A0B" w:rsidRPr="000E2335" w:rsidRDefault="0098688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2020</w:t>
            </w:r>
          </w:p>
        </w:tc>
        <w:tc>
          <w:tcPr>
            <w:tcW w:w="960" w:type="dxa"/>
            <w:noWrap/>
            <w:hideMark/>
          </w:tcPr>
          <w:p w:rsidR="00BD7A0B" w:rsidRPr="000E2335" w:rsidRDefault="0098688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2019</w:t>
            </w:r>
          </w:p>
        </w:tc>
      </w:tr>
      <w:tr w:rsidR="00BD7A0B" w:rsidRPr="000E2335" w:rsidTr="00BD7A0B">
        <w:trPr>
          <w:trHeight w:val="300"/>
        </w:trPr>
        <w:tc>
          <w:tcPr>
            <w:tcW w:w="7540" w:type="dxa"/>
            <w:noWrap/>
            <w:hideMark/>
          </w:tcPr>
          <w:p w:rsidR="00BD7A0B" w:rsidRPr="000E2335" w:rsidRDefault="00BD7A0B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Net profit</w:t>
            </w:r>
          </w:p>
        </w:tc>
        <w:tc>
          <w:tcPr>
            <w:tcW w:w="960" w:type="dxa"/>
            <w:noWrap/>
            <w:hideMark/>
          </w:tcPr>
          <w:p w:rsidR="00BD7A0B" w:rsidRPr="000E2335" w:rsidRDefault="00BD7A0B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431</w:t>
            </w:r>
            <w:r w:rsidR="00492D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.0</w:t>
            </w:r>
          </w:p>
        </w:tc>
        <w:tc>
          <w:tcPr>
            <w:tcW w:w="960" w:type="dxa"/>
            <w:noWrap/>
            <w:hideMark/>
          </w:tcPr>
          <w:p w:rsidR="00BD7A0B" w:rsidRPr="000E2335" w:rsidRDefault="00BD7A0B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366</w:t>
            </w:r>
            <w:r w:rsidR="00492D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.0</w:t>
            </w:r>
          </w:p>
        </w:tc>
      </w:tr>
      <w:tr w:rsidR="00BD7A0B" w:rsidRPr="000E2335" w:rsidTr="00BD7A0B">
        <w:trPr>
          <w:trHeight w:val="300"/>
        </w:trPr>
        <w:tc>
          <w:tcPr>
            <w:tcW w:w="7540" w:type="dxa"/>
            <w:noWrap/>
            <w:hideMark/>
          </w:tcPr>
          <w:p w:rsidR="00BD7A0B" w:rsidRPr="000E2335" w:rsidRDefault="00BD7A0B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Total Revenue </w:t>
            </w:r>
          </w:p>
        </w:tc>
        <w:tc>
          <w:tcPr>
            <w:tcW w:w="960" w:type="dxa"/>
            <w:noWrap/>
            <w:hideMark/>
          </w:tcPr>
          <w:p w:rsidR="00BD7A0B" w:rsidRPr="000E2335" w:rsidRDefault="00BD7A0B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6738</w:t>
            </w:r>
            <w:r w:rsidR="00492D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.0</w:t>
            </w:r>
          </w:p>
        </w:tc>
        <w:tc>
          <w:tcPr>
            <w:tcW w:w="960" w:type="dxa"/>
            <w:noWrap/>
            <w:hideMark/>
          </w:tcPr>
          <w:p w:rsidR="00BD7A0B" w:rsidRPr="000E2335" w:rsidRDefault="00BD7A0B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6441</w:t>
            </w:r>
            <w:r w:rsidR="00492D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.0</w:t>
            </w:r>
          </w:p>
        </w:tc>
      </w:tr>
      <w:tr w:rsidR="00BD7A0B" w:rsidRPr="000E2335" w:rsidTr="00BD7A0B">
        <w:trPr>
          <w:trHeight w:val="300"/>
        </w:trPr>
        <w:tc>
          <w:tcPr>
            <w:tcW w:w="7540" w:type="dxa"/>
            <w:noWrap/>
            <w:hideMark/>
          </w:tcPr>
          <w:p w:rsidR="00BD7A0B" w:rsidRPr="000E2335" w:rsidRDefault="00BD7A0B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60" w:type="dxa"/>
            <w:noWrap/>
            <w:hideMark/>
          </w:tcPr>
          <w:p w:rsidR="00BD7A0B" w:rsidRPr="000E2335" w:rsidRDefault="00BD7A0B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6.396557</w:t>
            </w:r>
          </w:p>
        </w:tc>
        <w:tc>
          <w:tcPr>
            <w:tcW w:w="960" w:type="dxa"/>
            <w:noWrap/>
            <w:hideMark/>
          </w:tcPr>
          <w:p w:rsidR="00BD7A0B" w:rsidRPr="000E2335" w:rsidRDefault="00BD7A0B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5.682347</w:t>
            </w:r>
          </w:p>
        </w:tc>
      </w:tr>
    </w:tbl>
    <w:p w:rsidR="00245249" w:rsidRDefault="00245249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FC7E47" w:rsidRPr="000E2335" w:rsidRDefault="00FC7E47" w:rsidP="001D2EE8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t>Asset turnover</w:t>
      </w:r>
    </w:p>
    <w:p w:rsidR="00FC7E47" w:rsidRPr="000E2335" w:rsidRDefault="00FC7E47" w:rsidP="001D2EE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sz w:val="24"/>
          <w:szCs w:val="24"/>
          <w:lang w:val="en-GB"/>
        </w:rPr>
        <w:t>T</w:t>
      </w:r>
      <w:r w:rsidR="00492D12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he asset turnover ratio denotes </w:t>
      </w:r>
      <w:r w:rsidR="00455876" w:rsidRPr="000E2335">
        <w:rPr>
          <w:rFonts w:ascii="Times New Roman" w:hAnsi="Times New Roman" w:cs="Times New Roman"/>
          <w:sz w:val="24"/>
          <w:szCs w:val="24"/>
          <w:lang w:val="en-GB"/>
        </w:rPr>
        <w:t>the firm’s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ability to </w:t>
      </w:r>
      <w:r w:rsidR="00492D12" w:rsidRPr="000E2335">
        <w:rPr>
          <w:rFonts w:ascii="Times New Roman" w:hAnsi="Times New Roman" w:cs="Times New Roman"/>
          <w:sz w:val="24"/>
          <w:szCs w:val="24"/>
          <w:lang w:val="en-GB"/>
        </w:rPr>
        <w:t>create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revenue</w:t>
      </w:r>
      <w:r w:rsidR="00492D12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streams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or sales from its assets. The</w:t>
      </w:r>
      <w:r w:rsidR="00492D12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ratio compares the total movable and immovable assets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to net sales. Net sales are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computed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as a proportion of total assets in the asset turnover ratio. This efficiency ratio is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computed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by dividing net sales by a firms</w:t>
      </w:r>
      <w:r w:rsidR="00455876" w:rsidRPr="000E2335">
        <w:rPr>
          <w:rFonts w:ascii="Times New Roman" w:hAnsi="Times New Roman" w:cs="Times New Roman"/>
          <w:sz w:val="24"/>
          <w:szCs w:val="24"/>
          <w:lang w:val="en-GB"/>
        </w:rPr>
        <w:t> average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92D12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movable and immovable </w:t>
      </w:r>
      <w:r w:rsidR="000E2335" w:rsidRPr="000E2335">
        <w:rPr>
          <w:rFonts w:ascii="Times New Roman" w:hAnsi="Times New Roman" w:cs="Times New Roman"/>
          <w:sz w:val="24"/>
          <w:szCs w:val="24"/>
          <w:lang w:val="en-GB"/>
        </w:rPr>
        <w:t>assets (</w:t>
      </w:r>
      <w:r w:rsidR="00455876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Patin,</w:t>
      </w:r>
      <w:r w:rsid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</w:t>
      </w:r>
      <w:r w:rsidR="00455876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et al., 2020,</w:t>
      </w:r>
      <w:r w:rsid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</w:t>
      </w:r>
      <w:r w:rsidR="00455876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p.25)</w:t>
      </w:r>
      <w:r w:rsidR="00492D12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When comparing to industrial peers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>with a lower ratio, a firm with a  robust asset turnover ratio is more efficient. , Net sales are the total revenue generated after</w:t>
      </w:r>
      <w:r w:rsidR="000E2335" w:rsidRPr="000E2335">
        <w:rPr>
          <w:rFonts w:ascii="Times New Roman" w:hAnsi="Times New Roman" w:cs="Times New Roman"/>
          <w:sz w:val="24"/>
          <w:szCs w:val="24"/>
          <w:lang w:val="en-GB"/>
        </w:rPr>
        <w:t> subtracting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sales returns, discounts, and allowances.</w:t>
      </w:r>
    </w:p>
    <w:p w:rsidR="00FC7E47" w:rsidRPr="000E2335" w:rsidRDefault="00FC7E47" w:rsidP="001D2EE8">
      <w:pPr>
        <w:spacing w:after="0" w:line="480" w:lineRule="auto"/>
        <w:rPr>
          <w:rFonts w:ascii="Times New Roman" w:eastAsia="Times New Roman" w:hAnsi="Times New Roman" w:cs="Times New Roman"/>
          <w:bCs/>
          <w:color w:val="000000"/>
          <w:sz w:val="24"/>
          <w:szCs w:val="24"/>
          <w:lang w:val="en-GB"/>
        </w:rPr>
      </w:pPr>
      <w:r w:rsidRPr="000E2335">
        <w:rPr>
          <w:rFonts w:ascii="Times New Roman" w:eastAsia="Times New Roman" w:hAnsi="Times New Roman" w:cs="Times New Roman"/>
          <w:bCs/>
          <w:color w:val="000000"/>
          <w:sz w:val="24"/>
          <w:szCs w:val="24"/>
          <w:lang w:val="en-GB"/>
        </w:rPr>
        <w:t>Asset turnover Ratio=Net sales/ Average</w:t>
      </w:r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movable and immovable</w:t>
      </w:r>
      <w:r w:rsidRPr="000E2335">
        <w:rPr>
          <w:rFonts w:ascii="Times New Roman" w:eastAsia="Times New Roman" w:hAnsi="Times New Roman" w:cs="Times New Roman"/>
          <w:bCs/>
          <w:color w:val="000000"/>
          <w:sz w:val="24"/>
          <w:szCs w:val="24"/>
          <w:lang w:val="en-GB"/>
        </w:rPr>
        <w:t xml:space="preserve"> Assets </w:t>
      </w:r>
    </w:p>
    <w:p w:rsidR="00FC7E47" w:rsidRPr="000E2335" w:rsidRDefault="00FC7E47" w:rsidP="001D2EE8">
      <w:pPr>
        <w:spacing w:after="0" w:line="480" w:lineRule="auto"/>
        <w:rPr>
          <w:rFonts w:ascii="Times New Roman" w:eastAsia="Times New Roman" w:hAnsi="Times New Roman" w:cs="Times New Roman"/>
          <w:bCs/>
          <w:color w:val="000000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382"/>
        <w:gridCol w:w="1097"/>
        <w:gridCol w:w="1097"/>
      </w:tblGrid>
      <w:tr w:rsidR="008867A4" w:rsidRPr="000E2335" w:rsidTr="008867A4">
        <w:trPr>
          <w:trHeight w:val="300"/>
        </w:trPr>
        <w:tc>
          <w:tcPr>
            <w:tcW w:w="7540" w:type="dxa"/>
            <w:noWrap/>
            <w:hideMark/>
          </w:tcPr>
          <w:p w:rsidR="008867A4" w:rsidRPr="000E2335" w:rsidRDefault="008867A4" w:rsidP="001D2EE8">
            <w:pPr>
              <w:spacing w:line="48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GB"/>
              </w:rPr>
              <w:t>Asset turnover Ratio=Net sales/ Average</w:t>
            </w:r>
            <w:r w:rsidR="000534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053412" w:rsidRPr="000E2335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movable and immovable</w:t>
            </w:r>
            <w:r w:rsidRPr="000E2335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GB"/>
              </w:rPr>
              <w:t xml:space="preserve"> </w:t>
            </w:r>
            <w:r w:rsidRPr="000E2335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GB"/>
              </w:rPr>
              <w:lastRenderedPageBreak/>
              <w:t xml:space="preserve">Assets </w:t>
            </w:r>
          </w:p>
        </w:tc>
        <w:tc>
          <w:tcPr>
            <w:tcW w:w="960" w:type="dxa"/>
            <w:noWrap/>
            <w:hideMark/>
          </w:tcPr>
          <w:p w:rsidR="008867A4" w:rsidRPr="000E2335" w:rsidRDefault="00986884" w:rsidP="001D2EE8">
            <w:pPr>
              <w:spacing w:line="480" w:lineRule="auto"/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  <w:lastRenderedPageBreak/>
              <w:t>2020</w:t>
            </w:r>
          </w:p>
        </w:tc>
        <w:tc>
          <w:tcPr>
            <w:tcW w:w="960" w:type="dxa"/>
            <w:noWrap/>
            <w:hideMark/>
          </w:tcPr>
          <w:p w:rsidR="008867A4" w:rsidRPr="000E2335" w:rsidRDefault="00986884" w:rsidP="001D2EE8">
            <w:pPr>
              <w:spacing w:line="480" w:lineRule="auto"/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  <w:t>2019</w:t>
            </w:r>
          </w:p>
        </w:tc>
      </w:tr>
      <w:tr w:rsidR="008867A4" w:rsidRPr="000E2335" w:rsidTr="008867A4">
        <w:trPr>
          <w:trHeight w:val="300"/>
        </w:trPr>
        <w:tc>
          <w:tcPr>
            <w:tcW w:w="7540" w:type="dxa"/>
            <w:noWrap/>
            <w:hideMark/>
          </w:tcPr>
          <w:p w:rsidR="008867A4" w:rsidRPr="000E2335" w:rsidRDefault="008867A4" w:rsidP="001D2EE8">
            <w:pPr>
              <w:spacing w:line="480" w:lineRule="auto"/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  <w:t>Net sales revenues</w:t>
            </w:r>
          </w:p>
        </w:tc>
        <w:tc>
          <w:tcPr>
            <w:tcW w:w="960" w:type="dxa"/>
            <w:noWrap/>
            <w:hideMark/>
          </w:tcPr>
          <w:p w:rsidR="008867A4" w:rsidRPr="000E2335" w:rsidRDefault="008867A4" w:rsidP="001D2EE8">
            <w:pPr>
              <w:spacing w:line="480" w:lineRule="auto"/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  <w:t>6738</w:t>
            </w:r>
          </w:p>
        </w:tc>
        <w:tc>
          <w:tcPr>
            <w:tcW w:w="960" w:type="dxa"/>
            <w:noWrap/>
            <w:hideMark/>
          </w:tcPr>
          <w:p w:rsidR="008867A4" w:rsidRPr="000E2335" w:rsidRDefault="008867A4" w:rsidP="001D2EE8">
            <w:pPr>
              <w:spacing w:line="480" w:lineRule="auto"/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  <w:t>6441</w:t>
            </w:r>
          </w:p>
        </w:tc>
      </w:tr>
      <w:tr w:rsidR="008867A4" w:rsidRPr="000E2335" w:rsidTr="008867A4">
        <w:trPr>
          <w:trHeight w:val="300"/>
        </w:trPr>
        <w:tc>
          <w:tcPr>
            <w:tcW w:w="7540" w:type="dxa"/>
            <w:noWrap/>
            <w:hideMark/>
          </w:tcPr>
          <w:p w:rsidR="008867A4" w:rsidRPr="000E2335" w:rsidRDefault="008867A4" w:rsidP="001D2EE8">
            <w:pPr>
              <w:spacing w:line="480" w:lineRule="auto"/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  <w:t xml:space="preserve">Average </w:t>
            </w:r>
            <w:r w:rsidR="000534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movable and immovable </w:t>
            </w:r>
            <w:r w:rsidRPr="000E2335"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  <w:t xml:space="preserve">Assets </w:t>
            </w:r>
          </w:p>
        </w:tc>
        <w:tc>
          <w:tcPr>
            <w:tcW w:w="960" w:type="dxa"/>
            <w:noWrap/>
            <w:hideMark/>
          </w:tcPr>
          <w:p w:rsidR="008867A4" w:rsidRPr="000E2335" w:rsidRDefault="008867A4" w:rsidP="001D2EE8">
            <w:pPr>
              <w:spacing w:line="480" w:lineRule="auto"/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  <w:t>9736</w:t>
            </w:r>
          </w:p>
        </w:tc>
        <w:tc>
          <w:tcPr>
            <w:tcW w:w="960" w:type="dxa"/>
            <w:noWrap/>
            <w:hideMark/>
          </w:tcPr>
          <w:p w:rsidR="008867A4" w:rsidRPr="000E2335" w:rsidRDefault="008867A4" w:rsidP="001D2EE8">
            <w:pPr>
              <w:spacing w:line="480" w:lineRule="auto"/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  <w:t>10087</w:t>
            </w:r>
          </w:p>
        </w:tc>
      </w:tr>
      <w:tr w:rsidR="008867A4" w:rsidRPr="000E2335" w:rsidTr="008867A4">
        <w:trPr>
          <w:trHeight w:val="300"/>
        </w:trPr>
        <w:tc>
          <w:tcPr>
            <w:tcW w:w="7540" w:type="dxa"/>
            <w:noWrap/>
            <w:hideMark/>
          </w:tcPr>
          <w:p w:rsidR="008867A4" w:rsidRPr="000E2335" w:rsidRDefault="008867A4" w:rsidP="001D2EE8">
            <w:pPr>
              <w:spacing w:line="480" w:lineRule="auto"/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</w:pPr>
          </w:p>
        </w:tc>
        <w:tc>
          <w:tcPr>
            <w:tcW w:w="960" w:type="dxa"/>
            <w:noWrap/>
            <w:hideMark/>
          </w:tcPr>
          <w:p w:rsidR="008867A4" w:rsidRPr="000E2335" w:rsidRDefault="008867A4" w:rsidP="001D2EE8">
            <w:pPr>
              <w:spacing w:line="480" w:lineRule="auto"/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  <w:t>0.692071</w:t>
            </w:r>
          </w:p>
        </w:tc>
        <w:tc>
          <w:tcPr>
            <w:tcW w:w="960" w:type="dxa"/>
            <w:noWrap/>
            <w:hideMark/>
          </w:tcPr>
          <w:p w:rsidR="008867A4" w:rsidRPr="000E2335" w:rsidRDefault="008867A4" w:rsidP="001D2EE8">
            <w:pPr>
              <w:spacing w:line="480" w:lineRule="auto"/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</w:pPr>
            <w:r w:rsidRPr="000E2335">
              <w:rPr>
                <w:rFonts w:ascii="Times New Roman" w:eastAsia="Times New Roman" w:hAnsi="Times New Roman" w:cs="Times New Roman"/>
                <w:bCs/>
                <w:color w:val="000000"/>
                <w:sz w:val="24"/>
                <w:szCs w:val="24"/>
                <w:lang w:val="en-GB"/>
              </w:rPr>
              <w:t>0.638545</w:t>
            </w:r>
          </w:p>
        </w:tc>
      </w:tr>
    </w:tbl>
    <w:p w:rsidR="00455876" w:rsidRPr="000E2335" w:rsidRDefault="00455876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FC7E47" w:rsidRPr="000E2335" w:rsidRDefault="008867A4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t>Stock holding days</w:t>
      </w:r>
    </w:p>
    <w:p w:rsidR="00986884" w:rsidRPr="000E2335" w:rsidRDefault="00053412" w:rsidP="001D2EE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The stock holding period denotes the </w:t>
      </w:r>
      <w:r w:rsidR="00986884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mean number of days a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firm</w:t>
      </w:r>
      <w:r w:rsidR="00986884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keeps inventory. To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establish </w:t>
      </w:r>
      <w:r w:rsidR="000E2335" w:rsidRPr="000E2335">
        <w:rPr>
          <w:rFonts w:ascii="Times New Roman" w:hAnsi="Times New Roman" w:cs="Times New Roman"/>
          <w:sz w:val="24"/>
          <w:szCs w:val="24"/>
          <w:lang w:val="en-GB"/>
        </w:rPr>
        <w:t>the stock holding</w:t>
      </w:r>
      <w:r w:rsidR="00986884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time, divide stock by cost of goods sold and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>proliferate</w:t>
      </w:r>
      <w:r w:rsidR="00986884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the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result by </w:t>
      </w:r>
      <w:r w:rsidR="000E2335" w:rsidRPr="000E2335">
        <w:rPr>
          <w:rFonts w:ascii="Times New Roman" w:hAnsi="Times New Roman" w:cs="Times New Roman"/>
          <w:sz w:val="24"/>
          <w:szCs w:val="24"/>
          <w:lang w:val="en-GB"/>
        </w:rPr>
        <w:t>365 days</w:t>
      </w:r>
      <w:r w:rsidR="000E233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55876" w:rsidRPr="000E2335">
        <w:rPr>
          <w:rFonts w:ascii="Times New Roman" w:hAnsi="Times New Roman" w:cs="Times New Roman"/>
          <w:sz w:val="24"/>
          <w:szCs w:val="24"/>
          <w:lang w:val="en-GB"/>
        </w:rPr>
        <w:t>(</w:t>
      </w:r>
      <w:proofErr w:type="spellStart"/>
      <w:r w:rsidR="000E2335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Fernande</w:t>
      </w:r>
      <w:proofErr w:type="spellEnd"/>
      <w:r w:rsidR="000E2335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and</w:t>
      </w:r>
      <w:r w:rsidR="00455876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</w:t>
      </w:r>
      <w:proofErr w:type="spellStart"/>
      <w:r w:rsidR="00455876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Shetty</w:t>
      </w:r>
      <w:proofErr w:type="spellEnd"/>
      <w:r w:rsidR="00455876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 2019)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382"/>
        <w:gridCol w:w="1097"/>
        <w:gridCol w:w="1097"/>
      </w:tblGrid>
      <w:tr w:rsidR="008867A4" w:rsidRPr="000E2335" w:rsidTr="008867A4">
        <w:trPr>
          <w:trHeight w:val="300"/>
        </w:trPr>
        <w:tc>
          <w:tcPr>
            <w:tcW w:w="7540" w:type="dxa"/>
            <w:noWrap/>
            <w:hideMark/>
          </w:tcPr>
          <w:p w:rsidR="008867A4" w:rsidRPr="000E2335" w:rsidRDefault="00053412" w:rsidP="001D2EE8">
            <w:pPr>
              <w:spacing w:line="480" w:lineRule="auto"/>
              <w:rPr>
                <w:rFonts w:ascii="Times New Roman" w:hAnsi="Times New Roman" w:cs="Times New Roman"/>
                <w:bCs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bCs/>
                <w:sz w:val="24"/>
                <w:szCs w:val="24"/>
                <w:lang w:val="en-GB"/>
              </w:rPr>
              <w:t xml:space="preserve">Inventory </w:t>
            </w:r>
            <w:r w:rsidR="008867A4" w:rsidRPr="000E2335">
              <w:rPr>
                <w:rFonts w:ascii="Times New Roman" w:hAnsi="Times New Roman" w:cs="Times New Roman"/>
                <w:bCs/>
                <w:sz w:val="24"/>
                <w:szCs w:val="24"/>
                <w:lang w:val="en-GB"/>
              </w:rPr>
              <w:t xml:space="preserve"> holding days =(Inventory/Cost of sales)*365</w:t>
            </w:r>
          </w:p>
        </w:tc>
        <w:tc>
          <w:tcPr>
            <w:tcW w:w="960" w:type="dxa"/>
            <w:noWrap/>
            <w:hideMark/>
          </w:tcPr>
          <w:p w:rsidR="008867A4" w:rsidRPr="000E2335" w:rsidRDefault="00986884" w:rsidP="001D2EE8">
            <w:pPr>
              <w:spacing w:line="480" w:lineRule="auto"/>
              <w:rPr>
                <w:rFonts w:ascii="Times New Roman" w:hAnsi="Times New Roman" w:cs="Times New Roman"/>
                <w:bCs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bCs/>
                <w:sz w:val="24"/>
                <w:szCs w:val="24"/>
                <w:lang w:val="en-GB"/>
              </w:rPr>
              <w:t>2020</w:t>
            </w:r>
          </w:p>
        </w:tc>
        <w:tc>
          <w:tcPr>
            <w:tcW w:w="960" w:type="dxa"/>
            <w:noWrap/>
            <w:hideMark/>
          </w:tcPr>
          <w:p w:rsidR="008867A4" w:rsidRPr="000E2335" w:rsidRDefault="00986884" w:rsidP="001D2EE8">
            <w:pPr>
              <w:spacing w:line="480" w:lineRule="auto"/>
              <w:rPr>
                <w:rFonts w:ascii="Times New Roman" w:hAnsi="Times New Roman" w:cs="Times New Roman"/>
                <w:bCs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bCs/>
                <w:sz w:val="24"/>
                <w:szCs w:val="24"/>
                <w:lang w:val="en-GB"/>
              </w:rPr>
              <w:t>2019</w:t>
            </w:r>
          </w:p>
        </w:tc>
      </w:tr>
      <w:tr w:rsidR="008867A4" w:rsidRPr="000E2335" w:rsidTr="008867A4">
        <w:trPr>
          <w:trHeight w:val="300"/>
        </w:trPr>
        <w:tc>
          <w:tcPr>
            <w:tcW w:w="7540" w:type="dxa"/>
            <w:noWrap/>
            <w:hideMark/>
          </w:tcPr>
          <w:p w:rsidR="008867A4" w:rsidRPr="000E2335" w:rsidRDefault="00053412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Stock(Inventory)</w:t>
            </w:r>
          </w:p>
        </w:tc>
        <w:tc>
          <w:tcPr>
            <w:tcW w:w="960" w:type="dxa"/>
            <w:noWrap/>
            <w:hideMark/>
          </w:tcPr>
          <w:p w:rsidR="008867A4" w:rsidRPr="000E2335" w:rsidRDefault="008867A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708</w:t>
            </w:r>
          </w:p>
        </w:tc>
        <w:tc>
          <w:tcPr>
            <w:tcW w:w="960" w:type="dxa"/>
            <w:noWrap/>
            <w:hideMark/>
          </w:tcPr>
          <w:p w:rsidR="008867A4" w:rsidRPr="000E2335" w:rsidRDefault="008867A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659</w:t>
            </w:r>
          </w:p>
        </w:tc>
      </w:tr>
      <w:tr w:rsidR="008867A4" w:rsidRPr="000E2335" w:rsidTr="008867A4">
        <w:trPr>
          <w:trHeight w:val="300"/>
        </w:trPr>
        <w:tc>
          <w:tcPr>
            <w:tcW w:w="7540" w:type="dxa"/>
            <w:noWrap/>
            <w:hideMark/>
          </w:tcPr>
          <w:p w:rsidR="008867A4" w:rsidRPr="000E2335" w:rsidRDefault="008867A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Cost of Sales </w:t>
            </w:r>
          </w:p>
        </w:tc>
        <w:tc>
          <w:tcPr>
            <w:tcW w:w="960" w:type="dxa"/>
            <w:noWrap/>
            <w:hideMark/>
          </w:tcPr>
          <w:p w:rsidR="008867A4" w:rsidRPr="000E2335" w:rsidRDefault="008867A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3235</w:t>
            </w:r>
          </w:p>
        </w:tc>
        <w:tc>
          <w:tcPr>
            <w:tcW w:w="960" w:type="dxa"/>
            <w:noWrap/>
            <w:hideMark/>
          </w:tcPr>
          <w:p w:rsidR="008867A4" w:rsidRPr="000E2335" w:rsidRDefault="008867A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3096</w:t>
            </w:r>
          </w:p>
        </w:tc>
      </w:tr>
      <w:tr w:rsidR="008867A4" w:rsidRPr="000E2335" w:rsidTr="008867A4">
        <w:trPr>
          <w:trHeight w:val="300"/>
        </w:trPr>
        <w:tc>
          <w:tcPr>
            <w:tcW w:w="7540" w:type="dxa"/>
            <w:noWrap/>
            <w:hideMark/>
          </w:tcPr>
          <w:p w:rsidR="008867A4" w:rsidRPr="000E2335" w:rsidRDefault="008867A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60" w:type="dxa"/>
            <w:noWrap/>
            <w:hideMark/>
          </w:tcPr>
          <w:p w:rsidR="008867A4" w:rsidRPr="000E2335" w:rsidRDefault="008867A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79.88253</w:t>
            </w:r>
          </w:p>
        </w:tc>
        <w:tc>
          <w:tcPr>
            <w:tcW w:w="960" w:type="dxa"/>
            <w:noWrap/>
            <w:hideMark/>
          </w:tcPr>
          <w:p w:rsidR="008867A4" w:rsidRPr="000E2335" w:rsidRDefault="008867A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77.69218</w:t>
            </w:r>
          </w:p>
        </w:tc>
      </w:tr>
    </w:tbl>
    <w:p w:rsidR="008867A4" w:rsidRPr="000E2335" w:rsidRDefault="008867A4" w:rsidP="001D2EE8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="00986884" w:rsidRPr="000E2335" w:rsidRDefault="00986884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t>Debtors collection Period</w:t>
      </w:r>
    </w:p>
    <w:p w:rsidR="00986884" w:rsidRPr="000E2335" w:rsidRDefault="00986884" w:rsidP="001D2EE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sz w:val="24"/>
          <w:szCs w:val="24"/>
          <w:lang w:val="en-GB"/>
        </w:rPr>
        <w:t>The average time it takes to collect credit debts is indicated by the Debtor Collection Period. A shorter amount of time is a sign of improved efficiency. The ratio allows the business to evaluate the actual collection period to the credit term award</w:t>
      </w:r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>ed or theoretically. The mean average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>  debt collection period is derived by dividing a firm annual accounts receivable</w:t>
      </w:r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>(</w:t>
      </w:r>
      <w:proofErr w:type="spellStart"/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>)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balance by its total net sales for the previous year, then </w:t>
      </w:r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>multiply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that sum</w:t>
      </w:r>
      <w:r w:rsidR="00455876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by 365 to get a number in days(</w:t>
      </w:r>
      <w:proofErr w:type="spellStart"/>
      <w:r w:rsidR="00455876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Ranaweera</w:t>
      </w:r>
      <w:proofErr w:type="spellEnd"/>
      <w:r w:rsidR="00455876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et al., 2020)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40"/>
        <w:gridCol w:w="996"/>
        <w:gridCol w:w="960"/>
      </w:tblGrid>
      <w:tr w:rsidR="00986884" w:rsidRPr="000E2335" w:rsidTr="00986884">
        <w:trPr>
          <w:trHeight w:val="300"/>
        </w:trPr>
        <w:tc>
          <w:tcPr>
            <w:tcW w:w="7540" w:type="dxa"/>
            <w:noWrap/>
            <w:hideMark/>
          </w:tcPr>
          <w:p w:rsidR="00986884" w:rsidRPr="000E2335" w:rsidRDefault="00986884" w:rsidP="001D2EE8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lastRenderedPageBreak/>
              <w:t>Debtors collection Period=(Trade Receivables/ Sales Revenue)*365</w:t>
            </w:r>
          </w:p>
        </w:tc>
        <w:tc>
          <w:tcPr>
            <w:tcW w:w="960" w:type="dxa"/>
            <w:noWrap/>
            <w:hideMark/>
          </w:tcPr>
          <w:p w:rsidR="00986884" w:rsidRPr="000E2335" w:rsidRDefault="00986884" w:rsidP="001D2EE8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2020</w:t>
            </w:r>
          </w:p>
        </w:tc>
        <w:tc>
          <w:tcPr>
            <w:tcW w:w="960" w:type="dxa"/>
            <w:noWrap/>
            <w:hideMark/>
          </w:tcPr>
          <w:p w:rsidR="00986884" w:rsidRPr="000E2335" w:rsidRDefault="00986884" w:rsidP="001D2EE8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2019</w:t>
            </w:r>
          </w:p>
        </w:tc>
      </w:tr>
      <w:tr w:rsidR="00986884" w:rsidRPr="000E2335" w:rsidTr="00986884">
        <w:trPr>
          <w:trHeight w:val="300"/>
        </w:trPr>
        <w:tc>
          <w:tcPr>
            <w:tcW w:w="7540" w:type="dxa"/>
            <w:noWrap/>
            <w:hideMark/>
          </w:tcPr>
          <w:p w:rsidR="00986884" w:rsidRPr="000E2335" w:rsidRDefault="0098688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Trade Receivables </w:t>
            </w:r>
          </w:p>
        </w:tc>
        <w:tc>
          <w:tcPr>
            <w:tcW w:w="960" w:type="dxa"/>
            <w:noWrap/>
            <w:hideMark/>
          </w:tcPr>
          <w:p w:rsidR="00986884" w:rsidRPr="000E2335" w:rsidRDefault="0098688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1249</w:t>
            </w:r>
          </w:p>
        </w:tc>
        <w:tc>
          <w:tcPr>
            <w:tcW w:w="960" w:type="dxa"/>
            <w:noWrap/>
            <w:hideMark/>
          </w:tcPr>
          <w:p w:rsidR="00986884" w:rsidRPr="000E2335" w:rsidRDefault="0098688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1287</w:t>
            </w:r>
          </w:p>
        </w:tc>
      </w:tr>
      <w:tr w:rsidR="00986884" w:rsidRPr="000E2335" w:rsidTr="00986884">
        <w:trPr>
          <w:trHeight w:val="300"/>
        </w:trPr>
        <w:tc>
          <w:tcPr>
            <w:tcW w:w="7540" w:type="dxa"/>
            <w:noWrap/>
            <w:hideMark/>
          </w:tcPr>
          <w:p w:rsidR="00986884" w:rsidRPr="000E2335" w:rsidRDefault="0098688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Revenue </w:t>
            </w:r>
          </w:p>
        </w:tc>
        <w:tc>
          <w:tcPr>
            <w:tcW w:w="960" w:type="dxa"/>
            <w:noWrap/>
            <w:hideMark/>
          </w:tcPr>
          <w:p w:rsidR="00986884" w:rsidRPr="000E2335" w:rsidRDefault="0098688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6738</w:t>
            </w:r>
          </w:p>
        </w:tc>
        <w:tc>
          <w:tcPr>
            <w:tcW w:w="960" w:type="dxa"/>
            <w:noWrap/>
            <w:hideMark/>
          </w:tcPr>
          <w:p w:rsidR="00986884" w:rsidRPr="000E2335" w:rsidRDefault="0098688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6441</w:t>
            </w:r>
          </w:p>
        </w:tc>
      </w:tr>
      <w:tr w:rsidR="00986884" w:rsidRPr="000E2335" w:rsidTr="00986884">
        <w:trPr>
          <w:trHeight w:val="300"/>
        </w:trPr>
        <w:tc>
          <w:tcPr>
            <w:tcW w:w="7540" w:type="dxa"/>
            <w:noWrap/>
            <w:hideMark/>
          </w:tcPr>
          <w:p w:rsidR="00986884" w:rsidRPr="000E2335" w:rsidRDefault="0098688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60" w:type="dxa"/>
            <w:noWrap/>
            <w:hideMark/>
          </w:tcPr>
          <w:p w:rsidR="00986884" w:rsidRPr="000E2335" w:rsidRDefault="0098688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67.6588</w:t>
            </w:r>
          </w:p>
        </w:tc>
        <w:tc>
          <w:tcPr>
            <w:tcW w:w="960" w:type="dxa"/>
            <w:noWrap/>
            <w:hideMark/>
          </w:tcPr>
          <w:p w:rsidR="00986884" w:rsidRPr="000E2335" w:rsidRDefault="00986884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72.932</w:t>
            </w:r>
          </w:p>
        </w:tc>
      </w:tr>
    </w:tbl>
    <w:p w:rsidR="00986884" w:rsidRPr="000E2335" w:rsidRDefault="00986884" w:rsidP="001D2EE8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="00986884" w:rsidRPr="000E2335" w:rsidRDefault="00986884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t>Current Ratio</w:t>
      </w:r>
    </w:p>
    <w:p w:rsidR="00986884" w:rsidRPr="000E2335" w:rsidRDefault="00986884" w:rsidP="001D2EE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sz w:val="24"/>
          <w:szCs w:val="24"/>
          <w:lang w:val="en-GB"/>
        </w:rPr>
        <w:t>The current ratio is the amount of cash on hand divided by the amount of money owed. Current assets are divided by current liabilities to compute the curren</w:t>
      </w:r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>t ratio. The current ratio denotes how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much a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firm’s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current assets can </w:t>
      </w:r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>cover up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its current obligations. This metric indicates how liquid the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firm’s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assets are, and hence how readily it will be able to </w:t>
      </w:r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>reimburse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its short-term obligations as they </w:t>
      </w:r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>reach maturation.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382"/>
        <w:gridCol w:w="1097"/>
        <w:gridCol w:w="1097"/>
      </w:tblGrid>
      <w:tr w:rsidR="00C72677" w:rsidRPr="000E2335" w:rsidTr="00C72677">
        <w:trPr>
          <w:trHeight w:val="300"/>
        </w:trPr>
        <w:tc>
          <w:tcPr>
            <w:tcW w:w="754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Current ratio=Current Assets/Current Liabilities </w:t>
            </w:r>
          </w:p>
        </w:tc>
        <w:tc>
          <w:tcPr>
            <w:tcW w:w="96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2020</w:t>
            </w:r>
          </w:p>
        </w:tc>
        <w:tc>
          <w:tcPr>
            <w:tcW w:w="96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2019</w:t>
            </w:r>
          </w:p>
        </w:tc>
      </w:tr>
      <w:tr w:rsidR="00C72677" w:rsidRPr="000E2335" w:rsidTr="00C72677">
        <w:trPr>
          <w:trHeight w:val="300"/>
        </w:trPr>
        <w:tc>
          <w:tcPr>
            <w:tcW w:w="754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Current Assets</w:t>
            </w:r>
            <w:r w:rsidR="000534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(CA)</w:t>
            </w:r>
          </w:p>
        </w:tc>
        <w:tc>
          <w:tcPr>
            <w:tcW w:w="96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2303</w:t>
            </w:r>
            <w:r w:rsidR="000534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.0</w:t>
            </w:r>
          </w:p>
        </w:tc>
        <w:tc>
          <w:tcPr>
            <w:tcW w:w="96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2355</w:t>
            </w:r>
            <w:r w:rsidR="000534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.0</w:t>
            </w:r>
          </w:p>
        </w:tc>
      </w:tr>
      <w:tr w:rsidR="00C72677" w:rsidRPr="000E2335" w:rsidTr="00C72677">
        <w:trPr>
          <w:trHeight w:val="300"/>
        </w:trPr>
        <w:tc>
          <w:tcPr>
            <w:tcW w:w="754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Current Liabilities </w:t>
            </w:r>
            <w:r w:rsidR="000534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(CL)</w:t>
            </w:r>
          </w:p>
        </w:tc>
        <w:tc>
          <w:tcPr>
            <w:tcW w:w="96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2511</w:t>
            </w:r>
            <w:r w:rsidR="000534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.0</w:t>
            </w:r>
          </w:p>
        </w:tc>
        <w:tc>
          <w:tcPr>
            <w:tcW w:w="96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3046</w:t>
            </w:r>
            <w:r w:rsidR="000534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.0</w:t>
            </w:r>
          </w:p>
        </w:tc>
      </w:tr>
      <w:tr w:rsidR="00C72677" w:rsidRPr="000E2335" w:rsidTr="00C72677">
        <w:trPr>
          <w:trHeight w:val="300"/>
        </w:trPr>
        <w:tc>
          <w:tcPr>
            <w:tcW w:w="754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6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0.917164</w:t>
            </w:r>
          </w:p>
        </w:tc>
        <w:tc>
          <w:tcPr>
            <w:tcW w:w="96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0.773145</w:t>
            </w:r>
          </w:p>
        </w:tc>
      </w:tr>
    </w:tbl>
    <w:p w:rsidR="00C72677" w:rsidRPr="000E2335" w:rsidRDefault="00C72677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t>Gearing Ratio</w:t>
      </w:r>
    </w:p>
    <w:p w:rsidR="00C72677" w:rsidRPr="000E2335" w:rsidRDefault="00C72677" w:rsidP="001D2EE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The firm’s financial leverage, </w:t>
      </w:r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>or else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the amount of inte</w:t>
      </w:r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rest-bearing liabilities in  firms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capital structure, is evaluated by the gearing ratio. The most effective method to compute the ratio is to divide total debt by stockholders </w:t>
      </w:r>
      <w:r w:rsidR="00455876" w:rsidRPr="000E2335">
        <w:rPr>
          <w:rFonts w:ascii="Times New Roman" w:hAnsi="Times New Roman" w:cs="Times New Roman"/>
          <w:sz w:val="24"/>
          <w:szCs w:val="24"/>
          <w:lang w:val="en-GB"/>
        </w:rPr>
        <w:t>equity (</w:t>
      </w:r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>capital)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>. It can also be computed by multiply</w:t>
      </w:r>
      <w:r w:rsidR="00455876" w:rsidRPr="000E2335">
        <w:rPr>
          <w:rFonts w:ascii="Times New Roman" w:hAnsi="Times New Roman" w:cs="Times New Roman"/>
          <w:sz w:val="24"/>
          <w:szCs w:val="24"/>
          <w:lang w:val="en-GB"/>
        </w:rPr>
        <w:t>ing total debt by total capital (</w:t>
      </w:r>
      <w:r w:rsidR="00455876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Rahman, 2018)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382"/>
        <w:gridCol w:w="1097"/>
        <w:gridCol w:w="1097"/>
      </w:tblGrid>
      <w:tr w:rsidR="00C72677" w:rsidRPr="000E2335" w:rsidTr="00C72677">
        <w:trPr>
          <w:trHeight w:val="300"/>
        </w:trPr>
        <w:tc>
          <w:tcPr>
            <w:tcW w:w="754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Gearing </w:t>
            </w:r>
            <w:r w:rsidR="002756BB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Ratio=Total debt/Stock</w:t>
            </w:r>
            <w:r w:rsidRPr="000E2335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holders Equity</w:t>
            </w:r>
          </w:p>
        </w:tc>
        <w:tc>
          <w:tcPr>
            <w:tcW w:w="96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6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C72677" w:rsidRPr="000E2335" w:rsidTr="00C72677">
        <w:trPr>
          <w:trHeight w:val="300"/>
        </w:trPr>
        <w:tc>
          <w:tcPr>
            <w:tcW w:w="754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Total debt </w:t>
            </w:r>
          </w:p>
        </w:tc>
        <w:tc>
          <w:tcPr>
            <w:tcW w:w="96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4137</w:t>
            </w:r>
          </w:p>
        </w:tc>
        <w:tc>
          <w:tcPr>
            <w:tcW w:w="96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4129</w:t>
            </w:r>
          </w:p>
        </w:tc>
      </w:tr>
      <w:tr w:rsidR="00C72677" w:rsidRPr="000E2335" w:rsidTr="00C72677">
        <w:trPr>
          <w:trHeight w:val="300"/>
        </w:trPr>
        <w:tc>
          <w:tcPr>
            <w:tcW w:w="7540" w:type="dxa"/>
            <w:noWrap/>
            <w:hideMark/>
          </w:tcPr>
          <w:p w:rsidR="00C72677" w:rsidRPr="000E2335" w:rsidRDefault="00EE0840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>Stockholders’</w:t>
            </w:r>
            <w:r w:rsidR="00C72677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Equity </w:t>
            </w:r>
          </w:p>
        </w:tc>
        <w:tc>
          <w:tcPr>
            <w:tcW w:w="96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3088</w:t>
            </w:r>
          </w:p>
        </w:tc>
        <w:tc>
          <w:tcPr>
            <w:tcW w:w="96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2912</w:t>
            </w:r>
          </w:p>
        </w:tc>
      </w:tr>
      <w:tr w:rsidR="00C72677" w:rsidRPr="000E2335" w:rsidTr="00C72677">
        <w:trPr>
          <w:trHeight w:val="300"/>
        </w:trPr>
        <w:tc>
          <w:tcPr>
            <w:tcW w:w="754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6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1.339702</w:t>
            </w:r>
          </w:p>
        </w:tc>
        <w:tc>
          <w:tcPr>
            <w:tcW w:w="960" w:type="dxa"/>
            <w:noWrap/>
            <w:hideMark/>
          </w:tcPr>
          <w:p w:rsidR="00C72677" w:rsidRPr="000E2335" w:rsidRDefault="00C72677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1.417926</w:t>
            </w:r>
          </w:p>
        </w:tc>
      </w:tr>
    </w:tbl>
    <w:p w:rsidR="00C72677" w:rsidRPr="000E2335" w:rsidRDefault="00C72677" w:rsidP="001D2EE8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="00C72677" w:rsidRPr="000E2335" w:rsidRDefault="00C72677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t>Inventory Cover ratio</w:t>
      </w:r>
    </w:p>
    <w:p w:rsidR="00C72677" w:rsidRPr="000E2335" w:rsidRDefault="00C72677" w:rsidP="001D2EE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The inventory turnover (stock </w:t>
      </w:r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>turnover ratio) is a financial ratio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of inventory management efficiency. This efficiency</w:t>
      </w:r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> ratio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 is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computed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>by dividing the cost of goods(COGS)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sold by total or average stock to </w:t>
      </w:r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>decide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how many occas</w:t>
      </w:r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ions inventory is  sold in a financial year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>. The ratio is</w:t>
      </w:r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> used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to </w:t>
      </w:r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>identify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if inventory levels </w:t>
      </w:r>
      <w:r w:rsidR="00053412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of inventory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>w</w:t>
      </w:r>
      <w:r w:rsidR="00455876" w:rsidRPr="000E2335">
        <w:rPr>
          <w:rFonts w:ascii="Times New Roman" w:hAnsi="Times New Roman" w:cs="Times New Roman"/>
          <w:sz w:val="24"/>
          <w:szCs w:val="24"/>
          <w:lang w:val="en-GB"/>
        </w:rPr>
        <w:t>ere high in comparison to sales (</w:t>
      </w:r>
      <w:proofErr w:type="spellStart"/>
      <w:r w:rsidR="00455876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Nofiana</w:t>
      </w:r>
      <w:proofErr w:type="spellEnd"/>
      <w:r w:rsidR="00455876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and </w:t>
      </w:r>
      <w:proofErr w:type="spellStart"/>
      <w:r w:rsidR="00455876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Sunarsi</w:t>
      </w:r>
      <w:proofErr w:type="spellEnd"/>
      <w:r w:rsidR="00455876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., 2020,p.100)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382"/>
        <w:gridCol w:w="1097"/>
        <w:gridCol w:w="1097"/>
      </w:tblGrid>
      <w:tr w:rsidR="00EE0840" w:rsidRPr="000E2335" w:rsidTr="00EE0840">
        <w:trPr>
          <w:trHeight w:val="300"/>
        </w:trPr>
        <w:tc>
          <w:tcPr>
            <w:tcW w:w="7540" w:type="dxa"/>
            <w:noWrap/>
            <w:hideMark/>
          </w:tcPr>
          <w:p w:rsidR="00EE0840" w:rsidRPr="000E2335" w:rsidRDefault="00EE0840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Inventory Cover ratio=Cost of goods Sold/Average Inventory </w:t>
            </w:r>
          </w:p>
        </w:tc>
        <w:tc>
          <w:tcPr>
            <w:tcW w:w="960" w:type="dxa"/>
            <w:noWrap/>
            <w:hideMark/>
          </w:tcPr>
          <w:p w:rsidR="00EE0840" w:rsidRPr="000E2335" w:rsidRDefault="00EE0840" w:rsidP="001D2EE8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2020</w:t>
            </w:r>
          </w:p>
        </w:tc>
        <w:tc>
          <w:tcPr>
            <w:tcW w:w="960" w:type="dxa"/>
            <w:noWrap/>
            <w:hideMark/>
          </w:tcPr>
          <w:p w:rsidR="00EE0840" w:rsidRPr="000E2335" w:rsidRDefault="00EE0840" w:rsidP="001D2EE8">
            <w:pPr>
              <w:spacing w:line="48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2019</w:t>
            </w:r>
          </w:p>
        </w:tc>
      </w:tr>
      <w:tr w:rsidR="00EE0840" w:rsidRPr="000E2335" w:rsidTr="00EE0840">
        <w:trPr>
          <w:trHeight w:val="300"/>
        </w:trPr>
        <w:tc>
          <w:tcPr>
            <w:tcW w:w="7540" w:type="dxa"/>
            <w:noWrap/>
            <w:hideMark/>
          </w:tcPr>
          <w:p w:rsidR="00EE0840" w:rsidRPr="000E2335" w:rsidRDefault="00EE0840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Cost of goods sold </w:t>
            </w:r>
          </w:p>
        </w:tc>
        <w:tc>
          <w:tcPr>
            <w:tcW w:w="960" w:type="dxa"/>
            <w:noWrap/>
            <w:hideMark/>
          </w:tcPr>
          <w:p w:rsidR="00EE0840" w:rsidRPr="000E2335" w:rsidRDefault="00EE0840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3235</w:t>
            </w:r>
            <w:r w:rsidR="000534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.0</w:t>
            </w:r>
          </w:p>
        </w:tc>
        <w:tc>
          <w:tcPr>
            <w:tcW w:w="960" w:type="dxa"/>
            <w:noWrap/>
            <w:hideMark/>
          </w:tcPr>
          <w:p w:rsidR="00EE0840" w:rsidRPr="000E2335" w:rsidRDefault="00EE0840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3096</w:t>
            </w:r>
            <w:r w:rsidR="000534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.0</w:t>
            </w:r>
          </w:p>
        </w:tc>
      </w:tr>
      <w:tr w:rsidR="00EE0840" w:rsidRPr="000E2335" w:rsidTr="00EE0840">
        <w:trPr>
          <w:trHeight w:val="300"/>
        </w:trPr>
        <w:tc>
          <w:tcPr>
            <w:tcW w:w="7540" w:type="dxa"/>
            <w:noWrap/>
            <w:hideMark/>
          </w:tcPr>
          <w:p w:rsidR="00EE0840" w:rsidRPr="000E2335" w:rsidRDefault="00EE0840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Average Inventory </w:t>
            </w:r>
          </w:p>
        </w:tc>
        <w:tc>
          <w:tcPr>
            <w:tcW w:w="960" w:type="dxa"/>
            <w:noWrap/>
            <w:hideMark/>
          </w:tcPr>
          <w:p w:rsidR="00EE0840" w:rsidRPr="000E2335" w:rsidRDefault="00EE0840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708</w:t>
            </w:r>
            <w:r w:rsidR="000534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.0</w:t>
            </w:r>
          </w:p>
        </w:tc>
        <w:tc>
          <w:tcPr>
            <w:tcW w:w="960" w:type="dxa"/>
            <w:noWrap/>
            <w:hideMark/>
          </w:tcPr>
          <w:p w:rsidR="00EE0840" w:rsidRPr="000E2335" w:rsidRDefault="00EE0840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659</w:t>
            </w:r>
            <w:r w:rsidR="00053412"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.0</w:t>
            </w:r>
          </w:p>
        </w:tc>
      </w:tr>
      <w:tr w:rsidR="00EE0840" w:rsidRPr="000E2335" w:rsidTr="00EE0840">
        <w:trPr>
          <w:trHeight w:val="300"/>
        </w:trPr>
        <w:tc>
          <w:tcPr>
            <w:tcW w:w="7540" w:type="dxa"/>
            <w:noWrap/>
            <w:hideMark/>
          </w:tcPr>
          <w:p w:rsidR="00EE0840" w:rsidRPr="000E2335" w:rsidRDefault="00EE0840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60" w:type="dxa"/>
            <w:noWrap/>
            <w:hideMark/>
          </w:tcPr>
          <w:p w:rsidR="00EE0840" w:rsidRPr="000E2335" w:rsidRDefault="00EE0840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4.569209</w:t>
            </w:r>
          </w:p>
        </w:tc>
        <w:tc>
          <w:tcPr>
            <w:tcW w:w="960" w:type="dxa"/>
            <w:noWrap/>
            <w:hideMark/>
          </w:tcPr>
          <w:p w:rsidR="00EE0840" w:rsidRPr="000E2335" w:rsidRDefault="00EE0840" w:rsidP="001D2EE8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0E2335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4.698027</w:t>
            </w:r>
          </w:p>
        </w:tc>
      </w:tr>
    </w:tbl>
    <w:p w:rsidR="00EE0840" w:rsidRPr="000E2335" w:rsidRDefault="00EE0840" w:rsidP="001D2EE8">
      <w:pPr>
        <w:spacing w:after="0"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="00EE0840" w:rsidRPr="000E2335" w:rsidRDefault="00EE0840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t xml:space="preserve">Comment on financial performance and position of </w:t>
      </w:r>
      <w:proofErr w:type="spellStart"/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t>Chocco</w:t>
      </w:r>
      <w:proofErr w:type="spellEnd"/>
      <w:r w:rsidRPr="000E2335">
        <w:rPr>
          <w:rFonts w:ascii="Times New Roman" w:hAnsi="Times New Roman" w:cs="Times New Roman"/>
          <w:b/>
          <w:sz w:val="24"/>
          <w:szCs w:val="24"/>
          <w:lang w:val="en-GB"/>
        </w:rPr>
        <w:t xml:space="preserve"> Plc </w:t>
      </w:r>
    </w:p>
    <w:p w:rsidR="00763CFB" w:rsidRPr="000E2335" w:rsidRDefault="008B00C8" w:rsidP="001D2EE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0E2335">
        <w:rPr>
          <w:rFonts w:ascii="Times New Roman" w:hAnsi="Times New Roman" w:cs="Times New Roman"/>
          <w:sz w:val="24"/>
          <w:szCs w:val="24"/>
          <w:lang w:val="en-GB"/>
        </w:rPr>
        <w:t>Chocco</w:t>
      </w:r>
      <w:proofErr w:type="spellEnd"/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55876" w:rsidRPr="000E2335">
        <w:rPr>
          <w:rFonts w:ascii="Times New Roman" w:hAnsi="Times New Roman" w:cs="Times New Roman"/>
          <w:sz w:val="24"/>
          <w:szCs w:val="24"/>
          <w:lang w:val="en-GB"/>
        </w:rPr>
        <w:t>Plc current</w:t>
      </w:r>
      <w:r w:rsidR="00EE0840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ratio indicates solid liquidity. The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firm</w:t>
      </w:r>
      <w:r w:rsidR="00EE0840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appears to be doing  well in controlling their debt collection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>times. However</w:t>
      </w:r>
      <w:r w:rsidR="00EE0840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, the rationale for the longer trade payable collecting timeframes must be investigated. The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firm</w:t>
      </w:r>
      <w:r w:rsidR="00EE0840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has long inventories holding times. Longer-than-necessary inventory holding could </w:t>
      </w:r>
      <w:r w:rsidR="00AE236B" w:rsidRPr="000E2335">
        <w:rPr>
          <w:rFonts w:ascii="Times New Roman" w:hAnsi="Times New Roman" w:cs="Times New Roman"/>
          <w:sz w:val="24"/>
          <w:szCs w:val="24"/>
          <w:lang w:val="en-GB"/>
        </w:rPr>
        <w:t>mean</w:t>
      </w:r>
      <w:r w:rsidR="00EE0840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that the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firm</w:t>
      </w:r>
      <w:r w:rsidR="00AE236B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has funds</w:t>
      </w:r>
      <w:r w:rsidR="00EE0840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locked up in inventory unnecessarily.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The asset </w:t>
      </w:r>
      <w:r w:rsidR="00455876" w:rsidRPr="000E2335">
        <w:rPr>
          <w:rFonts w:ascii="Times New Roman" w:hAnsi="Times New Roman" w:cs="Times New Roman"/>
          <w:sz w:val="24"/>
          <w:szCs w:val="24"/>
          <w:lang w:val="en-GB"/>
        </w:rPr>
        <w:t>turnover (</w:t>
      </w:r>
      <w:r w:rsidR="00AE236B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AS)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ratio of the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firm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is more than 60%. The robu</w:t>
      </w:r>
      <w:r w:rsidR="00AE236B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st the ratio, the more </w:t>
      </w:r>
      <w:r w:rsidR="00455876" w:rsidRPr="000E2335">
        <w:rPr>
          <w:rFonts w:ascii="Times New Roman" w:hAnsi="Times New Roman" w:cs="Times New Roman"/>
          <w:sz w:val="24"/>
          <w:szCs w:val="24"/>
          <w:lang w:val="en-GB"/>
        </w:rPr>
        <w:t>effective the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firm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is at generating sales or revenues from its existing a</w:t>
      </w:r>
      <w:r w:rsidR="00AE236B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sset base. A lower </w:t>
      </w:r>
      <w:r w:rsidR="00455876" w:rsidRPr="000E2335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ratio </w:t>
      </w:r>
      <w:r w:rsidR="000E2335" w:rsidRPr="000E2335">
        <w:rPr>
          <w:rFonts w:ascii="Times New Roman" w:hAnsi="Times New Roman" w:cs="Times New Roman"/>
          <w:sz w:val="24"/>
          <w:szCs w:val="24"/>
          <w:lang w:val="en-GB"/>
        </w:rPr>
        <w:t>denotes that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E236B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a corporation is not </w:t>
      </w:r>
      <w:r w:rsidR="000E2335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effectively </w:t>
      </w:r>
      <w:r w:rsidR="00864FA4" w:rsidRPr="000E2335">
        <w:rPr>
          <w:rFonts w:ascii="Times New Roman" w:hAnsi="Times New Roman" w:cs="Times New Roman"/>
          <w:sz w:val="24"/>
          <w:szCs w:val="24"/>
          <w:lang w:val="en-GB"/>
        </w:rPr>
        <w:t>utilising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its assets and may</w:t>
      </w:r>
      <w:r w:rsidR="00AE236B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be </w:t>
      </w:r>
      <w:r w:rsidR="000E2335" w:rsidRPr="000E2335">
        <w:rPr>
          <w:rFonts w:ascii="Times New Roman" w:hAnsi="Times New Roman" w:cs="Times New Roman"/>
          <w:sz w:val="24"/>
          <w:szCs w:val="24"/>
          <w:lang w:val="en-GB"/>
        </w:rPr>
        <w:t>experiencing financial</w:t>
      </w:r>
      <w:r w:rsidR="00AE236B"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difficulties. 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. Furthermore, the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firm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has multiple gearing ratios</w:t>
      </w:r>
      <w:r w:rsidR="00AE236B" w:rsidRPr="000E2335">
        <w:rPr>
          <w:rFonts w:ascii="Times New Roman" w:hAnsi="Times New Roman" w:cs="Times New Roman"/>
          <w:sz w:val="24"/>
          <w:szCs w:val="24"/>
          <w:lang w:val="en-GB"/>
        </w:rPr>
        <w:t>. A high gearing ratio denotes that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a high debt-to-equity ratio, whils</w:t>
      </w:r>
      <w:r w:rsidR="00AE236B" w:rsidRPr="000E2335">
        <w:rPr>
          <w:rFonts w:ascii="Times New Roman" w:hAnsi="Times New Roman" w:cs="Times New Roman"/>
          <w:sz w:val="24"/>
          <w:szCs w:val="24"/>
          <w:lang w:val="en-GB"/>
        </w:rPr>
        <w:t>t a less gearing ratio illustrates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a low debt-to-equity ratio.</w:t>
      </w:r>
      <w:r w:rsidR="00EE0840" w:rsidRPr="000E2335">
        <w:rPr>
          <w:rFonts w:ascii="Times New Roman" w:hAnsi="Times New Roman" w:cs="Times New Roman"/>
          <w:sz w:val="24"/>
          <w:szCs w:val="24"/>
          <w:lang w:val="en-GB"/>
        </w:rPr>
        <w:t> 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In general terms the </w:t>
      </w:r>
      <w:r w:rsidR="00195C46" w:rsidRPr="000E2335">
        <w:rPr>
          <w:rFonts w:ascii="Times New Roman" w:hAnsi="Times New Roman" w:cs="Times New Roman"/>
          <w:sz w:val="24"/>
          <w:szCs w:val="24"/>
          <w:lang w:val="en-GB"/>
        </w:rPr>
        <w:t>firm</w:t>
      </w:r>
      <w:r w:rsidRPr="000E2335">
        <w:rPr>
          <w:rFonts w:ascii="Times New Roman" w:hAnsi="Times New Roman" w:cs="Times New Roman"/>
          <w:sz w:val="24"/>
          <w:szCs w:val="24"/>
          <w:lang w:val="en-GB"/>
        </w:rPr>
        <w:t xml:space="preserve"> has feasible financial health and its likely to continue operations into foreseeable future.</w:t>
      </w:r>
    </w:p>
    <w:p w:rsidR="00763CFB" w:rsidRPr="000E2335" w:rsidRDefault="00763CFB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1D2EE8" w:rsidRPr="000E2335" w:rsidRDefault="001D2EE8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1D2EE8" w:rsidRPr="000E2335" w:rsidRDefault="001D2EE8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1D2EE8" w:rsidRPr="000E2335" w:rsidRDefault="001D2EE8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1D2EE8" w:rsidRPr="000E2335" w:rsidRDefault="001D2EE8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1D2EE8" w:rsidRPr="000E2335" w:rsidRDefault="001D2EE8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1D2EE8" w:rsidRPr="000E2335" w:rsidRDefault="001D2EE8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1D2EE8" w:rsidRPr="000E2335" w:rsidRDefault="001D2EE8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1D2EE8" w:rsidRPr="000E2335" w:rsidRDefault="001D2EE8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1D2EE8" w:rsidRPr="000E2335" w:rsidRDefault="001D2EE8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1D2EE8" w:rsidRPr="000E2335" w:rsidRDefault="001D2EE8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1D2EE8" w:rsidRPr="000E2335" w:rsidRDefault="001D2EE8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1D2EE8" w:rsidRPr="000E2335" w:rsidRDefault="001D2EE8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1D2EE8" w:rsidRPr="000E2335" w:rsidRDefault="001D2EE8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1D2EE8" w:rsidRPr="000E2335" w:rsidRDefault="001D2EE8" w:rsidP="001D2E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455876" w:rsidRPr="000E2335" w:rsidRDefault="00455876" w:rsidP="001D2EE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</w:p>
    <w:p w:rsidR="00455876" w:rsidRPr="000E2335" w:rsidRDefault="00455876" w:rsidP="001D2EE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</w:p>
    <w:p w:rsidR="001D2EE8" w:rsidRDefault="001D2EE8" w:rsidP="001D2EE8">
      <w:pPr>
        <w:spacing w:after="0" w:line="480" w:lineRule="auto"/>
        <w:ind w:firstLine="720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:rsidR="00455876" w:rsidRPr="00066059" w:rsidRDefault="00066059" w:rsidP="00066059">
      <w:pPr>
        <w:spacing w:after="0" w:line="480" w:lineRule="auto"/>
        <w:ind w:left="359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lastRenderedPageBreak/>
        <w:t xml:space="preserve">    </w:t>
      </w:r>
      <w:r w:rsidR="00D21F29">
        <w:rPr>
          <w:rFonts w:ascii="Times New Roman" w:hAnsi="Times New Roman" w:cs="Times New Roman"/>
          <w:b/>
          <w:sz w:val="24"/>
          <w:szCs w:val="24"/>
          <w:lang w:val="en-GB"/>
        </w:rPr>
        <w:t xml:space="preserve">                                                        </w:t>
      </w:r>
      <w:r w:rsidR="00864FA4" w:rsidRPr="00066059">
        <w:rPr>
          <w:rFonts w:ascii="Times New Roman" w:hAnsi="Times New Roman" w:cs="Times New Roman"/>
          <w:b/>
          <w:sz w:val="24"/>
          <w:szCs w:val="24"/>
          <w:lang w:val="en-GB"/>
        </w:rPr>
        <w:t xml:space="preserve">List of </w:t>
      </w:r>
      <w:r w:rsidR="001D2EE8" w:rsidRPr="00066059">
        <w:rPr>
          <w:rFonts w:ascii="Times New Roman" w:hAnsi="Times New Roman" w:cs="Times New Roman"/>
          <w:b/>
          <w:sz w:val="24"/>
          <w:szCs w:val="24"/>
          <w:lang w:val="en-GB"/>
        </w:rPr>
        <w:t xml:space="preserve">References </w:t>
      </w:r>
    </w:p>
    <w:p w:rsidR="00455876" w:rsidRPr="000E2335" w:rsidRDefault="00455876" w:rsidP="001D2EE8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proofErr w:type="spellStart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Arsal</w:t>
      </w:r>
      <w:proofErr w:type="spellEnd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 M., 2021. Impact of earnings per share and dividend per share on firm value. </w:t>
      </w:r>
      <w:proofErr w:type="spellStart"/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ATESTASI</w:t>
      </w:r>
      <w:proofErr w:type="spellEnd"/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 xml:space="preserve">: </w:t>
      </w:r>
      <w:proofErr w:type="spellStart"/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Jurnal</w:t>
      </w:r>
      <w:proofErr w:type="spellEnd"/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 xml:space="preserve"> </w:t>
      </w:r>
      <w:proofErr w:type="spellStart"/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Ilmiah</w:t>
      </w:r>
      <w:proofErr w:type="spellEnd"/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 xml:space="preserve"> </w:t>
      </w:r>
      <w:proofErr w:type="spellStart"/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Akuntansi</w:t>
      </w:r>
      <w:proofErr w:type="spellEnd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 </w:t>
      </w:r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4</w:t>
      </w:r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(1), pp.</w:t>
      </w:r>
      <w:r w:rsidR="001D2EE8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</w:t>
      </w:r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11-18.</w:t>
      </w:r>
    </w:p>
    <w:p w:rsidR="00455876" w:rsidRPr="000E2335" w:rsidRDefault="00455876" w:rsidP="001D2EE8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proofErr w:type="spellStart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Fernandes</w:t>
      </w:r>
      <w:proofErr w:type="spellEnd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, B. and </w:t>
      </w:r>
      <w:proofErr w:type="spellStart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Shetty</w:t>
      </w:r>
      <w:proofErr w:type="spellEnd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, J.G., 2019. A Study on Inventory Management at Model Infra Corporation </w:t>
      </w:r>
      <w:proofErr w:type="spellStart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Pvt</w:t>
      </w:r>
      <w:proofErr w:type="spellEnd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Ltd, Verna, Goa.</w:t>
      </w:r>
    </w:p>
    <w:p w:rsidR="00455876" w:rsidRPr="000E2335" w:rsidRDefault="00455876" w:rsidP="001D2EE8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proofErr w:type="spellStart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Nariswari</w:t>
      </w:r>
      <w:proofErr w:type="spellEnd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, T.N. and </w:t>
      </w:r>
      <w:proofErr w:type="spellStart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Nugraha</w:t>
      </w:r>
      <w:proofErr w:type="spellEnd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, N.M., 2020. Profit Growth: Impact of Net Profit Margin, Gross Profit Margin and Total </w:t>
      </w:r>
      <w:r w:rsidR="001D2EE8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Assets</w:t>
      </w:r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Turnover. </w:t>
      </w:r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International Journal of Finance &amp; Banking Studies (2147-4486)</w:t>
      </w:r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 </w:t>
      </w:r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9</w:t>
      </w:r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(4), pp.</w:t>
      </w:r>
      <w:r w:rsidR="001D2EE8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</w:t>
      </w:r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87-96.</w:t>
      </w:r>
    </w:p>
    <w:p w:rsidR="00455876" w:rsidRPr="000E2335" w:rsidRDefault="00455876" w:rsidP="001D2EE8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proofErr w:type="spellStart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Nofiana</w:t>
      </w:r>
      <w:proofErr w:type="spellEnd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, L. and </w:t>
      </w:r>
      <w:proofErr w:type="spellStart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Sunarsi</w:t>
      </w:r>
      <w:proofErr w:type="spellEnd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 D., 2020. The Influence of Inventory Round Ratio and Activities Round Ratio of Profitability (ROI). </w:t>
      </w:r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JASa (</w:t>
      </w:r>
      <w:proofErr w:type="spellStart"/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Jurnal</w:t>
      </w:r>
      <w:proofErr w:type="spellEnd"/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 xml:space="preserve"> </w:t>
      </w:r>
      <w:proofErr w:type="spellStart"/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Akuntansi</w:t>
      </w:r>
      <w:proofErr w:type="spellEnd"/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 xml:space="preserve">, Audit dan </w:t>
      </w:r>
      <w:proofErr w:type="spellStart"/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Sistem</w:t>
      </w:r>
      <w:proofErr w:type="spellEnd"/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 xml:space="preserve"> </w:t>
      </w:r>
      <w:proofErr w:type="spellStart"/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Informasi</w:t>
      </w:r>
      <w:proofErr w:type="spellEnd"/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 xml:space="preserve"> </w:t>
      </w:r>
      <w:proofErr w:type="spellStart"/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Akuntansi</w:t>
      </w:r>
      <w:proofErr w:type="spellEnd"/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)</w:t>
      </w:r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 </w:t>
      </w:r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4</w:t>
      </w:r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(1), pp.</w:t>
      </w:r>
      <w:r w:rsidR="001D2EE8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</w:t>
      </w:r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95-103.</w:t>
      </w:r>
    </w:p>
    <w:p w:rsidR="00455876" w:rsidRPr="000E2335" w:rsidRDefault="00455876" w:rsidP="001D2EE8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Patin, J.C., Rahman, M. and Mustafa, M., 2020. Impact of total asset turnover ratios on equity returns: dynamic panel data analyses. </w:t>
      </w:r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Journal of Accounting, Business and Management (JABM)</w:t>
      </w:r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 </w:t>
      </w:r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27</w:t>
      </w:r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(1), pp.</w:t>
      </w:r>
      <w:r w:rsidR="001D2EE8"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</w:t>
      </w:r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19-29.</w:t>
      </w:r>
    </w:p>
    <w:p w:rsidR="00455876" w:rsidRPr="000E2335" w:rsidRDefault="00455876" w:rsidP="001D2EE8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proofErr w:type="spellStart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Ranaweera</w:t>
      </w:r>
      <w:proofErr w:type="spellEnd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, H.G.O.H., </w:t>
      </w:r>
      <w:proofErr w:type="spellStart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Gunaratne</w:t>
      </w:r>
      <w:proofErr w:type="spellEnd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, Y.M.C. and </w:t>
      </w:r>
      <w:proofErr w:type="spellStart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Perera</w:t>
      </w:r>
      <w:proofErr w:type="spellEnd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 K.J.T., 2020. Impact of Working Capital Management on Financial Performance of Non-Banking Financial Institutions in Sri Lanka.</w:t>
      </w:r>
    </w:p>
    <w:p w:rsidR="00455876" w:rsidRPr="000E2335" w:rsidRDefault="00455876" w:rsidP="001D2EE8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Rahman, M., 2018. A Critical Analysis of Toshiba Financial Performance. </w:t>
      </w:r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A Critical Analysis of Toshiba Financial Performance (November 8, 2018)</w:t>
      </w:r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.</w:t>
      </w:r>
    </w:p>
    <w:p w:rsidR="00455876" w:rsidRPr="000E2335" w:rsidRDefault="00455876" w:rsidP="001D2EE8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proofErr w:type="spellStart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Shrotriya</w:t>
      </w:r>
      <w:proofErr w:type="spellEnd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 V., 2019. Analysis of Return on Total Assets (ROTA) and Return on Capital Employed (ROCE) of IFFCO Limited.</w:t>
      </w:r>
    </w:p>
    <w:p w:rsidR="00455876" w:rsidRPr="000E2335" w:rsidRDefault="00455876" w:rsidP="001D2EE8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lastRenderedPageBreak/>
        <w:t>Utami</w:t>
      </w:r>
      <w:proofErr w:type="spellEnd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, M.R. and </w:t>
      </w:r>
      <w:proofErr w:type="spellStart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Darmawan</w:t>
      </w:r>
      <w:proofErr w:type="spellEnd"/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 A., 2019. Effect of DER, ROA, ROE, EPS and MVA on stock prices in Sharia Indonesian stock index. </w:t>
      </w:r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Journal of Applied Accounting and Taxation</w:t>
      </w:r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 </w:t>
      </w:r>
      <w:r w:rsidRPr="000E233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4</w:t>
      </w:r>
      <w:r w:rsidRPr="000E2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(1), pp.15-22.</w:t>
      </w:r>
    </w:p>
    <w:p w:rsidR="00455876" w:rsidRPr="000E2335" w:rsidRDefault="00455876" w:rsidP="001D2EE8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</w:p>
    <w:sectPr w:rsidR="00455876" w:rsidRPr="000E2335" w:rsidSect="008E5D99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01D32" w:rsidRDefault="00601D32" w:rsidP="00763CFB">
      <w:pPr>
        <w:spacing w:after="0" w:line="240" w:lineRule="auto"/>
      </w:pPr>
      <w:r>
        <w:separator/>
      </w:r>
    </w:p>
  </w:endnote>
  <w:endnote w:type="continuationSeparator" w:id="0">
    <w:p w:rsidR="00601D32" w:rsidRDefault="00601D32" w:rsidP="00763C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65518F" w:rsidRDefault="0065518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65518F" w:rsidRDefault="0065518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65518F" w:rsidRDefault="006551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01D32" w:rsidRDefault="00601D32" w:rsidP="00763CFB">
      <w:pPr>
        <w:spacing w:after="0" w:line="240" w:lineRule="auto"/>
      </w:pPr>
      <w:r>
        <w:separator/>
      </w:r>
    </w:p>
  </w:footnote>
  <w:footnote w:type="continuationSeparator" w:id="0">
    <w:p w:rsidR="00601D32" w:rsidRDefault="00601D32" w:rsidP="00763C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65518F" w:rsidRDefault="0065518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763CFB" w:rsidRPr="00763CFB" w:rsidRDefault="00763CFB">
    <w:pPr>
      <w:pStyle w:val="Header"/>
      <w:jc w:val="right"/>
      <w:rPr>
        <w:rFonts w:ascii="Times New Roman" w:hAnsi="Times New Roman" w:cs="Times New Roman"/>
        <w:sz w:val="24"/>
        <w:szCs w:val="24"/>
      </w:rPr>
    </w:pPr>
    <w:r w:rsidRPr="00763CFB">
      <w:rPr>
        <w:rFonts w:ascii="Times New Roman" w:hAnsi="Times New Roman" w:cs="Times New Roman"/>
        <w:sz w:val="24"/>
        <w:szCs w:val="24"/>
      </w:rPr>
      <w:t xml:space="preserve">Accounting Questions </w:t>
    </w:r>
    <w:sdt>
      <w:sdtPr>
        <w:rPr>
          <w:rFonts w:ascii="Times New Roman" w:hAnsi="Times New Roman" w:cs="Times New Roman"/>
          <w:sz w:val="24"/>
          <w:szCs w:val="24"/>
        </w:rPr>
        <w:id w:val="28670192"/>
        <w:docPartObj>
          <w:docPartGallery w:val="Page Numbers (Top of Page)"/>
          <w:docPartUnique/>
        </w:docPartObj>
      </w:sdtPr>
      <w:sdtEndPr/>
      <w:sdtContent>
        <w:r w:rsidRPr="00763CFB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763CFB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763CFB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00620B">
          <w:rPr>
            <w:rFonts w:ascii="Times New Roman" w:hAnsi="Times New Roman" w:cs="Times New Roman"/>
            <w:noProof/>
            <w:sz w:val="24"/>
            <w:szCs w:val="24"/>
          </w:rPr>
          <w:t>1</w:t>
        </w:r>
        <w:r w:rsidRPr="00763CFB">
          <w:rPr>
            <w:rFonts w:ascii="Times New Roman" w:hAnsi="Times New Roman" w:cs="Times New Roman"/>
            <w:sz w:val="24"/>
            <w:szCs w:val="24"/>
          </w:rPr>
          <w:fldChar w:fldCharType="end"/>
        </w:r>
      </w:sdtContent>
    </w:sdt>
  </w:p>
  <w:p w:rsidR="00763CFB" w:rsidRPr="00763CFB" w:rsidRDefault="00763CFB">
    <w:pPr>
      <w:pStyle w:val="Header"/>
      <w:rPr>
        <w:rFonts w:ascii="Times New Roman" w:hAnsi="Times New Roman" w:cs="Times New Roman"/>
        <w:sz w:val="24"/>
        <w:szCs w:val="24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65518F" w:rsidRDefault="0065518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77E165B"/>
    <w:multiLevelType w:val="hybridMultilevel"/>
    <w:tmpl w:val="B330D6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9035B"/>
    <w:rsid w:val="0000620B"/>
    <w:rsid w:val="00053412"/>
    <w:rsid w:val="00066059"/>
    <w:rsid w:val="00067112"/>
    <w:rsid w:val="000E2335"/>
    <w:rsid w:val="00193B5C"/>
    <w:rsid w:val="00195C46"/>
    <w:rsid w:val="001A55A1"/>
    <w:rsid w:val="001D2EE8"/>
    <w:rsid w:val="00242BF2"/>
    <w:rsid w:val="00245249"/>
    <w:rsid w:val="002756BB"/>
    <w:rsid w:val="00356EF9"/>
    <w:rsid w:val="00363563"/>
    <w:rsid w:val="00382DFC"/>
    <w:rsid w:val="00455876"/>
    <w:rsid w:val="0048255D"/>
    <w:rsid w:val="00492D12"/>
    <w:rsid w:val="004A476D"/>
    <w:rsid w:val="004B52DA"/>
    <w:rsid w:val="005368BE"/>
    <w:rsid w:val="00601D32"/>
    <w:rsid w:val="0065518F"/>
    <w:rsid w:val="006560FD"/>
    <w:rsid w:val="0069017F"/>
    <w:rsid w:val="006E6DC8"/>
    <w:rsid w:val="00763CFB"/>
    <w:rsid w:val="00864FA4"/>
    <w:rsid w:val="008867A4"/>
    <w:rsid w:val="008B00C8"/>
    <w:rsid w:val="008E5D99"/>
    <w:rsid w:val="00986884"/>
    <w:rsid w:val="00A426BA"/>
    <w:rsid w:val="00A479EA"/>
    <w:rsid w:val="00A95F12"/>
    <w:rsid w:val="00AC7253"/>
    <w:rsid w:val="00AE236B"/>
    <w:rsid w:val="00BD7A0B"/>
    <w:rsid w:val="00C72677"/>
    <w:rsid w:val="00D21F29"/>
    <w:rsid w:val="00E26DF4"/>
    <w:rsid w:val="00E939E6"/>
    <w:rsid w:val="00EE0840"/>
    <w:rsid w:val="00F703C5"/>
    <w:rsid w:val="00F9035B"/>
    <w:rsid w:val="00FC7E47"/>
    <w:rsid w:val="00FD66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5C06E2"/>
  <w15:docId w15:val="{CB39E6E5-AD70-3349-8E3E-884B513A9B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8255D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763C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3CFB"/>
  </w:style>
  <w:style w:type="paragraph" w:styleId="Footer">
    <w:name w:val="footer"/>
    <w:basedOn w:val="Normal"/>
    <w:link w:val="FooterChar"/>
    <w:uiPriority w:val="99"/>
    <w:semiHidden/>
    <w:unhideWhenUsed/>
    <w:rsid w:val="00763C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63CFB"/>
  </w:style>
  <w:style w:type="paragraph" w:styleId="ListParagraph">
    <w:name w:val="List Paragraph"/>
    <w:basedOn w:val="Normal"/>
    <w:uiPriority w:val="34"/>
    <w:qFormat/>
    <w:rsid w:val="0006605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846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449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62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09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85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56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43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48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61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2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4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23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86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06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9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2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69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13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36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04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13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18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20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7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06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070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08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16</Pages>
  <Words>2027</Words>
  <Characters>11560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Writer</dc:creator>
  <cp:lastModifiedBy>Veselina Dimitrova Uchkunova (2028272)</cp:lastModifiedBy>
  <cp:revision>18</cp:revision>
  <dcterms:created xsi:type="dcterms:W3CDTF">2022-01-10T15:39:00Z</dcterms:created>
  <dcterms:modified xsi:type="dcterms:W3CDTF">2022-01-11T16:04:00Z</dcterms:modified>
</cp:coreProperties>
</file>