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1BC97C" w14:textId="77777777" w:rsidR="00EA293E" w:rsidRDefault="00EA293E"/>
    <w:p w14:paraId="240D9D2C" w14:textId="77777777" w:rsidR="00EA293E" w:rsidRDefault="00000000">
      <w:pPr>
        <w:keepNext/>
        <w:keepLines/>
        <w:shd w:val="clear" w:color="auto" w:fill="FFFFFF"/>
        <w:spacing w:after="0"/>
        <w:jc w:val="center"/>
        <w:rPr>
          <w:rFonts w:ascii="Play" w:eastAsia="Play" w:hAnsi="Play" w:cs="Play"/>
          <w:b/>
          <w:sz w:val="40"/>
          <w:szCs w:val="40"/>
        </w:rPr>
      </w:pPr>
      <w:r>
        <w:rPr>
          <w:rFonts w:ascii="Play" w:eastAsia="Play" w:hAnsi="Play" w:cs="Play"/>
          <w:b/>
          <w:sz w:val="40"/>
          <w:szCs w:val="40"/>
        </w:rPr>
        <w:t>Subject: Independent Project</w:t>
      </w:r>
    </w:p>
    <w:p w14:paraId="39537607" w14:textId="77777777" w:rsidR="00EA293E" w:rsidRDefault="00EA293E">
      <w:pPr>
        <w:shd w:val="clear" w:color="auto" w:fill="FFFFFF"/>
        <w:spacing w:after="0"/>
        <w:jc w:val="center"/>
        <w:rPr>
          <w:rFonts w:ascii="Play" w:eastAsia="Play" w:hAnsi="Play" w:cs="Play"/>
          <w:sz w:val="32"/>
          <w:szCs w:val="32"/>
        </w:rPr>
      </w:pPr>
    </w:p>
    <w:p w14:paraId="51E3CA9A" w14:textId="77777777" w:rsidR="00EA293E" w:rsidRDefault="00000000">
      <w:pPr>
        <w:keepNext/>
        <w:keepLines/>
        <w:spacing w:after="0"/>
        <w:jc w:val="center"/>
        <w:rPr>
          <w:rFonts w:ascii="Play" w:eastAsia="Play" w:hAnsi="Play" w:cs="Play"/>
          <w:b/>
          <w:sz w:val="28"/>
          <w:szCs w:val="28"/>
        </w:rPr>
      </w:pPr>
      <w:bookmarkStart w:id="0" w:name="_gjdgxs" w:colFirst="0" w:colLast="0"/>
      <w:bookmarkEnd w:id="0"/>
      <w:r>
        <w:rPr>
          <w:rFonts w:ascii="Play" w:eastAsia="Play" w:hAnsi="Play" w:cs="Play"/>
          <w:b/>
          <w:sz w:val="28"/>
          <w:szCs w:val="28"/>
        </w:rPr>
        <w:t>MODULE CODE:</w:t>
      </w:r>
      <w:r>
        <w:rPr>
          <w:rFonts w:ascii="Play" w:eastAsia="Play" w:hAnsi="Play" w:cs="Play"/>
          <w:sz w:val="28"/>
          <w:szCs w:val="28"/>
        </w:rPr>
        <w:t xml:space="preserve"> </w:t>
      </w:r>
      <w:r>
        <w:rPr>
          <w:rFonts w:ascii="Play" w:eastAsia="Play" w:hAnsi="Play" w:cs="Play"/>
          <w:b/>
          <w:sz w:val="28"/>
          <w:szCs w:val="28"/>
        </w:rPr>
        <w:t>BMHP6020</w:t>
      </w:r>
    </w:p>
    <w:p w14:paraId="2AE04A8A" w14:textId="77777777" w:rsidR="00EA293E" w:rsidRDefault="00EA293E">
      <w:pPr>
        <w:spacing w:after="200" w:line="360" w:lineRule="auto"/>
        <w:jc w:val="center"/>
        <w:rPr>
          <w:rFonts w:ascii="Play" w:eastAsia="Play" w:hAnsi="Play" w:cs="Play"/>
          <w:b/>
          <w:sz w:val="40"/>
          <w:szCs w:val="40"/>
        </w:rPr>
      </w:pPr>
    </w:p>
    <w:p w14:paraId="79986CBE" w14:textId="77777777" w:rsidR="00EA293E" w:rsidRDefault="00000000">
      <w:pPr>
        <w:spacing w:before="240" w:after="240" w:line="360" w:lineRule="auto"/>
        <w:jc w:val="center"/>
        <w:rPr>
          <w:rFonts w:ascii="Play" w:eastAsia="Play" w:hAnsi="Play" w:cs="Play"/>
          <w:b/>
          <w:sz w:val="36"/>
          <w:szCs w:val="36"/>
        </w:rPr>
      </w:pPr>
      <w:r>
        <w:rPr>
          <w:rFonts w:ascii="Play" w:eastAsia="Play" w:hAnsi="Play" w:cs="Play"/>
          <w:b/>
          <w:sz w:val="36"/>
          <w:szCs w:val="36"/>
        </w:rPr>
        <w:t>Programme: BSc (Hons) in Health and Social Care</w:t>
      </w:r>
    </w:p>
    <w:p w14:paraId="6790A257" w14:textId="77777777" w:rsidR="00EA293E" w:rsidRDefault="00EA293E">
      <w:pPr>
        <w:spacing w:after="200" w:line="360" w:lineRule="auto"/>
        <w:jc w:val="both"/>
        <w:rPr>
          <w:rFonts w:ascii="Arial" w:eastAsia="Arial" w:hAnsi="Arial" w:cs="Arial"/>
          <w:b/>
          <w:sz w:val="40"/>
          <w:szCs w:val="40"/>
        </w:rPr>
      </w:pPr>
    </w:p>
    <w:p w14:paraId="32B0E469" w14:textId="77777777" w:rsidR="00EA293E" w:rsidRDefault="00EA293E">
      <w:pPr>
        <w:spacing w:after="200" w:line="360" w:lineRule="auto"/>
        <w:jc w:val="both"/>
        <w:rPr>
          <w:rFonts w:ascii="Arial" w:eastAsia="Arial" w:hAnsi="Arial" w:cs="Arial"/>
          <w:b/>
          <w:sz w:val="32"/>
          <w:szCs w:val="32"/>
        </w:rPr>
      </w:pPr>
    </w:p>
    <w:p w14:paraId="47374CD6" w14:textId="77777777" w:rsidR="00EA293E" w:rsidRDefault="00000000">
      <w:pPr>
        <w:spacing w:after="200" w:line="360" w:lineRule="auto"/>
        <w:jc w:val="both"/>
        <w:rPr>
          <w:rFonts w:ascii="Play" w:eastAsia="Play" w:hAnsi="Play" w:cs="Play"/>
          <w:b/>
          <w:sz w:val="36"/>
          <w:szCs w:val="36"/>
        </w:rPr>
      </w:pPr>
      <w:r>
        <w:rPr>
          <w:rFonts w:ascii="Play" w:eastAsia="Play" w:hAnsi="Play" w:cs="Play"/>
          <w:b/>
          <w:sz w:val="36"/>
          <w:szCs w:val="36"/>
        </w:rPr>
        <w:t>Title: The impact of the COVID-19 pandemic on Mental Health coping strategies among Healthcare Workers.</w:t>
      </w:r>
    </w:p>
    <w:p w14:paraId="2F8B8C87" w14:textId="77777777" w:rsidR="00EA293E" w:rsidRDefault="00EA293E"/>
    <w:p w14:paraId="179AE845" w14:textId="77777777" w:rsidR="00EA293E" w:rsidRDefault="00EA293E">
      <w:pPr>
        <w:rPr>
          <w:b/>
          <w:sz w:val="32"/>
          <w:szCs w:val="32"/>
        </w:rPr>
      </w:pPr>
    </w:p>
    <w:p w14:paraId="2CCD4EA6" w14:textId="77777777" w:rsidR="00EA293E" w:rsidRDefault="00EA293E">
      <w:pPr>
        <w:rPr>
          <w:b/>
          <w:sz w:val="32"/>
          <w:szCs w:val="32"/>
        </w:rPr>
      </w:pPr>
    </w:p>
    <w:p w14:paraId="5B4EF6E4" w14:textId="77777777" w:rsidR="00EA293E" w:rsidRDefault="00EA293E">
      <w:pPr>
        <w:rPr>
          <w:b/>
          <w:sz w:val="32"/>
          <w:szCs w:val="32"/>
        </w:rPr>
      </w:pPr>
    </w:p>
    <w:p w14:paraId="7F6278B1" w14:textId="77777777" w:rsidR="00EA293E" w:rsidRDefault="00EA293E">
      <w:pPr>
        <w:rPr>
          <w:b/>
          <w:sz w:val="32"/>
          <w:szCs w:val="32"/>
        </w:rPr>
      </w:pPr>
    </w:p>
    <w:p w14:paraId="7FBD25C4" w14:textId="17B7251C" w:rsidR="00EA293E" w:rsidRDefault="00000000">
      <w:pPr>
        <w:rPr>
          <w:rFonts w:ascii="Play" w:eastAsia="Play" w:hAnsi="Play" w:cs="Play"/>
          <w:b/>
          <w:sz w:val="36"/>
          <w:szCs w:val="36"/>
        </w:rPr>
      </w:pPr>
      <w:r>
        <w:rPr>
          <w:rFonts w:ascii="Play" w:eastAsia="Play" w:hAnsi="Play" w:cs="Play"/>
          <w:b/>
          <w:sz w:val="36"/>
          <w:szCs w:val="36"/>
        </w:rPr>
        <w:t xml:space="preserve">Name: Saira Arif </w:t>
      </w:r>
    </w:p>
    <w:p w14:paraId="165EDFFE" w14:textId="3E728AB8" w:rsidR="00EA293E" w:rsidRDefault="00000000">
      <w:pPr>
        <w:rPr>
          <w:rFonts w:ascii="Play" w:eastAsia="Play" w:hAnsi="Play" w:cs="Play"/>
          <w:b/>
          <w:sz w:val="36"/>
          <w:szCs w:val="36"/>
        </w:rPr>
      </w:pPr>
      <w:r>
        <w:rPr>
          <w:rFonts w:ascii="Play" w:eastAsia="Play" w:hAnsi="Play" w:cs="Play"/>
          <w:b/>
          <w:sz w:val="36"/>
          <w:szCs w:val="36"/>
        </w:rPr>
        <w:t xml:space="preserve">Student ID: </w:t>
      </w:r>
      <w:r w:rsidR="006D795C">
        <w:rPr>
          <w:rFonts w:ascii="Play" w:eastAsia="Play" w:hAnsi="Play" w:cs="Play"/>
          <w:b/>
          <w:sz w:val="36"/>
          <w:szCs w:val="36"/>
        </w:rPr>
        <w:t xml:space="preserve">2220569     </w:t>
      </w:r>
      <w:r>
        <w:rPr>
          <w:rFonts w:ascii="Play" w:eastAsia="Play" w:hAnsi="Play" w:cs="Play"/>
          <w:b/>
          <w:sz w:val="36"/>
          <w:szCs w:val="36"/>
        </w:rPr>
        <w:t xml:space="preserve">                                                           </w:t>
      </w:r>
      <w:proofErr w:type="gramStart"/>
      <w:r w:rsidR="006D795C">
        <w:rPr>
          <w:rFonts w:ascii="Play" w:eastAsia="Play" w:hAnsi="Play" w:cs="Play"/>
          <w:b/>
          <w:sz w:val="36"/>
          <w:szCs w:val="36"/>
        </w:rPr>
        <w:t>Tutor :</w:t>
      </w:r>
      <w:proofErr w:type="gramEnd"/>
      <w:r w:rsidR="006D795C">
        <w:rPr>
          <w:rFonts w:ascii="Play" w:eastAsia="Play" w:hAnsi="Play" w:cs="Play"/>
          <w:b/>
          <w:sz w:val="36"/>
          <w:szCs w:val="36"/>
        </w:rPr>
        <w:t xml:space="preserve">  </w:t>
      </w:r>
      <w:r>
        <w:rPr>
          <w:rFonts w:ascii="Play" w:eastAsia="Play" w:hAnsi="Play" w:cs="Play"/>
          <w:b/>
          <w:sz w:val="36"/>
          <w:szCs w:val="36"/>
        </w:rPr>
        <w:t>Chloe Har</w:t>
      </w:r>
      <w:r w:rsidR="006D795C">
        <w:rPr>
          <w:rFonts w:ascii="Play" w:eastAsia="Play" w:hAnsi="Play" w:cs="Play"/>
          <w:b/>
          <w:sz w:val="36"/>
          <w:szCs w:val="36"/>
        </w:rPr>
        <w:t>ris</w:t>
      </w:r>
    </w:p>
    <w:p w14:paraId="0A5C3EF8" w14:textId="77777777" w:rsidR="006D795C" w:rsidRDefault="006D795C">
      <w:pPr>
        <w:rPr>
          <w:rFonts w:ascii="Play" w:eastAsia="Play" w:hAnsi="Play" w:cs="Play"/>
          <w:b/>
          <w:sz w:val="36"/>
          <w:szCs w:val="36"/>
        </w:rPr>
      </w:pPr>
    </w:p>
    <w:p w14:paraId="50C3DCA1" w14:textId="77777777" w:rsidR="00EA293E" w:rsidRDefault="00EA293E"/>
    <w:p w14:paraId="04F3DFAA" w14:textId="77777777" w:rsidR="00EA293E" w:rsidRDefault="00EA293E"/>
    <w:p w14:paraId="1AD821B3" w14:textId="77777777" w:rsidR="00EA293E" w:rsidRDefault="00EA293E"/>
    <w:p w14:paraId="7091988E" w14:textId="77777777" w:rsidR="00EA293E" w:rsidRDefault="00EA293E"/>
    <w:p w14:paraId="1C967932" w14:textId="77777777" w:rsidR="00EA293E" w:rsidRDefault="00EA293E"/>
    <w:p w14:paraId="53B44582" w14:textId="77777777" w:rsidR="00EA293E" w:rsidRDefault="00EA293E">
      <w:pPr>
        <w:spacing w:before="280" w:after="280" w:line="360" w:lineRule="auto"/>
        <w:jc w:val="both"/>
      </w:pPr>
      <w:bookmarkStart w:id="1" w:name="_30j0zll" w:colFirst="0" w:colLast="0"/>
      <w:bookmarkEnd w:id="1"/>
    </w:p>
    <w:p w14:paraId="45DB7DF8" w14:textId="77777777" w:rsidR="00EA293E" w:rsidRDefault="00000000">
      <w:pPr>
        <w:spacing w:line="276" w:lineRule="auto"/>
        <w:jc w:val="both"/>
        <w:rPr>
          <w:b/>
        </w:rPr>
      </w:pPr>
      <w:r>
        <w:rPr>
          <w:b/>
        </w:rPr>
        <w:t>Disclaimer</w:t>
      </w:r>
    </w:p>
    <w:p w14:paraId="107C6299" w14:textId="77777777" w:rsidR="00EA293E" w:rsidRDefault="00000000">
      <w:pPr>
        <w:spacing w:before="62" w:line="276" w:lineRule="auto"/>
        <w:ind w:right="96"/>
        <w:jc w:val="both"/>
      </w:pPr>
      <w: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0EDF3059" w14:textId="77777777" w:rsidR="00EA293E" w:rsidRDefault="00000000">
      <w:pPr>
        <w:spacing w:line="276" w:lineRule="auto"/>
        <w:jc w:val="both"/>
        <w:rPr>
          <w:b/>
        </w:rPr>
      </w:pPr>
      <w:r>
        <w:rPr>
          <w:b/>
        </w:rPr>
        <w:t>DECLARATION</w:t>
      </w:r>
    </w:p>
    <w:p w14:paraId="234E729E" w14:textId="77777777" w:rsidR="00EA293E" w:rsidRDefault="00000000">
      <w:pPr>
        <w:spacing w:line="276" w:lineRule="auto"/>
        <w:jc w:val="both"/>
      </w:pPr>
      <w:r>
        <w:t>This work has not previously been accepted in substance for any degree and is not being concurrently submitted in candidature for any degree</w:t>
      </w:r>
    </w:p>
    <w:p w14:paraId="138FD84A" w14:textId="77777777" w:rsidR="00EA293E" w:rsidRDefault="00000000">
      <w:pPr>
        <w:spacing w:line="276" w:lineRule="auto"/>
        <w:jc w:val="both"/>
        <w:rPr>
          <w:b/>
        </w:rPr>
      </w:pPr>
      <w:r>
        <w:rPr>
          <w:b/>
        </w:rPr>
        <w:t>Signed… S. Arif</w:t>
      </w:r>
    </w:p>
    <w:p w14:paraId="10694DE7" w14:textId="3C346EE6" w:rsidR="00EA293E" w:rsidRDefault="00000000">
      <w:pPr>
        <w:spacing w:line="276" w:lineRule="auto"/>
        <w:jc w:val="both"/>
        <w:rPr>
          <w:b/>
        </w:rPr>
      </w:pPr>
      <w:r>
        <w:rPr>
          <w:b/>
        </w:rPr>
        <w:t>Date…</w:t>
      </w:r>
      <w:r w:rsidR="006D795C">
        <w:rPr>
          <w:b/>
        </w:rPr>
        <w:t>07</w:t>
      </w:r>
      <w:r>
        <w:rPr>
          <w:b/>
        </w:rPr>
        <w:t>/0</w:t>
      </w:r>
      <w:r w:rsidR="006D795C">
        <w:rPr>
          <w:b/>
        </w:rPr>
        <w:t>4</w:t>
      </w:r>
      <w:r>
        <w:rPr>
          <w:b/>
        </w:rPr>
        <w:t>/2026</w:t>
      </w:r>
    </w:p>
    <w:p w14:paraId="32DE412E" w14:textId="77777777" w:rsidR="00EA293E" w:rsidRDefault="00000000">
      <w:pPr>
        <w:spacing w:line="276" w:lineRule="auto"/>
        <w:jc w:val="both"/>
        <w:rPr>
          <w:b/>
        </w:rPr>
      </w:pPr>
      <w:r>
        <w:rPr>
          <w:b/>
        </w:rPr>
        <w:t xml:space="preserve">STATEMENT 1 </w:t>
      </w:r>
    </w:p>
    <w:p w14:paraId="13774646" w14:textId="77777777" w:rsidR="00EA293E" w:rsidRDefault="00000000">
      <w:pPr>
        <w:spacing w:line="276" w:lineRule="auto"/>
        <w:jc w:val="both"/>
      </w:pPr>
      <w:r>
        <w:t>This dissertation is being submitted in partial fulfilment of the requirements for the degree of BSc.</w:t>
      </w:r>
    </w:p>
    <w:p w14:paraId="61CFA69F" w14:textId="77777777" w:rsidR="00EA293E" w:rsidRDefault="00000000">
      <w:pPr>
        <w:spacing w:line="276" w:lineRule="auto"/>
        <w:jc w:val="both"/>
        <w:rPr>
          <w:b/>
        </w:rPr>
      </w:pPr>
      <w:r>
        <w:rPr>
          <w:b/>
        </w:rPr>
        <w:t>Signed… S. Arif</w:t>
      </w:r>
    </w:p>
    <w:p w14:paraId="76380EA1" w14:textId="186AD931" w:rsidR="00EA293E" w:rsidRDefault="00000000">
      <w:pPr>
        <w:spacing w:line="276" w:lineRule="auto"/>
        <w:jc w:val="both"/>
        <w:rPr>
          <w:b/>
        </w:rPr>
      </w:pPr>
      <w:r>
        <w:rPr>
          <w:b/>
        </w:rPr>
        <w:t>Date…</w:t>
      </w:r>
      <w:r w:rsidR="006D795C">
        <w:rPr>
          <w:b/>
        </w:rPr>
        <w:t>07</w:t>
      </w:r>
      <w:r>
        <w:rPr>
          <w:b/>
        </w:rPr>
        <w:t>/0</w:t>
      </w:r>
      <w:r w:rsidR="006D795C">
        <w:rPr>
          <w:b/>
        </w:rPr>
        <w:t>4</w:t>
      </w:r>
      <w:r>
        <w:rPr>
          <w:b/>
        </w:rPr>
        <w:t>/2026</w:t>
      </w:r>
    </w:p>
    <w:p w14:paraId="5F9633C4" w14:textId="77777777" w:rsidR="00EA293E" w:rsidRDefault="00000000">
      <w:pPr>
        <w:spacing w:line="276" w:lineRule="auto"/>
        <w:jc w:val="both"/>
        <w:rPr>
          <w:b/>
        </w:rPr>
      </w:pPr>
      <w:r>
        <w:rPr>
          <w:b/>
        </w:rPr>
        <w:t>STATEMENT 2</w:t>
      </w:r>
    </w:p>
    <w:p w14:paraId="204CDB05" w14:textId="77777777" w:rsidR="00EA293E" w:rsidRDefault="00000000">
      <w:pPr>
        <w:spacing w:line="276" w:lineRule="auto"/>
        <w:jc w:val="both"/>
      </w:pPr>
      <w:r>
        <w:t>This dissertation is the result of my own independent work/investigation, except where otherwise stated. Other sources are acknowledged by footnotes giving explicit references.  A bibliography is appended.</w:t>
      </w:r>
    </w:p>
    <w:p w14:paraId="3F7B091C" w14:textId="77777777" w:rsidR="00EA293E" w:rsidRDefault="00000000">
      <w:pPr>
        <w:spacing w:line="276" w:lineRule="auto"/>
        <w:jc w:val="both"/>
        <w:rPr>
          <w:b/>
        </w:rPr>
      </w:pPr>
      <w:r>
        <w:rPr>
          <w:b/>
        </w:rPr>
        <w:t>Signed… S. Arif</w:t>
      </w:r>
    </w:p>
    <w:p w14:paraId="6E195D26" w14:textId="12FA0357" w:rsidR="00EA293E" w:rsidRDefault="00000000">
      <w:pPr>
        <w:spacing w:line="276" w:lineRule="auto"/>
        <w:jc w:val="both"/>
        <w:rPr>
          <w:b/>
        </w:rPr>
      </w:pPr>
      <w:r>
        <w:rPr>
          <w:b/>
        </w:rPr>
        <w:t>Date…</w:t>
      </w:r>
      <w:r w:rsidR="006D795C">
        <w:rPr>
          <w:b/>
        </w:rPr>
        <w:t>07</w:t>
      </w:r>
      <w:r>
        <w:rPr>
          <w:b/>
        </w:rPr>
        <w:t>/0</w:t>
      </w:r>
      <w:r w:rsidR="006D795C">
        <w:rPr>
          <w:b/>
        </w:rPr>
        <w:t>4</w:t>
      </w:r>
      <w:r>
        <w:rPr>
          <w:b/>
        </w:rPr>
        <w:t>/2026</w:t>
      </w:r>
    </w:p>
    <w:p w14:paraId="5E175CCF" w14:textId="77777777" w:rsidR="00EA293E" w:rsidRDefault="00000000">
      <w:pPr>
        <w:spacing w:line="276" w:lineRule="auto"/>
        <w:jc w:val="both"/>
        <w:rPr>
          <w:b/>
        </w:rPr>
      </w:pPr>
      <w:r>
        <w:rPr>
          <w:b/>
        </w:rPr>
        <w:t>STATEMENT 3</w:t>
      </w:r>
    </w:p>
    <w:p w14:paraId="41506184" w14:textId="77777777" w:rsidR="00EA293E" w:rsidRDefault="00000000">
      <w:pPr>
        <w:spacing w:line="276" w:lineRule="auto"/>
        <w:jc w:val="both"/>
      </w:pPr>
      <w:r>
        <w:t>I hereby give consent for my dissertation, if accepted, to be available for photocopying and for interlibrary loan, and for the title and summary to be made available to outside organisations.</w:t>
      </w:r>
    </w:p>
    <w:p w14:paraId="43B9E982" w14:textId="77777777" w:rsidR="00EA293E" w:rsidRDefault="00000000">
      <w:pPr>
        <w:spacing w:line="276" w:lineRule="auto"/>
        <w:jc w:val="both"/>
        <w:rPr>
          <w:b/>
        </w:rPr>
      </w:pPr>
      <w:r>
        <w:rPr>
          <w:b/>
        </w:rPr>
        <w:t>Signed… S. Arif</w:t>
      </w:r>
    </w:p>
    <w:p w14:paraId="4E3FF0EC" w14:textId="66969474" w:rsidR="00EA293E" w:rsidRDefault="00000000">
      <w:pPr>
        <w:spacing w:line="276" w:lineRule="auto"/>
        <w:jc w:val="both"/>
        <w:rPr>
          <w:b/>
        </w:rPr>
      </w:pPr>
      <w:r>
        <w:rPr>
          <w:b/>
        </w:rPr>
        <w:t>Date…</w:t>
      </w:r>
      <w:r w:rsidR="006D795C">
        <w:rPr>
          <w:b/>
        </w:rPr>
        <w:t>07</w:t>
      </w:r>
      <w:r>
        <w:rPr>
          <w:b/>
        </w:rPr>
        <w:t>/0</w:t>
      </w:r>
      <w:r w:rsidR="006D795C">
        <w:rPr>
          <w:b/>
        </w:rPr>
        <w:t>4</w:t>
      </w:r>
      <w:r>
        <w:rPr>
          <w:b/>
        </w:rPr>
        <w:t>/2026</w:t>
      </w:r>
    </w:p>
    <w:p w14:paraId="060A7FA1" w14:textId="77777777" w:rsidR="00EA293E" w:rsidRDefault="00000000">
      <w:pPr>
        <w:spacing w:line="276" w:lineRule="auto"/>
        <w:jc w:val="both"/>
        <w:rPr>
          <w:b/>
        </w:rPr>
      </w:pPr>
      <w:r>
        <w:rPr>
          <w:b/>
        </w:rPr>
        <w:t>STATEMENT 4</w:t>
      </w:r>
    </w:p>
    <w:p w14:paraId="5BCEFA8F" w14:textId="77777777" w:rsidR="00EA293E" w:rsidRDefault="00000000">
      <w:pPr>
        <w:spacing w:line="276" w:lineRule="auto"/>
        <w:jc w:val="both"/>
      </w:pPr>
      <w:r>
        <w:t>I hereby give consent for my dissertation, if accepted, to be available on the university’s IT system to those who have consent to use the system.</w:t>
      </w:r>
    </w:p>
    <w:p w14:paraId="2E6F2D32" w14:textId="77777777" w:rsidR="00EA293E" w:rsidRDefault="00000000">
      <w:pPr>
        <w:spacing w:line="276" w:lineRule="auto"/>
        <w:jc w:val="both"/>
        <w:rPr>
          <w:b/>
        </w:rPr>
      </w:pPr>
      <w:r>
        <w:rPr>
          <w:b/>
        </w:rPr>
        <w:lastRenderedPageBreak/>
        <w:t>Signed… S. Arif</w:t>
      </w:r>
    </w:p>
    <w:p w14:paraId="7A25AA8E" w14:textId="72DA11F9" w:rsidR="00EA293E" w:rsidRDefault="00000000">
      <w:pPr>
        <w:spacing w:line="276" w:lineRule="auto"/>
        <w:jc w:val="both"/>
        <w:rPr>
          <w:b/>
        </w:rPr>
      </w:pPr>
      <w:r>
        <w:rPr>
          <w:b/>
        </w:rPr>
        <w:t>Date…</w:t>
      </w:r>
      <w:r w:rsidR="006D795C">
        <w:rPr>
          <w:b/>
        </w:rPr>
        <w:t>07</w:t>
      </w:r>
      <w:r>
        <w:rPr>
          <w:b/>
        </w:rPr>
        <w:t>/0</w:t>
      </w:r>
      <w:r w:rsidR="006D795C">
        <w:rPr>
          <w:b/>
        </w:rPr>
        <w:t>4</w:t>
      </w:r>
      <w:r>
        <w:rPr>
          <w:b/>
        </w:rPr>
        <w:t>/2026</w:t>
      </w:r>
    </w:p>
    <w:p w14:paraId="120D1029" w14:textId="77777777" w:rsidR="00EA293E" w:rsidRDefault="00EA293E">
      <w:pPr>
        <w:pBdr>
          <w:top w:val="nil"/>
          <w:left w:val="nil"/>
          <w:bottom w:val="nil"/>
          <w:right w:val="nil"/>
          <w:between w:val="nil"/>
        </w:pBdr>
        <w:spacing w:before="280" w:after="280" w:line="360" w:lineRule="auto"/>
        <w:jc w:val="both"/>
        <w:rPr>
          <w:rFonts w:ascii="Arial" w:eastAsia="Arial" w:hAnsi="Arial" w:cs="Arial"/>
          <w:b/>
          <w:color w:val="000000"/>
          <w:sz w:val="32"/>
          <w:szCs w:val="32"/>
        </w:rPr>
      </w:pPr>
    </w:p>
    <w:p w14:paraId="1A31B111" w14:textId="77777777" w:rsidR="00EA293E" w:rsidRDefault="00EA293E">
      <w:pPr>
        <w:pBdr>
          <w:top w:val="nil"/>
          <w:left w:val="nil"/>
          <w:bottom w:val="nil"/>
          <w:right w:val="nil"/>
          <w:between w:val="nil"/>
        </w:pBdr>
        <w:spacing w:before="280" w:after="280" w:line="360" w:lineRule="auto"/>
        <w:jc w:val="both"/>
        <w:rPr>
          <w:rFonts w:ascii="Arial" w:eastAsia="Arial" w:hAnsi="Arial" w:cs="Arial"/>
          <w:b/>
          <w:color w:val="000000"/>
          <w:sz w:val="32"/>
          <w:szCs w:val="32"/>
        </w:rPr>
      </w:pPr>
    </w:p>
    <w:p w14:paraId="7F62872E"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sz w:val="32"/>
          <w:szCs w:val="32"/>
        </w:rPr>
      </w:pPr>
      <w:r>
        <w:rPr>
          <w:rFonts w:ascii="Arial" w:eastAsia="Arial" w:hAnsi="Arial" w:cs="Arial"/>
          <w:b/>
          <w:color w:val="000000"/>
          <w:sz w:val="32"/>
          <w:szCs w:val="32"/>
        </w:rPr>
        <w:t>Acknowledgement:</w:t>
      </w:r>
    </w:p>
    <w:p w14:paraId="01E8DDC9"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I would like to express my sincere gratitude to everyone who supported me throughout the completion of this dissertation.</w:t>
      </w:r>
    </w:p>
    <w:p w14:paraId="5D91150D" w14:textId="60B758C2"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First and foremost, I am deeply thankful to my </w:t>
      </w:r>
      <w:r w:rsidR="006D795C">
        <w:rPr>
          <w:rFonts w:ascii="Arial" w:eastAsia="Arial" w:hAnsi="Arial" w:cs="Arial"/>
          <w:color w:val="000000"/>
        </w:rPr>
        <w:t>Tutor</w:t>
      </w:r>
      <w:r>
        <w:rPr>
          <w:rFonts w:ascii="Arial" w:eastAsia="Arial" w:hAnsi="Arial" w:cs="Arial"/>
          <w:color w:val="000000"/>
        </w:rPr>
        <w:t xml:space="preserve">, </w:t>
      </w:r>
      <w:r>
        <w:rPr>
          <w:rFonts w:ascii="Arial" w:eastAsia="Arial" w:hAnsi="Arial" w:cs="Arial"/>
          <w:b/>
          <w:color w:val="000000"/>
        </w:rPr>
        <w:t>Chloe Harrise</w:t>
      </w:r>
      <w:r>
        <w:rPr>
          <w:rFonts w:ascii="Arial" w:eastAsia="Arial" w:hAnsi="Arial" w:cs="Arial"/>
          <w:color w:val="000000"/>
        </w:rPr>
        <w:t>, for her continuous guidance, encouragement, and patience during this academic journey. Her valuable advice, constructive feedback, and consistent support played a significant role in helping me complete this work. I truly appreciate the time, effort, and dedication she gave throughout the dissertation process.</w:t>
      </w:r>
    </w:p>
    <w:p w14:paraId="21E173EF"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I would also like to extend my heartfelt thanks to the university staff for their support and assistance throughout my studies. Their professionalism, dedication, and commitment to student learning have contributed greatly to my academic development. I am especially grateful for the positive learning environment, academic resources, and opportunities provided by the university, which have helped me grow both academically and personally.</w:t>
      </w:r>
    </w:p>
    <w:p w14:paraId="61296AFE"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In addition, I would like to acknowledge all lecturers and academic staff who shared their knowledge and helped me develop the understanding and skills needed to complete this dissertation successfully.</w:t>
      </w:r>
    </w:p>
    <w:p w14:paraId="0CFA83F1"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Finally, I am grateful for the encouragement and motivation I received throughout this journey. Completing this dissertation is an important achievement for me, and I sincerely appreciate everyone who contributed to making it possible.</w:t>
      </w:r>
    </w:p>
    <w:p w14:paraId="01A47D16" w14:textId="77777777" w:rsidR="00EA293E" w:rsidRDefault="00EA293E">
      <w:pPr>
        <w:pBdr>
          <w:top w:val="nil"/>
          <w:left w:val="nil"/>
          <w:bottom w:val="nil"/>
          <w:right w:val="nil"/>
          <w:between w:val="nil"/>
        </w:pBdr>
        <w:spacing w:before="280" w:after="280" w:line="360" w:lineRule="auto"/>
        <w:jc w:val="both"/>
        <w:rPr>
          <w:rFonts w:ascii="Arial" w:eastAsia="Arial" w:hAnsi="Arial" w:cs="Arial"/>
          <w:b/>
          <w:color w:val="000000"/>
          <w:sz w:val="32"/>
          <w:szCs w:val="32"/>
        </w:rPr>
      </w:pPr>
    </w:p>
    <w:p w14:paraId="1E5F61E0" w14:textId="77777777" w:rsidR="00EA293E" w:rsidRDefault="00EA293E">
      <w:pPr>
        <w:pBdr>
          <w:top w:val="nil"/>
          <w:left w:val="nil"/>
          <w:bottom w:val="nil"/>
          <w:right w:val="nil"/>
          <w:between w:val="nil"/>
        </w:pBdr>
        <w:spacing w:before="280" w:after="280" w:line="360" w:lineRule="auto"/>
        <w:jc w:val="both"/>
        <w:rPr>
          <w:rFonts w:ascii="Arial" w:eastAsia="Arial" w:hAnsi="Arial" w:cs="Arial"/>
          <w:b/>
          <w:color w:val="000000"/>
          <w:sz w:val="32"/>
          <w:szCs w:val="32"/>
        </w:rPr>
      </w:pPr>
    </w:p>
    <w:p w14:paraId="3230C65A" w14:textId="77777777" w:rsidR="00EA293E" w:rsidRDefault="00EA293E">
      <w:pPr>
        <w:pBdr>
          <w:top w:val="nil"/>
          <w:left w:val="nil"/>
          <w:bottom w:val="nil"/>
          <w:right w:val="nil"/>
          <w:between w:val="nil"/>
        </w:pBdr>
        <w:spacing w:before="280" w:after="280" w:line="360" w:lineRule="auto"/>
        <w:jc w:val="both"/>
        <w:rPr>
          <w:rFonts w:ascii="Arial" w:eastAsia="Arial" w:hAnsi="Arial" w:cs="Arial"/>
          <w:b/>
          <w:color w:val="000000"/>
          <w:sz w:val="32"/>
          <w:szCs w:val="32"/>
        </w:rPr>
      </w:pPr>
    </w:p>
    <w:p w14:paraId="143626C6"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sz w:val="32"/>
          <w:szCs w:val="32"/>
        </w:rPr>
      </w:pPr>
      <w:r>
        <w:rPr>
          <w:rFonts w:ascii="Arial" w:eastAsia="Arial" w:hAnsi="Arial" w:cs="Arial"/>
          <w:b/>
          <w:color w:val="000000"/>
          <w:sz w:val="32"/>
          <w:szCs w:val="32"/>
        </w:rPr>
        <w:lastRenderedPageBreak/>
        <w:t>Abstract:</w:t>
      </w:r>
    </w:p>
    <w:p w14:paraId="7C7A28D5"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The COVID-19 pandemic had a substantial and lasting impact on the mental health and well-being of healthcare workers (HCWs), who faced sustained exposure to high patient mortality, staff shortages, risk of infection, rapidly changing clinical protocols, and intense emotional labour. Evidence from the literature consistently shows elevated levels of anxiety, depression, insomnia, burnout, and moral distress among HCWs during the pandemic (Lai et al., 2020; Chew et al., 2020; </w:t>
      </w:r>
      <w:proofErr w:type="spellStart"/>
      <w:r>
        <w:rPr>
          <w:rFonts w:ascii="Arial" w:eastAsia="Arial" w:hAnsi="Arial" w:cs="Arial"/>
          <w:color w:val="000000"/>
        </w:rPr>
        <w:t>Vizheh</w:t>
      </w:r>
      <w:proofErr w:type="spellEnd"/>
      <w:r>
        <w:rPr>
          <w:rFonts w:ascii="Arial" w:eastAsia="Arial" w:hAnsi="Arial" w:cs="Arial"/>
          <w:color w:val="000000"/>
        </w:rPr>
        <w:t xml:space="preserve"> et al., 2020). Against this background, this dissertation aimed to investigate the psychological impact of COVID-19 on HCWs and critically examine the coping strategies used to manage stress, anxiety, and burnout across healthcare settings (Rossi et al., 2023).</w:t>
      </w:r>
    </w:p>
    <w:p w14:paraId="757D6857"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A structured secondary research design was adopted, drawing on peer-reviewed literature published between 2020 and 2025. Relevant studies were identified through PubMed, Google Scholar, and the UWTSD Library database. The review was guided by defined inclusion and exclusion criteria, quality appraisal using the CRAAP framework, and thematic analysis informed by Braun and Clarke’s analytical approach. This enabled the systematic identification of recurring patterns relating to psychological distress, coping responses, and organisational influences on staff well-being (De Kock et al., 2021; </w:t>
      </w:r>
      <w:proofErr w:type="spellStart"/>
      <w:r>
        <w:rPr>
          <w:rFonts w:ascii="Arial" w:eastAsia="Arial" w:hAnsi="Arial" w:cs="Arial"/>
          <w:color w:val="000000"/>
        </w:rPr>
        <w:t>Labrague</w:t>
      </w:r>
      <w:proofErr w:type="spellEnd"/>
      <w:r>
        <w:rPr>
          <w:rFonts w:ascii="Arial" w:eastAsia="Arial" w:hAnsi="Arial" w:cs="Arial"/>
          <w:color w:val="000000"/>
        </w:rPr>
        <w:t>, 2021).</w:t>
      </w:r>
    </w:p>
    <w:p w14:paraId="6718C046"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Three interrelated themes emerged from the analysis: burnout and emotional exhaustion; coping strategies and individual resilience; and organisational and systemic influences on well-being. The findings indicate that burnout and emotional exhaustion were widespread and frequently persisted beyond the acute stages of the pandemic (Duarte et al., 2020; Galanis et al., 2021; Maunder et al., 2024). Although adaptive coping strategies such as peer support, resilience-building, and problem-focused coping offered some protective benefit, their effectiveness was limited where organisational stressors remained unresolved (</w:t>
      </w:r>
      <w:proofErr w:type="spellStart"/>
      <w:r>
        <w:rPr>
          <w:rFonts w:ascii="Arial" w:eastAsia="Arial" w:hAnsi="Arial" w:cs="Arial"/>
          <w:color w:val="000000"/>
        </w:rPr>
        <w:t>Labrague</w:t>
      </w:r>
      <w:proofErr w:type="spellEnd"/>
      <w:r>
        <w:rPr>
          <w:rFonts w:ascii="Arial" w:eastAsia="Arial" w:hAnsi="Arial" w:cs="Arial"/>
          <w:color w:val="000000"/>
        </w:rPr>
        <w:t>, 2021; Frias et al., 2025). Overall, the study concludes that safeguarding HCW mental health requires not only individual coping resources but also sustained organisational support, compassionate leadership, and stronger policy preparedness for future public health crises (Greenberg et al., 2021; Anger et al., 2024).</w:t>
      </w:r>
    </w:p>
    <w:p w14:paraId="3B952235" w14:textId="77777777" w:rsidR="00EA293E" w:rsidRDefault="00EA293E">
      <w:pPr>
        <w:spacing w:before="280" w:after="280" w:line="360" w:lineRule="auto"/>
        <w:jc w:val="both"/>
        <w:rPr>
          <w:rFonts w:ascii="Arial" w:eastAsia="Arial" w:hAnsi="Arial" w:cs="Arial"/>
          <w:b/>
          <w:sz w:val="32"/>
          <w:szCs w:val="32"/>
        </w:rPr>
      </w:pPr>
    </w:p>
    <w:p w14:paraId="634E30DB" w14:textId="77777777" w:rsidR="00EA293E" w:rsidRDefault="00EA293E">
      <w:pPr>
        <w:spacing w:before="280" w:after="280" w:line="360" w:lineRule="auto"/>
        <w:jc w:val="both"/>
        <w:rPr>
          <w:rFonts w:ascii="Arial" w:eastAsia="Arial" w:hAnsi="Arial" w:cs="Arial"/>
          <w:b/>
          <w:sz w:val="32"/>
          <w:szCs w:val="32"/>
        </w:rPr>
      </w:pPr>
    </w:p>
    <w:p w14:paraId="26CC0327" w14:textId="77777777" w:rsidR="006D795C" w:rsidRDefault="006D795C">
      <w:pPr>
        <w:jc w:val="center"/>
        <w:rPr>
          <w:rFonts w:ascii="Arial" w:eastAsia="Arial" w:hAnsi="Arial" w:cs="Arial"/>
          <w:b/>
          <w:sz w:val="32"/>
          <w:szCs w:val="32"/>
        </w:rPr>
      </w:pPr>
    </w:p>
    <w:p w14:paraId="49B52716" w14:textId="74D4E7C2" w:rsidR="00EA293E" w:rsidRDefault="00000000">
      <w:pPr>
        <w:jc w:val="center"/>
        <w:rPr>
          <w:rFonts w:ascii="Arial" w:eastAsia="Arial" w:hAnsi="Arial" w:cs="Arial"/>
        </w:rPr>
      </w:pPr>
      <w:r>
        <w:rPr>
          <w:rFonts w:ascii="Arial" w:eastAsia="Arial" w:hAnsi="Arial" w:cs="Arial"/>
          <w:b/>
          <w:sz w:val="32"/>
          <w:szCs w:val="32"/>
        </w:rPr>
        <w:lastRenderedPageBreak/>
        <w:t>Table of Contents</w:t>
      </w:r>
    </w:p>
    <w:p w14:paraId="45A9558D" w14:textId="77777777" w:rsidR="00EA293E" w:rsidRDefault="00EA293E">
      <w:pPr>
        <w:tabs>
          <w:tab w:val="right" w:pos="9504"/>
        </w:tabs>
        <w:spacing w:after="0" w:line="240" w:lineRule="auto"/>
        <w:rPr>
          <w:rFonts w:ascii="Arial" w:eastAsia="Arial" w:hAnsi="Arial" w:cs="Arial"/>
        </w:rPr>
      </w:pPr>
    </w:p>
    <w:p w14:paraId="0C43E4E8" w14:textId="77777777" w:rsidR="00EA293E" w:rsidRDefault="00000000">
      <w:pPr>
        <w:tabs>
          <w:tab w:val="right" w:pos="9504"/>
        </w:tabs>
        <w:spacing w:after="0" w:line="240" w:lineRule="auto"/>
        <w:rPr>
          <w:rFonts w:ascii="Arial" w:eastAsia="Arial" w:hAnsi="Arial" w:cs="Arial"/>
        </w:rPr>
      </w:pPr>
      <w:r>
        <w:rPr>
          <w:rFonts w:ascii="Arial" w:eastAsia="Arial" w:hAnsi="Arial" w:cs="Arial"/>
          <w:b/>
        </w:rPr>
        <w:t>CHAPTER 1: Introduction</w:t>
      </w:r>
      <w:r>
        <w:rPr>
          <w:rFonts w:ascii="Arial" w:eastAsia="Arial" w:hAnsi="Arial" w:cs="Arial"/>
        </w:rPr>
        <w:tab/>
        <w:t>7</w:t>
      </w:r>
    </w:p>
    <w:p w14:paraId="23B1543A"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1.1 Introduction</w:t>
      </w:r>
      <w:r>
        <w:rPr>
          <w:rFonts w:ascii="Arial" w:eastAsia="Arial" w:hAnsi="Arial" w:cs="Arial"/>
        </w:rPr>
        <w:tab/>
        <w:t>7</w:t>
      </w:r>
    </w:p>
    <w:p w14:paraId="64F8F488"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1.2 Definitions and Terminology</w:t>
      </w:r>
      <w:r>
        <w:rPr>
          <w:rFonts w:ascii="Arial" w:eastAsia="Arial" w:hAnsi="Arial" w:cs="Arial"/>
        </w:rPr>
        <w:tab/>
        <w:t>8</w:t>
      </w:r>
    </w:p>
    <w:p w14:paraId="3DC9FFD7"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1.3 Background and Current Context</w:t>
      </w:r>
      <w:r>
        <w:rPr>
          <w:rFonts w:ascii="Arial" w:eastAsia="Arial" w:hAnsi="Arial" w:cs="Arial"/>
        </w:rPr>
        <w:tab/>
        <w:t>8</w:t>
      </w:r>
    </w:p>
    <w:p w14:paraId="0968AD4E"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1.3.1 Background</w:t>
      </w:r>
      <w:r>
        <w:rPr>
          <w:rFonts w:ascii="Arial" w:eastAsia="Arial" w:hAnsi="Arial" w:cs="Arial"/>
        </w:rPr>
        <w:tab/>
        <w:t>9</w:t>
      </w:r>
    </w:p>
    <w:p w14:paraId="0FCD46C8"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1.3.2 Current Context</w:t>
      </w:r>
      <w:r>
        <w:rPr>
          <w:rFonts w:ascii="Arial" w:eastAsia="Arial" w:hAnsi="Arial" w:cs="Arial"/>
        </w:rPr>
        <w:tab/>
        <w:t>9</w:t>
      </w:r>
    </w:p>
    <w:p w14:paraId="51211809"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1.4 Rationale for Research</w:t>
      </w:r>
      <w:r>
        <w:rPr>
          <w:rFonts w:ascii="Arial" w:eastAsia="Arial" w:hAnsi="Arial" w:cs="Arial"/>
        </w:rPr>
        <w:tab/>
        <w:t>10</w:t>
      </w:r>
    </w:p>
    <w:p w14:paraId="7DA3DFA4"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1.5 Aim and Objectives</w:t>
      </w:r>
      <w:r>
        <w:rPr>
          <w:rFonts w:ascii="Arial" w:eastAsia="Arial" w:hAnsi="Arial" w:cs="Arial"/>
        </w:rPr>
        <w:tab/>
        <w:t>10</w:t>
      </w:r>
    </w:p>
    <w:p w14:paraId="12C796A2"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1.5.1 Research Aim</w:t>
      </w:r>
      <w:r>
        <w:rPr>
          <w:rFonts w:ascii="Arial" w:eastAsia="Arial" w:hAnsi="Arial" w:cs="Arial"/>
        </w:rPr>
        <w:tab/>
        <w:t>10</w:t>
      </w:r>
    </w:p>
    <w:p w14:paraId="0DEA88AA"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1.6 Conclusion</w:t>
      </w:r>
      <w:r>
        <w:rPr>
          <w:rFonts w:ascii="Arial" w:eastAsia="Arial" w:hAnsi="Arial" w:cs="Arial"/>
        </w:rPr>
        <w:tab/>
        <w:t>10</w:t>
      </w:r>
    </w:p>
    <w:p w14:paraId="7989A3FE" w14:textId="77777777" w:rsidR="00EA293E" w:rsidRDefault="00000000">
      <w:pPr>
        <w:tabs>
          <w:tab w:val="right" w:pos="9504"/>
        </w:tabs>
        <w:spacing w:after="0" w:line="240" w:lineRule="auto"/>
        <w:rPr>
          <w:rFonts w:ascii="Arial" w:eastAsia="Arial" w:hAnsi="Arial" w:cs="Arial"/>
        </w:rPr>
      </w:pPr>
      <w:r>
        <w:rPr>
          <w:rFonts w:ascii="Arial" w:eastAsia="Arial" w:hAnsi="Arial" w:cs="Arial"/>
          <w:b/>
        </w:rPr>
        <w:t>CHAPTER 2: Background</w:t>
      </w:r>
      <w:r>
        <w:rPr>
          <w:rFonts w:ascii="Arial" w:eastAsia="Arial" w:hAnsi="Arial" w:cs="Arial"/>
        </w:rPr>
        <w:tab/>
        <w:t>11</w:t>
      </w:r>
    </w:p>
    <w:p w14:paraId="306536FE"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2.1 Introduction</w:t>
      </w:r>
      <w:r>
        <w:rPr>
          <w:rFonts w:ascii="Arial" w:eastAsia="Arial" w:hAnsi="Arial" w:cs="Arial"/>
        </w:rPr>
        <w:tab/>
        <w:t>11</w:t>
      </w:r>
    </w:p>
    <w:p w14:paraId="35FB8185"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2.2 Historical Background</w:t>
      </w:r>
      <w:r>
        <w:rPr>
          <w:rFonts w:ascii="Arial" w:eastAsia="Arial" w:hAnsi="Arial" w:cs="Arial"/>
        </w:rPr>
        <w:tab/>
        <w:t>11</w:t>
      </w:r>
    </w:p>
    <w:p w14:paraId="0CA49D97"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2.3 Theoretical Background</w:t>
      </w:r>
      <w:r>
        <w:rPr>
          <w:rFonts w:ascii="Arial" w:eastAsia="Arial" w:hAnsi="Arial" w:cs="Arial"/>
        </w:rPr>
        <w:tab/>
        <w:t>12</w:t>
      </w:r>
    </w:p>
    <w:p w14:paraId="223E6E44"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2.3.1 Stress and Coping Theory</w:t>
      </w:r>
      <w:r>
        <w:rPr>
          <w:rFonts w:ascii="Arial" w:eastAsia="Arial" w:hAnsi="Arial" w:cs="Arial"/>
        </w:rPr>
        <w:tab/>
        <w:t>12</w:t>
      </w:r>
    </w:p>
    <w:p w14:paraId="5018FA53"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2.3.2 Job Demands–Resources (JD-R) Model</w:t>
      </w:r>
      <w:r>
        <w:rPr>
          <w:rFonts w:ascii="Arial" w:eastAsia="Arial" w:hAnsi="Arial" w:cs="Arial"/>
        </w:rPr>
        <w:tab/>
        <w:t>13</w:t>
      </w:r>
    </w:p>
    <w:p w14:paraId="694810E6"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2.3.3 Individual and Organisational Resilience Theory</w:t>
      </w:r>
      <w:r>
        <w:rPr>
          <w:rFonts w:ascii="Arial" w:eastAsia="Arial" w:hAnsi="Arial" w:cs="Arial"/>
        </w:rPr>
        <w:tab/>
        <w:t>13</w:t>
      </w:r>
    </w:p>
    <w:p w14:paraId="0CBD4417"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2.3.4 Critical Evaluation of Theories</w:t>
      </w:r>
      <w:r>
        <w:rPr>
          <w:rFonts w:ascii="Arial" w:eastAsia="Arial" w:hAnsi="Arial" w:cs="Arial"/>
        </w:rPr>
        <w:tab/>
        <w:t>13</w:t>
      </w:r>
    </w:p>
    <w:p w14:paraId="53E9D57C"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2.4 International Context</w:t>
      </w:r>
      <w:r>
        <w:rPr>
          <w:rFonts w:ascii="Arial" w:eastAsia="Arial" w:hAnsi="Arial" w:cs="Arial"/>
        </w:rPr>
        <w:tab/>
        <w:t>14</w:t>
      </w:r>
    </w:p>
    <w:p w14:paraId="4CAFD98D"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2.4.1 High-Income Countries</w:t>
      </w:r>
      <w:r>
        <w:rPr>
          <w:rFonts w:ascii="Arial" w:eastAsia="Arial" w:hAnsi="Arial" w:cs="Arial"/>
        </w:rPr>
        <w:tab/>
        <w:t>14</w:t>
      </w:r>
    </w:p>
    <w:p w14:paraId="1139D875"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2.4.2 Low- and Middle-Income Countries (LMICs)</w:t>
      </w:r>
      <w:r>
        <w:rPr>
          <w:rFonts w:ascii="Arial" w:eastAsia="Arial" w:hAnsi="Arial" w:cs="Arial"/>
        </w:rPr>
        <w:tab/>
        <w:t>14</w:t>
      </w:r>
    </w:p>
    <w:p w14:paraId="7331B8FF"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2.4.3 Global Institutional Responses</w:t>
      </w:r>
      <w:r>
        <w:rPr>
          <w:rFonts w:ascii="Arial" w:eastAsia="Arial" w:hAnsi="Arial" w:cs="Arial"/>
        </w:rPr>
        <w:tab/>
        <w:t>14</w:t>
      </w:r>
    </w:p>
    <w:p w14:paraId="55930D31"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2.5 National/Local UK Context</w:t>
      </w:r>
      <w:r>
        <w:rPr>
          <w:rFonts w:ascii="Arial" w:eastAsia="Arial" w:hAnsi="Arial" w:cs="Arial"/>
        </w:rPr>
        <w:tab/>
        <w:t>15</w:t>
      </w:r>
    </w:p>
    <w:p w14:paraId="056DE2B4"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2.5.1 Impact on UK HCWs</w:t>
      </w:r>
      <w:r>
        <w:rPr>
          <w:rFonts w:ascii="Arial" w:eastAsia="Arial" w:hAnsi="Arial" w:cs="Arial"/>
        </w:rPr>
        <w:tab/>
        <w:t>15</w:t>
      </w:r>
    </w:p>
    <w:p w14:paraId="639EB4F5"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2.5.2 Organisational Determinants of Coping and Well-Being</w:t>
      </w:r>
      <w:r>
        <w:rPr>
          <w:rFonts w:ascii="Arial" w:eastAsia="Arial" w:hAnsi="Arial" w:cs="Arial"/>
        </w:rPr>
        <w:tab/>
        <w:t>15</w:t>
      </w:r>
    </w:p>
    <w:p w14:paraId="5A91033A"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2.5.3 Policy Responses</w:t>
      </w:r>
      <w:r>
        <w:rPr>
          <w:rFonts w:ascii="Arial" w:eastAsia="Arial" w:hAnsi="Arial" w:cs="Arial"/>
        </w:rPr>
        <w:tab/>
        <w:t>16</w:t>
      </w:r>
    </w:p>
    <w:p w14:paraId="0835BB50"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2.5.4 Local Variations</w:t>
      </w:r>
      <w:r>
        <w:rPr>
          <w:rFonts w:ascii="Arial" w:eastAsia="Arial" w:hAnsi="Arial" w:cs="Arial"/>
        </w:rPr>
        <w:tab/>
        <w:t>16</w:t>
      </w:r>
    </w:p>
    <w:p w14:paraId="105FAD7A"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2.6 Conclusion</w:t>
      </w:r>
      <w:r>
        <w:rPr>
          <w:rFonts w:ascii="Arial" w:eastAsia="Arial" w:hAnsi="Arial" w:cs="Arial"/>
        </w:rPr>
        <w:tab/>
        <w:t>16</w:t>
      </w:r>
    </w:p>
    <w:p w14:paraId="418EEAC0" w14:textId="77777777" w:rsidR="00EA293E" w:rsidRDefault="00000000">
      <w:pPr>
        <w:tabs>
          <w:tab w:val="right" w:pos="9504"/>
        </w:tabs>
        <w:spacing w:after="0" w:line="240" w:lineRule="auto"/>
        <w:rPr>
          <w:rFonts w:ascii="Arial" w:eastAsia="Arial" w:hAnsi="Arial" w:cs="Arial"/>
        </w:rPr>
      </w:pPr>
      <w:r>
        <w:rPr>
          <w:rFonts w:ascii="Arial" w:eastAsia="Arial" w:hAnsi="Arial" w:cs="Arial"/>
          <w:b/>
        </w:rPr>
        <w:t>CHAPTER 3 – Methods and Search Strategy</w:t>
      </w:r>
      <w:r>
        <w:rPr>
          <w:rFonts w:ascii="Arial" w:eastAsia="Arial" w:hAnsi="Arial" w:cs="Arial"/>
        </w:rPr>
        <w:tab/>
        <w:t>17</w:t>
      </w:r>
    </w:p>
    <w:p w14:paraId="22D0A1E4"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3.1 Introduction</w:t>
      </w:r>
      <w:r>
        <w:rPr>
          <w:rFonts w:ascii="Arial" w:eastAsia="Arial" w:hAnsi="Arial" w:cs="Arial"/>
        </w:rPr>
        <w:tab/>
        <w:t>17</w:t>
      </w:r>
    </w:p>
    <w:p w14:paraId="38DF6F03"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3.2 Search Strategy</w:t>
      </w:r>
      <w:r>
        <w:rPr>
          <w:rFonts w:ascii="Arial" w:eastAsia="Arial" w:hAnsi="Arial" w:cs="Arial"/>
        </w:rPr>
        <w:tab/>
        <w:t>17</w:t>
      </w:r>
    </w:p>
    <w:p w14:paraId="6EB28EFE"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3.3 Information Sources and Search Process</w:t>
      </w:r>
      <w:r>
        <w:rPr>
          <w:rFonts w:ascii="Arial" w:eastAsia="Arial" w:hAnsi="Arial" w:cs="Arial"/>
        </w:rPr>
        <w:tab/>
        <w:t>18</w:t>
      </w:r>
    </w:p>
    <w:p w14:paraId="53249C5C"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3.4 Research Validation and Quality Appraisal</w:t>
      </w:r>
      <w:r>
        <w:rPr>
          <w:rFonts w:ascii="Arial" w:eastAsia="Arial" w:hAnsi="Arial" w:cs="Arial"/>
        </w:rPr>
        <w:tab/>
        <w:t>19</w:t>
      </w:r>
    </w:p>
    <w:p w14:paraId="3E8F5974"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3.5 Inclusion and Exclusion Criteria</w:t>
      </w:r>
      <w:r>
        <w:rPr>
          <w:rFonts w:ascii="Arial" w:eastAsia="Arial" w:hAnsi="Arial" w:cs="Arial"/>
        </w:rPr>
        <w:tab/>
        <w:t>20</w:t>
      </w:r>
    </w:p>
    <w:p w14:paraId="1C677D6D"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3.5.1 Inclusion Criteria</w:t>
      </w:r>
      <w:r>
        <w:rPr>
          <w:rFonts w:ascii="Arial" w:eastAsia="Arial" w:hAnsi="Arial" w:cs="Arial"/>
        </w:rPr>
        <w:tab/>
        <w:t>20</w:t>
      </w:r>
    </w:p>
    <w:p w14:paraId="4943809C"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3.5.2 Exclusion Criteria</w:t>
      </w:r>
      <w:r>
        <w:rPr>
          <w:rFonts w:ascii="Arial" w:eastAsia="Arial" w:hAnsi="Arial" w:cs="Arial"/>
        </w:rPr>
        <w:tab/>
        <w:t>20</w:t>
      </w:r>
    </w:p>
    <w:p w14:paraId="3DA9BB7C"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3.6 Data Analysis: Thematic Approach</w:t>
      </w:r>
      <w:r>
        <w:rPr>
          <w:rFonts w:ascii="Arial" w:eastAsia="Arial" w:hAnsi="Arial" w:cs="Arial"/>
        </w:rPr>
        <w:tab/>
        <w:t>21</w:t>
      </w:r>
    </w:p>
    <w:p w14:paraId="338A6395"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3.7 Ethical Considerations</w:t>
      </w:r>
      <w:r>
        <w:rPr>
          <w:rFonts w:ascii="Arial" w:eastAsia="Arial" w:hAnsi="Arial" w:cs="Arial"/>
        </w:rPr>
        <w:tab/>
        <w:t>22</w:t>
      </w:r>
    </w:p>
    <w:p w14:paraId="5F1B154E"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3.8 Chapter Conclusion</w:t>
      </w:r>
      <w:r>
        <w:rPr>
          <w:rFonts w:ascii="Arial" w:eastAsia="Arial" w:hAnsi="Arial" w:cs="Arial"/>
        </w:rPr>
        <w:tab/>
        <w:t>22</w:t>
      </w:r>
    </w:p>
    <w:p w14:paraId="2D0D4ACC" w14:textId="77777777" w:rsidR="00EA293E" w:rsidRDefault="00000000">
      <w:pPr>
        <w:tabs>
          <w:tab w:val="right" w:pos="9504"/>
        </w:tabs>
        <w:spacing w:after="0" w:line="240" w:lineRule="auto"/>
        <w:rPr>
          <w:rFonts w:ascii="Arial" w:eastAsia="Arial" w:hAnsi="Arial" w:cs="Arial"/>
        </w:rPr>
      </w:pPr>
      <w:r>
        <w:rPr>
          <w:rFonts w:ascii="Arial" w:eastAsia="Arial" w:hAnsi="Arial" w:cs="Arial"/>
          <w:b/>
        </w:rPr>
        <w:t>CHAPTER 4 – Findings and Discussion</w:t>
      </w:r>
      <w:r>
        <w:rPr>
          <w:rFonts w:ascii="Arial" w:eastAsia="Arial" w:hAnsi="Arial" w:cs="Arial"/>
        </w:rPr>
        <w:tab/>
        <w:t>23</w:t>
      </w:r>
    </w:p>
    <w:p w14:paraId="71FB3871"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4.1 Introduction</w:t>
      </w:r>
      <w:r>
        <w:rPr>
          <w:rFonts w:ascii="Arial" w:eastAsia="Arial" w:hAnsi="Arial" w:cs="Arial"/>
        </w:rPr>
        <w:tab/>
        <w:t>23</w:t>
      </w:r>
    </w:p>
    <w:p w14:paraId="4DB13A11"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4.2 Thematic Analysis</w:t>
      </w:r>
      <w:r>
        <w:rPr>
          <w:rFonts w:ascii="Arial" w:eastAsia="Arial" w:hAnsi="Arial" w:cs="Arial"/>
        </w:rPr>
        <w:tab/>
        <w:t>23</w:t>
      </w:r>
    </w:p>
    <w:p w14:paraId="230D7120"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4.3 Theme 1: Burnout, Emotional Exhaustion, and Psychological Distress</w:t>
      </w:r>
      <w:r>
        <w:rPr>
          <w:rFonts w:ascii="Arial" w:eastAsia="Arial" w:hAnsi="Arial" w:cs="Arial"/>
        </w:rPr>
        <w:tab/>
        <w:t>24</w:t>
      </w:r>
    </w:p>
    <w:p w14:paraId="55B98F06"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4.3.1 Definition and Key Terminology</w:t>
      </w:r>
      <w:r>
        <w:rPr>
          <w:rFonts w:ascii="Arial" w:eastAsia="Arial" w:hAnsi="Arial" w:cs="Arial"/>
        </w:rPr>
        <w:tab/>
        <w:t>24</w:t>
      </w:r>
    </w:p>
    <w:p w14:paraId="4AB0AE13"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4.3.2 Historical and Contextual Background</w:t>
      </w:r>
      <w:r>
        <w:rPr>
          <w:rFonts w:ascii="Arial" w:eastAsia="Arial" w:hAnsi="Arial" w:cs="Arial"/>
        </w:rPr>
        <w:tab/>
        <w:t>25</w:t>
      </w:r>
    </w:p>
    <w:p w14:paraId="7712E105"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4.3.3 Relevance to the Research Question</w:t>
      </w:r>
      <w:r>
        <w:rPr>
          <w:rFonts w:ascii="Arial" w:eastAsia="Arial" w:hAnsi="Arial" w:cs="Arial"/>
        </w:rPr>
        <w:tab/>
        <w:t>25</w:t>
      </w:r>
    </w:p>
    <w:p w14:paraId="2A4F8004"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4.3.4 Statistical Evidence and Prevalence</w:t>
      </w:r>
      <w:r>
        <w:rPr>
          <w:rFonts w:ascii="Arial" w:eastAsia="Arial" w:hAnsi="Arial" w:cs="Arial"/>
        </w:rPr>
        <w:tab/>
        <w:t>25</w:t>
      </w:r>
    </w:p>
    <w:p w14:paraId="46EEF564"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4.3.5 Theoretical Explanations</w:t>
      </w:r>
      <w:r>
        <w:rPr>
          <w:rFonts w:ascii="Arial" w:eastAsia="Arial" w:hAnsi="Arial" w:cs="Arial"/>
        </w:rPr>
        <w:tab/>
        <w:t>27</w:t>
      </w:r>
    </w:p>
    <w:p w14:paraId="5848D24C"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4.3.6 Policy and Legislative Context</w:t>
      </w:r>
      <w:r>
        <w:rPr>
          <w:rFonts w:ascii="Arial" w:eastAsia="Arial" w:hAnsi="Arial" w:cs="Arial"/>
        </w:rPr>
        <w:tab/>
        <w:t>27</w:t>
      </w:r>
    </w:p>
    <w:p w14:paraId="7CB886B2"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4.3.7 Examples from Reviewed Articles</w:t>
      </w:r>
      <w:r>
        <w:rPr>
          <w:rFonts w:ascii="Arial" w:eastAsia="Arial" w:hAnsi="Arial" w:cs="Arial"/>
        </w:rPr>
        <w:tab/>
        <w:t>28</w:t>
      </w:r>
    </w:p>
    <w:p w14:paraId="4E1459BE"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4.3.8 Implications of Burnout</w:t>
      </w:r>
      <w:r>
        <w:rPr>
          <w:rFonts w:ascii="Arial" w:eastAsia="Arial" w:hAnsi="Arial" w:cs="Arial"/>
        </w:rPr>
        <w:tab/>
        <w:t>28</w:t>
      </w:r>
    </w:p>
    <w:p w14:paraId="7DC3AA42"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lastRenderedPageBreak/>
        <w:t>4.3.9 Connections to Other Themes</w:t>
      </w:r>
      <w:r>
        <w:rPr>
          <w:rFonts w:ascii="Arial" w:eastAsia="Arial" w:hAnsi="Arial" w:cs="Arial"/>
        </w:rPr>
        <w:tab/>
        <w:t>29</w:t>
      </w:r>
    </w:p>
    <w:p w14:paraId="566796D1"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4.4 Theme 2: Coping Strategies and Individual Resilience</w:t>
      </w:r>
      <w:r>
        <w:rPr>
          <w:rFonts w:ascii="Arial" w:eastAsia="Arial" w:hAnsi="Arial" w:cs="Arial"/>
        </w:rPr>
        <w:tab/>
        <w:t>29</w:t>
      </w:r>
    </w:p>
    <w:p w14:paraId="5F11BF0B"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4.4.1 Definition and Key Concepts</w:t>
      </w:r>
      <w:r>
        <w:rPr>
          <w:rFonts w:ascii="Arial" w:eastAsia="Arial" w:hAnsi="Arial" w:cs="Arial"/>
        </w:rPr>
        <w:tab/>
        <w:t>29</w:t>
      </w:r>
    </w:p>
    <w:p w14:paraId="46DAF125"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4.4.2 Background and Context</w:t>
      </w:r>
      <w:r>
        <w:rPr>
          <w:rFonts w:ascii="Arial" w:eastAsia="Arial" w:hAnsi="Arial" w:cs="Arial"/>
        </w:rPr>
        <w:tab/>
        <w:t>30</w:t>
      </w:r>
    </w:p>
    <w:p w14:paraId="586204B6"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4.4.3 Relevance to the Research Question</w:t>
      </w:r>
      <w:r>
        <w:rPr>
          <w:rFonts w:ascii="Arial" w:eastAsia="Arial" w:hAnsi="Arial" w:cs="Arial"/>
        </w:rPr>
        <w:tab/>
        <w:t>30</w:t>
      </w:r>
    </w:p>
    <w:p w14:paraId="435BA604"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4.4.4 Statistical Evidence on Coping and Resilience</w:t>
      </w:r>
      <w:r>
        <w:rPr>
          <w:rFonts w:ascii="Arial" w:eastAsia="Arial" w:hAnsi="Arial" w:cs="Arial"/>
        </w:rPr>
        <w:tab/>
        <w:t>30</w:t>
      </w:r>
    </w:p>
    <w:p w14:paraId="2DFCB082"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4.4.5 Theoretical Perspectives</w:t>
      </w:r>
      <w:r>
        <w:rPr>
          <w:rFonts w:ascii="Arial" w:eastAsia="Arial" w:hAnsi="Arial" w:cs="Arial"/>
        </w:rPr>
        <w:tab/>
        <w:t>31</w:t>
      </w:r>
    </w:p>
    <w:p w14:paraId="520C48E3"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4.4.6 Policy and Practice Implications</w:t>
      </w:r>
      <w:r>
        <w:rPr>
          <w:rFonts w:ascii="Arial" w:eastAsia="Arial" w:hAnsi="Arial" w:cs="Arial"/>
        </w:rPr>
        <w:tab/>
        <w:t>32</w:t>
      </w:r>
    </w:p>
    <w:p w14:paraId="3C550841"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4.4.7 Examples from Reviewed Articles</w:t>
      </w:r>
      <w:r>
        <w:rPr>
          <w:rFonts w:ascii="Arial" w:eastAsia="Arial" w:hAnsi="Arial" w:cs="Arial"/>
        </w:rPr>
        <w:tab/>
        <w:t>32</w:t>
      </w:r>
    </w:p>
    <w:p w14:paraId="252A6CA6"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4.4.8 Implications and Critical Discussion</w:t>
      </w:r>
      <w:r>
        <w:rPr>
          <w:rFonts w:ascii="Arial" w:eastAsia="Arial" w:hAnsi="Arial" w:cs="Arial"/>
        </w:rPr>
        <w:tab/>
        <w:t>32</w:t>
      </w:r>
    </w:p>
    <w:p w14:paraId="6796D745"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4.4.9 Connections to Other Themes</w:t>
      </w:r>
      <w:r>
        <w:rPr>
          <w:rFonts w:ascii="Arial" w:eastAsia="Arial" w:hAnsi="Arial" w:cs="Arial"/>
        </w:rPr>
        <w:tab/>
        <w:t>33</w:t>
      </w:r>
    </w:p>
    <w:p w14:paraId="20CD7066"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4.5 Theme 3: Organisational Support, Leadership, and Systemic Influences</w:t>
      </w:r>
      <w:r>
        <w:rPr>
          <w:rFonts w:ascii="Arial" w:eastAsia="Arial" w:hAnsi="Arial" w:cs="Arial"/>
        </w:rPr>
        <w:tab/>
        <w:t>33</w:t>
      </w:r>
    </w:p>
    <w:p w14:paraId="045DB5FA"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4.5.1 Definition and Key Concepts</w:t>
      </w:r>
      <w:r>
        <w:rPr>
          <w:rFonts w:ascii="Arial" w:eastAsia="Arial" w:hAnsi="Arial" w:cs="Arial"/>
        </w:rPr>
        <w:tab/>
        <w:t>33</w:t>
      </w:r>
    </w:p>
    <w:p w14:paraId="1A1ADEC9"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4.5.2 Background and Context</w:t>
      </w:r>
      <w:r>
        <w:rPr>
          <w:rFonts w:ascii="Arial" w:eastAsia="Arial" w:hAnsi="Arial" w:cs="Arial"/>
        </w:rPr>
        <w:tab/>
        <w:t>33</w:t>
      </w:r>
    </w:p>
    <w:p w14:paraId="13E189E2"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4.5.3 Relevance to the Research Question</w:t>
      </w:r>
      <w:r>
        <w:rPr>
          <w:rFonts w:ascii="Arial" w:eastAsia="Arial" w:hAnsi="Arial" w:cs="Arial"/>
        </w:rPr>
        <w:tab/>
        <w:t>34</w:t>
      </w:r>
    </w:p>
    <w:p w14:paraId="4E7353CE"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4.5.4 Statistical Evidence and Organisational Determinants</w:t>
      </w:r>
      <w:r>
        <w:rPr>
          <w:rFonts w:ascii="Arial" w:eastAsia="Arial" w:hAnsi="Arial" w:cs="Arial"/>
        </w:rPr>
        <w:tab/>
        <w:t>34</w:t>
      </w:r>
    </w:p>
    <w:p w14:paraId="3962E239"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4.5.5 Theoretical Frameworks</w:t>
      </w:r>
      <w:r>
        <w:rPr>
          <w:rFonts w:ascii="Arial" w:eastAsia="Arial" w:hAnsi="Arial" w:cs="Arial"/>
        </w:rPr>
        <w:tab/>
        <w:t>35</w:t>
      </w:r>
    </w:p>
    <w:p w14:paraId="218D7D20"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4.5.6 Policy and Legislative Context</w:t>
      </w:r>
      <w:r>
        <w:rPr>
          <w:rFonts w:ascii="Arial" w:eastAsia="Arial" w:hAnsi="Arial" w:cs="Arial"/>
        </w:rPr>
        <w:tab/>
        <w:t>35</w:t>
      </w:r>
    </w:p>
    <w:p w14:paraId="4C05F4FD"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4.5.7 Examples from Reviewed Articles</w:t>
      </w:r>
      <w:r>
        <w:rPr>
          <w:rFonts w:ascii="Arial" w:eastAsia="Arial" w:hAnsi="Arial" w:cs="Arial"/>
        </w:rPr>
        <w:tab/>
        <w:t>36</w:t>
      </w:r>
    </w:p>
    <w:p w14:paraId="1B9468E0" w14:textId="77777777" w:rsidR="00EA293E" w:rsidRDefault="00000000">
      <w:pPr>
        <w:tabs>
          <w:tab w:val="right" w:pos="9504"/>
        </w:tabs>
        <w:spacing w:after="0" w:line="240" w:lineRule="auto"/>
        <w:ind w:left="864"/>
        <w:rPr>
          <w:rFonts w:ascii="Arial" w:eastAsia="Arial" w:hAnsi="Arial" w:cs="Arial"/>
        </w:rPr>
      </w:pPr>
      <w:r>
        <w:rPr>
          <w:rFonts w:ascii="Arial" w:eastAsia="Arial" w:hAnsi="Arial" w:cs="Arial"/>
        </w:rPr>
        <w:t>4.5.8 Implications and Critical Discussion</w:t>
      </w:r>
      <w:r>
        <w:rPr>
          <w:rFonts w:ascii="Arial" w:eastAsia="Arial" w:hAnsi="Arial" w:cs="Arial"/>
        </w:rPr>
        <w:tab/>
        <w:t>36</w:t>
      </w:r>
    </w:p>
    <w:p w14:paraId="2788207C"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4.6 Chapter Conclusion</w:t>
      </w:r>
      <w:r>
        <w:rPr>
          <w:rFonts w:ascii="Arial" w:eastAsia="Arial" w:hAnsi="Arial" w:cs="Arial"/>
        </w:rPr>
        <w:tab/>
        <w:t>37</w:t>
      </w:r>
    </w:p>
    <w:p w14:paraId="2C52F6FC" w14:textId="77777777" w:rsidR="00EA293E" w:rsidRDefault="00000000">
      <w:pPr>
        <w:tabs>
          <w:tab w:val="right" w:pos="9504"/>
        </w:tabs>
        <w:spacing w:after="0" w:line="240" w:lineRule="auto"/>
        <w:rPr>
          <w:rFonts w:ascii="Arial" w:eastAsia="Arial" w:hAnsi="Arial" w:cs="Arial"/>
        </w:rPr>
      </w:pPr>
      <w:r>
        <w:rPr>
          <w:rFonts w:ascii="Arial" w:eastAsia="Arial" w:hAnsi="Arial" w:cs="Arial"/>
          <w:b/>
        </w:rPr>
        <w:t>CHAPTER 5 – Conclusion and Recommendations</w:t>
      </w:r>
      <w:r>
        <w:rPr>
          <w:rFonts w:ascii="Arial" w:eastAsia="Arial" w:hAnsi="Arial" w:cs="Arial"/>
        </w:rPr>
        <w:tab/>
        <w:t>38</w:t>
      </w:r>
    </w:p>
    <w:p w14:paraId="05D9F565"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5.1 Chapter Introduction</w:t>
      </w:r>
      <w:r>
        <w:rPr>
          <w:rFonts w:ascii="Arial" w:eastAsia="Arial" w:hAnsi="Arial" w:cs="Arial"/>
        </w:rPr>
        <w:tab/>
        <w:t>38</w:t>
      </w:r>
    </w:p>
    <w:p w14:paraId="15A7E0FC"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5.2 Overall Conclusion</w:t>
      </w:r>
      <w:r>
        <w:rPr>
          <w:rFonts w:ascii="Arial" w:eastAsia="Arial" w:hAnsi="Arial" w:cs="Arial"/>
        </w:rPr>
        <w:tab/>
        <w:t>38</w:t>
      </w:r>
    </w:p>
    <w:p w14:paraId="646EED59"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5.3 Recommendations for Policy and Practice</w:t>
      </w:r>
      <w:r>
        <w:rPr>
          <w:rFonts w:ascii="Arial" w:eastAsia="Arial" w:hAnsi="Arial" w:cs="Arial"/>
        </w:rPr>
        <w:tab/>
        <w:t>39</w:t>
      </w:r>
    </w:p>
    <w:p w14:paraId="0E946C51"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5.4 Recommendations for Future Research</w:t>
      </w:r>
      <w:r>
        <w:rPr>
          <w:rFonts w:ascii="Arial" w:eastAsia="Arial" w:hAnsi="Arial" w:cs="Arial"/>
        </w:rPr>
        <w:tab/>
        <w:t>41</w:t>
      </w:r>
    </w:p>
    <w:p w14:paraId="6F0C1200" w14:textId="77777777" w:rsidR="00EA293E" w:rsidRDefault="00000000">
      <w:pPr>
        <w:tabs>
          <w:tab w:val="right" w:pos="9504"/>
        </w:tabs>
        <w:spacing w:after="0" w:line="240" w:lineRule="auto"/>
        <w:ind w:left="432"/>
        <w:rPr>
          <w:rFonts w:ascii="Arial" w:eastAsia="Arial" w:hAnsi="Arial" w:cs="Arial"/>
        </w:rPr>
      </w:pPr>
      <w:r>
        <w:rPr>
          <w:rFonts w:ascii="Arial" w:eastAsia="Arial" w:hAnsi="Arial" w:cs="Arial"/>
        </w:rPr>
        <w:t>5.5 Chapter Conclusion</w:t>
      </w:r>
      <w:r>
        <w:rPr>
          <w:rFonts w:ascii="Arial" w:eastAsia="Arial" w:hAnsi="Arial" w:cs="Arial"/>
        </w:rPr>
        <w:tab/>
        <w:t>41</w:t>
      </w:r>
    </w:p>
    <w:p w14:paraId="3D1B7B24" w14:textId="77777777" w:rsidR="00EA293E" w:rsidRDefault="00000000">
      <w:pPr>
        <w:tabs>
          <w:tab w:val="right" w:pos="9504"/>
        </w:tabs>
        <w:spacing w:after="0" w:line="240" w:lineRule="auto"/>
        <w:rPr>
          <w:rFonts w:ascii="Arial" w:eastAsia="Arial" w:hAnsi="Arial" w:cs="Arial"/>
        </w:rPr>
      </w:pPr>
      <w:r>
        <w:rPr>
          <w:rFonts w:ascii="Arial" w:eastAsia="Arial" w:hAnsi="Arial" w:cs="Arial"/>
          <w:b/>
        </w:rPr>
        <w:t>References</w:t>
      </w:r>
      <w:r>
        <w:rPr>
          <w:rFonts w:ascii="Arial" w:eastAsia="Arial" w:hAnsi="Arial" w:cs="Arial"/>
        </w:rPr>
        <w:tab/>
        <w:t>42</w:t>
      </w:r>
    </w:p>
    <w:p w14:paraId="624FF8B4" w14:textId="77777777" w:rsidR="00EA293E" w:rsidRDefault="00000000">
      <w:pPr>
        <w:tabs>
          <w:tab w:val="right" w:pos="9504"/>
        </w:tabs>
        <w:spacing w:after="0" w:line="240" w:lineRule="auto"/>
        <w:rPr>
          <w:rFonts w:ascii="Arial" w:eastAsia="Arial" w:hAnsi="Arial" w:cs="Arial"/>
        </w:rPr>
      </w:pPr>
      <w:r>
        <w:rPr>
          <w:rFonts w:ascii="Arial" w:eastAsia="Arial" w:hAnsi="Arial" w:cs="Arial"/>
          <w:b/>
        </w:rPr>
        <w:t>Appendix A: Source Tracking Table</w:t>
      </w:r>
      <w:r>
        <w:rPr>
          <w:rFonts w:ascii="Arial" w:eastAsia="Arial" w:hAnsi="Arial" w:cs="Arial"/>
        </w:rPr>
        <w:tab/>
        <w:t>47</w:t>
      </w:r>
    </w:p>
    <w:p w14:paraId="31050F6C" w14:textId="77777777" w:rsidR="00EA293E" w:rsidRDefault="00000000">
      <w:pPr>
        <w:tabs>
          <w:tab w:val="right" w:pos="9504"/>
        </w:tabs>
        <w:spacing w:after="0" w:line="240" w:lineRule="auto"/>
        <w:rPr>
          <w:rFonts w:ascii="Arial" w:eastAsia="Arial" w:hAnsi="Arial" w:cs="Arial"/>
        </w:rPr>
      </w:pPr>
      <w:r>
        <w:rPr>
          <w:rFonts w:ascii="Arial" w:eastAsia="Arial" w:hAnsi="Arial" w:cs="Arial"/>
          <w:b/>
        </w:rPr>
        <w:t>Appendix B: Results Summary Table</w:t>
      </w:r>
      <w:r>
        <w:rPr>
          <w:rFonts w:ascii="Arial" w:eastAsia="Arial" w:hAnsi="Arial" w:cs="Arial"/>
        </w:rPr>
        <w:tab/>
        <w:t>47</w:t>
      </w:r>
    </w:p>
    <w:p w14:paraId="2A2D69A5" w14:textId="77777777" w:rsidR="00EA293E" w:rsidRDefault="00000000">
      <w:pPr>
        <w:tabs>
          <w:tab w:val="right" w:pos="9504"/>
        </w:tabs>
        <w:spacing w:after="0" w:line="240" w:lineRule="auto"/>
        <w:rPr>
          <w:rFonts w:ascii="Arial" w:eastAsia="Arial" w:hAnsi="Arial" w:cs="Arial"/>
        </w:rPr>
      </w:pPr>
      <w:r>
        <w:rPr>
          <w:rFonts w:ascii="Arial" w:eastAsia="Arial" w:hAnsi="Arial" w:cs="Arial"/>
          <w:b/>
        </w:rPr>
        <w:t>Appendix C: Overview of Secondary Research Methodology</w:t>
      </w:r>
      <w:r>
        <w:rPr>
          <w:rFonts w:ascii="Arial" w:eastAsia="Arial" w:hAnsi="Arial" w:cs="Arial"/>
        </w:rPr>
        <w:tab/>
        <w:t>48</w:t>
      </w:r>
    </w:p>
    <w:p w14:paraId="2B3A9664" w14:textId="77777777" w:rsidR="00EA293E" w:rsidRDefault="00EA293E">
      <w:pPr>
        <w:spacing w:before="280" w:after="280" w:line="360" w:lineRule="auto"/>
        <w:jc w:val="both"/>
        <w:rPr>
          <w:rFonts w:ascii="Arial" w:eastAsia="Arial" w:hAnsi="Arial" w:cs="Arial"/>
          <w:b/>
          <w:sz w:val="32"/>
          <w:szCs w:val="32"/>
        </w:rPr>
      </w:pPr>
    </w:p>
    <w:p w14:paraId="01A83DB1" w14:textId="77777777" w:rsidR="00EA293E" w:rsidRDefault="00EA293E">
      <w:pPr>
        <w:spacing w:before="280" w:after="280" w:line="360" w:lineRule="auto"/>
        <w:jc w:val="both"/>
        <w:rPr>
          <w:rFonts w:ascii="Arial" w:eastAsia="Arial" w:hAnsi="Arial" w:cs="Arial"/>
          <w:b/>
          <w:sz w:val="32"/>
          <w:szCs w:val="32"/>
        </w:rPr>
      </w:pPr>
    </w:p>
    <w:p w14:paraId="2E536E18" w14:textId="77777777" w:rsidR="00EA293E" w:rsidRDefault="00EA293E">
      <w:pPr>
        <w:spacing w:before="280" w:after="280" w:line="360" w:lineRule="auto"/>
        <w:jc w:val="both"/>
        <w:rPr>
          <w:rFonts w:ascii="Arial" w:eastAsia="Arial" w:hAnsi="Arial" w:cs="Arial"/>
          <w:b/>
          <w:sz w:val="32"/>
          <w:szCs w:val="32"/>
        </w:rPr>
      </w:pPr>
    </w:p>
    <w:p w14:paraId="51B34A70" w14:textId="77777777" w:rsidR="00EA293E" w:rsidRDefault="00EA293E">
      <w:pPr>
        <w:spacing w:before="280" w:after="280" w:line="360" w:lineRule="auto"/>
        <w:jc w:val="both"/>
        <w:rPr>
          <w:rFonts w:ascii="Arial" w:eastAsia="Arial" w:hAnsi="Arial" w:cs="Arial"/>
          <w:b/>
          <w:sz w:val="32"/>
          <w:szCs w:val="32"/>
        </w:rPr>
      </w:pPr>
    </w:p>
    <w:p w14:paraId="663B871C" w14:textId="77777777" w:rsidR="00EA293E" w:rsidRDefault="00EA293E">
      <w:pPr>
        <w:spacing w:before="280" w:after="280" w:line="360" w:lineRule="auto"/>
        <w:jc w:val="both"/>
        <w:rPr>
          <w:rFonts w:ascii="Arial" w:eastAsia="Arial" w:hAnsi="Arial" w:cs="Arial"/>
          <w:b/>
          <w:sz w:val="32"/>
          <w:szCs w:val="32"/>
        </w:rPr>
      </w:pPr>
    </w:p>
    <w:p w14:paraId="14BB2C38" w14:textId="77777777" w:rsidR="00EA293E" w:rsidRDefault="00EA293E">
      <w:pPr>
        <w:spacing w:before="280" w:after="280" w:line="360" w:lineRule="auto"/>
        <w:jc w:val="both"/>
        <w:rPr>
          <w:rFonts w:ascii="Arial" w:eastAsia="Arial" w:hAnsi="Arial" w:cs="Arial"/>
          <w:b/>
          <w:sz w:val="32"/>
          <w:szCs w:val="32"/>
        </w:rPr>
      </w:pPr>
    </w:p>
    <w:p w14:paraId="6B9C1B29" w14:textId="77777777" w:rsidR="00EA293E" w:rsidRDefault="00EA293E">
      <w:pPr>
        <w:spacing w:before="280" w:after="280" w:line="360" w:lineRule="auto"/>
        <w:jc w:val="both"/>
        <w:rPr>
          <w:rFonts w:ascii="Arial" w:eastAsia="Arial" w:hAnsi="Arial" w:cs="Arial"/>
          <w:b/>
          <w:sz w:val="32"/>
          <w:szCs w:val="32"/>
        </w:rPr>
      </w:pPr>
    </w:p>
    <w:p w14:paraId="5ECAE449" w14:textId="77777777" w:rsidR="00EA293E" w:rsidRDefault="00000000">
      <w:pPr>
        <w:spacing w:before="280" w:after="280" w:line="360" w:lineRule="auto"/>
        <w:jc w:val="both"/>
        <w:rPr>
          <w:rFonts w:ascii="Arial" w:eastAsia="Arial" w:hAnsi="Arial" w:cs="Arial"/>
          <w:b/>
          <w:sz w:val="32"/>
          <w:szCs w:val="32"/>
        </w:rPr>
      </w:pPr>
      <w:r>
        <w:rPr>
          <w:rFonts w:ascii="Arial" w:eastAsia="Arial" w:hAnsi="Arial" w:cs="Arial"/>
          <w:b/>
          <w:sz w:val="32"/>
          <w:szCs w:val="32"/>
        </w:rPr>
        <w:lastRenderedPageBreak/>
        <w:t>CHAPTER 1: Introduction</w:t>
      </w:r>
    </w:p>
    <w:p w14:paraId="28A4B00B"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1.1 Introduction:</w:t>
      </w:r>
    </w:p>
    <w:p w14:paraId="51026292" w14:textId="77777777" w:rsidR="00EA293E" w:rsidRDefault="00000000">
      <w:pPr>
        <w:spacing w:line="360" w:lineRule="auto"/>
        <w:jc w:val="both"/>
        <w:rPr>
          <w:rFonts w:ascii="Arial" w:eastAsia="Arial" w:hAnsi="Arial" w:cs="Arial"/>
        </w:rPr>
      </w:pPr>
      <w:r>
        <w:rPr>
          <w:rFonts w:ascii="Arial" w:eastAsia="Arial" w:hAnsi="Arial" w:cs="Arial"/>
        </w:rPr>
        <w:t>The COVID-19 pandemic has had a profound and lasting impact on health systems globally, placing unprecedented psychological demands on healthcare workers (HCWs). Since early 2020, HCWs have faced sustained exposure to high patient mortality, rapidly changing protocols, shortages of personal protective equipment, and increased workloads (Shanafelt et al., 2020). These pressures have resulted in elevated levels of anxiety, burnout, post-traumatic stress symptoms, and emotional exhaustion (Mokaya et al., 2025; Rossi et al., 2023). Although mental health challenges among HCWs have been widely documented, less is known about the range, effectiveness, and limitations of coping strategies used throughout different stages of the pandemic (Greenberg et al., 2021).</w:t>
      </w:r>
    </w:p>
    <w:p w14:paraId="638C6D4E" w14:textId="77777777" w:rsidR="00EA293E" w:rsidRDefault="00000000">
      <w:pPr>
        <w:spacing w:line="360" w:lineRule="auto"/>
        <w:jc w:val="both"/>
        <w:rPr>
          <w:rFonts w:ascii="Arial" w:eastAsia="Arial" w:hAnsi="Arial" w:cs="Arial"/>
        </w:rPr>
      </w:pPr>
      <w:r>
        <w:rPr>
          <w:rFonts w:ascii="Arial" w:eastAsia="Arial" w:hAnsi="Arial" w:cs="Arial"/>
        </w:rPr>
        <w:t>Early research suggests that HCWs turned to task-focused coping, social support, resilience practices, and organisational interventions; however, the degree to which these approaches alleviated psychological distress remains unclear (Frias et al., 2025). Importantly, many organisational support systems were introduced during periods of extreme service pressure, limiting accessibility and effectiveness due to staffing shortages, time constraints, and stigma associated with mental health help-seeking</w:t>
      </w:r>
      <w:r>
        <w:rPr>
          <w:b/>
        </w:rPr>
        <w:t xml:space="preserve"> </w:t>
      </w:r>
      <w:r>
        <w:rPr>
          <w:rFonts w:ascii="Arial" w:eastAsia="Arial" w:hAnsi="Arial" w:cs="Arial"/>
        </w:rPr>
        <w:t>(Adams and Walls, 2020).</w:t>
      </w:r>
    </w:p>
    <w:p w14:paraId="1D4A2341" w14:textId="77777777" w:rsidR="00EA293E" w:rsidRDefault="00000000">
      <w:pPr>
        <w:spacing w:line="360" w:lineRule="auto"/>
        <w:jc w:val="both"/>
        <w:rPr>
          <w:rFonts w:ascii="Arial" w:eastAsia="Arial" w:hAnsi="Arial" w:cs="Arial"/>
        </w:rPr>
      </w:pPr>
      <w:r>
        <w:rPr>
          <w:rFonts w:ascii="Arial" w:eastAsia="Arial" w:hAnsi="Arial" w:cs="Arial"/>
        </w:rPr>
        <w:t>The relevance of this research lies in the ongoing strain experienced by HCWs. Recent longitudinal evidence demonstrates that mental health symptoms have persisted well beyond the acute stages of the pandemic, with continued reports of burnout and emotional exhaustion (Maunder et al., 2024). Understanding which coping strategies were helpful—and which were not—can inform future public health preparedness, workforce planning, and organisational policy. This dissertation therefore examines the mental health impacts of COVID-19 on HCWs and critically analyses coping strategies used across different healthcare settings. The study adopts a secondary research design and applies thematic analysis to synthesise evidence published between 2020 and 2025 (Brooks et al., 2020).</w:t>
      </w:r>
    </w:p>
    <w:p w14:paraId="403726E4" w14:textId="77777777" w:rsidR="00EA293E" w:rsidRDefault="00000000">
      <w:pPr>
        <w:spacing w:line="360" w:lineRule="auto"/>
        <w:jc w:val="both"/>
        <w:rPr>
          <w:rFonts w:ascii="Arial" w:eastAsia="Arial" w:hAnsi="Arial" w:cs="Arial"/>
        </w:rPr>
      </w:pPr>
      <w:r>
        <w:rPr>
          <w:rFonts w:ascii="Arial" w:eastAsia="Arial" w:hAnsi="Arial" w:cs="Arial"/>
        </w:rPr>
        <w:t>The dissertation is organised across five chapters. Chapter 1 introduces the topic, definitions, background, and rationale. Chapter 2 provides broader historical, theoretical, and contextual analysis. Chapter 3 outlines the research methodology. Chapter 4 presents findings from the thematic synthesis. Finally, Chapter 5 provides conclusions and recommendations for practice, policy, and future research (Holmes et al., 2020).</w:t>
      </w:r>
    </w:p>
    <w:p w14:paraId="1EDBCE19" w14:textId="77777777" w:rsidR="00EA293E" w:rsidRDefault="00EA293E">
      <w:pPr>
        <w:spacing w:line="360" w:lineRule="auto"/>
        <w:jc w:val="both"/>
        <w:rPr>
          <w:rFonts w:ascii="Arial" w:eastAsia="Arial" w:hAnsi="Arial" w:cs="Arial"/>
        </w:rPr>
      </w:pPr>
    </w:p>
    <w:p w14:paraId="717E63AE"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lastRenderedPageBreak/>
        <w:t>1.2 Definitions and Terminology:</w:t>
      </w:r>
    </w:p>
    <w:p w14:paraId="18C2F8CF" w14:textId="77777777" w:rsidR="00EA293E" w:rsidRDefault="00000000">
      <w:pPr>
        <w:spacing w:before="280" w:after="280" w:line="360" w:lineRule="auto"/>
        <w:jc w:val="both"/>
        <w:rPr>
          <w:rFonts w:ascii="Arial" w:eastAsia="Arial" w:hAnsi="Arial" w:cs="Arial"/>
        </w:rPr>
      </w:pPr>
      <w:r>
        <w:rPr>
          <w:rFonts w:ascii="Arial" w:eastAsia="Arial" w:hAnsi="Arial" w:cs="Arial"/>
        </w:rPr>
        <w:t>To ensure clarity, key terms relevant to this dissertation are defined below.</w:t>
      </w:r>
    </w:p>
    <w:p w14:paraId="0ACFD493" w14:textId="77777777" w:rsidR="00EA293E" w:rsidRDefault="00000000">
      <w:pPr>
        <w:numPr>
          <w:ilvl w:val="0"/>
          <w:numId w:val="7"/>
        </w:numPr>
        <w:spacing w:before="280" w:after="0" w:line="360" w:lineRule="auto"/>
        <w:jc w:val="both"/>
      </w:pPr>
      <w:r>
        <w:rPr>
          <w:rFonts w:ascii="Arial" w:eastAsia="Arial" w:hAnsi="Arial" w:cs="Arial"/>
          <w:b/>
        </w:rPr>
        <w:t>Healthcare Workers (HCWs):</w:t>
      </w:r>
      <w:r>
        <w:rPr>
          <w:rFonts w:ascii="Arial" w:eastAsia="Arial" w:hAnsi="Arial" w:cs="Arial"/>
        </w:rPr>
        <w:t xml:space="preserve"> Individuals involved in delivering health or social care services, including nurses, doctors, allied health professionals, support staff, and community health workers (World Health Organization, 2022; Pappa et al., 2020)).</w:t>
      </w:r>
    </w:p>
    <w:p w14:paraId="621AC7CB" w14:textId="77777777" w:rsidR="00EA293E" w:rsidRDefault="00000000">
      <w:pPr>
        <w:numPr>
          <w:ilvl w:val="0"/>
          <w:numId w:val="7"/>
        </w:numPr>
        <w:spacing w:after="0" w:line="360" w:lineRule="auto"/>
        <w:jc w:val="both"/>
      </w:pPr>
      <w:r>
        <w:rPr>
          <w:rFonts w:ascii="Arial" w:eastAsia="Arial" w:hAnsi="Arial" w:cs="Arial"/>
          <w:b/>
        </w:rPr>
        <w:t>Mental Health:</w:t>
      </w:r>
      <w:r>
        <w:rPr>
          <w:rFonts w:ascii="Arial" w:eastAsia="Arial" w:hAnsi="Arial" w:cs="Arial"/>
        </w:rPr>
        <w:t xml:space="preserve"> A state of psychological well-being enabling individuals to cope with everyday stresses, work productively, and contribute to their community (WHO, 2022).</w:t>
      </w:r>
    </w:p>
    <w:p w14:paraId="386FA005" w14:textId="77777777" w:rsidR="00EA293E" w:rsidRDefault="00000000">
      <w:pPr>
        <w:numPr>
          <w:ilvl w:val="0"/>
          <w:numId w:val="7"/>
        </w:numPr>
        <w:spacing w:after="0" w:line="360" w:lineRule="auto"/>
        <w:jc w:val="both"/>
      </w:pPr>
      <w:r>
        <w:rPr>
          <w:rFonts w:ascii="Arial" w:eastAsia="Arial" w:hAnsi="Arial" w:cs="Arial"/>
          <w:b/>
        </w:rPr>
        <w:t>Burnout:</w:t>
      </w:r>
      <w:r>
        <w:rPr>
          <w:rFonts w:ascii="Arial" w:eastAsia="Arial" w:hAnsi="Arial" w:cs="Arial"/>
        </w:rPr>
        <w:t xml:space="preserve"> A work-related syndrome characterised by emotional exhaustion, depersonalisation, and reduced personal accomplishment, often resulting from chronic workplace stress (Rossi et al., 2023).</w:t>
      </w:r>
    </w:p>
    <w:p w14:paraId="2D5AC186" w14:textId="77777777" w:rsidR="00EA293E" w:rsidRDefault="00000000">
      <w:pPr>
        <w:numPr>
          <w:ilvl w:val="0"/>
          <w:numId w:val="7"/>
        </w:numPr>
        <w:spacing w:after="0" w:line="360" w:lineRule="auto"/>
        <w:jc w:val="both"/>
      </w:pPr>
      <w:r>
        <w:rPr>
          <w:rFonts w:ascii="Arial" w:eastAsia="Arial" w:hAnsi="Arial" w:cs="Arial"/>
          <w:b/>
        </w:rPr>
        <w:t>Coping Strategies:</w:t>
      </w:r>
      <w:r>
        <w:rPr>
          <w:rFonts w:ascii="Arial" w:eastAsia="Arial" w:hAnsi="Arial" w:cs="Arial"/>
        </w:rPr>
        <w:t xml:space="preserve"> Cognitive and behavioural efforts used to manage internal or external stressors; typically categorised as task-oriented, emotion-focused, avoidant, or organisational (Anger et al., 2024</w:t>
      </w:r>
      <w:r>
        <w:rPr>
          <w:b/>
        </w:rPr>
        <w:t xml:space="preserve">; </w:t>
      </w:r>
      <w:r>
        <w:rPr>
          <w:rFonts w:ascii="Arial" w:eastAsia="Arial" w:hAnsi="Arial" w:cs="Arial"/>
        </w:rPr>
        <w:t>Serrano-Ripoll et al., 2020).</w:t>
      </w:r>
    </w:p>
    <w:p w14:paraId="0DBF0621" w14:textId="77777777" w:rsidR="00EA293E" w:rsidRDefault="00000000">
      <w:pPr>
        <w:numPr>
          <w:ilvl w:val="0"/>
          <w:numId w:val="7"/>
        </w:numPr>
        <w:spacing w:after="0" w:line="360" w:lineRule="auto"/>
        <w:jc w:val="both"/>
      </w:pPr>
      <w:r>
        <w:rPr>
          <w:rFonts w:ascii="Arial" w:eastAsia="Arial" w:hAnsi="Arial" w:cs="Arial"/>
          <w:b/>
        </w:rPr>
        <w:t>Resilience:</w:t>
      </w:r>
      <w:r>
        <w:rPr>
          <w:rFonts w:ascii="Arial" w:eastAsia="Arial" w:hAnsi="Arial" w:cs="Arial"/>
        </w:rPr>
        <w:t xml:space="preserve"> The capacity to maintain or regain psychological well-being during adversity, including the ability to adapt to stress effectively (Lee et al., 2025).</w:t>
      </w:r>
    </w:p>
    <w:p w14:paraId="745AC84C" w14:textId="77777777" w:rsidR="00EA293E" w:rsidRDefault="00000000">
      <w:pPr>
        <w:numPr>
          <w:ilvl w:val="0"/>
          <w:numId w:val="7"/>
        </w:numPr>
        <w:spacing w:after="0" w:line="360" w:lineRule="auto"/>
        <w:jc w:val="both"/>
      </w:pPr>
      <w:r>
        <w:rPr>
          <w:rFonts w:ascii="Arial" w:eastAsia="Arial" w:hAnsi="Arial" w:cs="Arial"/>
          <w:b/>
        </w:rPr>
        <w:t>COVID-19 Pandemic:</w:t>
      </w:r>
      <w:r>
        <w:rPr>
          <w:rFonts w:ascii="Arial" w:eastAsia="Arial" w:hAnsi="Arial" w:cs="Arial"/>
        </w:rPr>
        <w:t xml:space="preserve"> The global outbreak of coronavirus disease caused by the SARS-CoV-2 virus, declared a pandemic by the WHO in March 2020.</w:t>
      </w:r>
    </w:p>
    <w:p w14:paraId="59C3012C" w14:textId="77777777" w:rsidR="00EA293E" w:rsidRDefault="00000000">
      <w:pPr>
        <w:numPr>
          <w:ilvl w:val="0"/>
          <w:numId w:val="7"/>
        </w:numPr>
        <w:spacing w:after="280" w:line="360" w:lineRule="auto"/>
        <w:jc w:val="both"/>
      </w:pPr>
      <w:r>
        <w:rPr>
          <w:rFonts w:ascii="Arial" w:eastAsia="Arial" w:hAnsi="Arial" w:cs="Arial"/>
          <w:b/>
        </w:rPr>
        <w:t>Well-being:</w:t>
      </w:r>
      <w:r>
        <w:rPr>
          <w:rFonts w:ascii="Arial" w:eastAsia="Arial" w:hAnsi="Arial" w:cs="Arial"/>
        </w:rPr>
        <w:t xml:space="preserve"> A multidimensional concept referring to emotional, psychological, and social health, often influenced by working conditions and support systems (Frias et al., 2025).</w:t>
      </w:r>
    </w:p>
    <w:p w14:paraId="2910CEAD" w14:textId="77777777" w:rsidR="00EA293E" w:rsidRDefault="00000000">
      <w:pPr>
        <w:spacing w:before="280" w:after="280" w:line="360" w:lineRule="auto"/>
        <w:jc w:val="both"/>
        <w:rPr>
          <w:rFonts w:ascii="Arial" w:eastAsia="Arial" w:hAnsi="Arial" w:cs="Arial"/>
        </w:rPr>
      </w:pPr>
      <w:r>
        <w:rPr>
          <w:rFonts w:ascii="Arial" w:eastAsia="Arial" w:hAnsi="Arial" w:cs="Arial"/>
        </w:rPr>
        <w:t>These definitions anchor the conceptual framework used throughout this dissertation and align with current literature in healthcare workforce research.</w:t>
      </w:r>
    </w:p>
    <w:p w14:paraId="04D58696" w14:textId="77777777" w:rsidR="00EA293E" w:rsidRDefault="00EA293E">
      <w:pPr>
        <w:spacing w:after="0" w:line="360" w:lineRule="auto"/>
        <w:jc w:val="both"/>
        <w:rPr>
          <w:rFonts w:ascii="Arial" w:eastAsia="Arial" w:hAnsi="Arial" w:cs="Arial"/>
        </w:rPr>
      </w:pPr>
    </w:p>
    <w:p w14:paraId="0E98E3C4"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1.3 Background and Current Context:</w:t>
      </w:r>
    </w:p>
    <w:p w14:paraId="1A667D51"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1.3.1 Background:</w:t>
      </w:r>
    </w:p>
    <w:p w14:paraId="68E25F38"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Historically, HCWs have faced mental health pressures during infectious disease outbreaks, including SARS (2003), H1N1 (2009), and Ebola (2014). Research from these events demonstrated heightened stress, fear of infection, and long-term psychological consequences among frontline workers (Shanafelt et al., 2020; De Kock et al., 2021). </w:t>
      </w:r>
    </w:p>
    <w:p w14:paraId="4F6BDC88" w14:textId="77777777" w:rsidR="00EA293E" w:rsidRDefault="00000000">
      <w:pPr>
        <w:spacing w:before="280" w:after="280" w:line="360" w:lineRule="auto"/>
        <w:jc w:val="both"/>
        <w:rPr>
          <w:rFonts w:ascii="Arial" w:eastAsia="Arial" w:hAnsi="Arial" w:cs="Arial"/>
        </w:rPr>
      </w:pPr>
      <w:r>
        <w:rPr>
          <w:rFonts w:ascii="Arial" w:eastAsia="Arial" w:hAnsi="Arial" w:cs="Arial"/>
        </w:rPr>
        <w:lastRenderedPageBreak/>
        <w:t>However, the scale and duration of COVID-19 created uniquely complex stressors. By mid-2020, global health systems encountered unprecedented patient surges, resource shortages, and high mortality rates. Early studies reported widespread anxiety, insomnia, depression, and moral injury among HCWs, often linked to ethical dilemmas and prolonged exposure to trauma (Spoorthy et al., 2020;</w:t>
      </w:r>
      <w:r>
        <w:rPr>
          <w:b/>
        </w:rPr>
        <w:t xml:space="preserve"> </w:t>
      </w:r>
      <w:r>
        <w:rPr>
          <w:rFonts w:ascii="Arial" w:eastAsia="Arial" w:hAnsi="Arial" w:cs="Arial"/>
        </w:rPr>
        <w:t>Billings et al., 2021).</w:t>
      </w:r>
    </w:p>
    <w:p w14:paraId="77F82A8A"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1.3.2 Current Context:</w:t>
      </w:r>
    </w:p>
    <w:p w14:paraId="0684E7DF" w14:textId="77777777" w:rsidR="00EA293E" w:rsidRDefault="00000000">
      <w:pPr>
        <w:spacing w:before="280" w:after="280" w:line="360" w:lineRule="auto"/>
        <w:jc w:val="both"/>
        <w:rPr>
          <w:rFonts w:ascii="Arial" w:eastAsia="Arial" w:hAnsi="Arial" w:cs="Arial"/>
        </w:rPr>
      </w:pPr>
      <w:r>
        <w:rPr>
          <w:rFonts w:ascii="Arial" w:eastAsia="Arial" w:hAnsi="Arial" w:cs="Arial"/>
        </w:rPr>
        <w:t>Recent evidence shows mental health impacts have remained persistent, with many HCWs reporting unresolved stressors even in 2023–2025 (Maunder et al., 2024; Mokaya et al., 2025). Systematic reviews have highlighted continued burnout rates and limited declines in psychological distress (Frias et al., 2025;</w:t>
      </w:r>
      <w:r>
        <w:rPr>
          <w:b/>
        </w:rPr>
        <w:t xml:space="preserve"> </w:t>
      </w:r>
      <w:r>
        <w:rPr>
          <w:rFonts w:ascii="Arial" w:eastAsia="Arial" w:hAnsi="Arial" w:cs="Arial"/>
        </w:rPr>
        <w:t>Galanis et al., 2021).</w:t>
      </w:r>
    </w:p>
    <w:p w14:paraId="33C013AE"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 At the same time, coping strategies have diversified, with organisations implementing well-being hubs, resilience training, structured debriefs, and peer-support models. Yet these supports remain inconsistent across healthcare settings, contributing to disparities in well-being outcomes. The need to evaluate these coping strategies and understand their effectiveness is therefore significant for informing future workforce resilience planning (Duarte et al., 2020). </w:t>
      </w:r>
    </w:p>
    <w:p w14:paraId="6ABFC07E"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1.4 Rationale for Research:</w:t>
      </w:r>
    </w:p>
    <w:p w14:paraId="59488A26" w14:textId="77777777" w:rsidR="00EA293E" w:rsidRDefault="00000000">
      <w:pPr>
        <w:spacing w:before="280" w:after="280" w:line="360" w:lineRule="auto"/>
        <w:jc w:val="both"/>
        <w:rPr>
          <w:rFonts w:ascii="Arial" w:eastAsia="Arial" w:hAnsi="Arial" w:cs="Arial"/>
        </w:rPr>
      </w:pPr>
      <w:r>
        <w:rPr>
          <w:rFonts w:ascii="Arial" w:eastAsia="Arial" w:hAnsi="Arial" w:cs="Arial"/>
        </w:rPr>
        <w:t>This research is necessary because, although mental health challenges among HCWs during the COVID-19 pandemic have been extensively documented, there is less clarity regarding the coping strategies adopted and their relative effectiveness. Existing research often focuses on single professional groups (e.g., nurses or physicians) or specific settings, leaving gaps in understanding across diverse roles and health systems (Rossi et al., 2023). Additionally, findings across studies are sometimes contradictory, particularly regarding emotion-focused or avoidant coping, which may be protective in some contexts but detrimental in others (Barello et al., 2020).</w:t>
      </w:r>
    </w:p>
    <w:p w14:paraId="4EE8AE9E" w14:textId="77777777" w:rsidR="00EA293E" w:rsidRDefault="00000000">
      <w:pPr>
        <w:spacing w:line="360" w:lineRule="auto"/>
        <w:jc w:val="both"/>
        <w:rPr>
          <w:rFonts w:ascii="Arial" w:eastAsia="Arial" w:hAnsi="Arial" w:cs="Arial"/>
        </w:rPr>
      </w:pPr>
      <w:r>
        <w:rPr>
          <w:rFonts w:ascii="Arial" w:eastAsia="Arial" w:hAnsi="Arial" w:cs="Arial"/>
        </w:rPr>
        <w:t>There is also a lack of synthesis examining how organisational, social, and personal coping strategies interact. Furthermore, few studies translate findings into concrete policy recommendations despite the urgent need to strengthen health system resilience. By conducting a secondary review of evidence published between 2020 and 2025, this dissertation aims to address these gaps (</w:t>
      </w:r>
      <w:proofErr w:type="spellStart"/>
      <w:r>
        <w:rPr>
          <w:rFonts w:ascii="Arial" w:eastAsia="Arial" w:hAnsi="Arial" w:cs="Arial"/>
        </w:rPr>
        <w:t>Trumello</w:t>
      </w:r>
      <w:proofErr w:type="spellEnd"/>
      <w:r>
        <w:rPr>
          <w:rFonts w:ascii="Arial" w:eastAsia="Arial" w:hAnsi="Arial" w:cs="Arial"/>
        </w:rPr>
        <w:t xml:space="preserve"> et al., 2020).</w:t>
      </w:r>
    </w:p>
    <w:p w14:paraId="4F7FC2EE" w14:textId="77777777" w:rsidR="00EA293E" w:rsidRDefault="00000000">
      <w:pPr>
        <w:spacing w:line="360" w:lineRule="auto"/>
        <w:jc w:val="both"/>
        <w:rPr>
          <w:rFonts w:ascii="Arial" w:eastAsia="Arial" w:hAnsi="Arial" w:cs="Arial"/>
        </w:rPr>
      </w:pPr>
      <w:r>
        <w:rPr>
          <w:rFonts w:ascii="Arial" w:eastAsia="Arial" w:hAnsi="Arial" w:cs="Arial"/>
        </w:rPr>
        <w:lastRenderedPageBreak/>
        <w:t>The research is also motivated by continued workforce shortages, high attrition rates, and persistent burnout levels within health and social care sectors globally.</w:t>
      </w:r>
    </w:p>
    <w:p w14:paraId="73661500"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1.5 Aim and Objectives:</w:t>
      </w:r>
    </w:p>
    <w:p w14:paraId="2E409A76"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1.5.1 Research Aim:</w:t>
      </w:r>
    </w:p>
    <w:p w14:paraId="7F726546" w14:textId="77777777" w:rsidR="00EA293E" w:rsidRDefault="00000000">
      <w:pPr>
        <w:spacing w:before="280" w:after="280" w:line="360" w:lineRule="auto"/>
        <w:jc w:val="both"/>
        <w:rPr>
          <w:rFonts w:ascii="Arial" w:eastAsia="Arial" w:hAnsi="Arial" w:cs="Arial"/>
        </w:rPr>
      </w:pPr>
      <w:r>
        <w:rPr>
          <w:rFonts w:ascii="Arial" w:eastAsia="Arial" w:hAnsi="Arial" w:cs="Arial"/>
        </w:rPr>
        <w:t>To investigate the impact of the COVID-19 pandemic on the mental health of healthcare workers and examine the coping strategies they employed to manage stress, anxiety, and burnout.</w:t>
      </w:r>
    </w:p>
    <w:p w14:paraId="62A42869" w14:textId="77777777" w:rsidR="00EA293E" w:rsidRDefault="00000000">
      <w:pPr>
        <w:numPr>
          <w:ilvl w:val="2"/>
          <w:numId w:val="9"/>
        </w:numPr>
        <w:spacing w:before="280" w:after="0" w:line="360" w:lineRule="auto"/>
        <w:jc w:val="both"/>
        <w:rPr>
          <w:rFonts w:ascii="Arial" w:eastAsia="Arial" w:hAnsi="Arial" w:cs="Arial"/>
          <w:b/>
          <w:sz w:val="24"/>
          <w:szCs w:val="24"/>
        </w:rPr>
      </w:pPr>
      <w:r>
        <w:rPr>
          <w:rFonts w:ascii="Arial" w:eastAsia="Arial" w:hAnsi="Arial" w:cs="Arial"/>
          <w:b/>
          <w:sz w:val="24"/>
          <w:szCs w:val="24"/>
        </w:rPr>
        <w:t>Research Objectives:</w:t>
      </w:r>
    </w:p>
    <w:p w14:paraId="4EAF3942" w14:textId="77777777" w:rsidR="00EA293E" w:rsidRDefault="00000000">
      <w:pPr>
        <w:numPr>
          <w:ilvl w:val="0"/>
          <w:numId w:val="8"/>
        </w:numPr>
        <w:spacing w:after="0" w:line="360" w:lineRule="auto"/>
        <w:jc w:val="both"/>
      </w:pPr>
      <w:r>
        <w:rPr>
          <w:rFonts w:ascii="Arial" w:eastAsia="Arial" w:hAnsi="Arial" w:cs="Arial"/>
        </w:rPr>
        <w:t>Define and examine the psychological impact of the pandemic on healthcare workers across different roles and healthcare settings.</w:t>
      </w:r>
    </w:p>
    <w:p w14:paraId="33346F25" w14:textId="77777777" w:rsidR="00EA293E" w:rsidRDefault="00000000">
      <w:pPr>
        <w:numPr>
          <w:ilvl w:val="0"/>
          <w:numId w:val="8"/>
        </w:numPr>
        <w:spacing w:after="0" w:line="360" w:lineRule="auto"/>
        <w:jc w:val="both"/>
      </w:pPr>
      <w:r>
        <w:rPr>
          <w:rFonts w:ascii="Arial" w:eastAsia="Arial" w:hAnsi="Arial" w:cs="Arial"/>
        </w:rPr>
        <w:t>Analyse the range of coping strategies utilised, including task-oriented, emotion-focused, social, and organisational approaches.</w:t>
      </w:r>
    </w:p>
    <w:p w14:paraId="7D98B3EE" w14:textId="77777777" w:rsidR="00EA293E" w:rsidRDefault="00000000">
      <w:pPr>
        <w:numPr>
          <w:ilvl w:val="0"/>
          <w:numId w:val="8"/>
        </w:numPr>
        <w:spacing w:after="0" w:line="360" w:lineRule="auto"/>
        <w:jc w:val="both"/>
      </w:pPr>
      <w:r>
        <w:rPr>
          <w:rFonts w:ascii="Arial" w:eastAsia="Arial" w:hAnsi="Arial" w:cs="Arial"/>
        </w:rPr>
        <w:t>Evaluate the effectiveness and limitations of these strategies in supporting resilience and well-being.</w:t>
      </w:r>
    </w:p>
    <w:p w14:paraId="663BBB54" w14:textId="77777777" w:rsidR="00EA293E" w:rsidRDefault="00000000">
      <w:pPr>
        <w:numPr>
          <w:ilvl w:val="0"/>
          <w:numId w:val="8"/>
        </w:numPr>
        <w:spacing w:after="0" w:line="360" w:lineRule="auto"/>
        <w:jc w:val="both"/>
      </w:pPr>
      <w:r>
        <w:rPr>
          <w:rFonts w:ascii="Arial" w:eastAsia="Arial" w:hAnsi="Arial" w:cs="Arial"/>
        </w:rPr>
        <w:t xml:space="preserve">Provide recommendations for policy and practice </w:t>
      </w:r>
      <w:proofErr w:type="gramStart"/>
      <w:r>
        <w:rPr>
          <w:rFonts w:ascii="Arial" w:eastAsia="Arial" w:hAnsi="Arial" w:cs="Arial"/>
        </w:rPr>
        <w:t>to strengthen</w:t>
      </w:r>
      <w:proofErr w:type="gramEnd"/>
      <w:r>
        <w:rPr>
          <w:rFonts w:ascii="Arial" w:eastAsia="Arial" w:hAnsi="Arial" w:cs="Arial"/>
        </w:rPr>
        <w:t xml:space="preserve"> healthcare worker support in future public health crises.</w:t>
      </w:r>
    </w:p>
    <w:p w14:paraId="1C8E67C0" w14:textId="77777777" w:rsidR="00EA293E" w:rsidRDefault="00EA293E">
      <w:pPr>
        <w:spacing w:after="0" w:line="360" w:lineRule="auto"/>
        <w:jc w:val="both"/>
        <w:rPr>
          <w:rFonts w:ascii="Arial" w:eastAsia="Arial" w:hAnsi="Arial" w:cs="Arial"/>
        </w:rPr>
      </w:pPr>
    </w:p>
    <w:p w14:paraId="1E2EE940"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1.6 Conclusion:</w:t>
      </w:r>
    </w:p>
    <w:p w14:paraId="08B6EE15" w14:textId="77777777" w:rsidR="00EA293E" w:rsidRDefault="00000000">
      <w:pPr>
        <w:spacing w:line="360" w:lineRule="auto"/>
        <w:jc w:val="both"/>
        <w:rPr>
          <w:rFonts w:ascii="Arial" w:eastAsia="Arial" w:hAnsi="Arial" w:cs="Arial"/>
        </w:rPr>
      </w:pPr>
      <w:r>
        <w:rPr>
          <w:rFonts w:ascii="Arial" w:eastAsia="Arial" w:hAnsi="Arial" w:cs="Arial"/>
        </w:rPr>
        <w:t>This chapter has introduced the scope and significance of exploring healthcare workers’ mental health during the COVID-19 pandemic. It has provided key definitions, contextual background, and a clear rationale for the research, alongside the overarching aim and objectives guiding the study (</w:t>
      </w:r>
      <w:proofErr w:type="spellStart"/>
      <w:r>
        <w:rPr>
          <w:rFonts w:ascii="Arial" w:eastAsia="Arial" w:hAnsi="Arial" w:cs="Arial"/>
        </w:rPr>
        <w:t>Algunmeeyn</w:t>
      </w:r>
      <w:proofErr w:type="spellEnd"/>
      <w:r>
        <w:rPr>
          <w:rFonts w:ascii="Arial" w:eastAsia="Arial" w:hAnsi="Arial" w:cs="Arial"/>
        </w:rPr>
        <w:t xml:space="preserve"> et al., 2020).</w:t>
      </w:r>
    </w:p>
    <w:p w14:paraId="6CD84716" w14:textId="77777777" w:rsidR="00EA293E" w:rsidRDefault="00000000">
      <w:pPr>
        <w:spacing w:before="280" w:after="280" w:line="360" w:lineRule="auto"/>
        <w:jc w:val="both"/>
        <w:rPr>
          <w:rFonts w:ascii="Arial" w:eastAsia="Arial" w:hAnsi="Arial" w:cs="Arial"/>
        </w:rPr>
      </w:pPr>
      <w:r>
        <w:rPr>
          <w:rFonts w:ascii="Arial" w:eastAsia="Arial" w:hAnsi="Arial" w:cs="Arial"/>
        </w:rPr>
        <w:t>The next chapter builds upon this foundation by examining the historical, theoretical, and contextual literature underpinning healthcare workers’ coping strategies and mental health challenges.</w:t>
      </w:r>
    </w:p>
    <w:p w14:paraId="402BFE52" w14:textId="77777777" w:rsidR="00EA293E" w:rsidRDefault="00EA293E">
      <w:pPr>
        <w:spacing w:before="280" w:after="280" w:line="360" w:lineRule="auto"/>
        <w:jc w:val="both"/>
        <w:rPr>
          <w:rFonts w:ascii="Arial" w:eastAsia="Arial" w:hAnsi="Arial" w:cs="Arial"/>
        </w:rPr>
      </w:pPr>
    </w:p>
    <w:p w14:paraId="72C855D8" w14:textId="77777777" w:rsidR="00EA293E" w:rsidRDefault="00EA293E">
      <w:pPr>
        <w:spacing w:before="280" w:after="280" w:line="360" w:lineRule="auto"/>
        <w:jc w:val="both"/>
        <w:rPr>
          <w:rFonts w:ascii="Arial" w:eastAsia="Arial" w:hAnsi="Arial" w:cs="Arial"/>
        </w:rPr>
      </w:pPr>
    </w:p>
    <w:p w14:paraId="0A92394E" w14:textId="77777777" w:rsidR="00EA293E" w:rsidRDefault="00EA293E">
      <w:pPr>
        <w:spacing w:before="280" w:after="280" w:line="360" w:lineRule="auto"/>
        <w:jc w:val="both"/>
        <w:rPr>
          <w:rFonts w:ascii="Arial" w:eastAsia="Arial" w:hAnsi="Arial" w:cs="Arial"/>
        </w:rPr>
      </w:pPr>
    </w:p>
    <w:p w14:paraId="26AD264D" w14:textId="77777777" w:rsidR="00EA293E" w:rsidRDefault="00000000">
      <w:pPr>
        <w:spacing w:before="280" w:after="280" w:line="360" w:lineRule="auto"/>
        <w:jc w:val="both"/>
        <w:rPr>
          <w:rFonts w:ascii="Arial" w:eastAsia="Arial" w:hAnsi="Arial" w:cs="Arial"/>
          <w:sz w:val="32"/>
          <w:szCs w:val="32"/>
        </w:rPr>
      </w:pPr>
      <w:r>
        <w:rPr>
          <w:rFonts w:ascii="Arial" w:eastAsia="Arial" w:hAnsi="Arial" w:cs="Arial"/>
          <w:b/>
          <w:sz w:val="32"/>
          <w:szCs w:val="32"/>
        </w:rPr>
        <w:lastRenderedPageBreak/>
        <w:t>CHAPTER 2: Background</w:t>
      </w:r>
    </w:p>
    <w:p w14:paraId="5BA31DF4"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2.1 Introduction:</w:t>
      </w:r>
    </w:p>
    <w:p w14:paraId="1BC10C82" w14:textId="77777777" w:rsidR="00EA293E" w:rsidRDefault="00000000">
      <w:pPr>
        <w:spacing w:line="360" w:lineRule="auto"/>
        <w:jc w:val="both"/>
        <w:rPr>
          <w:rFonts w:ascii="Arial" w:eastAsia="Arial" w:hAnsi="Arial" w:cs="Arial"/>
        </w:rPr>
      </w:pPr>
      <w:r>
        <w:rPr>
          <w:rFonts w:ascii="Arial" w:eastAsia="Arial" w:hAnsi="Arial" w:cs="Arial"/>
        </w:rPr>
        <w:t>This chapter provides the contextual foundation for the research by examining the historical, theoretical, international, and national dimensions of mental health challenges and coping strategies among healthcare workers (HCWs) during the COVID-19 pandemic. It begins with an exploration of the historical evolution of HCW mental health during previous infectious disease outbreaks, followed by an overview of key theoretical frameworks that guide understanding of stress, coping, and resilience (</w:t>
      </w:r>
      <w:proofErr w:type="spellStart"/>
      <w:r>
        <w:rPr>
          <w:rFonts w:ascii="Arial" w:eastAsia="Arial" w:hAnsi="Arial" w:cs="Arial"/>
        </w:rPr>
        <w:t>Vizheh</w:t>
      </w:r>
      <w:proofErr w:type="spellEnd"/>
      <w:r>
        <w:rPr>
          <w:rFonts w:ascii="Arial" w:eastAsia="Arial" w:hAnsi="Arial" w:cs="Arial"/>
        </w:rPr>
        <w:t xml:space="preserve"> et al., 2020).</w:t>
      </w:r>
    </w:p>
    <w:p w14:paraId="58099C29" w14:textId="77777777" w:rsidR="00EA293E" w:rsidRDefault="00000000">
      <w:pPr>
        <w:spacing w:line="360" w:lineRule="auto"/>
        <w:jc w:val="both"/>
        <w:rPr>
          <w:rFonts w:ascii="Arial" w:eastAsia="Arial" w:hAnsi="Arial" w:cs="Arial"/>
        </w:rPr>
      </w:pPr>
      <w:r>
        <w:rPr>
          <w:rFonts w:ascii="Arial" w:eastAsia="Arial" w:hAnsi="Arial" w:cs="Arial"/>
        </w:rPr>
        <w:t>The chapter then situates the topic within a global context, considering how coping strategies differed across countries and population groups due to variations in health system capacity, cultural norms, and policy responses. Finally, it focuses on the United Kingdom, where the National Health Service (NHS) experienced substantial and sustained workforce pressures. The chapter concludes by explaining how these discussions inform the analytical themes explored in Chapter 4 (Luo et al., 2020).</w:t>
      </w:r>
    </w:p>
    <w:p w14:paraId="03B8AEEF" w14:textId="77777777" w:rsidR="00EA293E" w:rsidRDefault="00EA293E">
      <w:pPr>
        <w:spacing w:after="0" w:line="360" w:lineRule="auto"/>
        <w:jc w:val="both"/>
        <w:rPr>
          <w:rFonts w:ascii="Arial" w:eastAsia="Arial" w:hAnsi="Arial" w:cs="Arial"/>
        </w:rPr>
      </w:pPr>
    </w:p>
    <w:p w14:paraId="5F1BB8BA"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2.2 Historical Background:</w:t>
      </w:r>
    </w:p>
    <w:p w14:paraId="458A905C"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The mental health of HCWs has long been recognised as a significant concern during infectious disease outbreaks. Past crises, including SARS (2003), H1N1 (2009), and Ebola (2014–16), revealed substantial psychological burdens among frontline staff. HCWs frequently reported anxiety, fear of infection, social isolation, and long-term stress symptoms following these outbreaks. During SARS, for example, many healthcare staff experienced persistent post-traumatic stress symptoms and worry about transmitting the virus to their families (Shanafelt, Ripp and </w:t>
      </w:r>
      <w:proofErr w:type="spellStart"/>
      <w:r>
        <w:rPr>
          <w:rFonts w:ascii="Arial" w:eastAsia="Arial" w:hAnsi="Arial" w:cs="Arial"/>
        </w:rPr>
        <w:t>Trockel</w:t>
      </w:r>
      <w:proofErr w:type="spellEnd"/>
      <w:r>
        <w:rPr>
          <w:rFonts w:ascii="Arial" w:eastAsia="Arial" w:hAnsi="Arial" w:cs="Arial"/>
        </w:rPr>
        <w:t>, 2020). These crises highlighted the vulnerability of HCWs and the importance of organisational preparedness, communication, and psychosocial support.</w:t>
      </w:r>
    </w:p>
    <w:p w14:paraId="6FD0FCA0"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The COVID-19 pandemic differed significantly from prior outbreaks in scale, duration, and global impact. From early 2020, HCWs were exposed to unprecedented levels of psychological strain as they faced rapidly increasing hospitalisations, PPE shortages, changing care protocols, and high mortality rates. Studies conducted during the early months of the pandemic documented widespread anxiety, depression, insomnia, and burnout among HCWs (Spoorthy, Pratapa and Mahant, 2020). Unlike earlier outbreaks, which were often </w:t>
      </w:r>
      <w:r>
        <w:rPr>
          <w:rFonts w:ascii="Arial" w:eastAsia="Arial" w:hAnsi="Arial" w:cs="Arial"/>
        </w:rPr>
        <w:lastRenderedPageBreak/>
        <w:t>geographically contained or short-lived, COVID-19 spanned several years, with multiple peaks of infection, creating prolonged rather than episodic stress.</w:t>
      </w:r>
    </w:p>
    <w:p w14:paraId="3F7872D9" w14:textId="77777777" w:rsidR="00EA293E" w:rsidRDefault="00000000">
      <w:pPr>
        <w:spacing w:before="280" w:after="280" w:line="360" w:lineRule="auto"/>
        <w:jc w:val="both"/>
        <w:rPr>
          <w:rFonts w:ascii="Arial" w:eastAsia="Arial" w:hAnsi="Arial" w:cs="Arial"/>
        </w:rPr>
      </w:pPr>
      <w:r>
        <w:rPr>
          <w:rFonts w:ascii="Arial" w:eastAsia="Arial" w:hAnsi="Arial" w:cs="Arial"/>
        </w:rPr>
        <w:t>Organisations and governments eventually implemented mental health support measures to protect HCWs. The World Health Organization (2022) issued guidance emphasising the need for psychosocial support, safe working environments, and accessible mental health services. National bodies followed suit. Public Health England (2020) highlighted the essential role of adequate PPE, infection-control training, and accessible psychological support to reduce HCW stress and promote safety. In the UK, NHS England (2021) established Staff Mental Health and Wellbeing Hubs to provide counselling, psychological therapy, and rapid specialist referrals for HCWs.</w:t>
      </w:r>
    </w:p>
    <w:p w14:paraId="0ADAB7E4"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Despite these interventions, many HCWs experienced persistent psychological difficulties. Longitudinal evidence from hospitals showed that burnout, stress, and trauma symptoms continued for years into the pandemic (Maunder et al., 2024). This historical trajectory demonstrates that pandemics not only produce acute mental health crises but also create prolonged, cumulative psychological harm. It also shows that organisational responses often </w:t>
      </w:r>
      <w:proofErr w:type="gramStart"/>
      <w:r>
        <w:rPr>
          <w:rFonts w:ascii="Arial" w:eastAsia="Arial" w:hAnsi="Arial" w:cs="Arial"/>
        </w:rPr>
        <w:t>lag behind</w:t>
      </w:r>
      <w:proofErr w:type="gramEnd"/>
      <w:r>
        <w:rPr>
          <w:rFonts w:ascii="Arial" w:eastAsia="Arial" w:hAnsi="Arial" w:cs="Arial"/>
        </w:rPr>
        <w:t xml:space="preserve"> workforce needs, reinforcing the importance of studying coping strategies and stressors in depth.</w:t>
      </w:r>
    </w:p>
    <w:p w14:paraId="03CD5D21" w14:textId="77777777" w:rsidR="00EA293E" w:rsidRDefault="00EA293E">
      <w:pPr>
        <w:spacing w:after="0" w:line="360" w:lineRule="auto"/>
        <w:jc w:val="both"/>
        <w:rPr>
          <w:rFonts w:ascii="Arial" w:eastAsia="Arial" w:hAnsi="Arial" w:cs="Arial"/>
          <w:sz w:val="28"/>
          <w:szCs w:val="28"/>
        </w:rPr>
      </w:pPr>
    </w:p>
    <w:p w14:paraId="787A7069"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2.3 Theoretical Background:</w:t>
      </w:r>
    </w:p>
    <w:p w14:paraId="0C37598B" w14:textId="77777777" w:rsidR="00EA293E" w:rsidRDefault="00000000">
      <w:pPr>
        <w:spacing w:before="280" w:after="280" w:line="360" w:lineRule="auto"/>
        <w:jc w:val="both"/>
        <w:rPr>
          <w:rFonts w:ascii="Arial" w:eastAsia="Arial" w:hAnsi="Arial" w:cs="Arial"/>
        </w:rPr>
      </w:pPr>
      <w:proofErr w:type="gramStart"/>
      <w:r>
        <w:rPr>
          <w:rFonts w:ascii="Arial" w:eastAsia="Arial" w:hAnsi="Arial" w:cs="Arial"/>
        </w:rPr>
        <w:t>A number of</w:t>
      </w:r>
      <w:proofErr w:type="gramEnd"/>
      <w:r>
        <w:rPr>
          <w:rFonts w:ascii="Arial" w:eastAsia="Arial" w:hAnsi="Arial" w:cs="Arial"/>
        </w:rPr>
        <w:t xml:space="preserve"> theoretical frameworks support understanding of how HCWs experience and cope with psychological stress during pandemics.</w:t>
      </w:r>
    </w:p>
    <w:p w14:paraId="4272E477"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2.3.1 Stress and Coping Theory:</w:t>
      </w:r>
    </w:p>
    <w:p w14:paraId="4CB38132"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One of the most influential frameworks is Lazarus and Folkman’s Stress and Coping Theory. It posits that stress results not only from external demands but also from individuals’ appraisal of those demands and the strategies used to manage them. Coping strategies are typically categorised into problem-focused coping—actions aimed at managing the source of stress—and emotion-focused coping, which aims to regulate emotional responses. Studies during COVID-19 showed that HCWs used both forms of coping: problem-focused strategies such as information seeking, adherence to safety protocols, and skill acquisition; and emotion-focused strategies including mindfulness, peer support, and psychological distancing (Rossi et al., 2023). Research indicates that adaptive coping strategies are associated with lower </w:t>
      </w:r>
      <w:r>
        <w:rPr>
          <w:rFonts w:ascii="Arial" w:eastAsia="Arial" w:hAnsi="Arial" w:cs="Arial"/>
        </w:rPr>
        <w:lastRenderedPageBreak/>
        <w:t>psychological distress, whereas avoidance or maladaptive coping often correlates with heightened burnout.</w:t>
      </w:r>
    </w:p>
    <w:p w14:paraId="1D703E72"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2.3.2 Job Demands–Resources (JD-R) Model:</w:t>
      </w:r>
    </w:p>
    <w:p w14:paraId="761868BD" w14:textId="77777777" w:rsidR="00EA293E" w:rsidRDefault="00000000">
      <w:pPr>
        <w:spacing w:before="280" w:after="280" w:line="360" w:lineRule="auto"/>
        <w:jc w:val="both"/>
        <w:rPr>
          <w:rFonts w:ascii="Arial" w:eastAsia="Arial" w:hAnsi="Arial" w:cs="Arial"/>
        </w:rPr>
      </w:pPr>
      <w:r>
        <w:rPr>
          <w:rFonts w:ascii="Arial" w:eastAsia="Arial" w:hAnsi="Arial" w:cs="Arial"/>
        </w:rPr>
        <w:t>The JD-R model offers a more systemic perspective. According to this model, job demands—such as workload, emotional strain, and uncertainty—lead to burnout when not balanced by adequate job resources, such as support, autonomy, and organisational structure (Bakker and Demerouti, 2017). During COVID-19, HCWs faced increased job demands and reduced resources, reflecting severe staffing shortages, lack of respite, limited PPE, and the complexity of caring for critically ill patients. Empirical research during the pandemic demonstrated that insufficient organisational resources were strong predictors of HCW burnout and emotional exhaustion (Anger et al., 2024). A diary-based study by Mazzetti et al. (2025) further found that day-to-day variations in job demands and resources corresponded with fluctuations in stress and well-being.</w:t>
      </w:r>
    </w:p>
    <w:p w14:paraId="217705E2"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2.3.3 Individual and Organisational Resilience Theory:</w:t>
      </w:r>
    </w:p>
    <w:p w14:paraId="6E29863E" w14:textId="77777777" w:rsidR="00EA293E" w:rsidRDefault="00000000">
      <w:pPr>
        <w:spacing w:before="280" w:after="280" w:line="360" w:lineRule="auto"/>
        <w:jc w:val="both"/>
        <w:rPr>
          <w:rFonts w:ascii="Arial" w:eastAsia="Arial" w:hAnsi="Arial" w:cs="Arial"/>
        </w:rPr>
      </w:pPr>
      <w:r>
        <w:rPr>
          <w:rFonts w:ascii="Arial" w:eastAsia="Arial" w:hAnsi="Arial" w:cs="Arial"/>
        </w:rPr>
        <w:t>Resilience theory contributes an additional dimension, emphasising individuals’ capacity to adapt to adversity. For HCWs, resilience involves personal attributes such as emotional regulation, optimism, and a sense of purpose, as well as external support from colleagues, family, and supervisors (</w:t>
      </w:r>
      <w:proofErr w:type="spellStart"/>
      <w:r>
        <w:rPr>
          <w:rFonts w:ascii="Arial" w:eastAsia="Arial" w:hAnsi="Arial" w:cs="Arial"/>
        </w:rPr>
        <w:t>Labrague</w:t>
      </w:r>
      <w:proofErr w:type="spellEnd"/>
      <w:r>
        <w:rPr>
          <w:rFonts w:ascii="Arial" w:eastAsia="Arial" w:hAnsi="Arial" w:cs="Arial"/>
        </w:rPr>
        <w:t xml:space="preserve">, 2021). Newer conceptualisations highlight </w:t>
      </w:r>
      <w:r>
        <w:rPr>
          <w:rFonts w:ascii="Arial" w:eastAsia="Arial" w:hAnsi="Arial" w:cs="Arial"/>
          <w:b/>
        </w:rPr>
        <w:t>organisational resilience</w:t>
      </w:r>
      <w:r>
        <w:rPr>
          <w:rFonts w:ascii="Arial" w:eastAsia="Arial" w:hAnsi="Arial" w:cs="Arial"/>
        </w:rPr>
        <w:t>, which refers to the structures and systems that enable a supportive, adaptive work environment. Oprea et al. (2025) found that meso-level organisational factors—including team cohesion, managerial support, communication quality, and work design—were central to HCW resilience during COVID-19.</w:t>
      </w:r>
    </w:p>
    <w:p w14:paraId="4A0FDBE1"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2.3.4 Critical Evaluation of Theories:</w:t>
      </w:r>
    </w:p>
    <w:p w14:paraId="5D731B2E" w14:textId="77777777" w:rsidR="00EA293E" w:rsidRDefault="00000000">
      <w:pPr>
        <w:spacing w:before="280" w:after="280" w:line="360" w:lineRule="auto"/>
        <w:jc w:val="both"/>
        <w:rPr>
          <w:rFonts w:ascii="Arial" w:eastAsia="Arial" w:hAnsi="Arial" w:cs="Arial"/>
        </w:rPr>
      </w:pPr>
      <w:r>
        <w:rPr>
          <w:rFonts w:ascii="Arial" w:eastAsia="Arial" w:hAnsi="Arial" w:cs="Arial"/>
        </w:rPr>
        <w:t>While the above frameworks provide valuable insights, each has limitations. Stress and Coping Theory focuses heavily on individual appraisal, potentially overlooking structural barriers that limit coping options. The JD-R model accounts for organisational influences but does not fully address moral injury—psychological harm caused by witnessing or participating in ethically distressing scenarios. Resilience theory risks placing responsibility on individuals if organisational environments are inadequate. These limitations suggest that an integrated theoretical approach is needed—one that accounts for individual, organisational, and systemic influences on HCW mental health.</w:t>
      </w:r>
    </w:p>
    <w:p w14:paraId="23E6A8C0" w14:textId="77777777" w:rsidR="00EA293E" w:rsidRDefault="00000000">
      <w:pPr>
        <w:spacing w:before="280" w:after="280" w:line="360" w:lineRule="auto"/>
        <w:jc w:val="both"/>
        <w:rPr>
          <w:rFonts w:ascii="Arial" w:eastAsia="Arial" w:hAnsi="Arial" w:cs="Arial"/>
          <w:sz w:val="28"/>
          <w:szCs w:val="28"/>
        </w:rPr>
      </w:pPr>
      <w:r>
        <w:rPr>
          <w:rFonts w:ascii="Arial" w:eastAsia="Arial" w:hAnsi="Arial" w:cs="Arial"/>
          <w:b/>
          <w:sz w:val="28"/>
          <w:szCs w:val="28"/>
        </w:rPr>
        <w:lastRenderedPageBreak/>
        <w:t>2.4 International Context:</w:t>
      </w:r>
    </w:p>
    <w:p w14:paraId="62E49CF3" w14:textId="77777777" w:rsidR="00EA293E" w:rsidRDefault="00000000">
      <w:pPr>
        <w:spacing w:before="280" w:after="280" w:line="360" w:lineRule="auto"/>
        <w:jc w:val="both"/>
        <w:rPr>
          <w:rFonts w:ascii="Arial" w:eastAsia="Arial" w:hAnsi="Arial" w:cs="Arial"/>
        </w:rPr>
      </w:pPr>
      <w:r>
        <w:rPr>
          <w:rFonts w:ascii="Arial" w:eastAsia="Arial" w:hAnsi="Arial" w:cs="Arial"/>
        </w:rPr>
        <w:t>Globally, the mental health effects of COVID-19 on HCWs varied due to differences in health system capacity, cultural norms, and pandemic severity.</w:t>
      </w:r>
    </w:p>
    <w:p w14:paraId="7765EFE3" w14:textId="77777777" w:rsidR="00EA293E" w:rsidRDefault="00000000">
      <w:pPr>
        <w:spacing w:before="280" w:after="280" w:line="360" w:lineRule="auto"/>
        <w:jc w:val="both"/>
        <w:rPr>
          <w:rFonts w:ascii="Arial" w:eastAsia="Arial" w:hAnsi="Arial" w:cs="Arial"/>
          <w:b/>
        </w:rPr>
      </w:pPr>
      <w:r>
        <w:rPr>
          <w:rFonts w:ascii="Arial" w:eastAsia="Arial" w:hAnsi="Arial" w:cs="Arial"/>
          <w:b/>
          <w:sz w:val="24"/>
          <w:szCs w:val="24"/>
        </w:rPr>
        <w:t>2.4.1 High-Income Countries:</w:t>
      </w:r>
      <w:r>
        <w:rPr>
          <w:rFonts w:ascii="Arial" w:eastAsia="Arial" w:hAnsi="Arial" w:cs="Arial"/>
          <w:b/>
        </w:rPr>
        <w:t xml:space="preserve"> </w:t>
      </w:r>
    </w:p>
    <w:p w14:paraId="1CB0E0F6" w14:textId="77777777" w:rsidR="00EA293E" w:rsidRDefault="00000000">
      <w:pPr>
        <w:spacing w:before="280" w:after="280" w:line="360" w:lineRule="auto"/>
        <w:jc w:val="both"/>
        <w:rPr>
          <w:rFonts w:ascii="Arial" w:eastAsia="Arial" w:hAnsi="Arial" w:cs="Arial"/>
          <w:b/>
        </w:rPr>
      </w:pPr>
      <w:r>
        <w:rPr>
          <w:rFonts w:ascii="Arial" w:eastAsia="Arial" w:hAnsi="Arial" w:cs="Arial"/>
        </w:rPr>
        <w:t>In high-income countries such as the United States, Italy, Taiwan, and the UK, HCWs reported high levels of anxiety, depression, burnout, and moral injury during the pandemic (Rossi et al., 2023). Structured organisational coping strategies were more commonly available in these countries. Examples included resilience training, psychological helplines, clinical debriefings, and dedicated well-being hubs. However, despite these interventions, uptake was inconsistent due to workload pressures, stigma, and time constraints. In Taiwan, a 2025 study found that resilience among critical care HCWs correlated strongly with lower burnout, and social support from colleagues and family emerged as the most common coping strategy (Lee et al., 2025).</w:t>
      </w:r>
    </w:p>
    <w:p w14:paraId="48B2FCD5" w14:textId="77777777" w:rsidR="00EA293E" w:rsidRDefault="00000000">
      <w:pPr>
        <w:spacing w:before="280" w:after="280" w:line="360" w:lineRule="auto"/>
        <w:jc w:val="both"/>
        <w:rPr>
          <w:rFonts w:ascii="Arial" w:eastAsia="Arial" w:hAnsi="Arial" w:cs="Arial"/>
          <w:b/>
        </w:rPr>
      </w:pPr>
      <w:r>
        <w:rPr>
          <w:rFonts w:ascii="Arial" w:eastAsia="Arial" w:hAnsi="Arial" w:cs="Arial"/>
          <w:b/>
          <w:sz w:val="24"/>
          <w:szCs w:val="24"/>
        </w:rPr>
        <w:t>2.4.2 Low- and Middle-Income Countries (LMICs):</w:t>
      </w:r>
      <w:r>
        <w:rPr>
          <w:rFonts w:ascii="Arial" w:eastAsia="Arial" w:hAnsi="Arial" w:cs="Arial"/>
          <w:b/>
        </w:rPr>
        <w:t xml:space="preserve"> </w:t>
      </w:r>
    </w:p>
    <w:p w14:paraId="159A4B74" w14:textId="77777777" w:rsidR="00EA293E" w:rsidRDefault="00000000">
      <w:pPr>
        <w:spacing w:before="280" w:after="280" w:line="360" w:lineRule="auto"/>
        <w:jc w:val="both"/>
        <w:rPr>
          <w:rFonts w:ascii="Arial" w:eastAsia="Arial" w:hAnsi="Arial" w:cs="Arial"/>
          <w:b/>
        </w:rPr>
      </w:pPr>
      <w:r>
        <w:rPr>
          <w:rFonts w:ascii="Arial" w:eastAsia="Arial" w:hAnsi="Arial" w:cs="Arial"/>
        </w:rPr>
        <w:t>HCWs in LMICs often faced greater systemic challenges, including resource scarcity, limited PPE, weak mental health infrastructures, and heavy workloads. Coping strategies in these settings often relied on social networks, community solidarity, and religious coping (</w:t>
      </w:r>
      <w:proofErr w:type="spellStart"/>
      <w:r>
        <w:rPr>
          <w:rFonts w:ascii="Arial" w:eastAsia="Arial" w:hAnsi="Arial" w:cs="Arial"/>
        </w:rPr>
        <w:t>Gyamerah</w:t>
      </w:r>
      <w:proofErr w:type="spellEnd"/>
      <w:r>
        <w:rPr>
          <w:rFonts w:ascii="Arial" w:eastAsia="Arial" w:hAnsi="Arial" w:cs="Arial"/>
        </w:rPr>
        <w:t xml:space="preserve"> et al., 2025). Organisational mental health support was variable, and many HCWs had to rely on informal, culturally rooted strategies.</w:t>
      </w:r>
    </w:p>
    <w:p w14:paraId="5B4D4CF9" w14:textId="77777777" w:rsidR="00EA293E" w:rsidRDefault="00000000">
      <w:pPr>
        <w:spacing w:before="280" w:after="280" w:line="360" w:lineRule="auto"/>
        <w:jc w:val="both"/>
        <w:rPr>
          <w:rFonts w:ascii="Arial" w:eastAsia="Arial" w:hAnsi="Arial" w:cs="Arial"/>
        </w:rPr>
      </w:pPr>
      <w:r>
        <w:rPr>
          <w:rFonts w:ascii="Arial" w:eastAsia="Arial" w:hAnsi="Arial" w:cs="Arial"/>
          <w:b/>
          <w:sz w:val="24"/>
          <w:szCs w:val="24"/>
        </w:rPr>
        <w:t>2.4.3 Global Institutional Responses:</w:t>
      </w:r>
      <w:r>
        <w:rPr>
          <w:rFonts w:ascii="Arial" w:eastAsia="Arial" w:hAnsi="Arial" w:cs="Arial"/>
          <w:b/>
        </w:rPr>
        <w:t xml:space="preserve"> </w:t>
      </w:r>
    </w:p>
    <w:p w14:paraId="3F8ED043" w14:textId="77777777" w:rsidR="00EA293E" w:rsidRDefault="00000000">
      <w:pPr>
        <w:spacing w:before="280" w:after="280" w:line="360" w:lineRule="auto"/>
        <w:jc w:val="both"/>
        <w:rPr>
          <w:rFonts w:ascii="Arial" w:eastAsia="Arial" w:hAnsi="Arial" w:cs="Arial"/>
          <w:b/>
        </w:rPr>
      </w:pPr>
      <w:r>
        <w:rPr>
          <w:rFonts w:ascii="Arial" w:eastAsia="Arial" w:hAnsi="Arial" w:cs="Arial"/>
        </w:rPr>
        <w:t>International policy bodies responded to growing concerns. The World Health Organization (2022) published guidance urging healthcare institutions to adopt measures such as peer support systems, mental health hotlines, and flexible working practices. These recommendations emphasised that HCW well-being is a cornerstone of resilient health systems.</w:t>
      </w:r>
    </w:p>
    <w:p w14:paraId="64D87214" w14:textId="77777777" w:rsidR="00EA293E" w:rsidRDefault="00000000">
      <w:pPr>
        <w:spacing w:before="280" w:after="280" w:line="360" w:lineRule="auto"/>
        <w:jc w:val="both"/>
        <w:rPr>
          <w:rFonts w:ascii="Arial" w:eastAsia="Arial" w:hAnsi="Arial" w:cs="Arial"/>
        </w:rPr>
      </w:pPr>
      <w:r>
        <w:rPr>
          <w:rFonts w:ascii="Arial" w:eastAsia="Arial" w:hAnsi="Arial" w:cs="Arial"/>
        </w:rPr>
        <w:t>Despite these global efforts, implementation remained uneven. Variations in resources, policy prioritisation, and cultural attitudes toward mental health contributed to differences in coping outcomes. This highlights the importance of synthesising contextualised evidence across countries.</w:t>
      </w:r>
    </w:p>
    <w:p w14:paraId="5E9D5E01" w14:textId="77777777" w:rsidR="00EA293E" w:rsidRDefault="00EA293E">
      <w:pPr>
        <w:spacing w:before="280" w:after="280" w:line="360" w:lineRule="auto"/>
        <w:jc w:val="both"/>
        <w:rPr>
          <w:rFonts w:ascii="Arial" w:eastAsia="Arial" w:hAnsi="Arial" w:cs="Arial"/>
        </w:rPr>
      </w:pPr>
    </w:p>
    <w:p w14:paraId="562C260D" w14:textId="77777777" w:rsidR="00EA293E" w:rsidRDefault="00000000">
      <w:pPr>
        <w:pStyle w:val="Heading2"/>
        <w:rPr>
          <w:rFonts w:ascii="Arial" w:eastAsia="Arial" w:hAnsi="Arial" w:cs="Arial"/>
          <w:b/>
          <w:color w:val="000000"/>
          <w:sz w:val="22"/>
          <w:szCs w:val="22"/>
        </w:rPr>
      </w:pPr>
      <w:r>
        <w:rPr>
          <w:rFonts w:ascii="Arial" w:eastAsia="Arial" w:hAnsi="Arial" w:cs="Arial"/>
          <w:b/>
          <w:color w:val="000000"/>
          <w:sz w:val="22"/>
          <w:szCs w:val="22"/>
        </w:rPr>
        <w:lastRenderedPageBreak/>
        <w:t>Figure 1: Coping Strategies Across Contexts</w:t>
      </w:r>
    </w:p>
    <w:p w14:paraId="76BCAAD1" w14:textId="77777777" w:rsidR="00EA293E" w:rsidRDefault="00000000">
      <w:pPr>
        <w:spacing w:line="360" w:lineRule="auto"/>
        <w:rPr>
          <w:rFonts w:ascii="Arial" w:eastAsia="Arial" w:hAnsi="Arial" w:cs="Arial"/>
        </w:rPr>
      </w:pPr>
      <w:r>
        <w:rPr>
          <w:rFonts w:ascii="Arial" w:eastAsia="Arial" w:hAnsi="Arial" w:cs="Arial"/>
        </w:rPr>
        <w:t>Figure 1 illustrates the different levels at which healthcare workers (HCWs) employed coping strategies during the COVID-19 pandemic, highlighting individual, organisational, and systemic influences.</w:t>
      </w:r>
    </w:p>
    <w:tbl>
      <w:tblPr>
        <w:tblStyle w:val="a"/>
        <w:tblW w:w="86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80"/>
        <w:gridCol w:w="2880"/>
        <w:gridCol w:w="2880"/>
      </w:tblGrid>
      <w:tr w:rsidR="00EA293E" w14:paraId="191B673A" w14:textId="77777777">
        <w:tc>
          <w:tcPr>
            <w:tcW w:w="2880" w:type="dxa"/>
            <w:shd w:val="clear" w:color="auto" w:fill="FFC000"/>
          </w:tcPr>
          <w:p w14:paraId="3EF21BEC" w14:textId="77777777" w:rsidR="00EA293E" w:rsidRDefault="00000000">
            <w:pPr>
              <w:rPr>
                <w:rFonts w:ascii="Arial" w:eastAsia="Arial" w:hAnsi="Arial" w:cs="Arial"/>
                <w:b/>
              </w:rPr>
            </w:pPr>
            <w:r>
              <w:rPr>
                <w:rFonts w:ascii="Arial" w:eastAsia="Arial" w:hAnsi="Arial" w:cs="Arial"/>
                <w:b/>
              </w:rPr>
              <w:t>Individual Coping Strategies</w:t>
            </w:r>
          </w:p>
        </w:tc>
        <w:tc>
          <w:tcPr>
            <w:tcW w:w="2880" w:type="dxa"/>
            <w:shd w:val="clear" w:color="auto" w:fill="FFC000"/>
          </w:tcPr>
          <w:p w14:paraId="6925FA48" w14:textId="77777777" w:rsidR="00EA293E" w:rsidRDefault="00000000">
            <w:pPr>
              <w:rPr>
                <w:rFonts w:ascii="Arial" w:eastAsia="Arial" w:hAnsi="Arial" w:cs="Arial"/>
                <w:b/>
              </w:rPr>
            </w:pPr>
            <w:r>
              <w:rPr>
                <w:rFonts w:ascii="Arial" w:eastAsia="Arial" w:hAnsi="Arial" w:cs="Arial"/>
                <w:b/>
              </w:rPr>
              <w:t>Organisational Coping Strategies</w:t>
            </w:r>
          </w:p>
        </w:tc>
        <w:tc>
          <w:tcPr>
            <w:tcW w:w="2880" w:type="dxa"/>
            <w:shd w:val="clear" w:color="auto" w:fill="FFC000"/>
          </w:tcPr>
          <w:p w14:paraId="70FF9C48" w14:textId="77777777" w:rsidR="00EA293E" w:rsidRDefault="00000000">
            <w:pPr>
              <w:rPr>
                <w:rFonts w:ascii="Arial" w:eastAsia="Arial" w:hAnsi="Arial" w:cs="Arial"/>
                <w:b/>
              </w:rPr>
            </w:pPr>
            <w:r>
              <w:rPr>
                <w:rFonts w:ascii="Arial" w:eastAsia="Arial" w:hAnsi="Arial" w:cs="Arial"/>
                <w:b/>
              </w:rPr>
              <w:t>Systemic / Structural Factors</w:t>
            </w:r>
          </w:p>
        </w:tc>
      </w:tr>
      <w:tr w:rsidR="00EA293E" w14:paraId="0E41537A" w14:textId="77777777">
        <w:tc>
          <w:tcPr>
            <w:tcW w:w="2880" w:type="dxa"/>
            <w:shd w:val="clear" w:color="auto" w:fill="5B9BD5"/>
          </w:tcPr>
          <w:p w14:paraId="4B53D34B" w14:textId="77777777" w:rsidR="00EA293E" w:rsidRDefault="00000000">
            <w:pPr>
              <w:rPr>
                <w:rFonts w:ascii="Arial" w:eastAsia="Arial" w:hAnsi="Arial" w:cs="Arial"/>
              </w:rPr>
            </w:pPr>
            <w:r>
              <w:rPr>
                <w:rFonts w:ascii="Arial" w:eastAsia="Arial" w:hAnsi="Arial" w:cs="Arial"/>
              </w:rPr>
              <w:t>• Mindfulness and relaxation techniques</w:t>
            </w:r>
            <w:r>
              <w:rPr>
                <w:rFonts w:ascii="Arial" w:eastAsia="Arial" w:hAnsi="Arial" w:cs="Arial"/>
              </w:rPr>
              <w:br/>
              <w:t>• Emotional regulation</w:t>
            </w:r>
            <w:r>
              <w:rPr>
                <w:rFonts w:ascii="Arial" w:eastAsia="Arial" w:hAnsi="Arial" w:cs="Arial"/>
              </w:rPr>
              <w:br/>
              <w:t>• Problem-solving skills</w:t>
            </w:r>
            <w:r>
              <w:rPr>
                <w:rFonts w:ascii="Arial" w:eastAsia="Arial" w:hAnsi="Arial" w:cs="Arial"/>
              </w:rPr>
              <w:br/>
              <w:t>• Seeking peer support</w:t>
            </w:r>
          </w:p>
        </w:tc>
        <w:tc>
          <w:tcPr>
            <w:tcW w:w="2880" w:type="dxa"/>
            <w:shd w:val="clear" w:color="auto" w:fill="5B9BD5"/>
          </w:tcPr>
          <w:p w14:paraId="69DDB910" w14:textId="77777777" w:rsidR="00EA293E" w:rsidRDefault="00000000">
            <w:pPr>
              <w:rPr>
                <w:rFonts w:ascii="Arial" w:eastAsia="Arial" w:hAnsi="Arial" w:cs="Arial"/>
              </w:rPr>
            </w:pPr>
            <w:r>
              <w:rPr>
                <w:rFonts w:ascii="Arial" w:eastAsia="Arial" w:hAnsi="Arial" w:cs="Arial"/>
              </w:rPr>
              <w:t>• Wellbeing hubs</w:t>
            </w:r>
            <w:r>
              <w:rPr>
                <w:rFonts w:ascii="Arial" w:eastAsia="Arial" w:hAnsi="Arial" w:cs="Arial"/>
              </w:rPr>
              <w:br/>
              <w:t>• Clinical supervision</w:t>
            </w:r>
            <w:r>
              <w:rPr>
                <w:rFonts w:ascii="Arial" w:eastAsia="Arial" w:hAnsi="Arial" w:cs="Arial"/>
              </w:rPr>
              <w:br/>
              <w:t>• Team debriefings</w:t>
            </w:r>
            <w:r>
              <w:rPr>
                <w:rFonts w:ascii="Arial" w:eastAsia="Arial" w:hAnsi="Arial" w:cs="Arial"/>
              </w:rPr>
              <w:br/>
              <w:t>• Leadership support</w:t>
            </w:r>
            <w:r>
              <w:rPr>
                <w:rFonts w:ascii="Arial" w:eastAsia="Arial" w:hAnsi="Arial" w:cs="Arial"/>
              </w:rPr>
              <w:br/>
              <w:t>• Flexible working arrangements</w:t>
            </w:r>
          </w:p>
        </w:tc>
        <w:tc>
          <w:tcPr>
            <w:tcW w:w="2880" w:type="dxa"/>
            <w:shd w:val="clear" w:color="auto" w:fill="5B9BD5"/>
          </w:tcPr>
          <w:p w14:paraId="7A118C53" w14:textId="77777777" w:rsidR="00EA293E" w:rsidRDefault="00000000">
            <w:pPr>
              <w:rPr>
                <w:rFonts w:ascii="Arial" w:eastAsia="Arial" w:hAnsi="Arial" w:cs="Arial"/>
              </w:rPr>
            </w:pPr>
            <w:r>
              <w:rPr>
                <w:rFonts w:ascii="Arial" w:eastAsia="Arial" w:hAnsi="Arial" w:cs="Arial"/>
              </w:rPr>
              <w:t>• Health system capacity</w:t>
            </w:r>
            <w:r>
              <w:rPr>
                <w:rFonts w:ascii="Arial" w:eastAsia="Arial" w:hAnsi="Arial" w:cs="Arial"/>
              </w:rPr>
              <w:br/>
              <w:t>• Availability of PPE</w:t>
            </w:r>
            <w:r>
              <w:rPr>
                <w:rFonts w:ascii="Arial" w:eastAsia="Arial" w:hAnsi="Arial" w:cs="Arial"/>
              </w:rPr>
              <w:br/>
              <w:t>• Staffing levels</w:t>
            </w:r>
            <w:r>
              <w:rPr>
                <w:rFonts w:ascii="Arial" w:eastAsia="Arial" w:hAnsi="Arial" w:cs="Arial"/>
              </w:rPr>
              <w:br/>
              <w:t>• National mental health policy</w:t>
            </w:r>
            <w:r>
              <w:rPr>
                <w:rFonts w:ascii="Arial" w:eastAsia="Arial" w:hAnsi="Arial" w:cs="Arial"/>
              </w:rPr>
              <w:br/>
              <w:t>• Cultural attitudes to mental health</w:t>
            </w:r>
          </w:p>
        </w:tc>
      </w:tr>
    </w:tbl>
    <w:p w14:paraId="7B2C2497" w14:textId="77777777" w:rsidR="00EA293E" w:rsidRDefault="00EA293E">
      <w:pPr>
        <w:spacing w:line="360" w:lineRule="auto"/>
        <w:rPr>
          <w:rFonts w:ascii="Arial" w:eastAsia="Arial" w:hAnsi="Arial" w:cs="Arial"/>
        </w:rPr>
      </w:pPr>
    </w:p>
    <w:p w14:paraId="6784BAAD" w14:textId="77777777" w:rsidR="00EA293E" w:rsidRDefault="00000000">
      <w:pPr>
        <w:spacing w:line="360" w:lineRule="auto"/>
        <w:rPr>
          <w:rFonts w:ascii="Arial" w:eastAsia="Arial" w:hAnsi="Arial" w:cs="Arial"/>
        </w:rPr>
      </w:pPr>
      <w:r>
        <w:rPr>
          <w:rFonts w:ascii="Arial" w:eastAsia="Arial" w:hAnsi="Arial" w:cs="Arial"/>
        </w:rPr>
        <w:t>Source:  Lazarus and Folkman (1984); Bakker and Demerouti (2017); Rossi et al. (2023); Frias et al. (2025).</w:t>
      </w:r>
    </w:p>
    <w:p w14:paraId="69FA6892"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2.5 National/Local UK Context:</w:t>
      </w:r>
    </w:p>
    <w:p w14:paraId="468A8E31" w14:textId="77777777" w:rsidR="00EA293E" w:rsidRDefault="00000000">
      <w:pPr>
        <w:spacing w:before="280" w:after="280" w:line="360" w:lineRule="auto"/>
        <w:jc w:val="both"/>
        <w:rPr>
          <w:rFonts w:ascii="Arial" w:eastAsia="Arial" w:hAnsi="Arial" w:cs="Arial"/>
        </w:rPr>
      </w:pPr>
      <w:r>
        <w:rPr>
          <w:rFonts w:ascii="Arial" w:eastAsia="Arial" w:hAnsi="Arial" w:cs="Arial"/>
        </w:rPr>
        <w:t>The UK provides a particularly important context for understanding the mental health impact of COVID-19 on HCWs because of the severe strain placed on the NHS and social care system. The pandemic occurred against a backdrop of pre-existing staff shortages, increasing service demand, and widespread burnout.</w:t>
      </w:r>
    </w:p>
    <w:p w14:paraId="4C7DCFE2" w14:textId="77777777" w:rsidR="00EA293E" w:rsidRDefault="00000000">
      <w:pPr>
        <w:spacing w:before="280" w:after="280" w:line="360" w:lineRule="auto"/>
        <w:jc w:val="both"/>
        <w:rPr>
          <w:rFonts w:ascii="Arial" w:eastAsia="Arial" w:hAnsi="Arial" w:cs="Arial"/>
          <w:b/>
        </w:rPr>
      </w:pPr>
      <w:r>
        <w:rPr>
          <w:rFonts w:ascii="Arial" w:eastAsia="Arial" w:hAnsi="Arial" w:cs="Arial"/>
          <w:b/>
          <w:sz w:val="24"/>
          <w:szCs w:val="24"/>
        </w:rPr>
        <w:t>2.5.1 Impact on UK HCWs:</w:t>
      </w:r>
      <w:r>
        <w:rPr>
          <w:rFonts w:ascii="Arial" w:eastAsia="Arial" w:hAnsi="Arial" w:cs="Arial"/>
          <w:b/>
        </w:rPr>
        <w:t xml:space="preserve"> </w:t>
      </w:r>
    </w:p>
    <w:p w14:paraId="119CE207" w14:textId="77777777" w:rsidR="00EA293E" w:rsidRDefault="00000000">
      <w:pPr>
        <w:spacing w:before="280" w:after="280" w:line="360" w:lineRule="auto"/>
        <w:jc w:val="both"/>
        <w:rPr>
          <w:rFonts w:ascii="Arial" w:eastAsia="Arial" w:hAnsi="Arial" w:cs="Arial"/>
          <w:b/>
        </w:rPr>
      </w:pPr>
      <w:r>
        <w:rPr>
          <w:rFonts w:ascii="Arial" w:eastAsia="Arial" w:hAnsi="Arial" w:cs="Arial"/>
        </w:rPr>
        <w:t>Studies consistently reported high levels of burnout, stress, anxiety, and moral injury among NHS staff (Davies et al., 2025). HCWs faced emotionally taxing decisions regarding patient prioritisation, exposure risk, and managing high mortality rates. Longitudinal studies of NHS mental health staff found that burnout increased over time and remained high even years after the first wave (Maunder et al., 2024).</w:t>
      </w:r>
    </w:p>
    <w:p w14:paraId="4A97E09D" w14:textId="77777777" w:rsidR="00EA293E" w:rsidRDefault="00000000">
      <w:pPr>
        <w:spacing w:before="280" w:after="280" w:line="360" w:lineRule="auto"/>
        <w:jc w:val="both"/>
        <w:rPr>
          <w:rFonts w:ascii="Arial" w:eastAsia="Arial" w:hAnsi="Arial" w:cs="Arial"/>
        </w:rPr>
      </w:pPr>
      <w:r>
        <w:rPr>
          <w:rFonts w:ascii="Arial" w:eastAsia="Arial" w:hAnsi="Arial" w:cs="Arial"/>
          <w:b/>
          <w:sz w:val="24"/>
          <w:szCs w:val="24"/>
        </w:rPr>
        <w:t>2.5.2 Organisational Determinants of Coping and Well-Being:</w:t>
      </w:r>
      <w:r>
        <w:rPr>
          <w:rFonts w:ascii="Arial" w:eastAsia="Arial" w:hAnsi="Arial" w:cs="Arial"/>
          <w:b/>
        </w:rPr>
        <w:t xml:space="preserve"> </w:t>
      </w:r>
    </w:p>
    <w:p w14:paraId="3F90B81C" w14:textId="77777777" w:rsidR="00EA293E" w:rsidRDefault="00000000">
      <w:pPr>
        <w:spacing w:before="280" w:after="280" w:line="360" w:lineRule="auto"/>
        <w:jc w:val="both"/>
        <w:rPr>
          <w:rFonts w:ascii="Arial" w:eastAsia="Arial" w:hAnsi="Arial" w:cs="Arial"/>
          <w:b/>
        </w:rPr>
      </w:pPr>
      <w:r>
        <w:rPr>
          <w:rFonts w:ascii="Arial" w:eastAsia="Arial" w:hAnsi="Arial" w:cs="Arial"/>
        </w:rPr>
        <w:t>Research has shown that organisational support plays a crucial role in mediating HCW coping. Oprea et al. (2025) found that managerial support, team cohesion, and effective communication significantly influenced HCW resilience. Similarly, NHS England (2022), through the NHS People Plan, emphasised the importance of compassionate leadership, staff engagement, and structural support to mitigate stress and enhance coping.</w:t>
      </w:r>
    </w:p>
    <w:p w14:paraId="2DF3D22E" w14:textId="77777777" w:rsidR="00EA293E" w:rsidRDefault="00000000">
      <w:pPr>
        <w:spacing w:before="280" w:after="280" w:line="360" w:lineRule="auto"/>
        <w:jc w:val="both"/>
        <w:rPr>
          <w:rFonts w:ascii="Arial" w:eastAsia="Arial" w:hAnsi="Arial" w:cs="Arial"/>
        </w:rPr>
      </w:pPr>
      <w:r>
        <w:rPr>
          <w:rFonts w:ascii="Arial" w:eastAsia="Arial" w:hAnsi="Arial" w:cs="Arial"/>
        </w:rPr>
        <w:lastRenderedPageBreak/>
        <w:t>The Health and Safety Executive (2020) reiterated that employers have a legal responsibility to protect staff from work-related stress, a principle especially critical during public health emergencies. NICE (2021) further recommended evidence-based practices for improving workplace well-being, including stress risk assessments and accessible mental health support.</w:t>
      </w:r>
    </w:p>
    <w:p w14:paraId="7DD2F78A" w14:textId="77777777" w:rsidR="00EA293E" w:rsidRDefault="00000000">
      <w:pPr>
        <w:spacing w:before="280" w:after="280" w:line="360" w:lineRule="auto"/>
        <w:jc w:val="both"/>
        <w:rPr>
          <w:rFonts w:ascii="Arial" w:eastAsia="Arial" w:hAnsi="Arial" w:cs="Arial"/>
        </w:rPr>
      </w:pPr>
      <w:r>
        <w:rPr>
          <w:rFonts w:ascii="Arial" w:eastAsia="Arial" w:hAnsi="Arial" w:cs="Arial"/>
          <w:b/>
          <w:sz w:val="24"/>
          <w:szCs w:val="24"/>
        </w:rPr>
        <w:t>2.5.3 Policy Responses:</w:t>
      </w:r>
      <w:r>
        <w:rPr>
          <w:rFonts w:ascii="Arial" w:eastAsia="Arial" w:hAnsi="Arial" w:cs="Arial"/>
          <w:b/>
        </w:rPr>
        <w:t xml:space="preserve"> </w:t>
      </w:r>
    </w:p>
    <w:p w14:paraId="216F5841" w14:textId="77777777" w:rsidR="00EA293E" w:rsidRDefault="00000000">
      <w:pPr>
        <w:spacing w:before="280" w:after="280" w:line="360" w:lineRule="auto"/>
        <w:jc w:val="both"/>
        <w:rPr>
          <w:rFonts w:ascii="Arial" w:eastAsia="Arial" w:hAnsi="Arial" w:cs="Arial"/>
          <w:b/>
        </w:rPr>
      </w:pPr>
      <w:r>
        <w:rPr>
          <w:rFonts w:ascii="Arial" w:eastAsia="Arial" w:hAnsi="Arial" w:cs="Arial"/>
        </w:rPr>
        <w:t>In response to mental health concerns, the UK government introduced several policies. The Department of Health and Social Care (2021) prioritised HCW well-being as part of its post-pandemic recovery plans, including investments in mental health services and workforce expansion. NHS England (2021) launched Staff Mental Health and Wellbeing Hubs across England to provide rapid access to psychological support.</w:t>
      </w:r>
    </w:p>
    <w:p w14:paraId="4799777A" w14:textId="77777777" w:rsidR="00EA293E" w:rsidRDefault="00000000">
      <w:pPr>
        <w:spacing w:before="280" w:after="280" w:line="360" w:lineRule="auto"/>
        <w:jc w:val="both"/>
        <w:rPr>
          <w:rFonts w:ascii="Arial" w:eastAsia="Arial" w:hAnsi="Arial" w:cs="Arial"/>
          <w:b/>
        </w:rPr>
      </w:pPr>
      <w:r>
        <w:rPr>
          <w:rFonts w:ascii="Arial" w:eastAsia="Arial" w:hAnsi="Arial" w:cs="Arial"/>
          <w:b/>
          <w:sz w:val="24"/>
          <w:szCs w:val="24"/>
        </w:rPr>
        <w:t>2.5.4 Local Variations:</w:t>
      </w:r>
      <w:r>
        <w:rPr>
          <w:rFonts w:ascii="Arial" w:eastAsia="Arial" w:hAnsi="Arial" w:cs="Arial"/>
          <w:b/>
        </w:rPr>
        <w:t xml:space="preserve"> </w:t>
      </w:r>
    </w:p>
    <w:p w14:paraId="65895032" w14:textId="77777777" w:rsidR="00EA293E" w:rsidRDefault="00000000">
      <w:pPr>
        <w:spacing w:before="280" w:after="280" w:line="360" w:lineRule="auto"/>
        <w:jc w:val="both"/>
        <w:rPr>
          <w:rFonts w:ascii="Arial" w:eastAsia="Arial" w:hAnsi="Arial" w:cs="Arial"/>
          <w:b/>
        </w:rPr>
      </w:pPr>
      <w:r>
        <w:rPr>
          <w:rFonts w:ascii="Arial" w:eastAsia="Arial" w:hAnsi="Arial" w:cs="Arial"/>
        </w:rPr>
        <w:t>There were notable regional differences in HCW experiences. Urban hospitals, particularly in London, faced higher patient volumes and mortality rates, leading to increased burnout compared to rural settings. Local Trust-level initiatives—such as well-being champions, reflective practice groups, and peer-support networks—were valuable but not consistently implemented or evaluated.</w:t>
      </w:r>
    </w:p>
    <w:p w14:paraId="5FD675F0"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2.6 Conclusion:</w:t>
      </w:r>
    </w:p>
    <w:p w14:paraId="417767FB" w14:textId="77777777" w:rsidR="00EA293E" w:rsidRDefault="00000000">
      <w:pPr>
        <w:spacing w:before="280" w:after="280" w:line="360" w:lineRule="auto"/>
        <w:jc w:val="both"/>
        <w:rPr>
          <w:rFonts w:ascii="Arial" w:eastAsia="Arial" w:hAnsi="Arial" w:cs="Arial"/>
        </w:rPr>
      </w:pPr>
      <w:r>
        <w:rPr>
          <w:rFonts w:ascii="Arial" w:eastAsia="Arial" w:hAnsi="Arial" w:cs="Arial"/>
        </w:rPr>
        <w:t>This chapter has examined the historical, theoretical, international, and UK-specific contexts shaping the mental health of healthcare workers during the COVID-19 pandemic. It highlighted longstanding vulnerabilities identified in past outbreaks, the applicability of stress and coping theories, and the interplay between individual and organisational resilience. The chapter also demonstrated how global and national responses, including WHO guidance and NHS policy initiatives, sought to mitigate distress among HCWs. Despite these efforts, research gaps persist, especially regarding long-term outcomes, structural determinants, and intervention evaluations.</w:t>
      </w:r>
    </w:p>
    <w:p w14:paraId="1CDCE253" w14:textId="77777777" w:rsidR="00EA293E" w:rsidRDefault="00000000">
      <w:pPr>
        <w:spacing w:before="280" w:after="280" w:line="360" w:lineRule="auto"/>
        <w:jc w:val="both"/>
        <w:rPr>
          <w:rFonts w:ascii="Arial" w:eastAsia="Arial" w:hAnsi="Arial" w:cs="Arial"/>
        </w:rPr>
      </w:pPr>
      <w:r>
        <w:rPr>
          <w:rFonts w:ascii="Arial" w:eastAsia="Arial" w:hAnsi="Arial" w:cs="Arial"/>
        </w:rPr>
        <w:t>By situating HCW mental health within these contexts, the chapter provides the conceptual framework needed for the methodology chapter that follows. Chapter 3 will outline the secondary research approach used to select, analyse, and synthesise existing evidence on HCW coping strategies during the COVID-19 pandemic.</w:t>
      </w:r>
    </w:p>
    <w:p w14:paraId="60E35155" w14:textId="77777777" w:rsidR="00EA293E" w:rsidRDefault="00000000">
      <w:pPr>
        <w:spacing w:before="280" w:after="280" w:line="360" w:lineRule="auto"/>
        <w:jc w:val="both"/>
        <w:rPr>
          <w:rFonts w:ascii="Arial" w:eastAsia="Arial" w:hAnsi="Arial" w:cs="Arial"/>
          <w:sz w:val="32"/>
          <w:szCs w:val="32"/>
        </w:rPr>
      </w:pPr>
      <w:r>
        <w:rPr>
          <w:rFonts w:ascii="Arial" w:eastAsia="Arial" w:hAnsi="Arial" w:cs="Arial"/>
          <w:b/>
          <w:sz w:val="32"/>
          <w:szCs w:val="32"/>
        </w:rPr>
        <w:lastRenderedPageBreak/>
        <w:t>CHAPTER 3 – Methods and Search Strategy</w:t>
      </w:r>
    </w:p>
    <w:p w14:paraId="0BB41927"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3.1 Introduction:</w:t>
      </w:r>
    </w:p>
    <w:p w14:paraId="17359688"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This chapter outlines and critically justifies the methodological approach adopted for this dissertation. The study employed a structured </w:t>
      </w:r>
      <w:r>
        <w:rPr>
          <w:rFonts w:ascii="Arial" w:eastAsia="Arial" w:hAnsi="Arial" w:cs="Arial"/>
          <w:b/>
        </w:rPr>
        <w:t>secondary research design</w:t>
      </w:r>
      <w:r>
        <w:rPr>
          <w:rFonts w:ascii="Arial" w:eastAsia="Arial" w:hAnsi="Arial" w:cs="Arial"/>
        </w:rPr>
        <w:t>, utilising a desk-based review of existing empirical literature to explore the mental health impact of the COVID-19 pandemic on healthcare workers (HCWs) and to examine the coping strategies implemented to mitigate stress, anxiety, burnout, and psychological distress.</w:t>
      </w:r>
    </w:p>
    <w:p w14:paraId="7DDC9D12" w14:textId="77777777" w:rsidR="00EA293E" w:rsidRDefault="00000000">
      <w:pPr>
        <w:spacing w:before="280" w:after="280" w:line="360" w:lineRule="auto"/>
        <w:jc w:val="both"/>
        <w:rPr>
          <w:rFonts w:ascii="Arial" w:eastAsia="Arial" w:hAnsi="Arial" w:cs="Arial"/>
        </w:rPr>
      </w:pPr>
      <w:r>
        <w:rPr>
          <w:rFonts w:ascii="Arial" w:eastAsia="Arial" w:hAnsi="Arial" w:cs="Arial"/>
        </w:rPr>
        <w:t>A secondary research methodology was deemed most appropriate for several reasons. First, the COVID-19 pandemic generated a substantial body of international research within a short period, offering rich datasets across diverse healthcare systems. Synthesising this existing evidence allows for comparative insight and thematic integration across contexts (Aveyard, 2019). Second, primary data collection concerning psychological distress among HCWs could raise ethical sensitivities and practical challenges, particularly given the ongoing workforce pressures within healthcare systems. Secondary analysis therefore enabled rigorous academic investigation without imposing additional burden on participants (Johnston, 2017).</w:t>
      </w:r>
    </w:p>
    <w:p w14:paraId="1382A830"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The methodological framework was informed by principles of systematic literature review design (Booth, Sutton and Papaioannou, 2016). Although not a full systematic review, structured search processes, explicit inclusion and exclusion criteria, and transparent analytical procedures were implemented to enhance rigour, credibility, and reproducibility. An academic methodology poster was previously developed to summarise the research process visually; this chapter expands that overview into a detailed methodological narrative, outlining search strategy development, database selection, validation procedures, eligibility criteria, and thematic analysis processes. The visual summary of the research methodology is provided in </w:t>
      </w:r>
      <w:r>
        <w:rPr>
          <w:rFonts w:ascii="Arial" w:eastAsia="Arial" w:hAnsi="Arial" w:cs="Arial"/>
          <w:b/>
        </w:rPr>
        <w:t>Appendix C</w:t>
      </w:r>
      <w:r>
        <w:rPr>
          <w:rFonts w:ascii="Arial" w:eastAsia="Arial" w:hAnsi="Arial" w:cs="Arial"/>
        </w:rPr>
        <w:t xml:space="preserve"> for reference. These methodological decisions underpin the trustworthiness of the findings presented in Chapter 4.</w:t>
      </w:r>
    </w:p>
    <w:p w14:paraId="167AFB9A"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3.2 Search Strategy:</w:t>
      </w:r>
    </w:p>
    <w:p w14:paraId="07130556" w14:textId="77777777" w:rsidR="00EA293E" w:rsidRDefault="00000000">
      <w:pPr>
        <w:spacing w:before="280" w:after="280" w:line="360" w:lineRule="auto"/>
        <w:jc w:val="both"/>
        <w:rPr>
          <w:rFonts w:ascii="Arial" w:eastAsia="Arial" w:hAnsi="Arial" w:cs="Arial"/>
        </w:rPr>
      </w:pPr>
      <w:r>
        <w:rPr>
          <w:rFonts w:ascii="Arial" w:eastAsia="Arial" w:hAnsi="Arial" w:cs="Arial"/>
        </w:rPr>
        <w:t>A structured and replicable search strategy was developed to identify relevant, high-quality academic literature aligned with the research aim and objectives. The strategy was guided by systematic search principles outlined by Booth, Sutton and Papaioannou (2016) and Aveyard (2019), ensuring clarity, transparency, and methodological coherence.</w:t>
      </w:r>
    </w:p>
    <w:p w14:paraId="7FC0652B" w14:textId="77777777" w:rsidR="00EA293E" w:rsidRDefault="00000000">
      <w:pPr>
        <w:spacing w:before="280" w:after="280" w:line="360" w:lineRule="auto"/>
        <w:jc w:val="both"/>
        <w:rPr>
          <w:rFonts w:ascii="Arial" w:eastAsia="Arial" w:hAnsi="Arial" w:cs="Arial"/>
        </w:rPr>
      </w:pPr>
      <w:r>
        <w:rPr>
          <w:rFonts w:ascii="Arial" w:eastAsia="Arial" w:hAnsi="Arial" w:cs="Arial"/>
        </w:rPr>
        <w:lastRenderedPageBreak/>
        <w:t>Keywords were derived directly from the research question and refined through preliminary scoping searches. Core search terms included:</w:t>
      </w:r>
    </w:p>
    <w:p w14:paraId="12F613EA" w14:textId="77777777" w:rsidR="00EA293E" w:rsidRDefault="00000000">
      <w:pPr>
        <w:numPr>
          <w:ilvl w:val="0"/>
          <w:numId w:val="1"/>
        </w:numPr>
        <w:spacing w:before="280" w:after="0" w:line="360" w:lineRule="auto"/>
        <w:jc w:val="both"/>
      </w:pPr>
      <w:r>
        <w:rPr>
          <w:rFonts w:ascii="Arial" w:eastAsia="Arial" w:hAnsi="Arial" w:cs="Arial"/>
          <w:i/>
        </w:rPr>
        <w:t>healthcare workers</w:t>
      </w:r>
    </w:p>
    <w:p w14:paraId="0566C410" w14:textId="77777777" w:rsidR="00EA293E" w:rsidRDefault="00000000">
      <w:pPr>
        <w:numPr>
          <w:ilvl w:val="0"/>
          <w:numId w:val="1"/>
        </w:numPr>
        <w:spacing w:after="0" w:line="360" w:lineRule="auto"/>
        <w:jc w:val="both"/>
      </w:pPr>
      <w:r>
        <w:rPr>
          <w:rFonts w:ascii="Arial" w:eastAsia="Arial" w:hAnsi="Arial" w:cs="Arial"/>
          <w:i/>
        </w:rPr>
        <w:t>COVID-19</w:t>
      </w:r>
    </w:p>
    <w:p w14:paraId="527C5B4D" w14:textId="77777777" w:rsidR="00EA293E" w:rsidRDefault="00000000">
      <w:pPr>
        <w:numPr>
          <w:ilvl w:val="0"/>
          <w:numId w:val="1"/>
        </w:numPr>
        <w:spacing w:after="0" w:line="360" w:lineRule="auto"/>
        <w:jc w:val="both"/>
      </w:pPr>
      <w:r>
        <w:rPr>
          <w:rFonts w:ascii="Arial" w:eastAsia="Arial" w:hAnsi="Arial" w:cs="Arial"/>
          <w:i/>
        </w:rPr>
        <w:t>mental health</w:t>
      </w:r>
    </w:p>
    <w:p w14:paraId="07C76960" w14:textId="77777777" w:rsidR="00EA293E" w:rsidRDefault="00000000">
      <w:pPr>
        <w:numPr>
          <w:ilvl w:val="0"/>
          <w:numId w:val="1"/>
        </w:numPr>
        <w:spacing w:after="0" w:line="360" w:lineRule="auto"/>
        <w:jc w:val="both"/>
      </w:pPr>
      <w:r>
        <w:rPr>
          <w:rFonts w:ascii="Arial" w:eastAsia="Arial" w:hAnsi="Arial" w:cs="Arial"/>
          <w:i/>
        </w:rPr>
        <w:t>burnout</w:t>
      </w:r>
    </w:p>
    <w:p w14:paraId="08223788" w14:textId="77777777" w:rsidR="00EA293E" w:rsidRDefault="00000000">
      <w:pPr>
        <w:numPr>
          <w:ilvl w:val="0"/>
          <w:numId w:val="1"/>
        </w:numPr>
        <w:spacing w:after="0" w:line="360" w:lineRule="auto"/>
        <w:jc w:val="both"/>
      </w:pPr>
      <w:r>
        <w:rPr>
          <w:rFonts w:ascii="Arial" w:eastAsia="Arial" w:hAnsi="Arial" w:cs="Arial"/>
          <w:i/>
        </w:rPr>
        <w:t>stress</w:t>
      </w:r>
    </w:p>
    <w:p w14:paraId="23B923F7" w14:textId="77777777" w:rsidR="00EA293E" w:rsidRDefault="00000000">
      <w:pPr>
        <w:numPr>
          <w:ilvl w:val="0"/>
          <w:numId w:val="1"/>
        </w:numPr>
        <w:spacing w:after="0" w:line="360" w:lineRule="auto"/>
        <w:jc w:val="both"/>
      </w:pPr>
      <w:r>
        <w:rPr>
          <w:rFonts w:ascii="Arial" w:eastAsia="Arial" w:hAnsi="Arial" w:cs="Arial"/>
          <w:i/>
        </w:rPr>
        <w:t>coping strategies</w:t>
      </w:r>
    </w:p>
    <w:p w14:paraId="10A5801E" w14:textId="77777777" w:rsidR="00EA293E" w:rsidRDefault="00000000">
      <w:pPr>
        <w:numPr>
          <w:ilvl w:val="0"/>
          <w:numId w:val="1"/>
        </w:numPr>
        <w:spacing w:after="0" w:line="360" w:lineRule="auto"/>
        <w:jc w:val="both"/>
      </w:pPr>
      <w:r>
        <w:rPr>
          <w:rFonts w:ascii="Arial" w:eastAsia="Arial" w:hAnsi="Arial" w:cs="Arial"/>
          <w:i/>
        </w:rPr>
        <w:t>resilience</w:t>
      </w:r>
    </w:p>
    <w:p w14:paraId="3830BA05" w14:textId="77777777" w:rsidR="00EA293E" w:rsidRDefault="00000000">
      <w:pPr>
        <w:numPr>
          <w:ilvl w:val="0"/>
          <w:numId w:val="1"/>
        </w:numPr>
        <w:spacing w:after="280" w:line="360" w:lineRule="auto"/>
        <w:jc w:val="both"/>
      </w:pPr>
      <w:r>
        <w:rPr>
          <w:rFonts w:ascii="Arial" w:eastAsia="Arial" w:hAnsi="Arial" w:cs="Arial"/>
          <w:i/>
        </w:rPr>
        <w:t>well-being</w:t>
      </w:r>
    </w:p>
    <w:p w14:paraId="405D115B"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To enhance comprehensiveness, synonyms and related professional terminology were incorporated, including </w:t>
      </w:r>
      <w:r>
        <w:rPr>
          <w:rFonts w:ascii="Arial" w:eastAsia="Arial" w:hAnsi="Arial" w:cs="Arial"/>
          <w:i/>
        </w:rPr>
        <w:t>frontline staff</w:t>
      </w:r>
      <w:r>
        <w:rPr>
          <w:rFonts w:ascii="Arial" w:eastAsia="Arial" w:hAnsi="Arial" w:cs="Arial"/>
        </w:rPr>
        <w:t xml:space="preserve">, </w:t>
      </w:r>
      <w:r>
        <w:rPr>
          <w:rFonts w:ascii="Arial" w:eastAsia="Arial" w:hAnsi="Arial" w:cs="Arial"/>
          <w:i/>
        </w:rPr>
        <w:t>nurses</w:t>
      </w:r>
      <w:r>
        <w:rPr>
          <w:rFonts w:ascii="Arial" w:eastAsia="Arial" w:hAnsi="Arial" w:cs="Arial"/>
        </w:rPr>
        <w:t xml:space="preserve">, </w:t>
      </w:r>
      <w:r>
        <w:rPr>
          <w:rFonts w:ascii="Arial" w:eastAsia="Arial" w:hAnsi="Arial" w:cs="Arial"/>
          <w:i/>
        </w:rPr>
        <w:t>doctors</w:t>
      </w:r>
      <w:r>
        <w:rPr>
          <w:rFonts w:ascii="Arial" w:eastAsia="Arial" w:hAnsi="Arial" w:cs="Arial"/>
        </w:rPr>
        <w:t xml:space="preserve">, </w:t>
      </w:r>
      <w:r>
        <w:rPr>
          <w:rFonts w:ascii="Arial" w:eastAsia="Arial" w:hAnsi="Arial" w:cs="Arial"/>
          <w:i/>
        </w:rPr>
        <w:t>psychological distress</w:t>
      </w:r>
      <w:r>
        <w:rPr>
          <w:rFonts w:ascii="Arial" w:eastAsia="Arial" w:hAnsi="Arial" w:cs="Arial"/>
        </w:rPr>
        <w:t xml:space="preserve">, </w:t>
      </w:r>
      <w:r>
        <w:rPr>
          <w:rFonts w:ascii="Arial" w:eastAsia="Arial" w:hAnsi="Arial" w:cs="Arial"/>
          <w:i/>
        </w:rPr>
        <w:t>emotional exhaustion</w:t>
      </w:r>
      <w:r>
        <w:rPr>
          <w:rFonts w:ascii="Arial" w:eastAsia="Arial" w:hAnsi="Arial" w:cs="Arial"/>
        </w:rPr>
        <w:t xml:space="preserve">, </w:t>
      </w:r>
      <w:r>
        <w:rPr>
          <w:rFonts w:ascii="Arial" w:eastAsia="Arial" w:hAnsi="Arial" w:cs="Arial"/>
          <w:i/>
        </w:rPr>
        <w:t>moral injury</w:t>
      </w:r>
      <w:r>
        <w:rPr>
          <w:rFonts w:ascii="Arial" w:eastAsia="Arial" w:hAnsi="Arial" w:cs="Arial"/>
        </w:rPr>
        <w:t xml:space="preserve">, and </w:t>
      </w:r>
      <w:r>
        <w:rPr>
          <w:rFonts w:ascii="Arial" w:eastAsia="Arial" w:hAnsi="Arial" w:cs="Arial"/>
          <w:i/>
        </w:rPr>
        <w:t>occupational stress</w:t>
      </w:r>
      <w:r>
        <w:rPr>
          <w:rFonts w:ascii="Arial" w:eastAsia="Arial" w:hAnsi="Arial" w:cs="Arial"/>
        </w:rPr>
        <w:t>. The inclusion of alternative terminology reduces the risk of publication bias caused by narrow keyword selection (Hart, 2018).</w:t>
      </w:r>
    </w:p>
    <w:p w14:paraId="4D6FAB19"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Boolean operators were systematically applied to structure searches. The operator </w:t>
      </w:r>
      <w:r>
        <w:rPr>
          <w:rFonts w:ascii="Arial" w:eastAsia="Arial" w:hAnsi="Arial" w:cs="Arial"/>
          <w:b/>
        </w:rPr>
        <w:t>AND</w:t>
      </w:r>
      <w:r>
        <w:rPr>
          <w:rFonts w:ascii="Arial" w:eastAsia="Arial" w:hAnsi="Arial" w:cs="Arial"/>
        </w:rPr>
        <w:t xml:space="preserve"> was used to combine central concepts (e.g., </w:t>
      </w:r>
      <w:r>
        <w:rPr>
          <w:rFonts w:ascii="Arial" w:eastAsia="Arial" w:hAnsi="Arial" w:cs="Arial"/>
          <w:i/>
        </w:rPr>
        <w:t>healthcare workers AND COVID-19 AND mental health</w:t>
      </w:r>
      <w:r>
        <w:rPr>
          <w:rFonts w:ascii="Arial" w:eastAsia="Arial" w:hAnsi="Arial" w:cs="Arial"/>
        </w:rPr>
        <w:t xml:space="preserve">), ensuring retrieval of studies addressing all relevant variables. The operator </w:t>
      </w:r>
      <w:r>
        <w:rPr>
          <w:rFonts w:ascii="Arial" w:eastAsia="Arial" w:hAnsi="Arial" w:cs="Arial"/>
          <w:b/>
        </w:rPr>
        <w:t>OR</w:t>
      </w:r>
      <w:r>
        <w:rPr>
          <w:rFonts w:ascii="Arial" w:eastAsia="Arial" w:hAnsi="Arial" w:cs="Arial"/>
        </w:rPr>
        <w:t xml:space="preserve"> enabled the inclusion of synonymous terms (e.g., </w:t>
      </w:r>
      <w:r>
        <w:rPr>
          <w:rFonts w:ascii="Arial" w:eastAsia="Arial" w:hAnsi="Arial" w:cs="Arial"/>
          <w:i/>
        </w:rPr>
        <w:t>burnout OR emotional exhaustion</w:t>
      </w:r>
      <w:r>
        <w:rPr>
          <w:rFonts w:ascii="Arial" w:eastAsia="Arial" w:hAnsi="Arial" w:cs="Arial"/>
        </w:rPr>
        <w:t xml:space="preserve">), broadening search sensitivity. The </w:t>
      </w:r>
      <w:r>
        <w:rPr>
          <w:rFonts w:ascii="Arial" w:eastAsia="Arial" w:hAnsi="Arial" w:cs="Arial"/>
          <w:b/>
        </w:rPr>
        <w:t>NOT</w:t>
      </w:r>
      <w:r>
        <w:rPr>
          <w:rFonts w:ascii="Arial" w:eastAsia="Arial" w:hAnsi="Arial" w:cs="Arial"/>
        </w:rPr>
        <w:t xml:space="preserve"> operator was used cautiously to exclude irrelevant populations (e.g., </w:t>
      </w:r>
      <w:r>
        <w:rPr>
          <w:rFonts w:ascii="Arial" w:eastAsia="Arial" w:hAnsi="Arial" w:cs="Arial"/>
          <w:i/>
        </w:rPr>
        <w:t xml:space="preserve">COVID-19 AND mental health NOT </w:t>
      </w:r>
      <w:proofErr w:type="gramStart"/>
      <w:r>
        <w:rPr>
          <w:rFonts w:ascii="Arial" w:eastAsia="Arial" w:hAnsi="Arial" w:cs="Arial"/>
          <w:i/>
        </w:rPr>
        <w:t>general public</w:t>
      </w:r>
      <w:proofErr w:type="gramEnd"/>
      <w:r>
        <w:rPr>
          <w:rFonts w:ascii="Arial" w:eastAsia="Arial" w:hAnsi="Arial" w:cs="Arial"/>
        </w:rPr>
        <w:t>), thereby improving specificity without excessively restricting results.</w:t>
      </w:r>
    </w:p>
    <w:p w14:paraId="5003AC28" w14:textId="77777777" w:rsidR="00EA293E" w:rsidRDefault="00000000">
      <w:pPr>
        <w:spacing w:before="280" w:after="280" w:line="360" w:lineRule="auto"/>
        <w:jc w:val="both"/>
        <w:rPr>
          <w:rFonts w:ascii="Arial" w:eastAsia="Arial" w:hAnsi="Arial" w:cs="Arial"/>
        </w:rPr>
      </w:pPr>
      <w:r>
        <w:rPr>
          <w:rFonts w:ascii="Arial" w:eastAsia="Arial" w:hAnsi="Arial" w:cs="Arial"/>
        </w:rPr>
        <w:t>A structured search log was maintained to document keyword combinations, database used, number of results retrieved, and refinement steps. Maintaining a transparent audit trail enhances methodological reliability and allows replication of the search process (Booth, Sutton and Papaioannou, 2016).</w:t>
      </w:r>
    </w:p>
    <w:p w14:paraId="37F05EB6"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3.3 Information Sources and Search Process:</w:t>
      </w:r>
    </w:p>
    <w:p w14:paraId="1B6E4057"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Academic literature was identified using multiple reputable databases to ensure breadth and depth of coverage. These included </w:t>
      </w:r>
      <w:r>
        <w:rPr>
          <w:rFonts w:ascii="Arial" w:eastAsia="Arial" w:hAnsi="Arial" w:cs="Arial"/>
          <w:b/>
          <w:color w:val="000000"/>
        </w:rPr>
        <w:t>PubMed, Google Scholar, and the University of Wales Trinity Saint David (UWTSD) Library database</w:t>
      </w:r>
      <w:r>
        <w:rPr>
          <w:rFonts w:ascii="Arial" w:eastAsia="Arial" w:hAnsi="Arial" w:cs="Arial"/>
          <w:color w:val="000000"/>
        </w:rPr>
        <w:t>.</w:t>
      </w:r>
    </w:p>
    <w:p w14:paraId="6FA7035F"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PubMed was prioritised for its extensive indexing of biomedical and mental health research, including peer-reviewed journal articles relevant to occupational health and psychological well-</w:t>
      </w:r>
      <w:r>
        <w:rPr>
          <w:rFonts w:ascii="Arial" w:eastAsia="Arial" w:hAnsi="Arial" w:cs="Arial"/>
          <w:color w:val="000000"/>
        </w:rPr>
        <w:lastRenderedPageBreak/>
        <w:t>being. Google Scholar facilitated broader interdisciplinary searches and access to international studies, while the UWTSD Library provided access to subscription-based journals and healthcare databases. Using multiple databases reduces database bias and increases comprehensiveness (Aveyard, 2019).</w:t>
      </w:r>
    </w:p>
    <w:p w14:paraId="7539556F"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Search filters were applied to enhance relevance and quality. These included publication dates between </w:t>
      </w:r>
      <w:r>
        <w:rPr>
          <w:rFonts w:ascii="Arial" w:eastAsia="Arial" w:hAnsi="Arial" w:cs="Arial"/>
          <w:b/>
          <w:color w:val="000000"/>
        </w:rPr>
        <w:t>2020 and 2025</w:t>
      </w:r>
      <w:r>
        <w:rPr>
          <w:rFonts w:ascii="Arial" w:eastAsia="Arial" w:hAnsi="Arial" w:cs="Arial"/>
          <w:color w:val="000000"/>
        </w:rPr>
        <w:t xml:space="preserve">, capturing research conducted during and after the peak period of the COVID-19 pandemic. Only </w:t>
      </w:r>
      <w:r>
        <w:rPr>
          <w:rFonts w:ascii="Arial" w:eastAsia="Arial" w:hAnsi="Arial" w:cs="Arial"/>
          <w:b/>
          <w:color w:val="000000"/>
        </w:rPr>
        <w:t>peer-reviewed journal articles written in English</w:t>
      </w:r>
      <w:r>
        <w:rPr>
          <w:rFonts w:ascii="Arial" w:eastAsia="Arial" w:hAnsi="Arial" w:cs="Arial"/>
          <w:color w:val="000000"/>
        </w:rPr>
        <w:t xml:space="preserve"> were included to ensure academic credibility. Studies focusing specifically on </w:t>
      </w:r>
      <w:r>
        <w:rPr>
          <w:rFonts w:ascii="Arial" w:eastAsia="Arial" w:hAnsi="Arial" w:cs="Arial"/>
          <w:b/>
          <w:color w:val="000000"/>
        </w:rPr>
        <w:t>healthcare professionals</w:t>
      </w:r>
      <w:r>
        <w:rPr>
          <w:rFonts w:ascii="Arial" w:eastAsia="Arial" w:hAnsi="Arial" w:cs="Arial"/>
          <w:color w:val="000000"/>
        </w:rPr>
        <w:t xml:space="preserve"> were prioritised </w:t>
      </w:r>
      <w:proofErr w:type="gramStart"/>
      <w:r>
        <w:rPr>
          <w:rFonts w:ascii="Arial" w:eastAsia="Arial" w:hAnsi="Arial" w:cs="Arial"/>
          <w:color w:val="000000"/>
        </w:rPr>
        <w:t>in order to</w:t>
      </w:r>
      <w:proofErr w:type="gramEnd"/>
      <w:r>
        <w:rPr>
          <w:rFonts w:ascii="Arial" w:eastAsia="Arial" w:hAnsi="Arial" w:cs="Arial"/>
          <w:color w:val="000000"/>
        </w:rPr>
        <w:t xml:space="preserve"> maintain alignment with the research aim and objectives. Where possible, </w:t>
      </w:r>
      <w:r>
        <w:rPr>
          <w:rFonts w:ascii="Arial" w:eastAsia="Arial" w:hAnsi="Arial" w:cs="Arial"/>
          <w:b/>
          <w:color w:val="000000"/>
        </w:rPr>
        <w:t>UK-based studies</w:t>
      </w:r>
      <w:r>
        <w:rPr>
          <w:rFonts w:ascii="Arial" w:eastAsia="Arial" w:hAnsi="Arial" w:cs="Arial"/>
          <w:color w:val="000000"/>
        </w:rPr>
        <w:t xml:space="preserve"> were prioritised to strengthen contextual relevance to the NHS workforce; however, international research was also included where it provided transferable insight into shared occupational stressors experienced by healthcare workers globally.</w:t>
      </w:r>
    </w:p>
    <w:p w14:paraId="338F8254"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The search process was iterative. Initial broad searches generated </w:t>
      </w:r>
      <w:proofErr w:type="gramStart"/>
      <w:r>
        <w:rPr>
          <w:rFonts w:ascii="Arial" w:eastAsia="Arial" w:hAnsi="Arial" w:cs="Arial"/>
          <w:color w:val="000000"/>
        </w:rPr>
        <w:t>a large number of</w:t>
      </w:r>
      <w:proofErr w:type="gramEnd"/>
      <w:r>
        <w:rPr>
          <w:rFonts w:ascii="Arial" w:eastAsia="Arial" w:hAnsi="Arial" w:cs="Arial"/>
          <w:color w:val="000000"/>
        </w:rPr>
        <w:t xml:space="preserve"> results, which were refined through the addition of further keywords such as </w:t>
      </w:r>
      <w:r>
        <w:rPr>
          <w:rFonts w:ascii="Arial" w:eastAsia="Arial" w:hAnsi="Arial" w:cs="Arial"/>
          <w:b/>
          <w:color w:val="000000"/>
        </w:rPr>
        <w:t>organisational support, job demands, resilience training, and psychological interventions</w:t>
      </w:r>
      <w:r>
        <w:rPr>
          <w:rFonts w:ascii="Arial" w:eastAsia="Arial" w:hAnsi="Arial" w:cs="Arial"/>
          <w:color w:val="000000"/>
        </w:rPr>
        <w:t xml:space="preserve">. A </w:t>
      </w:r>
      <w:r>
        <w:rPr>
          <w:rFonts w:ascii="Arial" w:eastAsia="Arial" w:hAnsi="Arial" w:cs="Arial"/>
          <w:b/>
          <w:color w:val="000000"/>
        </w:rPr>
        <w:t>source tracking table</w:t>
      </w:r>
      <w:r>
        <w:rPr>
          <w:rFonts w:ascii="Arial" w:eastAsia="Arial" w:hAnsi="Arial" w:cs="Arial"/>
          <w:color w:val="000000"/>
        </w:rPr>
        <w:t xml:space="preserve"> was developed to systematically document key information from each selected article, including the author(s), year of publication, country, study design, sample size, methodology, and key findings. This table supported the organisation and comparison of literature during the analysis stage and ensured transparency in the research process. The complete source tracking table used to organise the selected studies is provided in </w:t>
      </w:r>
      <w:r>
        <w:rPr>
          <w:rFonts w:ascii="Arial" w:eastAsia="Arial" w:hAnsi="Arial" w:cs="Arial"/>
          <w:b/>
          <w:color w:val="000000"/>
        </w:rPr>
        <w:t>Appendix A</w:t>
      </w:r>
      <w:r>
        <w:rPr>
          <w:rFonts w:ascii="Arial" w:eastAsia="Arial" w:hAnsi="Arial" w:cs="Arial"/>
          <w:color w:val="000000"/>
        </w:rPr>
        <w:t>.</w:t>
      </w:r>
    </w:p>
    <w:p w14:paraId="2387A5DC"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3.4 Research Validation and Quality Appraisal:</w:t>
      </w:r>
    </w:p>
    <w:p w14:paraId="25F2BE7E" w14:textId="77777777" w:rsidR="00EA293E" w:rsidRDefault="00000000">
      <w:pPr>
        <w:spacing w:before="280" w:after="280" w:line="360" w:lineRule="auto"/>
        <w:jc w:val="both"/>
        <w:rPr>
          <w:rFonts w:ascii="Arial" w:eastAsia="Arial" w:hAnsi="Arial" w:cs="Arial"/>
        </w:rPr>
      </w:pPr>
      <w:r>
        <w:rPr>
          <w:rFonts w:ascii="Arial" w:eastAsia="Arial" w:hAnsi="Arial" w:cs="Arial"/>
        </w:rPr>
        <w:t>To ensure academic robustness, a structured validation process was implemented. Initial screening involved reviewing titles and abstracts to assess alignment with the research question. Articles deemed potentially relevant were then subjected to full-text review. This staged screening approach reflects recognised literature review methodology (Hart, 2018).</w:t>
      </w:r>
    </w:p>
    <w:p w14:paraId="6C82ABE2"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Quality appraisal was conducted using the </w:t>
      </w:r>
      <w:r>
        <w:rPr>
          <w:rFonts w:ascii="Arial" w:eastAsia="Arial" w:hAnsi="Arial" w:cs="Arial"/>
          <w:b/>
        </w:rPr>
        <w:t>CRAAP test</w:t>
      </w:r>
      <w:r>
        <w:rPr>
          <w:rFonts w:ascii="Arial" w:eastAsia="Arial" w:hAnsi="Arial" w:cs="Arial"/>
        </w:rPr>
        <w:t xml:space="preserve"> (Blakeslee, 2004), which evaluates:</w:t>
      </w:r>
    </w:p>
    <w:p w14:paraId="6C08DB36" w14:textId="77777777" w:rsidR="00EA293E" w:rsidRDefault="00000000">
      <w:pPr>
        <w:numPr>
          <w:ilvl w:val="0"/>
          <w:numId w:val="3"/>
        </w:numPr>
        <w:spacing w:before="280" w:after="0" w:line="360" w:lineRule="auto"/>
        <w:jc w:val="both"/>
      </w:pPr>
      <w:r>
        <w:rPr>
          <w:rFonts w:ascii="Arial" w:eastAsia="Arial" w:hAnsi="Arial" w:cs="Arial"/>
          <w:b/>
        </w:rPr>
        <w:t>Currency</w:t>
      </w:r>
      <w:r>
        <w:rPr>
          <w:rFonts w:ascii="Arial" w:eastAsia="Arial" w:hAnsi="Arial" w:cs="Arial"/>
        </w:rPr>
        <w:t xml:space="preserve"> – relevance to the pandemic period</w:t>
      </w:r>
    </w:p>
    <w:p w14:paraId="2ACE85DA" w14:textId="77777777" w:rsidR="00EA293E" w:rsidRDefault="00000000">
      <w:pPr>
        <w:numPr>
          <w:ilvl w:val="0"/>
          <w:numId w:val="3"/>
        </w:numPr>
        <w:spacing w:after="0" w:line="360" w:lineRule="auto"/>
        <w:jc w:val="both"/>
      </w:pPr>
      <w:r>
        <w:rPr>
          <w:rFonts w:ascii="Arial" w:eastAsia="Arial" w:hAnsi="Arial" w:cs="Arial"/>
          <w:b/>
        </w:rPr>
        <w:t>Relevance</w:t>
      </w:r>
      <w:r>
        <w:rPr>
          <w:rFonts w:ascii="Arial" w:eastAsia="Arial" w:hAnsi="Arial" w:cs="Arial"/>
        </w:rPr>
        <w:t xml:space="preserve"> – alignment with HCW mental health</w:t>
      </w:r>
    </w:p>
    <w:p w14:paraId="4FF1D0F0" w14:textId="77777777" w:rsidR="00EA293E" w:rsidRDefault="00000000">
      <w:pPr>
        <w:numPr>
          <w:ilvl w:val="0"/>
          <w:numId w:val="3"/>
        </w:numPr>
        <w:spacing w:after="0" w:line="360" w:lineRule="auto"/>
        <w:jc w:val="both"/>
      </w:pPr>
      <w:r>
        <w:rPr>
          <w:rFonts w:ascii="Arial" w:eastAsia="Arial" w:hAnsi="Arial" w:cs="Arial"/>
          <w:b/>
        </w:rPr>
        <w:t>Authority</w:t>
      </w:r>
      <w:r>
        <w:rPr>
          <w:rFonts w:ascii="Arial" w:eastAsia="Arial" w:hAnsi="Arial" w:cs="Arial"/>
        </w:rPr>
        <w:t xml:space="preserve"> – author credentials and institutional affiliation</w:t>
      </w:r>
    </w:p>
    <w:p w14:paraId="0AE971BD" w14:textId="77777777" w:rsidR="00EA293E" w:rsidRDefault="00000000">
      <w:pPr>
        <w:numPr>
          <w:ilvl w:val="0"/>
          <w:numId w:val="3"/>
        </w:numPr>
        <w:spacing w:after="0" w:line="360" w:lineRule="auto"/>
        <w:jc w:val="both"/>
      </w:pPr>
      <w:r>
        <w:rPr>
          <w:rFonts w:ascii="Arial" w:eastAsia="Arial" w:hAnsi="Arial" w:cs="Arial"/>
          <w:b/>
        </w:rPr>
        <w:t>Accuracy</w:t>
      </w:r>
      <w:r>
        <w:rPr>
          <w:rFonts w:ascii="Arial" w:eastAsia="Arial" w:hAnsi="Arial" w:cs="Arial"/>
        </w:rPr>
        <w:t xml:space="preserve"> – methodological transparency and evidence base</w:t>
      </w:r>
    </w:p>
    <w:p w14:paraId="38BD1E60" w14:textId="77777777" w:rsidR="00EA293E" w:rsidRDefault="00000000">
      <w:pPr>
        <w:numPr>
          <w:ilvl w:val="0"/>
          <w:numId w:val="3"/>
        </w:numPr>
        <w:spacing w:after="280" w:line="360" w:lineRule="auto"/>
        <w:jc w:val="both"/>
      </w:pPr>
      <w:r>
        <w:rPr>
          <w:rFonts w:ascii="Arial" w:eastAsia="Arial" w:hAnsi="Arial" w:cs="Arial"/>
          <w:b/>
        </w:rPr>
        <w:t>Purpose</w:t>
      </w:r>
      <w:r>
        <w:rPr>
          <w:rFonts w:ascii="Arial" w:eastAsia="Arial" w:hAnsi="Arial" w:cs="Arial"/>
        </w:rPr>
        <w:t xml:space="preserve"> – absence of commercial or ideological bias</w:t>
      </w:r>
    </w:p>
    <w:p w14:paraId="4A4323FD" w14:textId="77777777" w:rsidR="00EA293E" w:rsidRDefault="00000000">
      <w:pPr>
        <w:spacing w:before="280" w:after="280" w:line="360" w:lineRule="auto"/>
        <w:jc w:val="both"/>
        <w:rPr>
          <w:rFonts w:ascii="Arial" w:eastAsia="Arial" w:hAnsi="Arial" w:cs="Arial"/>
        </w:rPr>
      </w:pPr>
      <w:r>
        <w:rPr>
          <w:rFonts w:ascii="Arial" w:eastAsia="Arial" w:hAnsi="Arial" w:cs="Arial"/>
        </w:rPr>
        <w:lastRenderedPageBreak/>
        <w:t>In addition, methodological rigour was assessed by examining study design (e.g., longitudinal vs cross-sectional), sample size adequacy, clarity of data analysis, and ethical transparency. Longitudinal and mixed-methods studies were prioritised where available, as they provide deeper insight into psychological trajectories over time (Johnston, 2017).</w:t>
      </w:r>
    </w:p>
    <w:p w14:paraId="0CC875F5" w14:textId="77777777" w:rsidR="00EA293E" w:rsidRDefault="00000000">
      <w:pPr>
        <w:spacing w:before="280" w:after="280" w:line="360" w:lineRule="auto"/>
        <w:jc w:val="both"/>
        <w:rPr>
          <w:rFonts w:ascii="Arial" w:eastAsia="Arial" w:hAnsi="Arial" w:cs="Arial"/>
        </w:rPr>
      </w:pPr>
      <w:r>
        <w:rPr>
          <w:rFonts w:ascii="Arial" w:eastAsia="Arial" w:hAnsi="Arial" w:cs="Arial"/>
        </w:rPr>
        <w:t>Opinion articles, non-peer-reviewed publications, and studies lacking methodological clarity were excluded to maintain academic integrity. This structured validation process strengthened the credibility and reliability of the final dataset.</w:t>
      </w:r>
    </w:p>
    <w:p w14:paraId="0161F1B4"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3.5 Inclusion and Exclusion Criteria:</w:t>
      </w:r>
    </w:p>
    <w:p w14:paraId="258234A0" w14:textId="77777777" w:rsidR="00EA293E" w:rsidRDefault="00000000">
      <w:pPr>
        <w:spacing w:before="280" w:after="280" w:line="360" w:lineRule="auto"/>
        <w:jc w:val="both"/>
        <w:rPr>
          <w:rFonts w:ascii="Arial" w:eastAsia="Arial" w:hAnsi="Arial" w:cs="Arial"/>
        </w:rPr>
      </w:pPr>
      <w:r>
        <w:rPr>
          <w:rFonts w:ascii="Arial" w:eastAsia="Arial" w:hAnsi="Arial" w:cs="Arial"/>
        </w:rPr>
        <w:t>Clear eligibility criteria were established prior to full-text review to enhance methodological transparency and reduce selection bias (Aveyard, 2019).</w:t>
      </w:r>
    </w:p>
    <w:p w14:paraId="0F299461"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3.5.1 Inclusion Criteria:</w:t>
      </w:r>
    </w:p>
    <w:p w14:paraId="492DF955" w14:textId="77777777" w:rsidR="00EA293E" w:rsidRDefault="00000000">
      <w:pPr>
        <w:numPr>
          <w:ilvl w:val="0"/>
          <w:numId w:val="4"/>
        </w:numPr>
        <w:spacing w:before="280" w:after="0" w:line="360" w:lineRule="auto"/>
        <w:jc w:val="both"/>
      </w:pPr>
      <w:r>
        <w:rPr>
          <w:rFonts w:ascii="Arial" w:eastAsia="Arial" w:hAnsi="Arial" w:cs="Arial"/>
        </w:rPr>
        <w:t>Peer-reviewed journal articles</w:t>
      </w:r>
    </w:p>
    <w:p w14:paraId="03C31AE5" w14:textId="77777777" w:rsidR="00EA293E" w:rsidRDefault="00000000">
      <w:pPr>
        <w:numPr>
          <w:ilvl w:val="0"/>
          <w:numId w:val="4"/>
        </w:numPr>
        <w:spacing w:after="0" w:line="360" w:lineRule="auto"/>
        <w:jc w:val="both"/>
      </w:pPr>
      <w:r>
        <w:rPr>
          <w:rFonts w:ascii="Arial" w:eastAsia="Arial" w:hAnsi="Arial" w:cs="Arial"/>
        </w:rPr>
        <w:t>Published between 2020–2025 (with limited pre-2020 theoretical context where essential)</w:t>
      </w:r>
    </w:p>
    <w:p w14:paraId="6EEB7949" w14:textId="77777777" w:rsidR="00EA293E" w:rsidRDefault="00000000">
      <w:pPr>
        <w:numPr>
          <w:ilvl w:val="0"/>
          <w:numId w:val="4"/>
        </w:numPr>
        <w:spacing w:after="0" w:line="360" w:lineRule="auto"/>
        <w:jc w:val="both"/>
      </w:pPr>
      <w:r>
        <w:rPr>
          <w:rFonts w:ascii="Arial" w:eastAsia="Arial" w:hAnsi="Arial" w:cs="Arial"/>
        </w:rPr>
        <w:t>Focus on healthcare workers</w:t>
      </w:r>
    </w:p>
    <w:p w14:paraId="5A98EB44" w14:textId="77777777" w:rsidR="00EA293E" w:rsidRDefault="00000000">
      <w:pPr>
        <w:numPr>
          <w:ilvl w:val="0"/>
          <w:numId w:val="4"/>
        </w:numPr>
        <w:spacing w:after="0" w:line="360" w:lineRule="auto"/>
        <w:jc w:val="both"/>
      </w:pPr>
      <w:r>
        <w:rPr>
          <w:rFonts w:ascii="Arial" w:eastAsia="Arial" w:hAnsi="Arial" w:cs="Arial"/>
        </w:rPr>
        <w:t>Examination of mental health outcomes (e.g., stress, burnout, anxiety, depression)</w:t>
      </w:r>
    </w:p>
    <w:p w14:paraId="37867262" w14:textId="77777777" w:rsidR="00EA293E" w:rsidRDefault="00000000">
      <w:pPr>
        <w:numPr>
          <w:ilvl w:val="0"/>
          <w:numId w:val="4"/>
        </w:numPr>
        <w:spacing w:after="280" w:line="360" w:lineRule="auto"/>
        <w:jc w:val="both"/>
      </w:pPr>
      <w:r>
        <w:rPr>
          <w:rFonts w:ascii="Arial" w:eastAsia="Arial" w:hAnsi="Arial" w:cs="Arial"/>
        </w:rPr>
        <w:t>Exploration of coping strategies, resilience, or organisational support</w:t>
      </w:r>
    </w:p>
    <w:p w14:paraId="3BDEFBE8"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3.5.2 Exclusion Criteria:</w:t>
      </w:r>
    </w:p>
    <w:p w14:paraId="7472D91B" w14:textId="77777777" w:rsidR="00EA293E" w:rsidRDefault="00000000">
      <w:pPr>
        <w:numPr>
          <w:ilvl w:val="0"/>
          <w:numId w:val="2"/>
        </w:numPr>
        <w:spacing w:before="280" w:after="0" w:line="360" w:lineRule="auto"/>
        <w:jc w:val="both"/>
      </w:pPr>
      <w:r>
        <w:rPr>
          <w:rFonts w:ascii="Arial" w:eastAsia="Arial" w:hAnsi="Arial" w:cs="Arial"/>
        </w:rPr>
        <w:t>Opinion blogs or media reports</w:t>
      </w:r>
    </w:p>
    <w:p w14:paraId="74FFDB3D" w14:textId="77777777" w:rsidR="00EA293E" w:rsidRDefault="00000000">
      <w:pPr>
        <w:numPr>
          <w:ilvl w:val="0"/>
          <w:numId w:val="2"/>
        </w:numPr>
        <w:spacing w:after="0" w:line="360" w:lineRule="auto"/>
        <w:jc w:val="both"/>
      </w:pPr>
      <w:r>
        <w:rPr>
          <w:rFonts w:ascii="Arial" w:eastAsia="Arial" w:hAnsi="Arial" w:cs="Arial"/>
        </w:rPr>
        <w:t>Conference abstracts without full papers</w:t>
      </w:r>
    </w:p>
    <w:p w14:paraId="168AABDF" w14:textId="77777777" w:rsidR="00EA293E" w:rsidRDefault="00000000">
      <w:pPr>
        <w:numPr>
          <w:ilvl w:val="0"/>
          <w:numId w:val="2"/>
        </w:numPr>
        <w:spacing w:after="0" w:line="360" w:lineRule="auto"/>
        <w:jc w:val="both"/>
      </w:pPr>
      <w:r>
        <w:rPr>
          <w:rFonts w:ascii="Arial" w:eastAsia="Arial" w:hAnsi="Arial" w:cs="Arial"/>
        </w:rPr>
        <w:t>Studies not focused on healthcare settings</w:t>
      </w:r>
    </w:p>
    <w:p w14:paraId="60F05576" w14:textId="77777777" w:rsidR="00EA293E" w:rsidRDefault="00000000">
      <w:pPr>
        <w:numPr>
          <w:ilvl w:val="0"/>
          <w:numId w:val="2"/>
        </w:numPr>
        <w:spacing w:after="0" w:line="360" w:lineRule="auto"/>
        <w:jc w:val="both"/>
      </w:pPr>
      <w:r>
        <w:rPr>
          <w:rFonts w:ascii="Arial" w:eastAsia="Arial" w:hAnsi="Arial" w:cs="Arial"/>
        </w:rPr>
        <w:t>Non-English publications</w:t>
      </w:r>
    </w:p>
    <w:p w14:paraId="7F0B8CB2" w14:textId="77777777" w:rsidR="00EA293E" w:rsidRDefault="00000000">
      <w:pPr>
        <w:numPr>
          <w:ilvl w:val="0"/>
          <w:numId w:val="2"/>
        </w:numPr>
        <w:spacing w:after="280" w:line="360" w:lineRule="auto"/>
        <w:jc w:val="both"/>
      </w:pPr>
      <w:r>
        <w:rPr>
          <w:rFonts w:ascii="Arial" w:eastAsia="Arial" w:hAnsi="Arial" w:cs="Arial"/>
        </w:rPr>
        <w:t>Articles lacking methodological transparency</w:t>
      </w:r>
    </w:p>
    <w:p w14:paraId="79217A07" w14:textId="77777777" w:rsidR="00EA293E" w:rsidRDefault="00000000">
      <w:pPr>
        <w:spacing w:before="280" w:after="280" w:line="360" w:lineRule="auto"/>
        <w:jc w:val="both"/>
        <w:rPr>
          <w:rFonts w:ascii="Arial" w:eastAsia="Arial" w:hAnsi="Arial" w:cs="Arial"/>
        </w:rPr>
      </w:pPr>
      <w:r>
        <w:rPr>
          <w:rFonts w:ascii="Arial" w:eastAsia="Arial" w:hAnsi="Arial" w:cs="Arial"/>
        </w:rPr>
        <w:t>Applying predefined criteria enhanced objectivity and ensured that included studies directly addressed the research objectives.</w:t>
      </w:r>
    </w:p>
    <w:p w14:paraId="14535801" w14:textId="77777777" w:rsidR="00EA293E" w:rsidRDefault="00EA293E">
      <w:pPr>
        <w:spacing w:before="280" w:after="280" w:line="360" w:lineRule="auto"/>
        <w:jc w:val="both"/>
        <w:rPr>
          <w:rFonts w:ascii="Arial" w:eastAsia="Arial" w:hAnsi="Arial" w:cs="Arial"/>
        </w:rPr>
      </w:pPr>
    </w:p>
    <w:p w14:paraId="5C63E2C5" w14:textId="77777777" w:rsidR="00EA293E" w:rsidRDefault="00EA293E">
      <w:pPr>
        <w:spacing w:before="280" w:after="280" w:line="360" w:lineRule="auto"/>
        <w:jc w:val="both"/>
        <w:rPr>
          <w:rFonts w:ascii="Arial" w:eastAsia="Arial" w:hAnsi="Arial" w:cs="Arial"/>
        </w:rPr>
      </w:pPr>
    </w:p>
    <w:p w14:paraId="7EFF998C" w14:textId="77777777" w:rsidR="00EA293E" w:rsidRDefault="00EA293E">
      <w:pPr>
        <w:spacing w:before="280" w:after="280" w:line="360" w:lineRule="auto"/>
        <w:jc w:val="both"/>
        <w:rPr>
          <w:rFonts w:ascii="Arial" w:eastAsia="Arial" w:hAnsi="Arial" w:cs="Arial"/>
        </w:rPr>
      </w:pPr>
    </w:p>
    <w:p w14:paraId="2EB284F9"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lastRenderedPageBreak/>
        <w:t>3.6 Data Analysis: Thematic Approach</w:t>
      </w:r>
    </w:p>
    <w:p w14:paraId="11A41AB4"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The selected literature was analysed using </w:t>
      </w:r>
      <w:r>
        <w:rPr>
          <w:rFonts w:ascii="Arial" w:eastAsia="Arial" w:hAnsi="Arial" w:cs="Arial"/>
          <w:b/>
          <w:color w:val="000000"/>
        </w:rPr>
        <w:t>thematic analysis</w:t>
      </w:r>
      <w:r>
        <w:rPr>
          <w:rFonts w:ascii="Arial" w:eastAsia="Arial" w:hAnsi="Arial" w:cs="Arial"/>
          <w:color w:val="000000"/>
        </w:rPr>
        <w:t xml:space="preserve">, following the six-phase framework developed by </w:t>
      </w:r>
      <w:r>
        <w:rPr>
          <w:rFonts w:ascii="Arial" w:eastAsia="Arial" w:hAnsi="Arial" w:cs="Arial"/>
          <w:b/>
          <w:color w:val="000000"/>
        </w:rPr>
        <w:t>Braun and Clarke (2006)</w:t>
      </w:r>
      <w:r>
        <w:rPr>
          <w:rFonts w:ascii="Arial" w:eastAsia="Arial" w:hAnsi="Arial" w:cs="Arial"/>
          <w:color w:val="000000"/>
        </w:rPr>
        <w:t>. Thematic analysis was chosen due to its flexibility and suitability for synthesising both qualitative and quantitative findings within secondary research.</w:t>
      </w:r>
    </w:p>
    <w:p w14:paraId="5FA1217D"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The six stages included:</w:t>
      </w:r>
    </w:p>
    <w:p w14:paraId="438E97CB" w14:textId="77777777" w:rsidR="00EA293E" w:rsidRDefault="00000000">
      <w:pPr>
        <w:numPr>
          <w:ilvl w:val="0"/>
          <w:numId w:val="5"/>
        </w:numPr>
        <w:pBdr>
          <w:top w:val="nil"/>
          <w:left w:val="nil"/>
          <w:bottom w:val="nil"/>
          <w:right w:val="nil"/>
          <w:between w:val="nil"/>
        </w:pBdr>
        <w:spacing w:before="280" w:after="0" w:line="360" w:lineRule="auto"/>
        <w:jc w:val="both"/>
        <w:rPr>
          <w:rFonts w:ascii="Arial" w:eastAsia="Arial" w:hAnsi="Arial" w:cs="Arial"/>
          <w:color w:val="000000"/>
        </w:rPr>
      </w:pPr>
      <w:r>
        <w:rPr>
          <w:rFonts w:ascii="Arial" w:eastAsia="Arial" w:hAnsi="Arial" w:cs="Arial"/>
          <w:color w:val="000000"/>
        </w:rPr>
        <w:t>Familiarisation – repeated reading of full texts</w:t>
      </w:r>
    </w:p>
    <w:p w14:paraId="5062295A" w14:textId="77777777" w:rsidR="00EA293E" w:rsidRDefault="00000000">
      <w:pPr>
        <w:numPr>
          <w:ilvl w:val="0"/>
          <w:numId w:val="5"/>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Generating initial codes – identifying recurring concepts</w:t>
      </w:r>
    </w:p>
    <w:p w14:paraId="60D93D08" w14:textId="77777777" w:rsidR="00EA293E" w:rsidRDefault="00000000">
      <w:pPr>
        <w:numPr>
          <w:ilvl w:val="0"/>
          <w:numId w:val="5"/>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Searching for themes – grouping related codes</w:t>
      </w:r>
    </w:p>
    <w:p w14:paraId="090745DC" w14:textId="77777777" w:rsidR="00EA293E" w:rsidRDefault="00000000">
      <w:pPr>
        <w:numPr>
          <w:ilvl w:val="0"/>
          <w:numId w:val="5"/>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Reviewing themes – refining coherence and distinction</w:t>
      </w:r>
    </w:p>
    <w:p w14:paraId="770FB640" w14:textId="77777777" w:rsidR="00EA293E" w:rsidRDefault="00000000">
      <w:pPr>
        <w:numPr>
          <w:ilvl w:val="0"/>
          <w:numId w:val="5"/>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Defining and naming themes</w:t>
      </w:r>
    </w:p>
    <w:p w14:paraId="30CFB155" w14:textId="77777777" w:rsidR="00EA293E" w:rsidRDefault="00000000">
      <w:pPr>
        <w:numPr>
          <w:ilvl w:val="0"/>
          <w:numId w:val="5"/>
        </w:numPr>
        <w:pBdr>
          <w:top w:val="nil"/>
          <w:left w:val="nil"/>
          <w:bottom w:val="nil"/>
          <w:right w:val="nil"/>
          <w:between w:val="nil"/>
        </w:pBdr>
        <w:spacing w:after="280" w:line="360" w:lineRule="auto"/>
        <w:jc w:val="both"/>
        <w:rPr>
          <w:rFonts w:ascii="Arial" w:eastAsia="Arial" w:hAnsi="Arial" w:cs="Arial"/>
          <w:color w:val="000000"/>
        </w:rPr>
      </w:pPr>
      <w:r>
        <w:rPr>
          <w:rFonts w:ascii="Arial" w:eastAsia="Arial" w:hAnsi="Arial" w:cs="Arial"/>
          <w:color w:val="000000"/>
        </w:rPr>
        <w:t>Producing the report</w:t>
      </w:r>
    </w:p>
    <w:p w14:paraId="2AD2DBED"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Codes such as </w:t>
      </w:r>
      <w:r>
        <w:rPr>
          <w:rFonts w:ascii="Arial" w:eastAsia="Arial" w:hAnsi="Arial" w:cs="Arial"/>
          <w:b/>
          <w:color w:val="000000"/>
        </w:rPr>
        <w:t>burnout, emotional exhaustion, moral injury, peer support, organisational leadership, and resilience-building</w:t>
      </w:r>
      <w:r>
        <w:rPr>
          <w:rFonts w:ascii="Arial" w:eastAsia="Arial" w:hAnsi="Arial" w:cs="Arial"/>
          <w:color w:val="000000"/>
        </w:rPr>
        <w:t xml:space="preserve"> were identified across multiple studies. These codes were systematically recorded using spreadsheets and colour-coding to enhance transparency and consistency. The coding process and results summary were documented in a structured </w:t>
      </w:r>
      <w:r>
        <w:rPr>
          <w:rFonts w:ascii="Arial" w:eastAsia="Arial" w:hAnsi="Arial" w:cs="Arial"/>
          <w:b/>
          <w:color w:val="000000"/>
        </w:rPr>
        <w:t>coding table</w:t>
      </w:r>
      <w:r>
        <w:rPr>
          <w:rFonts w:ascii="Arial" w:eastAsia="Arial" w:hAnsi="Arial" w:cs="Arial"/>
          <w:color w:val="000000"/>
        </w:rPr>
        <w:t xml:space="preserve">, which recorded the key concepts identified from each article and how these were grouped into broader analytical themes. This table supported the organisation of findings and ensured that the theme development process remained transparent and systematic. The complete coding and results summary table is provided in </w:t>
      </w:r>
      <w:r>
        <w:rPr>
          <w:rFonts w:ascii="Arial" w:eastAsia="Arial" w:hAnsi="Arial" w:cs="Arial"/>
          <w:b/>
          <w:color w:val="000000"/>
        </w:rPr>
        <w:t>Appendix B</w:t>
      </w:r>
      <w:r>
        <w:rPr>
          <w:rFonts w:ascii="Arial" w:eastAsia="Arial" w:hAnsi="Arial" w:cs="Arial"/>
          <w:color w:val="000000"/>
        </w:rPr>
        <w:t xml:space="preserve"> for reference.</w:t>
      </w:r>
    </w:p>
    <w:p w14:paraId="764BE8F6"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Codes were then synthesised into broader analytical themes aligned with the research objectives, including:</w:t>
      </w:r>
    </w:p>
    <w:p w14:paraId="59352BB6" w14:textId="77777777" w:rsidR="00EA293E" w:rsidRDefault="00000000">
      <w:pPr>
        <w:numPr>
          <w:ilvl w:val="0"/>
          <w:numId w:val="6"/>
        </w:numPr>
        <w:pBdr>
          <w:top w:val="nil"/>
          <w:left w:val="nil"/>
          <w:bottom w:val="nil"/>
          <w:right w:val="nil"/>
          <w:between w:val="nil"/>
        </w:pBdr>
        <w:spacing w:before="280" w:after="0" w:line="360" w:lineRule="auto"/>
        <w:rPr>
          <w:color w:val="000000"/>
        </w:rPr>
      </w:pPr>
      <w:r>
        <w:rPr>
          <w:rFonts w:ascii="Arial" w:eastAsia="Arial" w:hAnsi="Arial" w:cs="Arial"/>
          <w:color w:val="000000"/>
        </w:rPr>
        <w:t>Burnout and Emotional Exhaustion</w:t>
      </w:r>
    </w:p>
    <w:p w14:paraId="67DAD92E" w14:textId="77777777" w:rsidR="00EA293E" w:rsidRDefault="00000000">
      <w:pPr>
        <w:numPr>
          <w:ilvl w:val="0"/>
          <w:numId w:val="6"/>
        </w:numPr>
        <w:pBdr>
          <w:top w:val="nil"/>
          <w:left w:val="nil"/>
          <w:bottom w:val="nil"/>
          <w:right w:val="nil"/>
          <w:between w:val="nil"/>
        </w:pBdr>
        <w:spacing w:after="0" w:line="360" w:lineRule="auto"/>
        <w:rPr>
          <w:color w:val="000000"/>
        </w:rPr>
      </w:pPr>
      <w:r>
        <w:rPr>
          <w:rFonts w:ascii="Arial" w:eastAsia="Arial" w:hAnsi="Arial" w:cs="Arial"/>
          <w:color w:val="000000"/>
        </w:rPr>
        <w:t>Organisational Support and Leadership</w:t>
      </w:r>
    </w:p>
    <w:p w14:paraId="51CAA169" w14:textId="77777777" w:rsidR="00EA293E" w:rsidRDefault="00000000">
      <w:pPr>
        <w:numPr>
          <w:ilvl w:val="0"/>
          <w:numId w:val="6"/>
        </w:numPr>
        <w:pBdr>
          <w:top w:val="nil"/>
          <w:left w:val="nil"/>
          <w:bottom w:val="nil"/>
          <w:right w:val="nil"/>
          <w:between w:val="nil"/>
        </w:pBdr>
        <w:spacing w:after="0" w:line="360" w:lineRule="auto"/>
        <w:rPr>
          <w:color w:val="000000"/>
        </w:rPr>
      </w:pPr>
      <w:r>
        <w:rPr>
          <w:rFonts w:ascii="Arial" w:eastAsia="Arial" w:hAnsi="Arial" w:cs="Arial"/>
          <w:color w:val="000000"/>
        </w:rPr>
        <w:t>Coping Strategies and Resilience</w:t>
      </w:r>
    </w:p>
    <w:p w14:paraId="659F21F8" w14:textId="77777777" w:rsidR="00EA293E" w:rsidRDefault="00000000">
      <w:pPr>
        <w:numPr>
          <w:ilvl w:val="0"/>
          <w:numId w:val="6"/>
        </w:numPr>
        <w:pBdr>
          <w:top w:val="nil"/>
          <w:left w:val="nil"/>
          <w:bottom w:val="nil"/>
          <w:right w:val="nil"/>
          <w:between w:val="nil"/>
        </w:pBdr>
        <w:spacing w:after="280" w:line="360" w:lineRule="auto"/>
        <w:rPr>
          <w:color w:val="000000"/>
        </w:rPr>
      </w:pPr>
      <w:r>
        <w:rPr>
          <w:rFonts w:ascii="Arial" w:eastAsia="Arial" w:hAnsi="Arial" w:cs="Arial"/>
          <w:color w:val="000000"/>
        </w:rPr>
        <w:t>Long-Term Psychological Impact</w:t>
      </w:r>
    </w:p>
    <w:p w14:paraId="24E7055B"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This structured analytic process ensured that the findings were grounded in the literature rather than researcher bias, thereby enhancing the </w:t>
      </w:r>
      <w:r>
        <w:rPr>
          <w:rFonts w:ascii="Arial" w:eastAsia="Arial" w:hAnsi="Arial" w:cs="Arial"/>
          <w:b/>
          <w:color w:val="000000"/>
        </w:rPr>
        <w:t>credibility and confirmability</w:t>
      </w:r>
      <w:r>
        <w:rPr>
          <w:rFonts w:ascii="Arial" w:eastAsia="Arial" w:hAnsi="Arial" w:cs="Arial"/>
          <w:color w:val="000000"/>
        </w:rPr>
        <w:t xml:space="preserve"> of the study (Braun and Clarke, 2006).</w:t>
      </w:r>
    </w:p>
    <w:p w14:paraId="4DC53ADE"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lastRenderedPageBreak/>
        <w:t>3.7 Ethical Considerations:</w:t>
      </w:r>
    </w:p>
    <w:p w14:paraId="22702314" w14:textId="77777777" w:rsidR="00EA293E" w:rsidRDefault="00000000">
      <w:pPr>
        <w:spacing w:before="280" w:after="280" w:line="360" w:lineRule="auto"/>
        <w:jc w:val="both"/>
        <w:rPr>
          <w:rFonts w:ascii="Arial" w:eastAsia="Arial" w:hAnsi="Arial" w:cs="Arial"/>
        </w:rPr>
      </w:pPr>
      <w:r>
        <w:rPr>
          <w:rFonts w:ascii="Arial" w:eastAsia="Arial" w:hAnsi="Arial" w:cs="Arial"/>
        </w:rPr>
        <w:t>As this dissertation relied exclusively on secondary data, formal ethical approval was not required. No primary data were collected, and no participants were directly involved. However, ethical responsibility remained central to the research process.</w:t>
      </w:r>
    </w:p>
    <w:p w14:paraId="42FE743B" w14:textId="77777777" w:rsidR="00EA293E" w:rsidRDefault="00000000">
      <w:pPr>
        <w:spacing w:before="280" w:after="280" w:line="360" w:lineRule="auto"/>
        <w:jc w:val="both"/>
        <w:rPr>
          <w:rFonts w:ascii="Arial" w:eastAsia="Arial" w:hAnsi="Arial" w:cs="Arial"/>
        </w:rPr>
      </w:pPr>
      <w:r>
        <w:rPr>
          <w:rFonts w:ascii="Arial" w:eastAsia="Arial" w:hAnsi="Arial" w:cs="Arial"/>
        </w:rPr>
        <w:t>Academic integrity was upheld through accurate citation and referencing using the Harvard system. Care was taken to avoid plagiarism, selective reporting, or misrepresentation of findings. Conflicting evidence was acknowledged to present a balanced synthesis. Transparency in search procedures, inclusion criteria, and analytical decisions further strengthened the ethical rigour of the study (Aveyard, 2019).</w:t>
      </w:r>
    </w:p>
    <w:p w14:paraId="36BDDD97" w14:textId="77777777" w:rsidR="00EA293E" w:rsidRDefault="00EA293E">
      <w:pPr>
        <w:spacing w:before="280" w:after="280" w:line="360" w:lineRule="auto"/>
        <w:jc w:val="both"/>
        <w:rPr>
          <w:rFonts w:ascii="Arial" w:eastAsia="Arial" w:hAnsi="Arial" w:cs="Arial"/>
        </w:rPr>
      </w:pPr>
    </w:p>
    <w:p w14:paraId="2CEAC1BF"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3.8 Chapter Conclusion:</w:t>
      </w:r>
    </w:p>
    <w:p w14:paraId="451798B3" w14:textId="77777777" w:rsidR="00EA293E" w:rsidRDefault="00000000">
      <w:pPr>
        <w:spacing w:before="280" w:after="280" w:line="360" w:lineRule="auto"/>
        <w:jc w:val="both"/>
        <w:rPr>
          <w:rFonts w:ascii="Arial" w:eastAsia="Arial" w:hAnsi="Arial" w:cs="Arial"/>
        </w:rPr>
      </w:pPr>
      <w:r>
        <w:rPr>
          <w:rFonts w:ascii="Arial" w:eastAsia="Arial" w:hAnsi="Arial" w:cs="Arial"/>
        </w:rPr>
        <w:t>This chapter has provided a detailed and critically justified account of the methodological approach underpinning this dissertation. Through the implementation of a structured search strategy, multi-database selection, explicit inclusion and exclusion criteria, systematic quality appraisal, and rigorous thematic analysis, the study achieved a transparent and academically robust synthesis of literature.</w:t>
      </w:r>
    </w:p>
    <w:p w14:paraId="3549DC7A" w14:textId="77777777" w:rsidR="00EA293E" w:rsidRDefault="00000000">
      <w:pPr>
        <w:spacing w:before="280" w:after="280" w:line="360" w:lineRule="auto"/>
        <w:jc w:val="both"/>
        <w:rPr>
          <w:rFonts w:ascii="Arial" w:eastAsia="Arial" w:hAnsi="Arial" w:cs="Arial"/>
        </w:rPr>
      </w:pPr>
      <w:r>
        <w:rPr>
          <w:rFonts w:ascii="Arial" w:eastAsia="Arial" w:hAnsi="Arial" w:cs="Arial"/>
        </w:rPr>
        <w:t>The methodological framework ensures that the findings presented in Chapter 4 are grounded in credible, peer-reviewed evidence and analysed using a systematic and reproducible process. Collectively, these methodological decisions enhance the trustworthiness, validity, and academic integrity of the research.</w:t>
      </w:r>
    </w:p>
    <w:p w14:paraId="6D9BF8CD" w14:textId="77777777" w:rsidR="00EA293E" w:rsidRDefault="00EA293E">
      <w:pPr>
        <w:spacing w:before="280" w:after="280" w:line="360" w:lineRule="auto"/>
        <w:jc w:val="both"/>
        <w:rPr>
          <w:rFonts w:ascii="Arial" w:eastAsia="Arial" w:hAnsi="Arial" w:cs="Arial"/>
        </w:rPr>
      </w:pPr>
    </w:p>
    <w:p w14:paraId="13A4D16D" w14:textId="77777777" w:rsidR="00EA293E" w:rsidRDefault="00EA293E">
      <w:pPr>
        <w:spacing w:before="280" w:after="280" w:line="360" w:lineRule="auto"/>
        <w:jc w:val="both"/>
        <w:rPr>
          <w:rFonts w:ascii="Arial" w:eastAsia="Arial" w:hAnsi="Arial" w:cs="Arial"/>
        </w:rPr>
      </w:pPr>
    </w:p>
    <w:p w14:paraId="35030D4D" w14:textId="77777777" w:rsidR="00EA293E" w:rsidRDefault="00EA293E">
      <w:pPr>
        <w:spacing w:before="280" w:after="280" w:line="360" w:lineRule="auto"/>
        <w:jc w:val="both"/>
        <w:rPr>
          <w:rFonts w:ascii="Arial" w:eastAsia="Arial" w:hAnsi="Arial" w:cs="Arial"/>
        </w:rPr>
      </w:pPr>
    </w:p>
    <w:p w14:paraId="5122207C" w14:textId="77777777" w:rsidR="00EA293E" w:rsidRDefault="00EA293E">
      <w:pPr>
        <w:spacing w:before="280" w:after="280" w:line="360" w:lineRule="auto"/>
        <w:jc w:val="both"/>
        <w:rPr>
          <w:rFonts w:ascii="Arial" w:eastAsia="Arial" w:hAnsi="Arial" w:cs="Arial"/>
        </w:rPr>
      </w:pPr>
    </w:p>
    <w:p w14:paraId="254502E6" w14:textId="77777777" w:rsidR="00EA293E" w:rsidRDefault="00EA293E">
      <w:pPr>
        <w:spacing w:before="280" w:after="280" w:line="360" w:lineRule="auto"/>
        <w:jc w:val="both"/>
        <w:rPr>
          <w:rFonts w:ascii="Arial" w:eastAsia="Arial" w:hAnsi="Arial" w:cs="Arial"/>
        </w:rPr>
      </w:pPr>
    </w:p>
    <w:p w14:paraId="638D00D4" w14:textId="77777777" w:rsidR="00EA293E" w:rsidRDefault="00EA293E">
      <w:pPr>
        <w:spacing w:before="280" w:after="280" w:line="360" w:lineRule="auto"/>
        <w:jc w:val="both"/>
        <w:rPr>
          <w:rFonts w:ascii="Arial" w:eastAsia="Arial" w:hAnsi="Arial" w:cs="Arial"/>
        </w:rPr>
      </w:pPr>
    </w:p>
    <w:p w14:paraId="3365A599" w14:textId="77777777" w:rsidR="00EA293E" w:rsidRDefault="00000000">
      <w:pPr>
        <w:spacing w:before="280" w:after="280" w:line="360" w:lineRule="auto"/>
        <w:jc w:val="both"/>
        <w:rPr>
          <w:rFonts w:ascii="Arial" w:eastAsia="Arial" w:hAnsi="Arial" w:cs="Arial"/>
          <w:sz w:val="32"/>
          <w:szCs w:val="32"/>
        </w:rPr>
      </w:pPr>
      <w:r>
        <w:rPr>
          <w:rFonts w:ascii="Arial" w:eastAsia="Arial" w:hAnsi="Arial" w:cs="Arial"/>
          <w:b/>
          <w:sz w:val="32"/>
          <w:szCs w:val="32"/>
        </w:rPr>
        <w:lastRenderedPageBreak/>
        <w:t xml:space="preserve">CHAPTER 4 – Findings and Discussion </w:t>
      </w:r>
    </w:p>
    <w:p w14:paraId="5D8EBD97"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4.1 Introduction:</w:t>
      </w:r>
    </w:p>
    <w:p w14:paraId="480C2FFC" w14:textId="77777777" w:rsidR="00EA293E" w:rsidRDefault="00000000">
      <w:pPr>
        <w:spacing w:before="280" w:after="280" w:line="360" w:lineRule="auto"/>
        <w:jc w:val="both"/>
        <w:rPr>
          <w:rFonts w:ascii="Arial" w:eastAsia="Arial" w:hAnsi="Arial" w:cs="Arial"/>
        </w:rPr>
      </w:pPr>
      <w:r>
        <w:rPr>
          <w:rFonts w:ascii="Arial" w:eastAsia="Arial" w:hAnsi="Arial" w:cs="Arial"/>
        </w:rPr>
        <w:t>This chapter presents and critically discusses the findings derived from the secondary research undertaken for this dissertation. Using a thematic analysis approach, it synthesises evidence from peer-reviewed academic literature examining the mental health impact of the COVID-19 pandemic on healthcare workers (HCWs) and the coping strategies employed to manage psychological distress. The findings are structured around three overarching themes identified through systematic coding and analysis of the literature: burnout and emotional exhaustion, coping strategies and individual resilience, and organisational and systemic influences on well-being.</w:t>
      </w:r>
    </w:p>
    <w:p w14:paraId="1699A021" w14:textId="77777777" w:rsidR="00EA293E" w:rsidRDefault="00000000">
      <w:pPr>
        <w:spacing w:before="280" w:after="280" w:line="360" w:lineRule="auto"/>
        <w:jc w:val="both"/>
        <w:rPr>
          <w:rFonts w:ascii="Arial" w:eastAsia="Arial" w:hAnsi="Arial" w:cs="Arial"/>
        </w:rPr>
      </w:pPr>
      <w:r>
        <w:rPr>
          <w:rFonts w:ascii="Arial" w:eastAsia="Arial" w:hAnsi="Arial" w:cs="Arial"/>
        </w:rPr>
        <w:t>This chapter integrates findings with discussion, rather than presenting results in isolation. Empirical evidence is evaluated alongside theoretical frameworks, policy responses, and statistical data to provide a comprehensive understanding of HCW mental health during the pandemic. Areas of agreement and contradiction across studies are critically examined, and the implications of these findings for healthcare practice, workforce sustainability, and policy development are explored. By adopting this integrated approach, the chapter directly addresses the research question and establishes a clear foundation for the conclusions and recommendations presented in Chapter 5.</w:t>
      </w:r>
    </w:p>
    <w:p w14:paraId="1EA0D3B4"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4.2 Thematic Analysis:</w:t>
      </w:r>
    </w:p>
    <w:p w14:paraId="1AE65F55" w14:textId="77777777" w:rsidR="00EA293E" w:rsidRDefault="00000000">
      <w:pPr>
        <w:spacing w:before="280" w:after="280" w:line="360" w:lineRule="auto"/>
        <w:jc w:val="both"/>
        <w:rPr>
          <w:rFonts w:ascii="Arial" w:eastAsia="Arial" w:hAnsi="Arial" w:cs="Arial"/>
        </w:rPr>
      </w:pPr>
      <w:r>
        <w:rPr>
          <w:rFonts w:ascii="Arial" w:eastAsia="Arial" w:hAnsi="Arial" w:cs="Arial"/>
        </w:rPr>
        <w:t>Thematic analysis is a qualitative analytical method used to identify, analyse, and interpret patterns of meaning within a dataset (Braun and Clarke, 2006). In the context of secondary research, thematic analysis enables the systematic synthesis of findings across multiple studies, allowing recurring concepts and relationships to be examined despite differences in study design, population, and setting (Guest, MacQueen and Namey, 2014). This approach was particularly appropriate for the present study due to the breadth and diversity of COVID-19 literature relating to healthcare workers.</w:t>
      </w:r>
    </w:p>
    <w:p w14:paraId="12E40989"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The analysis followed Braun and Clarke’s (2006) six-phase framework. The first phase involved data familiarisation through repeated reading of all included articles. During this process, key issues relating to psychological distress, coping mechanisms, organisational conditions, and resilience were noted. In the second phase, initial codes were generated </w:t>
      </w:r>
      <w:r>
        <w:rPr>
          <w:rFonts w:ascii="Arial" w:eastAsia="Arial" w:hAnsi="Arial" w:cs="Arial"/>
        </w:rPr>
        <w:lastRenderedPageBreak/>
        <w:t>manually, focusing on repeated ideas such as burnout, emotional exhaustion, anxiety, peer support, organisational support, moral injury, and resilience.</w:t>
      </w:r>
    </w:p>
    <w:p w14:paraId="514E9573" w14:textId="77777777" w:rsidR="00EA293E" w:rsidRDefault="00000000">
      <w:pPr>
        <w:spacing w:before="280" w:after="280" w:line="360" w:lineRule="auto"/>
        <w:jc w:val="both"/>
        <w:rPr>
          <w:rFonts w:ascii="Arial" w:eastAsia="Arial" w:hAnsi="Arial" w:cs="Arial"/>
        </w:rPr>
      </w:pPr>
      <w:r>
        <w:rPr>
          <w:rFonts w:ascii="Arial" w:eastAsia="Arial" w:hAnsi="Arial" w:cs="Arial"/>
        </w:rPr>
        <w:t>These codes were recorded in a coding and results summary table (see Appendix X), which documented the frequency and context of each code across the literature. This process enhanced transparency and ensured that theme development was grounded in the data rather than researcher assumption. In the third and fourth phases, codes were reviewed and grouped into broader candidate themes based on conceptual similarity and relevance to the research objectives. These candidate themes were then refined to ensure internal coherence and clear distinction between themes.</w:t>
      </w:r>
    </w:p>
    <w:p w14:paraId="4EC83DF5"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Through this iterative process, three dominant themes were identified. The first theme, </w:t>
      </w:r>
      <w:r>
        <w:rPr>
          <w:rFonts w:ascii="Arial" w:eastAsia="Arial" w:hAnsi="Arial" w:cs="Arial"/>
          <w:b/>
        </w:rPr>
        <w:t>burnout, emotional exhaustion, and psychological distress</w:t>
      </w:r>
      <w:r>
        <w:rPr>
          <w:rFonts w:ascii="Arial" w:eastAsia="Arial" w:hAnsi="Arial" w:cs="Arial"/>
        </w:rPr>
        <w:t xml:space="preserve">, captures the scale, persistence, and severity of mental health challenges experienced by HCWs during the COVID-19 pandemic. The second theme focuses on </w:t>
      </w:r>
      <w:r>
        <w:rPr>
          <w:rFonts w:ascii="Arial" w:eastAsia="Arial" w:hAnsi="Arial" w:cs="Arial"/>
          <w:b/>
        </w:rPr>
        <w:t>coping strategies and individual resilience</w:t>
      </w:r>
      <w:r>
        <w:rPr>
          <w:rFonts w:ascii="Arial" w:eastAsia="Arial" w:hAnsi="Arial" w:cs="Arial"/>
        </w:rPr>
        <w:t xml:space="preserve">, examining how HCWs attempted to manage stress and adversity at a personal level. The third theme explores </w:t>
      </w:r>
      <w:r>
        <w:rPr>
          <w:rFonts w:ascii="Arial" w:eastAsia="Arial" w:hAnsi="Arial" w:cs="Arial"/>
          <w:b/>
        </w:rPr>
        <w:t>organisational and systemic influences</w:t>
      </w:r>
      <w:r>
        <w:rPr>
          <w:rFonts w:ascii="Arial" w:eastAsia="Arial" w:hAnsi="Arial" w:cs="Arial"/>
        </w:rPr>
        <w:t>, highlighting the role of leadership, policy, and workplace conditions in shaping mental health outcomes.</w:t>
      </w:r>
    </w:p>
    <w:p w14:paraId="72FDD065" w14:textId="77777777" w:rsidR="00EA293E" w:rsidRDefault="00000000">
      <w:pPr>
        <w:spacing w:before="280" w:after="280" w:line="360" w:lineRule="auto"/>
        <w:jc w:val="both"/>
        <w:rPr>
          <w:rFonts w:ascii="Arial" w:eastAsia="Arial" w:hAnsi="Arial" w:cs="Arial"/>
        </w:rPr>
      </w:pPr>
      <w:r>
        <w:rPr>
          <w:rFonts w:ascii="Arial" w:eastAsia="Arial" w:hAnsi="Arial" w:cs="Arial"/>
        </w:rPr>
        <w:t>These themes reflect the multi-level nature of HCW mental health, demonstrating that psychological outcomes during the pandemic were shaped by interacting individual, organisational, and systemic factors rather than isolated causes. The first theme is explored in depth below.</w:t>
      </w:r>
    </w:p>
    <w:p w14:paraId="0E309E38"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 xml:space="preserve">4.3 Theme 1: Burnout, Emotional Exhaustion, and Psychological Distress </w:t>
      </w:r>
    </w:p>
    <w:p w14:paraId="7A3270A1"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4.3.1 Definition and Key Terminology:</w:t>
      </w:r>
    </w:p>
    <w:p w14:paraId="7C17C9B8" w14:textId="77777777" w:rsidR="00EA293E" w:rsidRDefault="00000000">
      <w:pPr>
        <w:spacing w:before="280" w:after="280" w:line="360" w:lineRule="auto"/>
        <w:jc w:val="both"/>
        <w:rPr>
          <w:rFonts w:ascii="Arial" w:eastAsia="Arial" w:hAnsi="Arial" w:cs="Arial"/>
        </w:rPr>
      </w:pPr>
      <w:r>
        <w:rPr>
          <w:rFonts w:ascii="Arial" w:eastAsia="Arial" w:hAnsi="Arial" w:cs="Arial"/>
        </w:rPr>
        <w:t>Burnout is widely defined as a work-related psychological syndrome resulting from prolonged exposure to chronic occupational stressors and is characterised by emotional exhaustion, depersonalisation, and reduced personal accomplishment (Maslach and Leiter, 2016). Emotional exhaustion refers specifically to feelings of being emotionally overextended and depleted of emotional resources, while psychological distress encompasses a broader range of symptoms including anxiety, depression, sleep disturbance, and post-traumatic stress symptoms (World Health Organization, 2022).</w:t>
      </w:r>
    </w:p>
    <w:p w14:paraId="37A29427" w14:textId="77777777" w:rsidR="00EA293E" w:rsidRDefault="00000000">
      <w:pPr>
        <w:spacing w:before="280" w:after="280" w:line="360" w:lineRule="auto"/>
        <w:jc w:val="both"/>
        <w:rPr>
          <w:rFonts w:ascii="Arial" w:eastAsia="Arial" w:hAnsi="Arial" w:cs="Arial"/>
        </w:rPr>
      </w:pPr>
      <w:r>
        <w:rPr>
          <w:rFonts w:ascii="Arial" w:eastAsia="Arial" w:hAnsi="Arial" w:cs="Arial"/>
        </w:rPr>
        <w:lastRenderedPageBreak/>
        <w:t>Within the COVID-19 context, these constructs are closely interrelated. Emotional exhaustion frequently acted as an early indicator of burnout, with sustained exposure to stressors leading to more severe and persistent psychological outcomes over time (Rossi et al., 2023). The literature consistently frames burnout during the pandemic not as an acute reaction, but as a cumulative process driven by prolonged crisis conditions.</w:t>
      </w:r>
    </w:p>
    <w:p w14:paraId="731A5CD4"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4.3.2 Historical and Contextual Background:</w:t>
      </w:r>
    </w:p>
    <w:p w14:paraId="556827DA" w14:textId="77777777" w:rsidR="00EA293E" w:rsidRDefault="00000000">
      <w:pPr>
        <w:spacing w:before="280" w:after="280" w:line="360" w:lineRule="auto"/>
        <w:jc w:val="both"/>
        <w:rPr>
          <w:rFonts w:ascii="Arial" w:eastAsia="Arial" w:hAnsi="Arial" w:cs="Arial"/>
        </w:rPr>
      </w:pPr>
      <w:r>
        <w:rPr>
          <w:rFonts w:ascii="Arial" w:eastAsia="Arial" w:hAnsi="Arial" w:cs="Arial"/>
        </w:rPr>
        <w:t>Burnout among healthcare workers was a recognised occupational concern prior to the COVID-19 pandemic. In the United Kingdom, long-standing workforce shortages, increasing patient demand, and constrained funding had already contributed to high levels of stress within the National Health Service (NHS) (West et al., 2018). Similar patterns were observed internationally, particularly in health systems characterised by high workloads and limited staffing.</w:t>
      </w:r>
    </w:p>
    <w:p w14:paraId="17CDB355"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The COVID-19 pandemic dramatically intensified these existing pressures. HCWs were required to manage unprecedented surges in patient numbers, high mortality rates, rapidly evolving clinical guidance, and shortages of personal protective equipment (Shanafelt, Ripp and </w:t>
      </w:r>
      <w:proofErr w:type="spellStart"/>
      <w:r>
        <w:rPr>
          <w:rFonts w:ascii="Arial" w:eastAsia="Arial" w:hAnsi="Arial" w:cs="Arial"/>
        </w:rPr>
        <w:t>Trockel</w:t>
      </w:r>
      <w:proofErr w:type="spellEnd"/>
      <w:r>
        <w:rPr>
          <w:rFonts w:ascii="Arial" w:eastAsia="Arial" w:hAnsi="Arial" w:cs="Arial"/>
        </w:rPr>
        <w:t>, 2020). In addition to physical demands, HCWs faced significant emotional labour, including repeated exposure to patient suffering and death, often in the absence of family members due to infection control restrictions (Kang et al., 2020).</w:t>
      </w:r>
    </w:p>
    <w:p w14:paraId="49659540" w14:textId="77777777" w:rsidR="00EA293E" w:rsidRDefault="00000000">
      <w:pPr>
        <w:spacing w:before="280" w:after="280" w:line="360" w:lineRule="auto"/>
        <w:jc w:val="both"/>
        <w:rPr>
          <w:rFonts w:ascii="Arial" w:eastAsia="Arial" w:hAnsi="Arial" w:cs="Arial"/>
        </w:rPr>
      </w:pPr>
      <w:r>
        <w:rPr>
          <w:rFonts w:ascii="Arial" w:eastAsia="Arial" w:hAnsi="Arial" w:cs="Arial"/>
        </w:rPr>
        <w:t>Fear of infection and concerns about transmitting the virus to family members further compounded psychological strain, particularly during the early stages of the pandemic when vaccines were unavailable and uncertainty was high (Lai et al., 2020). Unlike previous infectious disease outbreaks, such as SARS or H1N1, COVID-19 was prolonged and unpredictable, with multiple waves extending over several years. This resulted in cumulative rather than episodic stress, significantly increasing the risk of chronic burnout and long-term psychological harm (Maunder et al., 2024).</w:t>
      </w:r>
    </w:p>
    <w:p w14:paraId="591B9C21"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4.3.3 Relevance to the Research Question:</w:t>
      </w:r>
    </w:p>
    <w:p w14:paraId="13417CB3" w14:textId="77777777" w:rsidR="00EA293E" w:rsidRDefault="00000000">
      <w:pPr>
        <w:spacing w:before="280" w:after="280" w:line="360" w:lineRule="auto"/>
        <w:jc w:val="both"/>
        <w:rPr>
          <w:rFonts w:ascii="Arial" w:eastAsia="Arial" w:hAnsi="Arial" w:cs="Arial"/>
        </w:rPr>
      </w:pPr>
      <w:r>
        <w:rPr>
          <w:rFonts w:ascii="Arial" w:eastAsia="Arial" w:hAnsi="Arial" w:cs="Arial"/>
        </w:rPr>
        <w:t>This theme is central to the research question, as understanding the scale and nature of psychological distress experienced by HCWs is essential for evaluating the effectiveness and limitations of coping strategies. High levels of burnout and emotional exhaustion impair emotional regulation, concentration, and motivation, reducing HCWs’ capacity to engage in adaptive coping behaviours (Anger et al., 2024).</w:t>
      </w:r>
    </w:p>
    <w:p w14:paraId="5259A948" w14:textId="77777777" w:rsidR="00EA293E" w:rsidRDefault="00000000">
      <w:pPr>
        <w:spacing w:before="280" w:after="280" w:line="360" w:lineRule="auto"/>
        <w:jc w:val="both"/>
        <w:rPr>
          <w:rFonts w:ascii="Arial" w:eastAsia="Arial" w:hAnsi="Arial" w:cs="Arial"/>
        </w:rPr>
      </w:pPr>
      <w:r>
        <w:rPr>
          <w:rFonts w:ascii="Arial" w:eastAsia="Arial" w:hAnsi="Arial" w:cs="Arial"/>
        </w:rPr>
        <w:lastRenderedPageBreak/>
        <w:t>Moreover, burnout has implications beyond individual well-being. Evidence suggests that psychological distress is associated with increased sickness absence, reduced quality of patient care, and higher intentions to leave the profession (West et al., 2018; Davies et al., 2025). Establishing the extent of burnout during COVID-19 therefore provides critical context for understanding why individual coping strategies were often insufficient and why organisational and systemic support became increasingly important.</w:t>
      </w:r>
    </w:p>
    <w:p w14:paraId="54C00938" w14:textId="77777777" w:rsidR="00EA293E" w:rsidRDefault="00000000">
      <w:pPr>
        <w:spacing w:before="280" w:after="280" w:line="360" w:lineRule="auto"/>
        <w:jc w:val="both"/>
        <w:rPr>
          <w:rFonts w:ascii="Arial" w:eastAsia="Arial" w:hAnsi="Arial" w:cs="Arial"/>
          <w:b/>
          <w:sz w:val="27"/>
          <w:szCs w:val="27"/>
        </w:rPr>
      </w:pPr>
      <w:r>
        <w:rPr>
          <w:rFonts w:ascii="Arial" w:eastAsia="Arial" w:hAnsi="Arial" w:cs="Arial"/>
          <w:b/>
          <w:sz w:val="27"/>
          <w:szCs w:val="27"/>
        </w:rPr>
        <w:t>4.3.4 Statistical Evidence and Prevalence:</w:t>
      </w:r>
    </w:p>
    <w:p w14:paraId="662E8FEB" w14:textId="77777777" w:rsidR="00EA293E" w:rsidRDefault="00000000">
      <w:pPr>
        <w:spacing w:before="280" w:after="280" w:line="360" w:lineRule="auto"/>
        <w:jc w:val="both"/>
        <w:rPr>
          <w:rFonts w:ascii="Arial" w:eastAsia="Arial" w:hAnsi="Arial" w:cs="Arial"/>
        </w:rPr>
      </w:pPr>
      <w:r>
        <w:rPr>
          <w:rFonts w:ascii="Arial" w:eastAsia="Arial" w:hAnsi="Arial" w:cs="Arial"/>
        </w:rPr>
        <w:t>Quantitative evidence across the literature consistently demonstrates high prevalence rates of burnout and psychological distress among healthcare workers during the COVID-19 pandemic. Early cross-sectional studies identified widespread anxiety, depression, and emotional exhaustion among frontline staff. Chew et al. (2020), in a large multinational study across Asia and Europe, reported that over 60% of healthcare workers experienced moderate to severe psychological distress during the initial phase of the pandemic. Similarly, Lai et al. (2020) found that 44.6% of frontline healthcare workers in China reported symptoms of anxiety, while 50.4% reported symptoms of depression.</w:t>
      </w:r>
    </w:p>
    <w:p w14:paraId="23541DC3"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As the pandemic progressed, longitudinal research provided insight into the persistence of distress. Maunder et al. (2024) conducted a longitudinal study of hospital workers between 2020 and 2023 and found that emotional exhaustion and burnout remained consistently high, with only marginal improvement over time. This challenges early assumptions that psychological distress would diminish once infection rates declined or vaccines became available. UK-based research supports these findings. Davies et al. (2025) reported sustained levels of burnout and moral injury among NHS and adult social care staff, highlighting that psychological recovery </w:t>
      </w:r>
      <w:proofErr w:type="gramStart"/>
      <w:r>
        <w:rPr>
          <w:rFonts w:ascii="Arial" w:eastAsia="Arial" w:hAnsi="Arial" w:cs="Arial"/>
        </w:rPr>
        <w:t>lagged behind</w:t>
      </w:r>
      <w:proofErr w:type="gramEnd"/>
      <w:r>
        <w:rPr>
          <w:rFonts w:ascii="Arial" w:eastAsia="Arial" w:hAnsi="Arial" w:cs="Arial"/>
        </w:rPr>
        <w:t xml:space="preserve"> operational recovery.</w:t>
      </w:r>
    </w:p>
    <w:p w14:paraId="6D069130" w14:textId="77777777" w:rsidR="00EA293E" w:rsidRDefault="00000000">
      <w:pPr>
        <w:spacing w:before="280" w:after="280" w:line="360" w:lineRule="auto"/>
        <w:jc w:val="both"/>
        <w:rPr>
          <w:rFonts w:ascii="Arial" w:eastAsia="Arial" w:hAnsi="Arial" w:cs="Arial"/>
        </w:rPr>
      </w:pPr>
      <w:r>
        <w:rPr>
          <w:rFonts w:ascii="Arial" w:eastAsia="Arial" w:hAnsi="Arial" w:cs="Arial"/>
        </w:rPr>
        <w:t>Notably, several studies identified disparities across occupational and demographic groups. Nurses, women, younger staff, and those working in high-intensity clinical settings such as intensive care units consistently reported higher levels of burnout and emotional exhaustion (Mokaya et al., 2025; Rossi et al., 2023). These disparities suggest that burnout was shaped not only by exposure to COVID-19 but also by structural inequalities, role expectations, and workforce hierarchies.</w:t>
      </w:r>
    </w:p>
    <w:p w14:paraId="2FFCC5FD" w14:textId="77777777" w:rsidR="00EA293E" w:rsidRDefault="00EA293E">
      <w:pPr>
        <w:spacing w:before="280" w:after="280" w:line="360" w:lineRule="auto"/>
        <w:jc w:val="both"/>
        <w:rPr>
          <w:rFonts w:ascii="Arial" w:eastAsia="Arial" w:hAnsi="Arial" w:cs="Arial"/>
        </w:rPr>
      </w:pPr>
    </w:p>
    <w:p w14:paraId="0F4455F4" w14:textId="77777777" w:rsidR="00EA293E" w:rsidRDefault="00EA293E">
      <w:pPr>
        <w:spacing w:before="280" w:after="280" w:line="360" w:lineRule="auto"/>
        <w:jc w:val="both"/>
        <w:rPr>
          <w:rFonts w:ascii="Arial" w:eastAsia="Arial" w:hAnsi="Arial" w:cs="Arial"/>
        </w:rPr>
      </w:pPr>
    </w:p>
    <w:p w14:paraId="4BA2195A" w14:textId="77777777" w:rsidR="00EA293E" w:rsidRDefault="00000000">
      <w:pPr>
        <w:spacing w:before="280" w:after="280" w:line="360" w:lineRule="auto"/>
        <w:jc w:val="both"/>
        <w:rPr>
          <w:rFonts w:ascii="Arial" w:eastAsia="Arial" w:hAnsi="Arial" w:cs="Arial"/>
          <w:b/>
          <w:sz w:val="27"/>
          <w:szCs w:val="27"/>
        </w:rPr>
      </w:pPr>
      <w:r>
        <w:rPr>
          <w:rFonts w:ascii="Arial" w:eastAsia="Arial" w:hAnsi="Arial" w:cs="Arial"/>
          <w:b/>
          <w:sz w:val="27"/>
          <w:szCs w:val="27"/>
        </w:rPr>
        <w:lastRenderedPageBreak/>
        <w:t>4.3.5 Theoretical Explanations:</w:t>
      </w:r>
    </w:p>
    <w:p w14:paraId="24B375E0"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The </w:t>
      </w:r>
      <w:r>
        <w:rPr>
          <w:rFonts w:ascii="Arial" w:eastAsia="Arial" w:hAnsi="Arial" w:cs="Arial"/>
          <w:b/>
        </w:rPr>
        <w:t>Job Demands–Resources (JD-R) model</w:t>
      </w:r>
      <w:r>
        <w:rPr>
          <w:rFonts w:ascii="Arial" w:eastAsia="Arial" w:hAnsi="Arial" w:cs="Arial"/>
        </w:rPr>
        <w:t xml:space="preserve"> provides a robust framework for understanding the prevalence and persistence of burnout during COVID-19. According to this model, burnout develops when job demands—such as workload, emotional labour, and time pressure—outstrip available job resources, including staffing, autonomy, and organisational support (Bakker and Demerouti, 2017). During the pandemic, healthcare workers experienced a rapid escalation in job demands alongside significant reductions in resources due to staff sickness, redeployment, and equipment shortages.</w:t>
      </w:r>
    </w:p>
    <w:p w14:paraId="13BDE699" w14:textId="77777777" w:rsidR="00EA293E" w:rsidRDefault="00000000">
      <w:pPr>
        <w:spacing w:before="280" w:after="280" w:line="360" w:lineRule="auto"/>
        <w:jc w:val="both"/>
        <w:rPr>
          <w:rFonts w:ascii="Arial" w:eastAsia="Arial" w:hAnsi="Arial" w:cs="Arial"/>
        </w:rPr>
      </w:pPr>
      <w:r>
        <w:rPr>
          <w:rFonts w:ascii="Arial" w:eastAsia="Arial" w:hAnsi="Arial" w:cs="Arial"/>
        </w:rPr>
        <w:t>Empirical evidence supports the applicability of the JD-R model in this context. Anger et al. (2024) found that insufficient organisational resources were among the strongest predictors of emotional exhaustion and burnout during COVID-19. Similarly, Mazzetti et al. (2025) demonstrated that day-to-day fluctuations in job demands and resources were directly associated with changes in healthcare workers’ stress and well-being, reinforcing the dynamic nature of burnout.</w:t>
      </w:r>
    </w:p>
    <w:p w14:paraId="77443559"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In addition, </w:t>
      </w:r>
      <w:r>
        <w:rPr>
          <w:rFonts w:ascii="Arial" w:eastAsia="Arial" w:hAnsi="Arial" w:cs="Arial"/>
          <w:b/>
        </w:rPr>
        <w:t>moral injury theory</w:t>
      </w:r>
      <w:r>
        <w:rPr>
          <w:rFonts w:ascii="Arial" w:eastAsia="Arial" w:hAnsi="Arial" w:cs="Arial"/>
        </w:rPr>
        <w:t xml:space="preserve"> offers insight into the ethical dimensions of psychological distress experienced during the pandemic. Moral injury occurs when individuals are exposed to situations that violate deeply held moral or professional values, resulting in guilt, shame, and emotional distress (Williamson, Murphy and Greenberg, 2020). During COVID-19, healthcare workers frequently reported moral distress related to patient triage decisions, resource rationing, and compromised standards of care. These experiences contributed to emotional exhaustion and compounded the effects of workload-related stress.</w:t>
      </w:r>
    </w:p>
    <w:p w14:paraId="0EBF9943"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4.3.6 Policy and Legislative Context:</w:t>
      </w:r>
    </w:p>
    <w:p w14:paraId="6767519D" w14:textId="77777777" w:rsidR="00EA293E" w:rsidRDefault="00000000">
      <w:pPr>
        <w:spacing w:before="280" w:after="280" w:line="360" w:lineRule="auto"/>
        <w:jc w:val="both"/>
        <w:rPr>
          <w:rFonts w:ascii="Arial" w:eastAsia="Arial" w:hAnsi="Arial" w:cs="Arial"/>
        </w:rPr>
      </w:pPr>
      <w:r>
        <w:rPr>
          <w:rFonts w:ascii="Arial" w:eastAsia="Arial" w:hAnsi="Arial" w:cs="Arial"/>
        </w:rPr>
        <w:t>In response to mounting evidence of healthcare worker distress, national and international bodies introduced policies aimed at supporting workforce mental health. The World Health Organization (2022) emphasised the importance of psychosocial support, safe working environments, and adequate rest periods for healthcare workers. In the United Kingdom, NHS England (2021) established Staff Mental Health and Wellbeing Hubs to provide rapid access to psychological support, while NICE (2021) issued evidence-based guidance on promoting mental well-being at work.</w:t>
      </w:r>
    </w:p>
    <w:p w14:paraId="01B2EFAC"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Despite these initiatives, the literature suggests that policy responses were often reactive and inconsistently implemented. Frias et al. (2025) reported that although mental health services were expanded, many healthcare workers were unable to access support due to workload </w:t>
      </w:r>
      <w:r>
        <w:rPr>
          <w:rFonts w:ascii="Arial" w:eastAsia="Arial" w:hAnsi="Arial" w:cs="Arial"/>
        </w:rPr>
        <w:lastRenderedPageBreak/>
        <w:t>pressures, lack of awareness, or stigma associated with help-seeking. Furthermore, the Health and Safety Executive (2020) reiterated employers’ legal responsibility to manage work-related stress, yet evidence suggests that stress risk assessments were not consistently applied during the pandemic.</w:t>
      </w:r>
    </w:p>
    <w:p w14:paraId="48A141B8" w14:textId="77777777" w:rsidR="00EA293E" w:rsidRDefault="00000000">
      <w:pPr>
        <w:spacing w:before="280" w:after="280" w:line="360" w:lineRule="auto"/>
        <w:jc w:val="both"/>
        <w:rPr>
          <w:rFonts w:ascii="Arial" w:eastAsia="Arial" w:hAnsi="Arial" w:cs="Arial"/>
        </w:rPr>
      </w:pPr>
      <w:r>
        <w:rPr>
          <w:rFonts w:ascii="Arial" w:eastAsia="Arial" w:hAnsi="Arial" w:cs="Arial"/>
        </w:rPr>
        <w:t>This gap between policy intent and lived experience highlights systemic limitations in workforce protection and reinforces the need for proactive, sustained approaches to mental health support rather than crisis-driven responses.</w:t>
      </w:r>
    </w:p>
    <w:p w14:paraId="6D631E70"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4.3.7 Examples from Reviewed Articles:</w:t>
      </w:r>
    </w:p>
    <w:p w14:paraId="0E93A36E" w14:textId="77777777" w:rsidR="00EA293E" w:rsidRDefault="00000000">
      <w:pPr>
        <w:spacing w:before="280" w:after="280" w:line="360" w:lineRule="auto"/>
        <w:jc w:val="both"/>
        <w:rPr>
          <w:rFonts w:ascii="Arial" w:eastAsia="Arial" w:hAnsi="Arial" w:cs="Arial"/>
        </w:rPr>
      </w:pPr>
      <w:r>
        <w:rPr>
          <w:rFonts w:ascii="Arial" w:eastAsia="Arial" w:hAnsi="Arial" w:cs="Arial"/>
        </w:rPr>
        <w:t>Rossi et al. (2023), in a comprehensive scoping review, identified emotional exhaustion as the most consistently reported psychological outcome across healthcare professions during COVID-19. Their findings demonstrate strong consensus regarding the scale of burnout experienced globally. In contrast, Maunder et al. (2024) provide longitudinal evidence showing that psychological distress persisted even as infection rates declined, challenging assumptions that burnout would resolve naturally post-crisis.</w:t>
      </w:r>
    </w:p>
    <w:p w14:paraId="50F16670" w14:textId="77777777" w:rsidR="00EA293E" w:rsidRDefault="00000000">
      <w:pPr>
        <w:spacing w:before="280" w:after="280" w:line="360" w:lineRule="auto"/>
        <w:jc w:val="both"/>
        <w:rPr>
          <w:rFonts w:ascii="Arial" w:eastAsia="Arial" w:hAnsi="Arial" w:cs="Arial"/>
        </w:rPr>
      </w:pPr>
      <w:r>
        <w:rPr>
          <w:rFonts w:ascii="Arial" w:eastAsia="Arial" w:hAnsi="Arial" w:cs="Arial"/>
        </w:rPr>
        <w:t>Mokaya et al. (2025), focusing on nurses in low-resource settings, reported similarly high levels of distress despite differences in healthcare infrastructure. This suggests that burnout was a global phenomenon driven by shared stressors such as workload intensity, emotional labour, and fear of infection, rather than solely by national health system capacity.</w:t>
      </w:r>
    </w:p>
    <w:p w14:paraId="57F3A85C" w14:textId="77777777" w:rsidR="00EA293E" w:rsidRDefault="00000000">
      <w:pPr>
        <w:spacing w:before="280" w:after="280" w:line="360" w:lineRule="auto"/>
        <w:jc w:val="both"/>
        <w:rPr>
          <w:rFonts w:ascii="Arial" w:eastAsia="Arial" w:hAnsi="Arial" w:cs="Arial"/>
        </w:rPr>
      </w:pPr>
      <w:r>
        <w:rPr>
          <w:rFonts w:ascii="Arial" w:eastAsia="Arial" w:hAnsi="Arial" w:cs="Arial"/>
        </w:rPr>
        <w:t>While these studies broadly agree on the prevalence of burnout, they differ in their emphasis on recovery trajectories. Some authors suggest gradual adaptation over time, whereas others highlight chronic and unresolved distress. These differences underscore the complexity of burnout and the need for nuanced analysis when evaluating coping strategies and interventions.</w:t>
      </w:r>
    </w:p>
    <w:p w14:paraId="398EAAD0"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4.3.8 Implications of Burnout:</w:t>
      </w:r>
    </w:p>
    <w:p w14:paraId="313BBBCA" w14:textId="77777777" w:rsidR="00EA293E" w:rsidRDefault="00000000">
      <w:pPr>
        <w:spacing w:before="280" w:after="280" w:line="360" w:lineRule="auto"/>
        <w:jc w:val="both"/>
        <w:rPr>
          <w:rFonts w:ascii="Arial" w:eastAsia="Arial" w:hAnsi="Arial" w:cs="Arial"/>
        </w:rPr>
      </w:pPr>
      <w:r>
        <w:rPr>
          <w:rFonts w:ascii="Arial" w:eastAsia="Arial" w:hAnsi="Arial" w:cs="Arial"/>
        </w:rPr>
        <w:t>The implications of burnout during COVID-19 are both immediate and long-term. At an individual level, burnout is associated with reduced psychological well-being, impaired functioning, and increased risk of mental health disorders (WHO, 2022). At an organisational level, burnout contributes to sickness absence, reduced productivity, and workforce attrition (West et al., 2018).</w:t>
      </w:r>
    </w:p>
    <w:p w14:paraId="5BA00022"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From a systems perspective, sustained burnout poses a threat to healthcare system resilience and patient safety. High levels of emotional exhaustion undermine healthcare workers’ </w:t>
      </w:r>
      <w:r>
        <w:rPr>
          <w:rFonts w:ascii="Arial" w:eastAsia="Arial" w:hAnsi="Arial" w:cs="Arial"/>
        </w:rPr>
        <w:lastRenderedPageBreak/>
        <w:t>capacity to engage in adaptive coping strategies, limiting the effectiveness of individual-level interventions. This has direct relevance for the evaluation of coping strategies, as explored in Theme 2.</w:t>
      </w:r>
    </w:p>
    <w:p w14:paraId="24320AB2"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4.3.9 Connections to Other Themes:</w:t>
      </w:r>
    </w:p>
    <w:p w14:paraId="2ED1092F"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This theme is closely interconnected with the subsequent themes explored in this chapter. High levels of burnout constrained healthcare workers’ ability to engage in adaptive coping strategies, directly linking this theme to </w:t>
      </w:r>
      <w:r>
        <w:rPr>
          <w:rFonts w:ascii="Arial" w:eastAsia="Arial" w:hAnsi="Arial" w:cs="Arial"/>
          <w:b/>
        </w:rPr>
        <w:t>Theme 2: Coping Strategies and Individual Resilience</w:t>
      </w:r>
      <w:r>
        <w:rPr>
          <w:rFonts w:ascii="Arial" w:eastAsia="Arial" w:hAnsi="Arial" w:cs="Arial"/>
        </w:rPr>
        <w:t xml:space="preserve">. Additionally, the persistence of psychological distress highlights the critical role of organisational and systemic support, connecting this theme to </w:t>
      </w:r>
      <w:r>
        <w:rPr>
          <w:rFonts w:ascii="Arial" w:eastAsia="Arial" w:hAnsi="Arial" w:cs="Arial"/>
          <w:b/>
        </w:rPr>
        <w:t>Theme 3: Organisational and Systemic Influences</w:t>
      </w:r>
      <w:r>
        <w:rPr>
          <w:rFonts w:ascii="Arial" w:eastAsia="Arial" w:hAnsi="Arial" w:cs="Arial"/>
        </w:rPr>
        <w:t>.</w:t>
      </w:r>
    </w:p>
    <w:p w14:paraId="245A2498" w14:textId="77777777" w:rsidR="00EA293E" w:rsidRDefault="00000000">
      <w:pPr>
        <w:spacing w:before="280" w:after="280" w:line="360" w:lineRule="auto"/>
        <w:jc w:val="both"/>
        <w:rPr>
          <w:rFonts w:ascii="Arial" w:eastAsia="Arial" w:hAnsi="Arial" w:cs="Arial"/>
        </w:rPr>
      </w:pPr>
      <w:r>
        <w:rPr>
          <w:rFonts w:ascii="Arial" w:eastAsia="Arial" w:hAnsi="Arial" w:cs="Arial"/>
        </w:rPr>
        <w:t>Together, these themes demonstrate that burnout during the COVID-19 pandemic cannot be understood or addressed in isolation. Effective mitigation requires an integrated approach that recognises the interplay between individual coping capacity, organisational conditions, and broader systemic factors.</w:t>
      </w:r>
    </w:p>
    <w:p w14:paraId="313AB0DD" w14:textId="77777777" w:rsidR="00EA293E" w:rsidRDefault="00EA293E">
      <w:pPr>
        <w:spacing w:before="280" w:after="280" w:line="360" w:lineRule="auto"/>
        <w:jc w:val="both"/>
        <w:rPr>
          <w:rFonts w:ascii="Arial" w:eastAsia="Arial" w:hAnsi="Arial" w:cs="Arial"/>
          <w:sz w:val="24"/>
          <w:szCs w:val="24"/>
        </w:rPr>
      </w:pPr>
    </w:p>
    <w:p w14:paraId="339FD95D" w14:textId="77777777" w:rsidR="00EA293E" w:rsidRDefault="00000000">
      <w:pPr>
        <w:spacing w:before="280" w:after="280" w:line="360" w:lineRule="auto"/>
        <w:jc w:val="both"/>
        <w:rPr>
          <w:rFonts w:ascii="Arial" w:eastAsia="Arial" w:hAnsi="Arial" w:cs="Arial"/>
          <w:b/>
          <w:sz w:val="32"/>
          <w:szCs w:val="32"/>
        </w:rPr>
      </w:pPr>
      <w:r>
        <w:rPr>
          <w:rFonts w:ascii="Arial" w:eastAsia="Arial" w:hAnsi="Arial" w:cs="Arial"/>
          <w:b/>
          <w:sz w:val="32"/>
          <w:szCs w:val="32"/>
        </w:rPr>
        <w:t>4.4 Theme 2: Coping Strategies and Individual Resilience</w:t>
      </w:r>
    </w:p>
    <w:p w14:paraId="16629EC7"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4.4.1 Definition and Key Concepts:</w:t>
      </w:r>
    </w:p>
    <w:p w14:paraId="6071F189"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Coping strategies are defined as the cognitive and behavioural efforts individuals use to manage internal and external demands perceived as stressful or exceeding available resources (Lazarus and Folkman, 1984). In healthcare research, coping strategies are commonly categorised into </w:t>
      </w:r>
      <w:r>
        <w:rPr>
          <w:rFonts w:ascii="Arial" w:eastAsia="Arial" w:hAnsi="Arial" w:cs="Arial"/>
          <w:b/>
        </w:rPr>
        <w:t>problem-focused coping</w:t>
      </w:r>
      <w:r>
        <w:rPr>
          <w:rFonts w:ascii="Arial" w:eastAsia="Arial" w:hAnsi="Arial" w:cs="Arial"/>
        </w:rPr>
        <w:t xml:space="preserve">, which aims to address the source of stress, and </w:t>
      </w:r>
      <w:r>
        <w:rPr>
          <w:rFonts w:ascii="Arial" w:eastAsia="Arial" w:hAnsi="Arial" w:cs="Arial"/>
          <w:b/>
        </w:rPr>
        <w:t>emotion-focused coping</w:t>
      </w:r>
      <w:r>
        <w:rPr>
          <w:rFonts w:ascii="Arial" w:eastAsia="Arial" w:hAnsi="Arial" w:cs="Arial"/>
        </w:rPr>
        <w:t xml:space="preserve">, which seeks to regulate emotional responses to stress (Carver, Scheier and Weintraub, 1989). A third category, </w:t>
      </w:r>
      <w:r>
        <w:rPr>
          <w:rFonts w:ascii="Arial" w:eastAsia="Arial" w:hAnsi="Arial" w:cs="Arial"/>
          <w:b/>
        </w:rPr>
        <w:t>avoidant coping</w:t>
      </w:r>
      <w:r>
        <w:rPr>
          <w:rFonts w:ascii="Arial" w:eastAsia="Arial" w:hAnsi="Arial" w:cs="Arial"/>
        </w:rPr>
        <w:t>, involves disengagement, denial, or emotional suppression and is generally associated with poorer mental health outcomes.</w:t>
      </w:r>
    </w:p>
    <w:p w14:paraId="0E4C0C49" w14:textId="77777777" w:rsidR="00EA293E" w:rsidRDefault="00000000">
      <w:pPr>
        <w:spacing w:before="280" w:after="280" w:line="360" w:lineRule="auto"/>
        <w:jc w:val="both"/>
        <w:rPr>
          <w:rFonts w:ascii="Arial" w:eastAsia="Arial" w:hAnsi="Arial" w:cs="Arial"/>
        </w:rPr>
      </w:pPr>
      <w:r>
        <w:rPr>
          <w:rFonts w:ascii="Arial" w:eastAsia="Arial" w:hAnsi="Arial" w:cs="Arial"/>
        </w:rPr>
        <w:t>Resilience refers to the capacity to maintain or regain psychological well-being in the face of adversity (Windle, 2011). Within the COVID-19 literature, resilience is often conceptualised as a dynamic process rather than a fixed trait, shaped by individual characteristics, social support, and organisational context (</w:t>
      </w:r>
      <w:proofErr w:type="spellStart"/>
      <w:r>
        <w:rPr>
          <w:rFonts w:ascii="Arial" w:eastAsia="Arial" w:hAnsi="Arial" w:cs="Arial"/>
        </w:rPr>
        <w:t>Labrague</w:t>
      </w:r>
      <w:proofErr w:type="spellEnd"/>
      <w:r>
        <w:rPr>
          <w:rFonts w:ascii="Arial" w:eastAsia="Arial" w:hAnsi="Arial" w:cs="Arial"/>
        </w:rPr>
        <w:t xml:space="preserve">, 2021). This theme explores how healthcare workers (HCWs) attempted to cope with psychological distress during the pandemic and critically </w:t>
      </w:r>
      <w:r>
        <w:rPr>
          <w:rFonts w:ascii="Arial" w:eastAsia="Arial" w:hAnsi="Arial" w:cs="Arial"/>
        </w:rPr>
        <w:lastRenderedPageBreak/>
        <w:t>evaluates the effectiveness and limitations of individual resilience in mitigating burnout and emotional exhaustion.</w:t>
      </w:r>
    </w:p>
    <w:p w14:paraId="167FF522"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4.4.2 Background and Context:</w:t>
      </w:r>
    </w:p>
    <w:p w14:paraId="45EBDE10"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During the COVID-19 pandemic, HCWs employed a wide range of coping strategies to manage unprecedented levels of stress. Early in the pandemic, coping efforts were often task-oriented and focused on immediate survival, including strict adherence to infection control protocols, increased vigilance, and extended working hours (Shanafelt, Ripp and </w:t>
      </w:r>
      <w:proofErr w:type="spellStart"/>
      <w:r>
        <w:rPr>
          <w:rFonts w:ascii="Arial" w:eastAsia="Arial" w:hAnsi="Arial" w:cs="Arial"/>
        </w:rPr>
        <w:t>Trockel</w:t>
      </w:r>
      <w:proofErr w:type="spellEnd"/>
      <w:r>
        <w:rPr>
          <w:rFonts w:ascii="Arial" w:eastAsia="Arial" w:hAnsi="Arial" w:cs="Arial"/>
        </w:rPr>
        <w:t>, 2020). As the pandemic progressed, HCWs increasingly adopted emotion-focused coping strategies such as peer support, mindfulness practices, spiritual coping, and meaning-making through professional identity (Rossi et al., 2023).</w:t>
      </w:r>
    </w:p>
    <w:p w14:paraId="04B2D4F2" w14:textId="77777777" w:rsidR="00EA293E" w:rsidRDefault="00000000">
      <w:pPr>
        <w:spacing w:before="280" w:after="280" w:line="360" w:lineRule="auto"/>
        <w:jc w:val="both"/>
        <w:rPr>
          <w:rFonts w:ascii="Arial" w:eastAsia="Arial" w:hAnsi="Arial" w:cs="Arial"/>
        </w:rPr>
      </w:pPr>
      <w:r>
        <w:rPr>
          <w:rFonts w:ascii="Arial" w:eastAsia="Arial" w:hAnsi="Arial" w:cs="Arial"/>
        </w:rPr>
        <w:t>However, the prolonged and unpredictable nature of the pandemic placed sustained pressure on individual coping capacity. Several studies report that coping strategies which were initially effective became less sustainable over time as cumulative stress depleted psychological resources (Maunder et al., 2024). This highlights a key limitation of individual coping approaches in the context of prolonged systemic crisis.</w:t>
      </w:r>
    </w:p>
    <w:p w14:paraId="5BA0062E"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4.4.3 Relevance to the Research Question:</w:t>
      </w:r>
    </w:p>
    <w:p w14:paraId="2519EA61" w14:textId="77777777" w:rsidR="00EA293E" w:rsidRDefault="00000000">
      <w:pPr>
        <w:spacing w:before="280" w:after="280" w:line="360" w:lineRule="auto"/>
        <w:jc w:val="both"/>
        <w:rPr>
          <w:rFonts w:ascii="Arial" w:eastAsia="Arial" w:hAnsi="Arial" w:cs="Arial"/>
        </w:rPr>
      </w:pPr>
      <w:r>
        <w:rPr>
          <w:rFonts w:ascii="Arial" w:eastAsia="Arial" w:hAnsi="Arial" w:cs="Arial"/>
        </w:rPr>
        <w:t>This theme is directly relevant to the research question, which seeks to examine the coping strategies used by HCWs and evaluate their effectiveness in managing stress, anxiety, and burnout during COVID-19. Understanding how HCWs attempted to cope provides insight into which strategies were protective and which may have contributed to psychological deterioration.</w:t>
      </w:r>
    </w:p>
    <w:p w14:paraId="6E4152A4" w14:textId="77777777" w:rsidR="00EA293E" w:rsidRDefault="00000000">
      <w:pPr>
        <w:spacing w:before="280" w:after="280" w:line="360" w:lineRule="auto"/>
        <w:jc w:val="both"/>
        <w:rPr>
          <w:rFonts w:ascii="Arial" w:eastAsia="Arial" w:hAnsi="Arial" w:cs="Arial"/>
        </w:rPr>
      </w:pPr>
      <w:r>
        <w:rPr>
          <w:rFonts w:ascii="Arial" w:eastAsia="Arial" w:hAnsi="Arial" w:cs="Arial"/>
        </w:rPr>
        <w:t>The literature suggests that while individual coping strategies played an important role in short-term stress management, they were often insufficient in isolation (Anger et al., 2024). This finding is particularly significant given policy and organisational emphasis on individual resilience training during the pandemic. Evaluating coping strategies therefore requires critical consideration of both their benefits and their limitations.</w:t>
      </w:r>
    </w:p>
    <w:p w14:paraId="5B0C61C0"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4.4.4 Statistical Evidence on Coping and Resilience:</w:t>
      </w:r>
    </w:p>
    <w:p w14:paraId="050EEC7A"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Quantitative studies provide mixed evidence regarding the protective role of individual coping strategies and resilience. Lee et al. (2025) found that healthcare workers with higher resilience scores reported significantly lower levels of burnout, anxiety, and depression, suggesting that </w:t>
      </w:r>
      <w:r>
        <w:rPr>
          <w:rFonts w:ascii="Arial" w:eastAsia="Arial" w:hAnsi="Arial" w:cs="Arial"/>
        </w:rPr>
        <w:lastRenderedPageBreak/>
        <w:t xml:space="preserve">resilience functioned as a protective factor. Similarly, </w:t>
      </w:r>
      <w:proofErr w:type="spellStart"/>
      <w:r>
        <w:rPr>
          <w:rFonts w:ascii="Arial" w:eastAsia="Arial" w:hAnsi="Arial" w:cs="Arial"/>
        </w:rPr>
        <w:t>Labrague</w:t>
      </w:r>
      <w:proofErr w:type="spellEnd"/>
      <w:r>
        <w:rPr>
          <w:rFonts w:ascii="Arial" w:eastAsia="Arial" w:hAnsi="Arial" w:cs="Arial"/>
        </w:rPr>
        <w:t xml:space="preserve"> (2021) reported that problem-focused coping and social support were associated with better psychological outcomes among nurses during COVID-19.</w:t>
      </w:r>
    </w:p>
    <w:p w14:paraId="2892C31D" w14:textId="77777777" w:rsidR="00EA293E" w:rsidRDefault="00000000">
      <w:pPr>
        <w:spacing w:before="280" w:after="280" w:line="360" w:lineRule="auto"/>
        <w:jc w:val="both"/>
        <w:rPr>
          <w:rFonts w:ascii="Arial" w:eastAsia="Arial" w:hAnsi="Arial" w:cs="Arial"/>
        </w:rPr>
      </w:pPr>
      <w:r>
        <w:rPr>
          <w:rFonts w:ascii="Arial" w:eastAsia="Arial" w:hAnsi="Arial" w:cs="Arial"/>
        </w:rPr>
        <w:t>Conversely, several studies highlight the risks associated with maladaptive coping. Rossi et al. (2023) reported that avoidant coping strategies, such as emotional suppression and disengagement, were consistently associated with higher levels of burnout and depressive symptoms. Maunder et al. (2024) further demonstrated that reliance on individual coping strategies declined over time as prolonged stress eroded coping capacity.</w:t>
      </w:r>
    </w:p>
    <w:p w14:paraId="2153EB41" w14:textId="77777777" w:rsidR="00EA293E" w:rsidRDefault="00000000">
      <w:pPr>
        <w:spacing w:before="280" w:after="280" w:line="360" w:lineRule="auto"/>
        <w:jc w:val="both"/>
        <w:rPr>
          <w:rFonts w:ascii="Arial" w:eastAsia="Arial" w:hAnsi="Arial" w:cs="Arial"/>
        </w:rPr>
      </w:pPr>
      <w:r>
        <w:rPr>
          <w:rFonts w:ascii="Arial" w:eastAsia="Arial" w:hAnsi="Arial" w:cs="Arial"/>
        </w:rPr>
        <w:t>These findings suggest that while adaptive coping strategies may reduce distress, their effectiveness is conditional and time-limited in the absence of adequate organisational support.</w:t>
      </w:r>
    </w:p>
    <w:p w14:paraId="2B74ED8A" w14:textId="77777777" w:rsidR="00EA293E" w:rsidRDefault="00EA293E">
      <w:pPr>
        <w:spacing w:after="0" w:line="360" w:lineRule="auto"/>
        <w:jc w:val="both"/>
        <w:rPr>
          <w:rFonts w:ascii="Arial" w:eastAsia="Arial" w:hAnsi="Arial" w:cs="Arial"/>
          <w:sz w:val="24"/>
          <w:szCs w:val="24"/>
        </w:rPr>
      </w:pPr>
    </w:p>
    <w:p w14:paraId="3FC98134"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4.4.5 Theoretical Perspectives:</w:t>
      </w:r>
    </w:p>
    <w:p w14:paraId="306E78F7"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Stress and coping theory </w:t>
      </w:r>
      <w:proofErr w:type="gramStart"/>
      <w:r>
        <w:rPr>
          <w:rFonts w:ascii="Arial" w:eastAsia="Arial" w:hAnsi="Arial" w:cs="Arial"/>
        </w:rPr>
        <w:t>provides</w:t>
      </w:r>
      <w:proofErr w:type="gramEnd"/>
      <w:r>
        <w:rPr>
          <w:rFonts w:ascii="Arial" w:eastAsia="Arial" w:hAnsi="Arial" w:cs="Arial"/>
        </w:rPr>
        <w:t xml:space="preserve"> a foundational framework for interpreting these findings. Lazarus and Folkman (1984) argue that coping effectiveness depends on the perceived controllability of stressors. During COVID-19, many stressors—such as staffing shortages, policy changes, and high mortality—were largely beyond individual control, limiting the effectiveness of problem-focused coping.</w:t>
      </w:r>
    </w:p>
    <w:p w14:paraId="192363BD" w14:textId="77777777" w:rsidR="00EA293E" w:rsidRDefault="00000000">
      <w:pPr>
        <w:spacing w:before="280" w:after="280" w:line="360" w:lineRule="auto"/>
        <w:jc w:val="both"/>
        <w:rPr>
          <w:rFonts w:ascii="Arial" w:eastAsia="Arial" w:hAnsi="Arial" w:cs="Arial"/>
        </w:rPr>
      </w:pPr>
      <w:r>
        <w:rPr>
          <w:rFonts w:ascii="Arial" w:eastAsia="Arial" w:hAnsi="Arial" w:cs="Arial"/>
        </w:rPr>
        <w:t>Resilience theory further challenges individualised interpretations of coping. Windle (2011) emphasises that resilience is shaped by environmental and social resources, not solely personal attributes. This perspective aligns with evidence suggesting that resilience during COVID-19 was strongly influenced by peer support, leadership, and organisational culture (Oprea et al., 2025).</w:t>
      </w:r>
    </w:p>
    <w:p w14:paraId="7DB6127D" w14:textId="77777777" w:rsidR="00EA293E" w:rsidRDefault="00000000">
      <w:pPr>
        <w:spacing w:before="280" w:after="280" w:line="360" w:lineRule="auto"/>
        <w:jc w:val="both"/>
        <w:rPr>
          <w:rFonts w:ascii="Arial" w:eastAsia="Arial" w:hAnsi="Arial" w:cs="Arial"/>
        </w:rPr>
      </w:pPr>
      <w:r>
        <w:rPr>
          <w:rFonts w:ascii="Arial" w:eastAsia="Arial" w:hAnsi="Arial" w:cs="Arial"/>
        </w:rPr>
        <w:t>Critically, scholars have warned against the “resilience discourse” in healthcare, which risks framing psychological distress as individual weakness rather than a response to systemic stressors (West et al., 2020). This critique is particularly relevant in evaluating the emphasis placed on resilience training during the pandemic.</w:t>
      </w:r>
    </w:p>
    <w:p w14:paraId="4CF03487" w14:textId="77777777" w:rsidR="00EA293E" w:rsidRDefault="00EA293E">
      <w:pPr>
        <w:spacing w:after="0" w:line="360" w:lineRule="auto"/>
        <w:jc w:val="both"/>
        <w:rPr>
          <w:rFonts w:ascii="Arial" w:eastAsia="Arial" w:hAnsi="Arial" w:cs="Arial"/>
          <w:sz w:val="24"/>
          <w:szCs w:val="24"/>
        </w:rPr>
      </w:pPr>
    </w:p>
    <w:p w14:paraId="361C0745" w14:textId="77777777" w:rsidR="00EA293E" w:rsidRDefault="00EA293E">
      <w:pPr>
        <w:spacing w:after="0" w:line="360" w:lineRule="auto"/>
        <w:jc w:val="both"/>
        <w:rPr>
          <w:rFonts w:ascii="Arial" w:eastAsia="Arial" w:hAnsi="Arial" w:cs="Arial"/>
          <w:sz w:val="24"/>
          <w:szCs w:val="24"/>
        </w:rPr>
      </w:pPr>
    </w:p>
    <w:p w14:paraId="6C4FAEF1" w14:textId="77777777" w:rsidR="00EA293E" w:rsidRDefault="00EA293E">
      <w:pPr>
        <w:spacing w:after="0" w:line="360" w:lineRule="auto"/>
        <w:jc w:val="both"/>
        <w:rPr>
          <w:rFonts w:ascii="Arial" w:eastAsia="Arial" w:hAnsi="Arial" w:cs="Arial"/>
          <w:sz w:val="24"/>
          <w:szCs w:val="24"/>
        </w:rPr>
      </w:pPr>
    </w:p>
    <w:p w14:paraId="47F73B54"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lastRenderedPageBreak/>
        <w:t>4.4.6 Policy and Practice Implications:</w:t>
      </w:r>
    </w:p>
    <w:p w14:paraId="72ABCF04" w14:textId="77777777" w:rsidR="00EA293E" w:rsidRDefault="00000000">
      <w:pPr>
        <w:spacing w:before="280" w:after="280" w:line="360" w:lineRule="auto"/>
        <w:jc w:val="both"/>
        <w:rPr>
          <w:rFonts w:ascii="Arial" w:eastAsia="Arial" w:hAnsi="Arial" w:cs="Arial"/>
        </w:rPr>
      </w:pPr>
      <w:r>
        <w:rPr>
          <w:rFonts w:ascii="Arial" w:eastAsia="Arial" w:hAnsi="Arial" w:cs="Arial"/>
        </w:rPr>
        <w:t>During COVID-19, many healthcare organisations and policymakers promoted resilience-building and self-care initiatives. While these interventions were well intentioned, evidence suggests that they were often implemented without sufficient attention to structural conditions (Frias et al., 2025). Resilience programmes were most effective when integrated with organisational support, such as protected rest time, staffing support, and access to psychological services.</w:t>
      </w:r>
    </w:p>
    <w:p w14:paraId="4431D3EC" w14:textId="77777777" w:rsidR="00EA293E" w:rsidRDefault="00000000">
      <w:pPr>
        <w:spacing w:before="280" w:after="280" w:line="360" w:lineRule="auto"/>
        <w:jc w:val="both"/>
        <w:rPr>
          <w:rFonts w:ascii="Arial" w:eastAsia="Arial" w:hAnsi="Arial" w:cs="Arial"/>
        </w:rPr>
      </w:pPr>
      <w:r>
        <w:rPr>
          <w:rFonts w:ascii="Arial" w:eastAsia="Arial" w:hAnsi="Arial" w:cs="Arial"/>
        </w:rPr>
        <w:t>NHS England (2022) acknowledged the importance of compassionate leadership and staff engagement in supporting resilience through the NHS People Plan. However, studies suggest that frontline HCWs often perceived resilience initiatives as inadequate when workload pressures remained unaddressed (Davies et al., 2025).</w:t>
      </w:r>
    </w:p>
    <w:p w14:paraId="469BEE29"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4.4.7 Examples from Reviewed Articles:</w:t>
      </w:r>
    </w:p>
    <w:p w14:paraId="670C642C" w14:textId="77777777" w:rsidR="00EA293E" w:rsidRDefault="00000000">
      <w:pPr>
        <w:spacing w:before="280" w:after="280" w:line="360" w:lineRule="auto"/>
        <w:jc w:val="both"/>
        <w:rPr>
          <w:rFonts w:ascii="Arial" w:eastAsia="Arial" w:hAnsi="Arial" w:cs="Arial"/>
        </w:rPr>
      </w:pPr>
      <w:proofErr w:type="spellStart"/>
      <w:r>
        <w:rPr>
          <w:rFonts w:ascii="Arial" w:eastAsia="Arial" w:hAnsi="Arial" w:cs="Arial"/>
        </w:rPr>
        <w:t>Labrague</w:t>
      </w:r>
      <w:proofErr w:type="spellEnd"/>
      <w:r>
        <w:rPr>
          <w:rFonts w:ascii="Arial" w:eastAsia="Arial" w:hAnsi="Arial" w:cs="Arial"/>
        </w:rPr>
        <w:t xml:space="preserve"> (2021) found that nurses who engaged in problem-focused coping and peer support reported higher resilience and lower anxiety, highlighting the value of social coping strategies. In contrast, Maunder et al. (2024) demonstrated that individual coping strategies became less effective over time, with persistent burnout observed despite high levels of personal effort.</w:t>
      </w:r>
    </w:p>
    <w:p w14:paraId="616BDE8C" w14:textId="77777777" w:rsidR="00EA293E" w:rsidRDefault="00000000">
      <w:pPr>
        <w:spacing w:before="280" w:after="280" w:line="360" w:lineRule="auto"/>
        <w:jc w:val="both"/>
        <w:rPr>
          <w:rFonts w:ascii="Arial" w:eastAsia="Arial" w:hAnsi="Arial" w:cs="Arial"/>
        </w:rPr>
      </w:pPr>
      <w:r>
        <w:rPr>
          <w:rFonts w:ascii="Arial" w:eastAsia="Arial" w:hAnsi="Arial" w:cs="Arial"/>
        </w:rPr>
        <w:t>Lee et al. (2025) reported that social support from colleagues and family was one of the strongest predictors of resilience among critical care staff, suggesting that coping effectiveness was closely tied to relational resources rather than individual traits alone. These studies collectively demonstrate both agreement and divergence in the literature regarding the role of individual coping.</w:t>
      </w:r>
    </w:p>
    <w:p w14:paraId="024596A7"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4.4.8 Implications and Critical Discussion:</w:t>
      </w:r>
    </w:p>
    <w:p w14:paraId="42B12676" w14:textId="77777777" w:rsidR="00EA293E" w:rsidRDefault="00000000">
      <w:pPr>
        <w:spacing w:before="280" w:after="280" w:line="360" w:lineRule="auto"/>
        <w:jc w:val="both"/>
        <w:rPr>
          <w:rFonts w:ascii="Arial" w:eastAsia="Arial" w:hAnsi="Arial" w:cs="Arial"/>
        </w:rPr>
      </w:pPr>
      <w:r>
        <w:rPr>
          <w:rFonts w:ascii="Arial" w:eastAsia="Arial" w:hAnsi="Arial" w:cs="Arial"/>
        </w:rPr>
        <w:t>The findings highlight both the strengths and limitations of individual coping strategies. While adaptive coping and resilience can buffer psychological distress in the short term, they cannot compensate for sustained systemic stress. Overreliance on individual coping risks normalising burnout and shifting responsibility away from organisations and policymakers.</w:t>
      </w:r>
    </w:p>
    <w:p w14:paraId="211D53A4" w14:textId="77777777" w:rsidR="00EA293E" w:rsidRDefault="00000000">
      <w:pPr>
        <w:spacing w:before="280" w:after="280" w:line="360" w:lineRule="auto"/>
        <w:jc w:val="both"/>
        <w:rPr>
          <w:rFonts w:ascii="Arial" w:eastAsia="Arial" w:hAnsi="Arial" w:cs="Arial"/>
        </w:rPr>
      </w:pPr>
      <w:r>
        <w:rPr>
          <w:rFonts w:ascii="Arial" w:eastAsia="Arial" w:hAnsi="Arial" w:cs="Arial"/>
        </w:rPr>
        <w:t>This has significant implications for future workforce planning. Interventions that focus exclusively on individual resilience may inadvertently exacerbate distress by invalidating HCWs’ experiences and obscuring structural causes of burnout.</w:t>
      </w:r>
    </w:p>
    <w:p w14:paraId="7D1E6BBA" w14:textId="77777777" w:rsidR="00EA293E" w:rsidRDefault="00EA293E">
      <w:pPr>
        <w:spacing w:after="0" w:line="360" w:lineRule="auto"/>
        <w:jc w:val="both"/>
        <w:rPr>
          <w:rFonts w:ascii="Arial" w:eastAsia="Arial" w:hAnsi="Arial" w:cs="Arial"/>
          <w:sz w:val="24"/>
          <w:szCs w:val="24"/>
        </w:rPr>
      </w:pPr>
    </w:p>
    <w:p w14:paraId="1317C4C5"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lastRenderedPageBreak/>
        <w:t>4.4.9 Connections to Other Themes:</w:t>
      </w:r>
    </w:p>
    <w:p w14:paraId="11E47955"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This theme is closely connected to </w:t>
      </w:r>
      <w:r>
        <w:rPr>
          <w:rFonts w:ascii="Arial" w:eastAsia="Arial" w:hAnsi="Arial" w:cs="Arial"/>
          <w:b/>
        </w:rPr>
        <w:t>Theme 1</w:t>
      </w:r>
      <w:r>
        <w:rPr>
          <w:rFonts w:ascii="Arial" w:eastAsia="Arial" w:hAnsi="Arial" w:cs="Arial"/>
        </w:rPr>
        <w:t xml:space="preserve">, as high levels of burnout reduced HCWs’ capacity to cope effectively. It also directly links to </w:t>
      </w:r>
      <w:r>
        <w:rPr>
          <w:rFonts w:ascii="Arial" w:eastAsia="Arial" w:hAnsi="Arial" w:cs="Arial"/>
          <w:b/>
        </w:rPr>
        <w:t>Theme 3</w:t>
      </w:r>
      <w:r>
        <w:rPr>
          <w:rFonts w:ascii="Arial" w:eastAsia="Arial" w:hAnsi="Arial" w:cs="Arial"/>
        </w:rPr>
        <w:t>, which explores how organisational support and leadership shape coping capacity and resilience. Together, these themes demonstrate that coping during COVID-19 was not solely an individual endeavour but was deeply embedded within organisational and systemic contexts.</w:t>
      </w:r>
    </w:p>
    <w:p w14:paraId="050F7B76" w14:textId="77777777" w:rsidR="00EA293E" w:rsidRDefault="00EA293E">
      <w:pPr>
        <w:spacing w:before="280" w:after="280" w:line="360" w:lineRule="auto"/>
        <w:jc w:val="both"/>
        <w:rPr>
          <w:rFonts w:ascii="Arial" w:eastAsia="Arial" w:hAnsi="Arial" w:cs="Arial"/>
          <w:sz w:val="24"/>
          <w:szCs w:val="24"/>
        </w:rPr>
      </w:pPr>
    </w:p>
    <w:p w14:paraId="3E001F94" w14:textId="77777777" w:rsidR="00EA293E" w:rsidRDefault="00000000">
      <w:pPr>
        <w:spacing w:before="280" w:after="280" w:line="360" w:lineRule="auto"/>
        <w:jc w:val="both"/>
        <w:rPr>
          <w:rFonts w:ascii="Arial" w:eastAsia="Arial" w:hAnsi="Arial" w:cs="Arial"/>
          <w:b/>
          <w:sz w:val="32"/>
          <w:szCs w:val="32"/>
        </w:rPr>
      </w:pPr>
      <w:r>
        <w:rPr>
          <w:rFonts w:ascii="Arial" w:eastAsia="Arial" w:hAnsi="Arial" w:cs="Arial"/>
          <w:b/>
          <w:sz w:val="32"/>
          <w:szCs w:val="32"/>
        </w:rPr>
        <w:t>4.5 Theme 3: Organisational Support, Leadership, and Systemic Influences</w:t>
      </w:r>
    </w:p>
    <w:p w14:paraId="25C85612"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4.5.1 Definition and Key Concepts:</w:t>
      </w:r>
    </w:p>
    <w:p w14:paraId="119ABA32" w14:textId="77777777" w:rsidR="00EA293E" w:rsidRDefault="00000000">
      <w:pPr>
        <w:spacing w:before="280" w:after="280" w:line="360" w:lineRule="auto"/>
        <w:jc w:val="both"/>
        <w:rPr>
          <w:rFonts w:ascii="Arial" w:eastAsia="Arial" w:hAnsi="Arial" w:cs="Arial"/>
        </w:rPr>
      </w:pPr>
      <w:r>
        <w:rPr>
          <w:rFonts w:ascii="Arial" w:eastAsia="Arial" w:hAnsi="Arial" w:cs="Arial"/>
        </w:rPr>
        <w:t>Organisational support refers to employees’ perceptions that their organisation values their contributions and cares about their well-being (Eisenberger et al., 2002). Within healthcare, organisational support encompasses leadership practices, staffing levels, access to resources, communication quality, and the availability of mental health services. During the COVID-19 pandemic, these factors played a critical role in shaping healthcare workers’ (HCWs) psychological outcomes.</w:t>
      </w:r>
    </w:p>
    <w:p w14:paraId="77E5D8D7" w14:textId="77777777" w:rsidR="00EA293E" w:rsidRDefault="00000000">
      <w:pPr>
        <w:spacing w:before="280" w:after="280" w:line="360" w:lineRule="auto"/>
        <w:jc w:val="both"/>
        <w:rPr>
          <w:rFonts w:ascii="Arial" w:eastAsia="Arial" w:hAnsi="Arial" w:cs="Arial"/>
        </w:rPr>
      </w:pPr>
      <w:r>
        <w:rPr>
          <w:rFonts w:ascii="Arial" w:eastAsia="Arial" w:hAnsi="Arial" w:cs="Arial"/>
        </w:rPr>
        <w:t>Systemic influences extend beyond individual organisations and include broader structural and policy-level factors, such as national workforce planning, health system capacity, regulatory frameworks, and public health governance. This theme examines how organisational and systemic conditions either mitigated or intensified psychological distress among HCWs and evaluates their impact on coping capacity and resilience.</w:t>
      </w:r>
    </w:p>
    <w:p w14:paraId="47BCB7A7"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4.5.2 Background and Context:</w:t>
      </w:r>
    </w:p>
    <w:p w14:paraId="2DDE4BC6" w14:textId="77777777" w:rsidR="00EA293E" w:rsidRDefault="00000000">
      <w:pPr>
        <w:spacing w:before="280" w:after="280" w:line="360" w:lineRule="auto"/>
        <w:jc w:val="both"/>
        <w:rPr>
          <w:rFonts w:ascii="Arial" w:eastAsia="Arial" w:hAnsi="Arial" w:cs="Arial"/>
        </w:rPr>
      </w:pPr>
      <w:r>
        <w:rPr>
          <w:rFonts w:ascii="Arial" w:eastAsia="Arial" w:hAnsi="Arial" w:cs="Arial"/>
        </w:rPr>
        <w:t>Healthcare organisations entered the COVID-19 pandemic with varying degrees of preparedness. In the United Kingdom, the National Health Service (NHS) faced the pandemic against a backdrop of long-standing workforce shortages, increasing service demand, and constrained funding (West et al., 2018). These pre-existing vulnerabilities limited organisational capacity to respond effectively to the rapid escalation in workload and complexity.</w:t>
      </w:r>
    </w:p>
    <w:p w14:paraId="440DB70F" w14:textId="77777777" w:rsidR="00EA293E" w:rsidRDefault="00000000">
      <w:pPr>
        <w:spacing w:before="280" w:after="280" w:line="360" w:lineRule="auto"/>
        <w:jc w:val="both"/>
        <w:rPr>
          <w:rFonts w:ascii="Arial" w:eastAsia="Arial" w:hAnsi="Arial" w:cs="Arial"/>
        </w:rPr>
      </w:pPr>
      <w:r>
        <w:rPr>
          <w:rFonts w:ascii="Arial" w:eastAsia="Arial" w:hAnsi="Arial" w:cs="Arial"/>
        </w:rPr>
        <w:lastRenderedPageBreak/>
        <w:t xml:space="preserve">During the pandemic, HCWs were required to adapt to frequent changes in clinical guidance, redeployment to unfamiliar roles, and increased exposure to risk. In many settings, staffing shortages were exacerbated by sickness absence and isolation requirements, increasing pressure on remaining staff (Maunder et al., 2024). Inadequate access to personal protective equipment (PPE), particularly during the early phases of the pandemic, further contributed to anxiety and distrust in organisational leadership (Shanafelt, Ripp and </w:t>
      </w:r>
      <w:proofErr w:type="spellStart"/>
      <w:r>
        <w:rPr>
          <w:rFonts w:ascii="Arial" w:eastAsia="Arial" w:hAnsi="Arial" w:cs="Arial"/>
        </w:rPr>
        <w:t>Trockel</w:t>
      </w:r>
      <w:proofErr w:type="spellEnd"/>
      <w:r>
        <w:rPr>
          <w:rFonts w:ascii="Arial" w:eastAsia="Arial" w:hAnsi="Arial" w:cs="Arial"/>
        </w:rPr>
        <w:t>, 2020).</w:t>
      </w:r>
    </w:p>
    <w:p w14:paraId="5D3482E7" w14:textId="77777777" w:rsidR="00EA293E" w:rsidRDefault="00000000">
      <w:pPr>
        <w:spacing w:before="280" w:after="280" w:line="360" w:lineRule="auto"/>
        <w:jc w:val="both"/>
        <w:rPr>
          <w:rFonts w:ascii="Arial" w:eastAsia="Arial" w:hAnsi="Arial" w:cs="Arial"/>
        </w:rPr>
      </w:pPr>
      <w:r>
        <w:rPr>
          <w:rFonts w:ascii="Arial" w:eastAsia="Arial" w:hAnsi="Arial" w:cs="Arial"/>
        </w:rPr>
        <w:t>International evidence suggests that similar challenges were experienced across diverse health systems. Studies from low- and middle-income countries (LMICs) highlight additional systemic barriers, including limited mental health infrastructure, chronic under-resourcing, and reliance on informal coping mechanisms (</w:t>
      </w:r>
      <w:proofErr w:type="spellStart"/>
      <w:r>
        <w:rPr>
          <w:rFonts w:ascii="Arial" w:eastAsia="Arial" w:hAnsi="Arial" w:cs="Arial"/>
        </w:rPr>
        <w:t>Gyamerah</w:t>
      </w:r>
      <w:proofErr w:type="spellEnd"/>
      <w:r>
        <w:rPr>
          <w:rFonts w:ascii="Arial" w:eastAsia="Arial" w:hAnsi="Arial" w:cs="Arial"/>
        </w:rPr>
        <w:t xml:space="preserve"> et al., 2025). These contextual factors underscore the importance of examining organisational and systemic influences alongside individual coping strategies.</w:t>
      </w:r>
    </w:p>
    <w:p w14:paraId="428ECA8F"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4.5.3 Relevance to the Research Question:</w:t>
      </w:r>
    </w:p>
    <w:p w14:paraId="7AFDA657" w14:textId="77777777" w:rsidR="00EA293E" w:rsidRDefault="00000000">
      <w:pPr>
        <w:spacing w:before="280" w:after="280" w:line="360" w:lineRule="auto"/>
        <w:jc w:val="both"/>
        <w:rPr>
          <w:rFonts w:ascii="Arial" w:eastAsia="Arial" w:hAnsi="Arial" w:cs="Arial"/>
        </w:rPr>
      </w:pPr>
      <w:r>
        <w:rPr>
          <w:rFonts w:ascii="Arial" w:eastAsia="Arial" w:hAnsi="Arial" w:cs="Arial"/>
        </w:rPr>
        <w:t>This theme is central to addressing the research question, as it highlights that coping strategies cannot be evaluated in isolation from organisational and systemic contexts. The literature consistently demonstrates that organisational support moderates the relationship between job demands and psychological outcomes, influencing both burnout levels and the effectiveness of individual coping strategies (Oprea et al., 2025).</w:t>
      </w:r>
    </w:p>
    <w:p w14:paraId="6FE34200" w14:textId="77777777" w:rsidR="00EA293E" w:rsidRDefault="00000000">
      <w:pPr>
        <w:spacing w:before="280" w:after="280" w:line="360" w:lineRule="auto"/>
        <w:jc w:val="both"/>
        <w:rPr>
          <w:rFonts w:ascii="Arial" w:eastAsia="Arial" w:hAnsi="Arial" w:cs="Arial"/>
        </w:rPr>
      </w:pPr>
      <w:r>
        <w:rPr>
          <w:rFonts w:ascii="Arial" w:eastAsia="Arial" w:hAnsi="Arial" w:cs="Arial"/>
        </w:rPr>
        <w:t>Understanding organisational and systemic influences is therefore essential for evaluating why certain coping strategies were effective in some contexts but not others. This theme also provides critical insight into the limitations of resilience-focused interventions that fail to address structural conditions contributing to psychological distress.</w:t>
      </w:r>
    </w:p>
    <w:p w14:paraId="7C67F780"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4.5.4 Statistical Evidence and Organisational Determinants:</w:t>
      </w:r>
    </w:p>
    <w:p w14:paraId="3B8EF34B" w14:textId="77777777" w:rsidR="00EA293E" w:rsidRDefault="00000000">
      <w:pPr>
        <w:spacing w:before="280" w:after="280" w:line="360" w:lineRule="auto"/>
        <w:jc w:val="both"/>
        <w:rPr>
          <w:rFonts w:ascii="Arial" w:eastAsia="Arial" w:hAnsi="Arial" w:cs="Arial"/>
        </w:rPr>
      </w:pPr>
      <w:r>
        <w:rPr>
          <w:rFonts w:ascii="Arial" w:eastAsia="Arial" w:hAnsi="Arial" w:cs="Arial"/>
        </w:rPr>
        <w:t>Quantitative research provides strong evidence of the relationship between organisational factors and HCW mental health. Anger et al. (2024), in a systematic review, identified insufficient organisational resources as one of the strongest predictors of burnout during COVID-19. Similarly, Oprea et al. (2025) found that HCWs working in supportive organisational environments reported significantly lower levels of emotional exhaustion and higher resilience.</w:t>
      </w:r>
    </w:p>
    <w:p w14:paraId="76185F95"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In the UK context, longitudinal studies indicate that organisational stressors had a sustained impact on workforce well-being. Maunder et al. (2024) reported that perceived lack of </w:t>
      </w:r>
      <w:r>
        <w:rPr>
          <w:rFonts w:ascii="Arial" w:eastAsia="Arial" w:hAnsi="Arial" w:cs="Arial"/>
        </w:rPr>
        <w:lastRenderedPageBreak/>
        <w:t>organisational support was associated with persistent psychological distress among hospital workers, even as infection rates declined. These findings suggest that organisational conditions played a crucial role in shaping long-term mental health outcomes.</w:t>
      </w:r>
    </w:p>
    <w:p w14:paraId="2017C114"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4.5.5 Theoretical Frameworks:</w:t>
      </w:r>
    </w:p>
    <w:p w14:paraId="4A56F01C"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The </w:t>
      </w:r>
      <w:r>
        <w:rPr>
          <w:rFonts w:ascii="Arial" w:eastAsia="Arial" w:hAnsi="Arial" w:cs="Arial"/>
          <w:b/>
        </w:rPr>
        <w:t>Job Demands–Resources (JD-R) model</w:t>
      </w:r>
      <w:r>
        <w:rPr>
          <w:rFonts w:ascii="Arial" w:eastAsia="Arial" w:hAnsi="Arial" w:cs="Arial"/>
        </w:rPr>
        <w:t xml:space="preserve"> provides a useful framework for understanding the influence of organisational factors on burnout and coping. According to the model, job resources—such as leadership support, autonomy, and effective communication—buffer the impact of high job demands and promote engagement and well-being (Bakker and Demerouti, 2017). During COVID-19, the erosion of these resources intensified the negative impact of escalating demands.</w:t>
      </w:r>
    </w:p>
    <w:p w14:paraId="044645D5" w14:textId="77777777" w:rsidR="00EA293E" w:rsidRDefault="00000000">
      <w:pPr>
        <w:spacing w:before="280" w:after="280" w:line="360" w:lineRule="auto"/>
        <w:jc w:val="both"/>
        <w:rPr>
          <w:rFonts w:ascii="Arial" w:eastAsia="Arial" w:hAnsi="Arial" w:cs="Arial"/>
        </w:rPr>
      </w:pPr>
      <w:r>
        <w:rPr>
          <w:rFonts w:ascii="Arial" w:eastAsia="Arial" w:hAnsi="Arial" w:cs="Arial"/>
          <w:b/>
        </w:rPr>
        <w:t>Organisational resilience theory</w:t>
      </w:r>
      <w:r>
        <w:rPr>
          <w:rFonts w:ascii="Arial" w:eastAsia="Arial" w:hAnsi="Arial" w:cs="Arial"/>
        </w:rPr>
        <w:t xml:space="preserve"> further emphasises the importance of adaptive systems and leadership in sustaining workforce well-being during crises (</w:t>
      </w:r>
      <w:proofErr w:type="spellStart"/>
      <w:r>
        <w:rPr>
          <w:rFonts w:ascii="Arial" w:eastAsia="Arial" w:hAnsi="Arial" w:cs="Arial"/>
        </w:rPr>
        <w:t>Lengnick</w:t>
      </w:r>
      <w:proofErr w:type="spellEnd"/>
      <w:r>
        <w:rPr>
          <w:rFonts w:ascii="Arial" w:eastAsia="Arial" w:hAnsi="Arial" w:cs="Arial"/>
        </w:rPr>
        <w:t>-Hall et al., 2011). From this perspective, resilience is not solely an individual attribute but a property of organisations that are able to anticipate, respond to, and recover from disruption.</w:t>
      </w:r>
    </w:p>
    <w:p w14:paraId="16F19FD3" w14:textId="77777777" w:rsidR="00EA293E" w:rsidRDefault="00000000">
      <w:pPr>
        <w:spacing w:before="280" w:after="280" w:line="360" w:lineRule="auto"/>
        <w:jc w:val="both"/>
        <w:rPr>
          <w:rFonts w:ascii="Arial" w:eastAsia="Arial" w:hAnsi="Arial" w:cs="Arial"/>
        </w:rPr>
      </w:pPr>
      <w:r>
        <w:rPr>
          <w:rFonts w:ascii="Arial" w:eastAsia="Arial" w:hAnsi="Arial" w:cs="Arial"/>
        </w:rPr>
        <w:t>Leadership theory also offers insight into HCWs’ experiences during the pandemic. Compassionate and transformational leadership styles have been associated with improved staff well-being, trust, and engagement (West et al., 2020). Conversely, poor communication and inconsistent decision-making undermined psychological safety and contributed to distress.</w:t>
      </w:r>
    </w:p>
    <w:p w14:paraId="4E8D11E8"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4.5.6 Policy and Legislative Context:</w:t>
      </w:r>
    </w:p>
    <w:p w14:paraId="14F4CA39" w14:textId="77777777" w:rsidR="00EA293E" w:rsidRDefault="00000000">
      <w:pPr>
        <w:spacing w:before="280" w:after="280" w:line="360" w:lineRule="auto"/>
        <w:jc w:val="both"/>
        <w:rPr>
          <w:rFonts w:ascii="Arial" w:eastAsia="Arial" w:hAnsi="Arial" w:cs="Arial"/>
        </w:rPr>
      </w:pPr>
      <w:r>
        <w:rPr>
          <w:rFonts w:ascii="Arial" w:eastAsia="Arial" w:hAnsi="Arial" w:cs="Arial"/>
        </w:rPr>
        <w:t>In response to growing concerns about HCW mental health, several policy initiatives were introduced. In the UK, NHS England (2021) launched Staff Mental Health and Wellbeing Hubs to provide rapid access to psychological support. The NHS People Plan (2022) further emphasised compassionate leadership, staff engagement, and workforce well-being as priorities.</w:t>
      </w:r>
    </w:p>
    <w:p w14:paraId="0DFEB77D" w14:textId="77777777" w:rsidR="00EA293E" w:rsidRDefault="00000000">
      <w:pPr>
        <w:spacing w:before="280" w:after="280" w:line="360" w:lineRule="auto"/>
        <w:jc w:val="both"/>
        <w:rPr>
          <w:rFonts w:ascii="Arial" w:eastAsia="Arial" w:hAnsi="Arial" w:cs="Arial"/>
        </w:rPr>
      </w:pPr>
      <w:r>
        <w:rPr>
          <w:rFonts w:ascii="Arial" w:eastAsia="Arial" w:hAnsi="Arial" w:cs="Arial"/>
        </w:rPr>
        <w:t>Regulatory bodies also highlighted employer responsibilities. The Health and Safety Executive (2020) reiterated that employers have a legal duty to manage work-related stress, while NICE (2021) issued evidence-based guidance on promoting mental well-being at work. At an international level, the World Health Organization (2022) called for systemic investment in HCW mental health as a cornerstone of resilient health systems.</w:t>
      </w:r>
    </w:p>
    <w:p w14:paraId="7FD1F486" w14:textId="77777777" w:rsidR="00EA293E" w:rsidRDefault="00000000">
      <w:pPr>
        <w:spacing w:before="280" w:after="280" w:line="360" w:lineRule="auto"/>
        <w:jc w:val="both"/>
        <w:rPr>
          <w:rFonts w:ascii="Arial" w:eastAsia="Arial" w:hAnsi="Arial" w:cs="Arial"/>
        </w:rPr>
      </w:pPr>
      <w:r>
        <w:rPr>
          <w:rFonts w:ascii="Arial" w:eastAsia="Arial" w:hAnsi="Arial" w:cs="Arial"/>
        </w:rPr>
        <w:lastRenderedPageBreak/>
        <w:t xml:space="preserve">Despite these initiatives, evidence suggests that implementation was uneven. Frias et al. (2025) reported that many HCWs were unable to access organisational support due to workload pressures, limited awareness, or perceived stigma. This disconnects between policy intent and </w:t>
      </w:r>
      <w:proofErr w:type="gramStart"/>
      <w:r>
        <w:rPr>
          <w:rFonts w:ascii="Arial" w:eastAsia="Arial" w:hAnsi="Arial" w:cs="Arial"/>
        </w:rPr>
        <w:t>lived</w:t>
      </w:r>
      <w:proofErr w:type="gramEnd"/>
      <w:r>
        <w:rPr>
          <w:rFonts w:ascii="Arial" w:eastAsia="Arial" w:hAnsi="Arial" w:cs="Arial"/>
        </w:rPr>
        <w:t xml:space="preserve"> experience highlights ongoing systemic shortcomings.</w:t>
      </w:r>
    </w:p>
    <w:p w14:paraId="349EA8C6"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4.5.7 Examples from Reviewed Articles:</w:t>
      </w:r>
    </w:p>
    <w:p w14:paraId="45BD8394" w14:textId="77777777" w:rsidR="00EA293E" w:rsidRDefault="00000000">
      <w:pPr>
        <w:spacing w:before="280" w:after="280" w:line="360" w:lineRule="auto"/>
        <w:jc w:val="both"/>
        <w:rPr>
          <w:rFonts w:ascii="Arial" w:eastAsia="Arial" w:hAnsi="Arial" w:cs="Arial"/>
        </w:rPr>
      </w:pPr>
      <w:r>
        <w:rPr>
          <w:rFonts w:ascii="Arial" w:eastAsia="Arial" w:hAnsi="Arial" w:cs="Arial"/>
        </w:rPr>
        <w:t>Oprea et al. (2025), in a scoping review of meso-organisational determinants of resilience, found that team cohesion, managerial support, and effective communication were among the strongest protective factors for HCWs during COVID-19. These findings align with Anger et al. (2024), who reported that organisational interventions were more effective than individual-level interventions when addressing burnout.</w:t>
      </w:r>
    </w:p>
    <w:p w14:paraId="126DA1D4" w14:textId="77777777" w:rsidR="00EA293E" w:rsidRDefault="00000000">
      <w:pPr>
        <w:spacing w:before="280" w:after="280" w:line="360" w:lineRule="auto"/>
        <w:jc w:val="both"/>
        <w:rPr>
          <w:rFonts w:ascii="Arial" w:eastAsia="Arial" w:hAnsi="Arial" w:cs="Arial"/>
        </w:rPr>
      </w:pPr>
      <w:r>
        <w:rPr>
          <w:rFonts w:ascii="Arial" w:eastAsia="Arial" w:hAnsi="Arial" w:cs="Arial"/>
        </w:rPr>
        <w:t>In contrast, Davies et al. (2025) identified lack of organisational support as a key contributor to moral injury and workforce attrition in adult social care. This divergence highlights variation across sectors and underscores the importance of contextualised organisational responses.</w:t>
      </w:r>
    </w:p>
    <w:p w14:paraId="12E60C6C"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4.5.8 Implications and Critical Discussion:</w:t>
      </w:r>
    </w:p>
    <w:p w14:paraId="1E774CE0" w14:textId="77777777" w:rsidR="00EA293E" w:rsidRDefault="00000000">
      <w:pPr>
        <w:spacing w:before="280" w:after="280" w:line="360" w:lineRule="auto"/>
        <w:jc w:val="both"/>
        <w:rPr>
          <w:rFonts w:ascii="Arial" w:eastAsia="Arial" w:hAnsi="Arial" w:cs="Arial"/>
        </w:rPr>
      </w:pPr>
      <w:r>
        <w:rPr>
          <w:rFonts w:ascii="Arial" w:eastAsia="Arial" w:hAnsi="Arial" w:cs="Arial"/>
        </w:rPr>
        <w:t>The findings demonstrate that organisational and systemic factors played a decisive role in shaping HCWs’ mental health during the COVID-19 pandemic. While individual coping strategies and resilience were important, they were insufficient in the absence of supportive organisational conditions.</w:t>
      </w:r>
    </w:p>
    <w:p w14:paraId="61CCE558" w14:textId="77777777" w:rsidR="00EA293E" w:rsidRDefault="00000000">
      <w:pPr>
        <w:spacing w:before="280" w:after="280" w:line="360" w:lineRule="auto"/>
        <w:jc w:val="both"/>
        <w:rPr>
          <w:rFonts w:ascii="Arial" w:eastAsia="Arial" w:hAnsi="Arial" w:cs="Arial"/>
        </w:rPr>
      </w:pPr>
      <w:r>
        <w:rPr>
          <w:rFonts w:ascii="Arial" w:eastAsia="Arial" w:hAnsi="Arial" w:cs="Arial"/>
        </w:rPr>
        <w:t>Overemphasis on individual resilience risks obscuring structural causes of distress and placing undue responsibility on HCWs. The literature suggests that sustainable improvement in workforce well-being requires systemic change, including adequate staffing, supportive leadership, and consistent access to mental health services.</w:t>
      </w:r>
    </w:p>
    <w:p w14:paraId="0C87551C" w14:textId="77777777" w:rsidR="00EA293E" w:rsidRDefault="00000000">
      <w:pPr>
        <w:spacing w:before="280" w:after="280" w:line="360" w:lineRule="auto"/>
        <w:jc w:val="both"/>
        <w:rPr>
          <w:rFonts w:ascii="Arial" w:eastAsia="Arial" w:hAnsi="Arial" w:cs="Arial"/>
        </w:rPr>
      </w:pPr>
      <w:r>
        <w:rPr>
          <w:rFonts w:ascii="Arial" w:eastAsia="Arial" w:hAnsi="Arial" w:cs="Arial"/>
        </w:rPr>
        <w:t>These findings have significant implications for future pandemic preparedness and workforce planning. Investment in organisational resilience and compassionate leadership is essential for protecting HCW mental health and ensuring health system sustainability.</w:t>
      </w:r>
    </w:p>
    <w:p w14:paraId="3ED8DB7A" w14:textId="77777777" w:rsidR="00EA293E" w:rsidRDefault="00EA293E">
      <w:pPr>
        <w:spacing w:before="280" w:after="280" w:line="360" w:lineRule="auto"/>
        <w:jc w:val="both"/>
        <w:rPr>
          <w:rFonts w:ascii="Arial" w:eastAsia="Arial" w:hAnsi="Arial" w:cs="Arial"/>
        </w:rPr>
      </w:pPr>
    </w:p>
    <w:p w14:paraId="2068BC07" w14:textId="77777777" w:rsidR="00EA293E" w:rsidRDefault="00EA293E">
      <w:pPr>
        <w:spacing w:before="280" w:after="280" w:line="360" w:lineRule="auto"/>
        <w:jc w:val="both"/>
        <w:rPr>
          <w:rFonts w:ascii="Arial" w:eastAsia="Arial" w:hAnsi="Arial" w:cs="Arial"/>
        </w:rPr>
      </w:pPr>
    </w:p>
    <w:p w14:paraId="6D0210D0" w14:textId="77777777" w:rsidR="00EA293E" w:rsidRDefault="00EA293E">
      <w:pPr>
        <w:spacing w:before="280" w:after="280" w:line="360" w:lineRule="auto"/>
        <w:jc w:val="both"/>
        <w:rPr>
          <w:rFonts w:ascii="Arial" w:eastAsia="Arial" w:hAnsi="Arial" w:cs="Arial"/>
        </w:rPr>
      </w:pPr>
    </w:p>
    <w:p w14:paraId="034BE537"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lastRenderedPageBreak/>
        <w:t>4.6 Chapter Conclusion:</w:t>
      </w:r>
    </w:p>
    <w:p w14:paraId="11A526F4" w14:textId="77777777" w:rsidR="00EA293E" w:rsidRDefault="00000000">
      <w:pPr>
        <w:spacing w:before="280" w:after="280" w:line="360" w:lineRule="auto"/>
        <w:jc w:val="both"/>
        <w:rPr>
          <w:rFonts w:ascii="Arial" w:eastAsia="Arial" w:hAnsi="Arial" w:cs="Arial"/>
        </w:rPr>
      </w:pPr>
      <w:r>
        <w:rPr>
          <w:rFonts w:ascii="Arial" w:eastAsia="Arial" w:hAnsi="Arial" w:cs="Arial"/>
        </w:rPr>
        <w:t>This chapter has presented and critically discussed the findings derived from secondary research on healthcare workers’ mental health and coping strategies during the COVID-19 pandemic. Through thematic analysis, three interconnected themes were identified: burnout and emotional exhaustion, coping strategies and individual resilience, and organisational and systemic influences.</w:t>
      </w:r>
    </w:p>
    <w:p w14:paraId="07D42C6C" w14:textId="77777777" w:rsidR="00EA293E" w:rsidRDefault="00000000">
      <w:pPr>
        <w:spacing w:before="280" w:after="280" w:line="360" w:lineRule="auto"/>
        <w:jc w:val="both"/>
        <w:rPr>
          <w:rFonts w:ascii="Arial" w:eastAsia="Arial" w:hAnsi="Arial" w:cs="Arial"/>
        </w:rPr>
      </w:pPr>
      <w:r>
        <w:rPr>
          <w:rFonts w:ascii="Arial" w:eastAsia="Arial" w:hAnsi="Arial" w:cs="Arial"/>
        </w:rPr>
        <w:t>The findings demonstrate that HCWs experienced sustained psychological distress, with burnout persisting well beyond the acute phases of the pandemic. While individual coping strategies and resilience provided some protection, their effectiveness was limited in the context of prolonged systemic stress. Organisational support and leadership emerged as critical determinants of psychological outcomes, influencing both burnout levels and coping capacity.</w:t>
      </w:r>
    </w:p>
    <w:p w14:paraId="71B8E42D" w14:textId="77777777" w:rsidR="00EA293E" w:rsidRDefault="00000000">
      <w:pPr>
        <w:spacing w:before="280" w:after="280" w:line="360" w:lineRule="auto"/>
        <w:jc w:val="both"/>
        <w:rPr>
          <w:rFonts w:ascii="Arial" w:eastAsia="Arial" w:hAnsi="Arial" w:cs="Arial"/>
        </w:rPr>
      </w:pPr>
      <w:r>
        <w:rPr>
          <w:rFonts w:ascii="Arial" w:eastAsia="Arial" w:hAnsi="Arial" w:cs="Arial"/>
        </w:rPr>
        <w:t>Together, these findings highlight the need for integrated, multi-level approaches to workforce well-being that address individual, organisational, and systemic factors. The following chapter will build on these insights by presenting conclusions and evidence-based recommendations for policy, practice, and future research aimed at strengthening healthcare workforce resilience in future public health crises.</w:t>
      </w:r>
    </w:p>
    <w:p w14:paraId="5D169459" w14:textId="77777777" w:rsidR="00EA293E" w:rsidRDefault="00EA293E">
      <w:pPr>
        <w:spacing w:before="280" w:after="280" w:line="360" w:lineRule="auto"/>
        <w:jc w:val="both"/>
        <w:rPr>
          <w:rFonts w:ascii="Arial" w:eastAsia="Arial" w:hAnsi="Arial" w:cs="Arial"/>
        </w:rPr>
      </w:pPr>
    </w:p>
    <w:p w14:paraId="4645F9DE" w14:textId="77777777" w:rsidR="00EA293E" w:rsidRDefault="00EA293E">
      <w:pPr>
        <w:spacing w:before="280" w:after="280" w:line="360" w:lineRule="auto"/>
        <w:jc w:val="both"/>
        <w:rPr>
          <w:rFonts w:ascii="Arial" w:eastAsia="Arial" w:hAnsi="Arial" w:cs="Arial"/>
        </w:rPr>
      </w:pPr>
    </w:p>
    <w:p w14:paraId="058F83D5" w14:textId="77777777" w:rsidR="00EA293E" w:rsidRDefault="00EA293E">
      <w:pPr>
        <w:spacing w:before="280" w:after="280" w:line="360" w:lineRule="auto"/>
        <w:jc w:val="both"/>
        <w:rPr>
          <w:rFonts w:ascii="Arial" w:eastAsia="Arial" w:hAnsi="Arial" w:cs="Arial"/>
        </w:rPr>
      </w:pPr>
    </w:p>
    <w:p w14:paraId="6DC12F1C" w14:textId="77777777" w:rsidR="00EA293E" w:rsidRDefault="00EA293E">
      <w:pPr>
        <w:spacing w:before="280" w:after="280" w:line="360" w:lineRule="auto"/>
        <w:jc w:val="both"/>
        <w:rPr>
          <w:rFonts w:ascii="Arial" w:eastAsia="Arial" w:hAnsi="Arial" w:cs="Arial"/>
        </w:rPr>
      </w:pPr>
    </w:p>
    <w:p w14:paraId="27392FDF" w14:textId="77777777" w:rsidR="00EA293E" w:rsidRDefault="00EA293E">
      <w:pPr>
        <w:spacing w:before="280" w:after="280" w:line="360" w:lineRule="auto"/>
        <w:jc w:val="both"/>
        <w:rPr>
          <w:rFonts w:ascii="Arial" w:eastAsia="Arial" w:hAnsi="Arial" w:cs="Arial"/>
        </w:rPr>
      </w:pPr>
    </w:p>
    <w:p w14:paraId="57EE4AAA" w14:textId="77777777" w:rsidR="00EA293E" w:rsidRDefault="00EA293E">
      <w:pPr>
        <w:spacing w:before="280" w:after="280" w:line="360" w:lineRule="auto"/>
        <w:jc w:val="both"/>
        <w:rPr>
          <w:rFonts w:ascii="Arial" w:eastAsia="Arial" w:hAnsi="Arial" w:cs="Arial"/>
        </w:rPr>
      </w:pPr>
    </w:p>
    <w:p w14:paraId="6BB32EA0" w14:textId="77777777" w:rsidR="00EA293E" w:rsidRDefault="00EA293E">
      <w:pPr>
        <w:spacing w:before="280" w:after="280" w:line="360" w:lineRule="auto"/>
        <w:jc w:val="both"/>
        <w:rPr>
          <w:rFonts w:ascii="Arial" w:eastAsia="Arial" w:hAnsi="Arial" w:cs="Arial"/>
        </w:rPr>
      </w:pPr>
    </w:p>
    <w:p w14:paraId="5410AC48" w14:textId="77777777" w:rsidR="00EA293E" w:rsidRDefault="00EA293E">
      <w:pPr>
        <w:spacing w:before="280" w:after="280" w:line="360" w:lineRule="auto"/>
        <w:jc w:val="both"/>
        <w:rPr>
          <w:rFonts w:ascii="Arial" w:eastAsia="Arial" w:hAnsi="Arial" w:cs="Arial"/>
        </w:rPr>
      </w:pPr>
    </w:p>
    <w:p w14:paraId="1EAE1F40" w14:textId="77777777" w:rsidR="00EA293E" w:rsidRDefault="00EA293E">
      <w:pPr>
        <w:spacing w:before="280" w:after="280" w:line="360" w:lineRule="auto"/>
        <w:jc w:val="both"/>
        <w:rPr>
          <w:rFonts w:ascii="Arial" w:eastAsia="Arial" w:hAnsi="Arial" w:cs="Arial"/>
        </w:rPr>
      </w:pPr>
    </w:p>
    <w:p w14:paraId="18F18C9B" w14:textId="77777777" w:rsidR="00EA293E" w:rsidRDefault="00EA293E">
      <w:pPr>
        <w:spacing w:before="280" w:after="280" w:line="360" w:lineRule="auto"/>
        <w:jc w:val="both"/>
        <w:rPr>
          <w:rFonts w:ascii="Arial" w:eastAsia="Arial" w:hAnsi="Arial" w:cs="Arial"/>
        </w:rPr>
      </w:pPr>
    </w:p>
    <w:p w14:paraId="05ABCC30" w14:textId="77777777" w:rsidR="00EA293E" w:rsidRDefault="00000000">
      <w:pPr>
        <w:spacing w:before="280" w:after="280" w:line="360" w:lineRule="auto"/>
        <w:jc w:val="both"/>
        <w:rPr>
          <w:rFonts w:ascii="Arial" w:eastAsia="Arial" w:hAnsi="Arial" w:cs="Arial"/>
          <w:sz w:val="32"/>
          <w:szCs w:val="32"/>
        </w:rPr>
      </w:pPr>
      <w:r>
        <w:rPr>
          <w:rFonts w:ascii="Arial" w:eastAsia="Arial" w:hAnsi="Arial" w:cs="Arial"/>
          <w:b/>
          <w:sz w:val="32"/>
          <w:szCs w:val="32"/>
        </w:rPr>
        <w:lastRenderedPageBreak/>
        <w:t>CHAPTER 5 –Conclusion and Recommendations</w:t>
      </w:r>
    </w:p>
    <w:p w14:paraId="2AC4F18E"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5.1 Chapter Introduction:</w:t>
      </w:r>
    </w:p>
    <w:p w14:paraId="60739D31" w14:textId="77777777" w:rsidR="00EA293E" w:rsidRDefault="00000000">
      <w:pPr>
        <w:spacing w:before="280" w:after="280" w:line="360" w:lineRule="auto"/>
        <w:jc w:val="both"/>
        <w:rPr>
          <w:rFonts w:ascii="Arial" w:eastAsia="Arial" w:hAnsi="Arial" w:cs="Arial"/>
        </w:rPr>
      </w:pPr>
      <w:r>
        <w:rPr>
          <w:rFonts w:ascii="Arial" w:eastAsia="Arial" w:hAnsi="Arial" w:cs="Arial"/>
        </w:rPr>
        <w:t>This chapter concludes the dissertation by synthesising the key findings from the secondary research exploring the mental health impact of the COVID-19 pandemic on healthcare workers (HCWs) and the coping strategies they employed. Drawing directly on the thematic analysis presented in Chapter 4, this chapter provides an overall conclusion that addresses the research aim and objectives, followed by evidence-based recommendations for policy, practice, and future research.</w:t>
      </w:r>
    </w:p>
    <w:p w14:paraId="4E623B04" w14:textId="77777777" w:rsidR="00EA293E" w:rsidRDefault="00000000">
      <w:pPr>
        <w:spacing w:before="280" w:after="280" w:line="360" w:lineRule="auto"/>
        <w:jc w:val="both"/>
        <w:rPr>
          <w:rFonts w:ascii="Arial" w:eastAsia="Arial" w:hAnsi="Arial" w:cs="Arial"/>
        </w:rPr>
      </w:pPr>
      <w:r>
        <w:rPr>
          <w:rFonts w:ascii="Arial" w:eastAsia="Arial" w:hAnsi="Arial" w:cs="Arial"/>
        </w:rPr>
        <w:t>The chapter focuses on translating research findings into practical and strategic insights, with particular emphasis on burnout, coping strategies, and organisational and systemic influences on HCW well-being. In doing so, it highlights the implications of the findings for healthcare workforce sustainability and future public health preparedness.</w:t>
      </w:r>
    </w:p>
    <w:p w14:paraId="297ED69B" w14:textId="77777777" w:rsidR="00EA293E" w:rsidRDefault="00EA293E">
      <w:pPr>
        <w:spacing w:after="0" w:line="360" w:lineRule="auto"/>
        <w:jc w:val="both"/>
        <w:rPr>
          <w:rFonts w:ascii="Arial" w:eastAsia="Arial" w:hAnsi="Arial" w:cs="Arial"/>
        </w:rPr>
      </w:pPr>
    </w:p>
    <w:p w14:paraId="01FBBD19"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5.2 Overall Conclusion:</w:t>
      </w:r>
    </w:p>
    <w:p w14:paraId="319211D1" w14:textId="77777777" w:rsidR="00EA293E" w:rsidRDefault="00000000">
      <w:pPr>
        <w:spacing w:before="280" w:after="280" w:line="360" w:lineRule="auto"/>
        <w:jc w:val="both"/>
        <w:rPr>
          <w:rFonts w:ascii="Arial" w:eastAsia="Arial" w:hAnsi="Arial" w:cs="Arial"/>
        </w:rPr>
      </w:pPr>
      <w:r>
        <w:rPr>
          <w:rFonts w:ascii="Arial" w:eastAsia="Arial" w:hAnsi="Arial" w:cs="Arial"/>
        </w:rPr>
        <w:t>This dissertation set out to investigate the mental health impact of the COVID-19 pandemic on healthcare workers and to critically examine the coping strategies used to manage stress, anxiety, and burnout. Through a systematic secondary analysis of peer-reviewed literature published between 2020 and 2025, the study identified significant and persistent psychological distress among HCWs across diverse healthcare settings and national contexts.</w:t>
      </w:r>
    </w:p>
    <w:p w14:paraId="4BC25F6F" w14:textId="77777777" w:rsidR="00EA293E" w:rsidRDefault="00000000">
      <w:pPr>
        <w:spacing w:before="280" w:after="280" w:line="360" w:lineRule="auto"/>
        <w:jc w:val="both"/>
        <w:rPr>
          <w:rFonts w:ascii="Arial" w:eastAsia="Arial" w:hAnsi="Arial" w:cs="Arial"/>
        </w:rPr>
      </w:pPr>
      <w:r>
        <w:rPr>
          <w:rFonts w:ascii="Arial" w:eastAsia="Arial" w:hAnsi="Arial" w:cs="Arial"/>
        </w:rPr>
        <w:t>The findings demonstrate that burnout and emotional exhaustion were widespread and enduring consequences of the pandemic. Evidence from longitudinal and cross-sectional studies indicates that psychological distress persisted well beyond the acute phases of COVID-19, with limited natural recovery over time (Maunder et al., 2024; Davies et al., 2025). This challenges assumptions that HCW mental health would improve automatically once infection rates declined and highlights the cumulative nature of pandemic-related stress.</w:t>
      </w:r>
    </w:p>
    <w:p w14:paraId="7AD4145D" w14:textId="77777777" w:rsidR="00EA293E" w:rsidRDefault="00000000">
      <w:pPr>
        <w:spacing w:before="280" w:after="280" w:line="360" w:lineRule="auto"/>
        <w:jc w:val="both"/>
        <w:rPr>
          <w:rFonts w:ascii="Arial" w:eastAsia="Arial" w:hAnsi="Arial" w:cs="Arial"/>
        </w:rPr>
      </w:pPr>
      <w:r>
        <w:rPr>
          <w:rFonts w:ascii="Arial" w:eastAsia="Arial" w:hAnsi="Arial" w:cs="Arial"/>
        </w:rPr>
        <w:t>The dissertation also found that individual coping strategies and resilience played an important but limited role in mitigating psychological distress. Adaptive coping strategies, such as problem-focused coping, peer support, and social connectedness, were associated with improved well-being in some contexts (</w:t>
      </w:r>
      <w:proofErr w:type="spellStart"/>
      <w:r>
        <w:rPr>
          <w:rFonts w:ascii="Arial" w:eastAsia="Arial" w:hAnsi="Arial" w:cs="Arial"/>
        </w:rPr>
        <w:t>Labrague</w:t>
      </w:r>
      <w:proofErr w:type="spellEnd"/>
      <w:r>
        <w:rPr>
          <w:rFonts w:ascii="Arial" w:eastAsia="Arial" w:hAnsi="Arial" w:cs="Arial"/>
        </w:rPr>
        <w:t xml:space="preserve">, 2021; Lee et al., 2025). However, the effectiveness of these strategies was often constrained by prolonged exposure to stress and </w:t>
      </w:r>
      <w:r>
        <w:rPr>
          <w:rFonts w:ascii="Arial" w:eastAsia="Arial" w:hAnsi="Arial" w:cs="Arial"/>
        </w:rPr>
        <w:lastRenderedPageBreak/>
        <w:t>insufficient organisational support (Rossi et al., 2023; Anger et al., 2024). Overreliance on individual resilience emerged as a key limitation, particularly when systemic stressors remained unaddressed.</w:t>
      </w:r>
    </w:p>
    <w:p w14:paraId="351E3B55" w14:textId="77777777" w:rsidR="00EA293E" w:rsidRDefault="00000000">
      <w:pPr>
        <w:spacing w:before="280" w:after="280" w:line="360" w:lineRule="auto"/>
        <w:jc w:val="both"/>
        <w:rPr>
          <w:rFonts w:ascii="Arial" w:eastAsia="Arial" w:hAnsi="Arial" w:cs="Arial"/>
        </w:rPr>
      </w:pPr>
      <w:r>
        <w:rPr>
          <w:rFonts w:ascii="Arial" w:eastAsia="Arial" w:hAnsi="Arial" w:cs="Arial"/>
        </w:rPr>
        <w:t>Organisational and systemic factors were identified as critical determinants of HCW mental health outcomes. Supportive leadership, adequate staffing, effective communication, and access to mental health services were consistently associated with lower levels of burnout and improved coping capacity (Oprea et al., 2025; Frias et al., 2025). Conversely, inadequate organisational support and inconsistent policy implementation exacerbated distress and contributed to moral injury and workforce attrition (Williamson, Murphy and Greenberg, 2020; Davies et al., 2025).</w:t>
      </w:r>
    </w:p>
    <w:p w14:paraId="63D6F5FB" w14:textId="77777777" w:rsidR="00EA293E" w:rsidRDefault="00000000">
      <w:pPr>
        <w:spacing w:before="280" w:after="280" w:line="360" w:lineRule="auto"/>
        <w:jc w:val="both"/>
        <w:rPr>
          <w:rFonts w:ascii="Arial" w:eastAsia="Arial" w:hAnsi="Arial" w:cs="Arial"/>
        </w:rPr>
      </w:pPr>
      <w:r>
        <w:rPr>
          <w:rFonts w:ascii="Arial" w:eastAsia="Arial" w:hAnsi="Arial" w:cs="Arial"/>
        </w:rPr>
        <w:t>Overall, the findings underscore the need for integrated, multi-level approaches to HCW well-being that address individual, organisational, and systemic factors simultaneously. This conclusion directly informs the recommendations presented below.</w:t>
      </w:r>
    </w:p>
    <w:p w14:paraId="48A790AC" w14:textId="77777777" w:rsidR="00EA293E" w:rsidRDefault="00EA293E">
      <w:pPr>
        <w:spacing w:before="280" w:after="280" w:line="360" w:lineRule="auto"/>
        <w:jc w:val="both"/>
        <w:rPr>
          <w:rFonts w:ascii="Arial" w:eastAsia="Arial" w:hAnsi="Arial" w:cs="Arial"/>
        </w:rPr>
      </w:pPr>
    </w:p>
    <w:p w14:paraId="5F66054D"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5.3 Recommendations for Policy and Practice:</w:t>
      </w:r>
    </w:p>
    <w:p w14:paraId="67E64D9C"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Recommendation 1: Embed Sustainable Organisational Mental Health Support:</w:t>
      </w:r>
    </w:p>
    <w:p w14:paraId="093C566E" w14:textId="77777777" w:rsidR="00EA293E" w:rsidRDefault="00000000">
      <w:pPr>
        <w:spacing w:before="280" w:after="280" w:line="360" w:lineRule="auto"/>
        <w:jc w:val="both"/>
        <w:rPr>
          <w:rFonts w:ascii="Arial" w:eastAsia="Arial" w:hAnsi="Arial" w:cs="Arial"/>
        </w:rPr>
      </w:pPr>
      <w:r>
        <w:rPr>
          <w:rFonts w:ascii="Arial" w:eastAsia="Arial" w:hAnsi="Arial" w:cs="Arial"/>
        </w:rPr>
        <w:t>Healthcare organisations should move beyond reactive, crisis-driven mental health interventions and embed sustainable, long-term support structures for HCWs. While initiatives such as the NHS Staff Mental Health and Wellbeing Hubs represented important progress, evidence suggests that access and uptake were inconsistent due to workload pressures and uneven implementation (Frias et al., 2025).</w:t>
      </w:r>
    </w:p>
    <w:p w14:paraId="6ACC7DFE" w14:textId="77777777" w:rsidR="00EA293E" w:rsidRDefault="00000000">
      <w:pPr>
        <w:spacing w:before="280" w:after="280" w:line="360" w:lineRule="auto"/>
        <w:jc w:val="both"/>
        <w:rPr>
          <w:rFonts w:ascii="Arial" w:eastAsia="Arial" w:hAnsi="Arial" w:cs="Arial"/>
        </w:rPr>
      </w:pPr>
      <w:r>
        <w:rPr>
          <w:rFonts w:ascii="Arial" w:eastAsia="Arial" w:hAnsi="Arial" w:cs="Arial"/>
        </w:rPr>
        <w:t>Organisational strategies should include protected time for rest and recovery, routine access to psychological support, and regular stress risk assessments in line with Health and Safety Executive guidance (HSE, 2020). Embedding mental health support within everyday organisational practice, rather than framing it as an optional add-on, may reduce stigma and improve engagement (West et al., 2020).</w:t>
      </w:r>
    </w:p>
    <w:p w14:paraId="420A76C7" w14:textId="77777777" w:rsidR="00EA293E" w:rsidRDefault="00000000">
      <w:pPr>
        <w:spacing w:before="280" w:after="280" w:line="360" w:lineRule="auto"/>
        <w:jc w:val="both"/>
        <w:rPr>
          <w:rFonts w:ascii="Arial" w:eastAsia="Arial" w:hAnsi="Arial" w:cs="Arial"/>
        </w:rPr>
      </w:pPr>
      <w:r>
        <w:rPr>
          <w:rFonts w:ascii="Arial" w:eastAsia="Arial" w:hAnsi="Arial" w:cs="Arial"/>
        </w:rPr>
        <w:t>Leadership development is also critical. Compassionate and inclusive leadership has been shown to buffer the effects of high job demands and promote psychological safety (West et al., 2018; Oprea et al., 2025). Investing in leadership training that prioritises staff well-being may therefore enhance both workforce resilience and quality of care.</w:t>
      </w:r>
    </w:p>
    <w:p w14:paraId="267B93BA" w14:textId="77777777" w:rsidR="00EA293E" w:rsidRDefault="00EA293E">
      <w:pPr>
        <w:spacing w:after="0" w:line="360" w:lineRule="auto"/>
        <w:jc w:val="both"/>
        <w:rPr>
          <w:rFonts w:ascii="Arial" w:eastAsia="Arial" w:hAnsi="Arial" w:cs="Arial"/>
        </w:rPr>
      </w:pPr>
    </w:p>
    <w:p w14:paraId="6DDEFB78"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Recommendation 2: Rebalance the Focus from Individual Resilience to Systemic Responsibility</w:t>
      </w:r>
    </w:p>
    <w:p w14:paraId="1E620D94" w14:textId="77777777" w:rsidR="00EA293E" w:rsidRDefault="00000000">
      <w:pPr>
        <w:spacing w:before="280" w:after="280" w:line="360" w:lineRule="auto"/>
        <w:jc w:val="both"/>
        <w:rPr>
          <w:rFonts w:ascii="Arial" w:eastAsia="Arial" w:hAnsi="Arial" w:cs="Arial"/>
        </w:rPr>
      </w:pPr>
      <w:r>
        <w:rPr>
          <w:rFonts w:ascii="Arial" w:eastAsia="Arial" w:hAnsi="Arial" w:cs="Arial"/>
        </w:rPr>
        <w:t>While individual resilience and coping strategies remain important, the findings of this dissertation highlight the risks of overemphasising personal responsibility for managing distress. Resilience training programmes are most effective when combined with organisational and structural support (</w:t>
      </w:r>
      <w:proofErr w:type="spellStart"/>
      <w:r>
        <w:rPr>
          <w:rFonts w:ascii="Arial" w:eastAsia="Arial" w:hAnsi="Arial" w:cs="Arial"/>
        </w:rPr>
        <w:t>Labrague</w:t>
      </w:r>
      <w:proofErr w:type="spellEnd"/>
      <w:r>
        <w:rPr>
          <w:rFonts w:ascii="Arial" w:eastAsia="Arial" w:hAnsi="Arial" w:cs="Arial"/>
        </w:rPr>
        <w:t>, 2021; Frias et al., 2025).</w:t>
      </w:r>
    </w:p>
    <w:p w14:paraId="32AF984B" w14:textId="77777777" w:rsidR="00EA293E" w:rsidRDefault="00000000">
      <w:pPr>
        <w:spacing w:before="280" w:after="280" w:line="360" w:lineRule="auto"/>
        <w:jc w:val="both"/>
        <w:rPr>
          <w:rFonts w:ascii="Arial" w:eastAsia="Arial" w:hAnsi="Arial" w:cs="Arial"/>
        </w:rPr>
      </w:pPr>
      <w:r>
        <w:rPr>
          <w:rFonts w:ascii="Arial" w:eastAsia="Arial" w:hAnsi="Arial" w:cs="Arial"/>
        </w:rPr>
        <w:t>Policymakers and healthcare leaders should ensure that resilience initiatives are framed within a broader commitment to improving working conditions, staffing levels, and resource availability. This includes addressing chronic workforce shortages, reducing excessive workloads, and ensuring equitable access to support services across professional groups (Anger et al., 2024).</w:t>
      </w:r>
    </w:p>
    <w:p w14:paraId="15725190" w14:textId="77777777" w:rsidR="00EA293E" w:rsidRDefault="00000000">
      <w:pPr>
        <w:spacing w:before="280" w:after="280" w:line="360" w:lineRule="auto"/>
        <w:jc w:val="both"/>
        <w:rPr>
          <w:rFonts w:ascii="Arial" w:eastAsia="Arial" w:hAnsi="Arial" w:cs="Arial"/>
        </w:rPr>
      </w:pPr>
      <w:r>
        <w:rPr>
          <w:rFonts w:ascii="Arial" w:eastAsia="Arial" w:hAnsi="Arial" w:cs="Arial"/>
        </w:rPr>
        <w:t>Shifting the narrative from “coping despite adversity” to “reducing avoidable stressors” may help prevent burnout and moral injury while validating HCWs’ experiences (Williamson, Murphy and Greenberg, 2020). Such an approach aligns with ethical responsibilities to protect staff from harm and supports long-term workforce sustainability.</w:t>
      </w:r>
    </w:p>
    <w:p w14:paraId="5DAFAC65" w14:textId="77777777" w:rsidR="00EA293E" w:rsidRDefault="00EA293E">
      <w:pPr>
        <w:spacing w:after="0" w:line="360" w:lineRule="auto"/>
        <w:jc w:val="both"/>
        <w:rPr>
          <w:rFonts w:ascii="Arial" w:eastAsia="Arial" w:hAnsi="Arial" w:cs="Arial"/>
        </w:rPr>
      </w:pPr>
    </w:p>
    <w:p w14:paraId="3775898A" w14:textId="77777777" w:rsidR="00EA293E"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Recommendation 3: Strengthen Policy Integration and Future Pandemic Preparedness</w:t>
      </w:r>
    </w:p>
    <w:p w14:paraId="332A4DB9" w14:textId="77777777" w:rsidR="00EA293E" w:rsidRDefault="00000000">
      <w:pPr>
        <w:spacing w:before="280" w:after="280" w:line="360" w:lineRule="auto"/>
        <w:jc w:val="both"/>
        <w:rPr>
          <w:rFonts w:ascii="Arial" w:eastAsia="Arial" w:hAnsi="Arial" w:cs="Arial"/>
        </w:rPr>
      </w:pPr>
      <w:r>
        <w:rPr>
          <w:rFonts w:ascii="Arial" w:eastAsia="Arial" w:hAnsi="Arial" w:cs="Arial"/>
        </w:rPr>
        <w:t>The COVID-19 pandemic exposed significant gaps between policy intent and frontline experience. Although national and international guidance emphasised HCW well-being, implementation varied widely across organisations and regions (WHO, 2022; NHS England, 2022). Future public health preparedness plans must integrate workforce mental health as a core component rather than a secondary consideration.</w:t>
      </w:r>
    </w:p>
    <w:p w14:paraId="78F47CD5" w14:textId="77777777" w:rsidR="00EA293E" w:rsidRDefault="00000000">
      <w:pPr>
        <w:spacing w:before="280" w:after="280" w:line="360" w:lineRule="auto"/>
        <w:jc w:val="both"/>
        <w:rPr>
          <w:rFonts w:ascii="Arial" w:eastAsia="Arial" w:hAnsi="Arial" w:cs="Arial"/>
        </w:rPr>
      </w:pPr>
      <w:r>
        <w:rPr>
          <w:rFonts w:ascii="Arial" w:eastAsia="Arial" w:hAnsi="Arial" w:cs="Arial"/>
        </w:rPr>
        <w:t>Policy frameworks should include clear accountability mechanisms, dedicated funding for workforce well-being, and robust evaluation of mental health interventions. Standardised monitoring of HCW mental health outcomes may also support early identification of distress and inform timely intervention (Anger et al., 2024).</w:t>
      </w:r>
    </w:p>
    <w:p w14:paraId="5665F449" w14:textId="77777777" w:rsidR="00EA293E" w:rsidRDefault="00000000">
      <w:pPr>
        <w:spacing w:before="280" w:after="280" w:line="360" w:lineRule="auto"/>
        <w:jc w:val="both"/>
        <w:rPr>
          <w:rFonts w:ascii="Arial" w:eastAsia="Arial" w:hAnsi="Arial" w:cs="Arial"/>
        </w:rPr>
      </w:pPr>
      <w:r>
        <w:rPr>
          <w:rFonts w:ascii="Arial" w:eastAsia="Arial" w:hAnsi="Arial" w:cs="Arial"/>
        </w:rPr>
        <w:t xml:space="preserve">Internationally, greater attention is needed to disparities between high-income and low- and middle-income countries, where resource constraints may limit access to organisational </w:t>
      </w:r>
      <w:r>
        <w:rPr>
          <w:rFonts w:ascii="Arial" w:eastAsia="Arial" w:hAnsi="Arial" w:cs="Arial"/>
        </w:rPr>
        <w:lastRenderedPageBreak/>
        <w:t>support (</w:t>
      </w:r>
      <w:proofErr w:type="spellStart"/>
      <w:r>
        <w:rPr>
          <w:rFonts w:ascii="Arial" w:eastAsia="Arial" w:hAnsi="Arial" w:cs="Arial"/>
        </w:rPr>
        <w:t>Gyamerah</w:t>
      </w:r>
      <w:proofErr w:type="spellEnd"/>
      <w:r>
        <w:rPr>
          <w:rFonts w:ascii="Arial" w:eastAsia="Arial" w:hAnsi="Arial" w:cs="Arial"/>
        </w:rPr>
        <w:t xml:space="preserve"> et al., 2025). Strengthening global collaboration and knowledge sharing may enhance health system resilience in future crises.</w:t>
      </w:r>
    </w:p>
    <w:p w14:paraId="20596691" w14:textId="77777777" w:rsidR="00EA293E" w:rsidRDefault="00EA293E">
      <w:pPr>
        <w:spacing w:after="0" w:line="360" w:lineRule="auto"/>
        <w:jc w:val="both"/>
        <w:rPr>
          <w:rFonts w:ascii="Arial" w:eastAsia="Arial" w:hAnsi="Arial" w:cs="Arial"/>
          <w:sz w:val="24"/>
          <w:szCs w:val="24"/>
        </w:rPr>
      </w:pPr>
    </w:p>
    <w:p w14:paraId="20C09E8C"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5.4 Recommendations for Future Research:</w:t>
      </w:r>
    </w:p>
    <w:p w14:paraId="188F1A7B" w14:textId="77777777" w:rsidR="00EA293E" w:rsidRDefault="00000000">
      <w:pPr>
        <w:spacing w:before="280" w:after="280" w:line="360" w:lineRule="auto"/>
        <w:jc w:val="both"/>
        <w:rPr>
          <w:rFonts w:ascii="Arial" w:eastAsia="Arial" w:hAnsi="Arial" w:cs="Arial"/>
        </w:rPr>
      </w:pPr>
      <w:r>
        <w:rPr>
          <w:rFonts w:ascii="Arial" w:eastAsia="Arial" w:hAnsi="Arial" w:cs="Arial"/>
        </w:rPr>
        <w:t>This dissertation highlights several areas where further research is needed. First, longitudinal studies examining long-term mental health outcomes beyond the immediate pandemic period would provide valuable insight into recovery trajectories and delayed effects of burnout (Maunder et al., 2024). Second, more evaluative research is required to assess the effectiveness of organisational interventions, including leadership models and workforce support programmes.</w:t>
      </w:r>
    </w:p>
    <w:p w14:paraId="44F7AE4F" w14:textId="77777777" w:rsidR="00EA293E" w:rsidRDefault="00000000">
      <w:pPr>
        <w:spacing w:before="280" w:after="280" w:line="360" w:lineRule="auto"/>
        <w:jc w:val="both"/>
        <w:rPr>
          <w:rFonts w:ascii="Arial" w:eastAsia="Arial" w:hAnsi="Arial" w:cs="Arial"/>
        </w:rPr>
      </w:pPr>
      <w:r>
        <w:rPr>
          <w:rFonts w:ascii="Arial" w:eastAsia="Arial" w:hAnsi="Arial" w:cs="Arial"/>
        </w:rPr>
        <w:t>Additionally, future research should explore underrepresented groups, such as support staff, agency workers, and social care workers, whose experiences are often overlooked in healthcare research (Davies et al., 2025). Comparative studies examining international differences in organisational response and policy implementation may also deepen understanding of contextual influences on coping and resilience.</w:t>
      </w:r>
    </w:p>
    <w:p w14:paraId="6CE6ED6E" w14:textId="77777777" w:rsidR="00EA293E" w:rsidRDefault="00EA293E">
      <w:pPr>
        <w:spacing w:after="0" w:line="360" w:lineRule="auto"/>
        <w:jc w:val="both"/>
        <w:rPr>
          <w:rFonts w:ascii="Arial" w:eastAsia="Arial" w:hAnsi="Arial" w:cs="Arial"/>
        </w:rPr>
      </w:pPr>
    </w:p>
    <w:p w14:paraId="722F81E7" w14:textId="77777777" w:rsidR="00EA293E" w:rsidRDefault="00000000">
      <w:pPr>
        <w:spacing w:before="280" w:after="280" w:line="360" w:lineRule="auto"/>
        <w:jc w:val="both"/>
        <w:rPr>
          <w:rFonts w:ascii="Arial" w:eastAsia="Arial" w:hAnsi="Arial" w:cs="Arial"/>
          <w:b/>
          <w:sz w:val="28"/>
          <w:szCs w:val="28"/>
        </w:rPr>
      </w:pPr>
      <w:r>
        <w:rPr>
          <w:rFonts w:ascii="Arial" w:eastAsia="Arial" w:hAnsi="Arial" w:cs="Arial"/>
          <w:b/>
          <w:sz w:val="28"/>
          <w:szCs w:val="28"/>
        </w:rPr>
        <w:t>5.5 Chapter Conclusion:</w:t>
      </w:r>
    </w:p>
    <w:p w14:paraId="23977F51" w14:textId="77777777" w:rsidR="00EA293E" w:rsidRDefault="00000000">
      <w:pPr>
        <w:spacing w:before="280" w:after="280" w:line="360" w:lineRule="auto"/>
        <w:jc w:val="both"/>
        <w:rPr>
          <w:rFonts w:ascii="Arial" w:eastAsia="Arial" w:hAnsi="Arial" w:cs="Arial"/>
        </w:rPr>
      </w:pPr>
      <w:r>
        <w:rPr>
          <w:rFonts w:ascii="Arial" w:eastAsia="Arial" w:hAnsi="Arial" w:cs="Arial"/>
        </w:rPr>
        <w:t>This chapter has provided a comprehensive conclusion to the dissertation, synthesising key findings and translating them into practical recommendations for policy, practice, and future research. The evidence demonstrates that the mental health impact of COVID-19 on healthcare workers was profound, persistent, and shaped by interacting individual, organisational, and systemic factors.</w:t>
      </w:r>
    </w:p>
    <w:p w14:paraId="05FC1EC5" w14:textId="77777777" w:rsidR="00EA293E" w:rsidRDefault="00000000">
      <w:pPr>
        <w:spacing w:before="280" w:after="280" w:line="360" w:lineRule="auto"/>
        <w:jc w:val="both"/>
        <w:rPr>
          <w:rFonts w:ascii="Arial" w:eastAsia="Arial" w:hAnsi="Arial" w:cs="Arial"/>
        </w:rPr>
      </w:pPr>
      <w:r>
        <w:rPr>
          <w:rFonts w:ascii="Arial" w:eastAsia="Arial" w:hAnsi="Arial" w:cs="Arial"/>
        </w:rPr>
        <w:t>By addressing both the immediate and structural causes of psychological distress, the recommendations outlined in this chapter aim to support more sustainable approaches to workforce well-being. Ultimately, protecting the mental health of healthcare workers is not only an ethical imperative but a critical requirement for resilient health systems capable of responding to future public health crises.</w:t>
      </w:r>
    </w:p>
    <w:p w14:paraId="343524F6" w14:textId="77777777" w:rsidR="00EA293E" w:rsidRDefault="00EA293E">
      <w:pPr>
        <w:spacing w:before="280" w:after="280" w:line="360" w:lineRule="auto"/>
        <w:jc w:val="both"/>
        <w:rPr>
          <w:rFonts w:ascii="Arial" w:eastAsia="Arial" w:hAnsi="Arial" w:cs="Arial"/>
          <w:sz w:val="24"/>
          <w:szCs w:val="24"/>
        </w:rPr>
      </w:pPr>
    </w:p>
    <w:p w14:paraId="75D7D073" w14:textId="77777777" w:rsidR="00EA293E" w:rsidRDefault="00000000">
      <w:pPr>
        <w:spacing w:before="280" w:after="280" w:line="360" w:lineRule="auto"/>
        <w:jc w:val="both"/>
        <w:rPr>
          <w:rFonts w:ascii="Arial" w:eastAsia="Arial" w:hAnsi="Arial" w:cs="Arial"/>
          <w:b/>
          <w:sz w:val="36"/>
          <w:szCs w:val="36"/>
        </w:rPr>
      </w:pPr>
      <w:r>
        <w:rPr>
          <w:rFonts w:ascii="Arial" w:eastAsia="Arial" w:hAnsi="Arial" w:cs="Arial"/>
          <w:b/>
          <w:sz w:val="36"/>
          <w:szCs w:val="36"/>
        </w:rPr>
        <w:lastRenderedPageBreak/>
        <w:t>References:</w:t>
      </w:r>
    </w:p>
    <w:p w14:paraId="7364B8DF" w14:textId="77777777" w:rsidR="00EA293E" w:rsidRDefault="00000000">
      <w:pPr>
        <w:spacing w:line="360" w:lineRule="auto"/>
        <w:jc w:val="both"/>
        <w:rPr>
          <w:rFonts w:ascii="Arial" w:eastAsia="Arial" w:hAnsi="Arial" w:cs="Arial"/>
        </w:rPr>
      </w:pPr>
      <w:r>
        <w:rPr>
          <w:rFonts w:ascii="Arial" w:eastAsia="Arial" w:hAnsi="Arial" w:cs="Arial"/>
        </w:rPr>
        <w:t>Adams, J.G. and Walls, R.M. (2020) ‘Supporting the health care workforce during the COVID</w:t>
      </w:r>
      <w:r>
        <w:rPr>
          <w:rFonts w:ascii="Cambria Math" w:eastAsia="Cambria Math" w:hAnsi="Cambria Math" w:cs="Cambria Math"/>
        </w:rPr>
        <w:t>‑</w:t>
      </w:r>
      <w:r>
        <w:rPr>
          <w:rFonts w:ascii="Arial" w:eastAsia="Arial" w:hAnsi="Arial" w:cs="Arial"/>
        </w:rPr>
        <w:t xml:space="preserve">19 global epidemic’, </w:t>
      </w:r>
      <w:r>
        <w:rPr>
          <w:rFonts w:ascii="Arial" w:eastAsia="Arial" w:hAnsi="Arial" w:cs="Arial"/>
          <w:i/>
        </w:rPr>
        <w:t>JAMA,</w:t>
      </w:r>
      <w:r>
        <w:rPr>
          <w:rFonts w:ascii="Arial" w:eastAsia="Arial" w:hAnsi="Arial" w:cs="Arial"/>
        </w:rPr>
        <w:t xml:space="preserve"> 323(15), pp.1439–1440.</w:t>
      </w:r>
    </w:p>
    <w:p w14:paraId="7A152ED5" w14:textId="77777777" w:rsidR="00EA293E" w:rsidRDefault="00000000">
      <w:pPr>
        <w:spacing w:line="360" w:lineRule="auto"/>
        <w:jc w:val="both"/>
        <w:rPr>
          <w:rFonts w:ascii="Arial" w:eastAsia="Arial" w:hAnsi="Arial" w:cs="Arial"/>
        </w:rPr>
      </w:pPr>
      <w:proofErr w:type="spellStart"/>
      <w:r>
        <w:rPr>
          <w:rFonts w:ascii="Arial" w:eastAsia="Arial" w:hAnsi="Arial" w:cs="Arial"/>
        </w:rPr>
        <w:t>Algunmeeyn</w:t>
      </w:r>
      <w:proofErr w:type="spellEnd"/>
      <w:r>
        <w:rPr>
          <w:rFonts w:ascii="Arial" w:eastAsia="Arial" w:hAnsi="Arial" w:cs="Arial"/>
        </w:rPr>
        <w:t>, A., El-</w:t>
      </w:r>
      <w:proofErr w:type="spellStart"/>
      <w:r>
        <w:rPr>
          <w:rFonts w:ascii="Arial" w:eastAsia="Arial" w:hAnsi="Arial" w:cs="Arial"/>
        </w:rPr>
        <w:t>Dahiyat</w:t>
      </w:r>
      <w:proofErr w:type="spellEnd"/>
      <w:r>
        <w:rPr>
          <w:rFonts w:ascii="Arial" w:eastAsia="Arial" w:hAnsi="Arial" w:cs="Arial"/>
        </w:rPr>
        <w:t xml:space="preserve">, F., </w:t>
      </w:r>
      <w:proofErr w:type="spellStart"/>
      <w:r>
        <w:rPr>
          <w:rFonts w:ascii="Arial" w:eastAsia="Arial" w:hAnsi="Arial" w:cs="Arial"/>
        </w:rPr>
        <w:t>Altakhineh</w:t>
      </w:r>
      <w:proofErr w:type="spellEnd"/>
      <w:r>
        <w:rPr>
          <w:rFonts w:ascii="Arial" w:eastAsia="Arial" w:hAnsi="Arial" w:cs="Arial"/>
        </w:rPr>
        <w:t>, M. et al. (2020) ‘Understanding the factors influencing healthcare workers’ burnout during COVID</w:t>
      </w:r>
      <w:r>
        <w:rPr>
          <w:rFonts w:ascii="Cambria Math" w:eastAsia="Cambria Math" w:hAnsi="Cambria Math" w:cs="Cambria Math"/>
        </w:rPr>
        <w:t>‑</w:t>
      </w:r>
      <w:r>
        <w:rPr>
          <w:rFonts w:ascii="Arial" w:eastAsia="Arial" w:hAnsi="Arial" w:cs="Arial"/>
        </w:rPr>
        <w:t>19’</w:t>
      </w:r>
      <w:r>
        <w:rPr>
          <w:rFonts w:ascii="Arial" w:eastAsia="Arial" w:hAnsi="Arial" w:cs="Arial"/>
          <w:i/>
        </w:rPr>
        <w:t>, Journal of Pharmaceutical Policy and Practice,</w:t>
      </w:r>
      <w:r>
        <w:rPr>
          <w:rFonts w:ascii="Arial" w:eastAsia="Arial" w:hAnsi="Arial" w:cs="Arial"/>
        </w:rPr>
        <w:t xml:space="preserve"> 13(1), pp.1–10.</w:t>
      </w:r>
    </w:p>
    <w:p w14:paraId="19B289E8"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Anger, W.K., Lamontagne, A.D., Ostry, A., Schulte, P.A. and Kristensen, T.S. (2024) ‘Addressing health care workers’ mental health: A systematic review of interventions’, </w:t>
      </w:r>
      <w:r>
        <w:rPr>
          <w:rFonts w:ascii="Arial" w:eastAsia="Arial" w:hAnsi="Arial" w:cs="Arial"/>
          <w:i/>
          <w:color w:val="000000"/>
        </w:rPr>
        <w:t>American Journal of Public Health</w:t>
      </w:r>
      <w:r>
        <w:rPr>
          <w:rFonts w:ascii="Arial" w:eastAsia="Arial" w:hAnsi="Arial" w:cs="Arial"/>
          <w:color w:val="000000"/>
        </w:rPr>
        <w:t>, 114(2), pp. 203–214.</w:t>
      </w:r>
    </w:p>
    <w:p w14:paraId="71614BBD"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Aveyard, H. (2019) </w:t>
      </w:r>
      <w:r>
        <w:rPr>
          <w:rFonts w:ascii="Arial" w:eastAsia="Arial" w:hAnsi="Arial" w:cs="Arial"/>
          <w:i/>
          <w:color w:val="000000"/>
        </w:rPr>
        <w:t>Doing a Literature Review in Health and Social Care</w:t>
      </w:r>
      <w:r>
        <w:rPr>
          <w:rFonts w:ascii="Arial" w:eastAsia="Arial" w:hAnsi="Arial" w:cs="Arial"/>
          <w:color w:val="000000"/>
        </w:rPr>
        <w:t xml:space="preserve">. 4th </w:t>
      </w:r>
      <w:proofErr w:type="spellStart"/>
      <w:r>
        <w:rPr>
          <w:rFonts w:ascii="Arial" w:eastAsia="Arial" w:hAnsi="Arial" w:cs="Arial"/>
          <w:color w:val="000000"/>
        </w:rPr>
        <w:t>edn</w:t>
      </w:r>
      <w:proofErr w:type="spellEnd"/>
      <w:r>
        <w:rPr>
          <w:rFonts w:ascii="Arial" w:eastAsia="Arial" w:hAnsi="Arial" w:cs="Arial"/>
          <w:color w:val="000000"/>
        </w:rPr>
        <w:t>. Maidenhead: Open University Press.</w:t>
      </w:r>
    </w:p>
    <w:p w14:paraId="3CA39649"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Bakker, A.B. and Demerouti, E. (2017) ‘Job Demands–Resources theory: Taking stock and looking forward’, </w:t>
      </w:r>
      <w:r>
        <w:rPr>
          <w:rFonts w:ascii="Arial" w:eastAsia="Arial" w:hAnsi="Arial" w:cs="Arial"/>
          <w:i/>
          <w:color w:val="000000"/>
        </w:rPr>
        <w:t>Journal of Occupational Health Psychology</w:t>
      </w:r>
      <w:r>
        <w:rPr>
          <w:rFonts w:ascii="Arial" w:eastAsia="Arial" w:hAnsi="Arial" w:cs="Arial"/>
          <w:color w:val="000000"/>
        </w:rPr>
        <w:t>, 22(3), pp. 273–285.</w:t>
      </w:r>
    </w:p>
    <w:p w14:paraId="6AC93579"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Blakeslee, S. (2004) </w:t>
      </w:r>
      <w:r>
        <w:rPr>
          <w:rFonts w:ascii="Arial" w:eastAsia="Arial" w:hAnsi="Arial" w:cs="Arial"/>
          <w:i/>
          <w:color w:val="000000"/>
        </w:rPr>
        <w:t>The CRAAP Test</w:t>
      </w:r>
      <w:r>
        <w:rPr>
          <w:rFonts w:ascii="Arial" w:eastAsia="Arial" w:hAnsi="Arial" w:cs="Arial"/>
          <w:color w:val="000000"/>
        </w:rPr>
        <w:t xml:space="preserve">. </w:t>
      </w:r>
      <w:r>
        <w:rPr>
          <w:rFonts w:ascii="Arial" w:eastAsia="Arial" w:hAnsi="Arial" w:cs="Arial"/>
          <w:i/>
          <w:color w:val="000000"/>
        </w:rPr>
        <w:t>California State University, Chico</w:t>
      </w:r>
      <w:r>
        <w:rPr>
          <w:rFonts w:ascii="Arial" w:eastAsia="Arial" w:hAnsi="Arial" w:cs="Arial"/>
          <w:color w:val="000000"/>
        </w:rPr>
        <w:t xml:space="preserve">. Available at: </w:t>
      </w:r>
      <w:hyperlink r:id="rId7">
        <w:r>
          <w:rPr>
            <w:rFonts w:ascii="Arial" w:eastAsia="Arial" w:hAnsi="Arial" w:cs="Arial"/>
            <w:color w:val="000000"/>
          </w:rPr>
          <w:t>https://library.csuchico.edu/sites/default/files/craap-test.pdf</w:t>
        </w:r>
      </w:hyperlink>
      <w:r>
        <w:rPr>
          <w:rFonts w:ascii="Arial" w:eastAsia="Arial" w:hAnsi="Arial" w:cs="Arial"/>
          <w:color w:val="000000"/>
        </w:rPr>
        <w:t xml:space="preserve"> (Accessed: 6 March 2026).</w:t>
      </w:r>
    </w:p>
    <w:p w14:paraId="441563AF"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Booth, A., Sutton, A. and Papaioannou, D. (2016) </w:t>
      </w:r>
      <w:r>
        <w:rPr>
          <w:rFonts w:ascii="Arial" w:eastAsia="Arial" w:hAnsi="Arial" w:cs="Arial"/>
          <w:i/>
          <w:color w:val="000000"/>
        </w:rPr>
        <w:t>Systematic Approaches to a Successful Literature Review</w:t>
      </w:r>
      <w:r>
        <w:rPr>
          <w:rFonts w:ascii="Arial" w:eastAsia="Arial" w:hAnsi="Arial" w:cs="Arial"/>
          <w:color w:val="000000"/>
        </w:rPr>
        <w:t xml:space="preserve">. 2nd </w:t>
      </w:r>
      <w:proofErr w:type="spellStart"/>
      <w:r>
        <w:rPr>
          <w:rFonts w:ascii="Arial" w:eastAsia="Arial" w:hAnsi="Arial" w:cs="Arial"/>
          <w:color w:val="000000"/>
        </w:rPr>
        <w:t>edn</w:t>
      </w:r>
      <w:proofErr w:type="spellEnd"/>
      <w:r>
        <w:rPr>
          <w:rFonts w:ascii="Arial" w:eastAsia="Arial" w:hAnsi="Arial" w:cs="Arial"/>
          <w:color w:val="000000"/>
        </w:rPr>
        <w:t>. London: SAGE.</w:t>
      </w:r>
    </w:p>
    <w:p w14:paraId="039E0CD1"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Braun, V. and Clarke, V. (2006) ‘Using thematic analysis in psychology’, </w:t>
      </w:r>
      <w:r>
        <w:rPr>
          <w:rFonts w:ascii="Arial" w:eastAsia="Arial" w:hAnsi="Arial" w:cs="Arial"/>
          <w:i/>
          <w:color w:val="000000"/>
        </w:rPr>
        <w:t>Qualitative Research in Psychology</w:t>
      </w:r>
      <w:r>
        <w:rPr>
          <w:rFonts w:ascii="Arial" w:eastAsia="Arial" w:hAnsi="Arial" w:cs="Arial"/>
          <w:color w:val="000000"/>
        </w:rPr>
        <w:t>, 3(2), pp. 77–101.</w:t>
      </w:r>
    </w:p>
    <w:p w14:paraId="615E520A" w14:textId="77777777" w:rsidR="00EA293E" w:rsidRDefault="00000000">
      <w:pPr>
        <w:spacing w:line="360" w:lineRule="auto"/>
        <w:jc w:val="both"/>
        <w:rPr>
          <w:rFonts w:ascii="Arial" w:eastAsia="Arial" w:hAnsi="Arial" w:cs="Arial"/>
        </w:rPr>
      </w:pPr>
      <w:r>
        <w:rPr>
          <w:rFonts w:ascii="Arial" w:eastAsia="Arial" w:hAnsi="Arial" w:cs="Arial"/>
        </w:rPr>
        <w:t xml:space="preserve">Barello, S., </w:t>
      </w:r>
      <w:proofErr w:type="spellStart"/>
      <w:r>
        <w:rPr>
          <w:rFonts w:ascii="Arial" w:eastAsia="Arial" w:hAnsi="Arial" w:cs="Arial"/>
        </w:rPr>
        <w:t>Palamenghi</w:t>
      </w:r>
      <w:proofErr w:type="spellEnd"/>
      <w:r>
        <w:rPr>
          <w:rFonts w:ascii="Arial" w:eastAsia="Arial" w:hAnsi="Arial" w:cs="Arial"/>
        </w:rPr>
        <w:t xml:space="preserve">, L. and Graffigna, G. (2020) ‘Burnout and somatic symptoms among frontline healthcare professionals’, </w:t>
      </w:r>
      <w:r>
        <w:rPr>
          <w:rFonts w:ascii="Arial" w:eastAsia="Arial" w:hAnsi="Arial" w:cs="Arial"/>
          <w:i/>
        </w:rPr>
        <w:t>Psychiatry Research</w:t>
      </w:r>
      <w:r>
        <w:rPr>
          <w:rFonts w:ascii="Arial" w:eastAsia="Arial" w:hAnsi="Arial" w:cs="Arial"/>
        </w:rPr>
        <w:t>, 290, 113129.</w:t>
      </w:r>
    </w:p>
    <w:p w14:paraId="7A7E3899" w14:textId="77777777" w:rsidR="00EA293E" w:rsidRDefault="00000000">
      <w:pPr>
        <w:spacing w:line="360" w:lineRule="auto"/>
        <w:jc w:val="both"/>
        <w:rPr>
          <w:rFonts w:ascii="Arial" w:eastAsia="Arial" w:hAnsi="Arial" w:cs="Arial"/>
        </w:rPr>
      </w:pPr>
      <w:r>
        <w:rPr>
          <w:rFonts w:ascii="Arial" w:eastAsia="Arial" w:hAnsi="Arial" w:cs="Arial"/>
        </w:rPr>
        <w:t xml:space="preserve">Billings, J., Ching, B.C.F., </w:t>
      </w:r>
      <w:proofErr w:type="spellStart"/>
      <w:r>
        <w:rPr>
          <w:rFonts w:ascii="Arial" w:eastAsia="Arial" w:hAnsi="Arial" w:cs="Arial"/>
        </w:rPr>
        <w:t>Gkofa</w:t>
      </w:r>
      <w:proofErr w:type="spellEnd"/>
      <w:r>
        <w:rPr>
          <w:rFonts w:ascii="Arial" w:eastAsia="Arial" w:hAnsi="Arial" w:cs="Arial"/>
        </w:rPr>
        <w:t>, V. et al. (2021) ‘Experiences of frontline healthcare workers during COVID</w:t>
      </w:r>
      <w:r>
        <w:rPr>
          <w:rFonts w:ascii="Cambria Math" w:eastAsia="Cambria Math" w:hAnsi="Cambria Math" w:cs="Cambria Math"/>
        </w:rPr>
        <w:t>‑</w:t>
      </w:r>
      <w:r>
        <w:rPr>
          <w:rFonts w:ascii="Arial" w:eastAsia="Arial" w:hAnsi="Arial" w:cs="Arial"/>
        </w:rPr>
        <w:t xml:space="preserve">19’, </w:t>
      </w:r>
      <w:r>
        <w:rPr>
          <w:rFonts w:ascii="Arial" w:eastAsia="Arial" w:hAnsi="Arial" w:cs="Arial"/>
          <w:i/>
        </w:rPr>
        <w:t>BMC Psychiatry,</w:t>
      </w:r>
      <w:r>
        <w:rPr>
          <w:rFonts w:ascii="Arial" w:eastAsia="Arial" w:hAnsi="Arial" w:cs="Arial"/>
        </w:rPr>
        <w:t xml:space="preserve"> 21(1), pp.1–12.</w:t>
      </w:r>
    </w:p>
    <w:p w14:paraId="574E4628" w14:textId="77777777" w:rsidR="00EA293E" w:rsidRDefault="00000000">
      <w:pPr>
        <w:spacing w:line="360" w:lineRule="auto"/>
        <w:jc w:val="both"/>
        <w:rPr>
          <w:rFonts w:ascii="Arial" w:eastAsia="Arial" w:hAnsi="Arial" w:cs="Arial"/>
        </w:rPr>
      </w:pPr>
      <w:r>
        <w:rPr>
          <w:rFonts w:ascii="Arial" w:eastAsia="Arial" w:hAnsi="Arial" w:cs="Arial"/>
        </w:rPr>
        <w:t xml:space="preserve">Brooks, S.K., Webster, R.K., Smith, L.E. et al. (2020) ‘The psychological impact of quarantine’, </w:t>
      </w:r>
      <w:r>
        <w:rPr>
          <w:rFonts w:ascii="Arial" w:eastAsia="Arial" w:hAnsi="Arial" w:cs="Arial"/>
          <w:i/>
        </w:rPr>
        <w:t>The Lancet,</w:t>
      </w:r>
      <w:r>
        <w:rPr>
          <w:rFonts w:ascii="Arial" w:eastAsia="Arial" w:hAnsi="Arial" w:cs="Arial"/>
        </w:rPr>
        <w:t xml:space="preserve"> 395(10227), pp.912–920.</w:t>
      </w:r>
    </w:p>
    <w:p w14:paraId="70E6610B"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Carver, C.S., Scheier, M.F. and Weintraub, J.K. (1989) ‘Assessing coping strategies: A theoretically based approach’, </w:t>
      </w:r>
      <w:r>
        <w:rPr>
          <w:rFonts w:ascii="Arial" w:eastAsia="Arial" w:hAnsi="Arial" w:cs="Arial"/>
          <w:i/>
          <w:color w:val="000000"/>
        </w:rPr>
        <w:t>Journal of Personality and Social Psychology</w:t>
      </w:r>
      <w:r>
        <w:rPr>
          <w:rFonts w:ascii="Arial" w:eastAsia="Arial" w:hAnsi="Arial" w:cs="Arial"/>
          <w:color w:val="000000"/>
        </w:rPr>
        <w:t>, 56(2), pp. 267–283.</w:t>
      </w:r>
    </w:p>
    <w:p w14:paraId="5125CE25"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lastRenderedPageBreak/>
        <w:t xml:space="preserve">Chew, N.W.S., Lee, G.K.H., Tan, B.Y.Q. et al. (2020) ‘A multinational, multicentre study on psychological outcomes among healthcare workers during COVID-19’, </w:t>
      </w:r>
      <w:r>
        <w:rPr>
          <w:rFonts w:ascii="Arial" w:eastAsia="Arial" w:hAnsi="Arial" w:cs="Arial"/>
          <w:i/>
          <w:color w:val="000000"/>
        </w:rPr>
        <w:t xml:space="preserve">Brain, </w:t>
      </w:r>
      <w:proofErr w:type="spellStart"/>
      <w:r>
        <w:rPr>
          <w:rFonts w:ascii="Arial" w:eastAsia="Arial" w:hAnsi="Arial" w:cs="Arial"/>
          <w:i/>
          <w:color w:val="000000"/>
        </w:rPr>
        <w:t>Behavior</w:t>
      </w:r>
      <w:proofErr w:type="spellEnd"/>
      <w:r>
        <w:rPr>
          <w:rFonts w:ascii="Arial" w:eastAsia="Arial" w:hAnsi="Arial" w:cs="Arial"/>
          <w:i/>
          <w:color w:val="000000"/>
        </w:rPr>
        <w:t>, and Immunity</w:t>
      </w:r>
      <w:r>
        <w:rPr>
          <w:rFonts w:ascii="Arial" w:eastAsia="Arial" w:hAnsi="Arial" w:cs="Arial"/>
          <w:color w:val="000000"/>
        </w:rPr>
        <w:t>, 88, pp. 559–565.</w:t>
      </w:r>
    </w:p>
    <w:p w14:paraId="326231B1"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Curtin, M., Norris, E., O’Brien, B. and O’Hara, L. (2021) ‘Resilience in healthcare workers during COVID-19: A systematic review and meta-synthesis’, </w:t>
      </w:r>
      <w:r>
        <w:rPr>
          <w:rFonts w:ascii="Arial" w:eastAsia="Arial" w:hAnsi="Arial" w:cs="Arial"/>
          <w:i/>
          <w:color w:val="000000"/>
        </w:rPr>
        <w:t>Irish Journal of Psychological Medicine</w:t>
      </w:r>
      <w:r>
        <w:rPr>
          <w:rFonts w:ascii="Arial" w:eastAsia="Arial" w:hAnsi="Arial" w:cs="Arial"/>
          <w:color w:val="000000"/>
        </w:rPr>
        <w:t>, 38(4), pp. 272–280.</w:t>
      </w:r>
    </w:p>
    <w:p w14:paraId="7C191B61"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Davies, S., Teague, G., Hughes, J. and Wilson, K. (2025) ‘Well-being, burnout and moral injury in the adult social care workforce during the COVID-19 pandemic’, </w:t>
      </w:r>
      <w:r>
        <w:rPr>
          <w:rFonts w:ascii="Arial" w:eastAsia="Arial" w:hAnsi="Arial" w:cs="Arial"/>
          <w:i/>
          <w:color w:val="000000"/>
        </w:rPr>
        <w:t>Journal of Long-Term Care</w:t>
      </w:r>
      <w:r>
        <w:rPr>
          <w:rFonts w:ascii="Arial" w:eastAsia="Arial" w:hAnsi="Arial" w:cs="Arial"/>
          <w:color w:val="000000"/>
        </w:rPr>
        <w:t>, 5(1), pp. 45–58.</w:t>
      </w:r>
    </w:p>
    <w:p w14:paraId="6A3C4E66"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Department of Health and Social Care (2021) </w:t>
      </w:r>
      <w:r>
        <w:rPr>
          <w:rFonts w:ascii="Arial" w:eastAsia="Arial" w:hAnsi="Arial" w:cs="Arial"/>
          <w:i/>
          <w:color w:val="000000"/>
        </w:rPr>
        <w:t>Workforce wellbeing and sustainable recovery plan</w:t>
      </w:r>
      <w:r>
        <w:rPr>
          <w:rFonts w:ascii="Arial" w:eastAsia="Arial" w:hAnsi="Arial" w:cs="Arial"/>
          <w:color w:val="000000"/>
        </w:rPr>
        <w:t>. London: DHSC. Available at: https://www.gov.uk/government (Accessed: 6 March 2026).</w:t>
      </w:r>
    </w:p>
    <w:p w14:paraId="26988A21" w14:textId="77777777" w:rsidR="00EA293E" w:rsidRDefault="00000000">
      <w:pPr>
        <w:spacing w:line="360" w:lineRule="auto"/>
        <w:jc w:val="both"/>
        <w:rPr>
          <w:rFonts w:ascii="Arial" w:eastAsia="Arial" w:hAnsi="Arial" w:cs="Arial"/>
        </w:rPr>
      </w:pPr>
      <w:r>
        <w:rPr>
          <w:rFonts w:ascii="Arial" w:eastAsia="Arial" w:hAnsi="Arial" w:cs="Arial"/>
        </w:rPr>
        <w:t>De Kock, J.H., Latham, H.A., Leslie, S.J. et al. (2021) ‘A rapid review of the impact of COVID</w:t>
      </w:r>
      <w:r>
        <w:rPr>
          <w:rFonts w:ascii="Cambria Math" w:eastAsia="Cambria Math" w:hAnsi="Cambria Math" w:cs="Cambria Math"/>
        </w:rPr>
        <w:t>‑</w:t>
      </w:r>
      <w:r>
        <w:rPr>
          <w:rFonts w:ascii="Arial" w:eastAsia="Arial" w:hAnsi="Arial" w:cs="Arial"/>
        </w:rPr>
        <w:t>19 on healthcare workers’ mental health’</w:t>
      </w:r>
      <w:r>
        <w:rPr>
          <w:rFonts w:ascii="Arial" w:eastAsia="Arial" w:hAnsi="Arial" w:cs="Arial"/>
          <w:i/>
        </w:rPr>
        <w:t xml:space="preserve">, International Journal of Environmental Research and Public Health, </w:t>
      </w:r>
      <w:r>
        <w:rPr>
          <w:rFonts w:ascii="Arial" w:eastAsia="Arial" w:hAnsi="Arial" w:cs="Arial"/>
        </w:rPr>
        <w:t>18(1), 343.</w:t>
      </w:r>
    </w:p>
    <w:p w14:paraId="44F7DD1E" w14:textId="77777777" w:rsidR="00EA293E" w:rsidRDefault="00000000">
      <w:pPr>
        <w:spacing w:line="360" w:lineRule="auto"/>
        <w:jc w:val="both"/>
        <w:rPr>
          <w:rFonts w:ascii="Arial" w:eastAsia="Arial" w:hAnsi="Arial" w:cs="Arial"/>
        </w:rPr>
      </w:pPr>
      <w:r>
        <w:rPr>
          <w:rFonts w:ascii="Arial" w:eastAsia="Arial" w:hAnsi="Arial" w:cs="Arial"/>
        </w:rPr>
        <w:t>Duarte, I., Teixeira, A., Castro, L. et al. (2020) ‘Burnout among Portuguese healthcare workers during COVID</w:t>
      </w:r>
      <w:r>
        <w:rPr>
          <w:rFonts w:ascii="Cambria Math" w:eastAsia="Cambria Math" w:hAnsi="Cambria Math" w:cs="Cambria Math"/>
        </w:rPr>
        <w:t>‑</w:t>
      </w:r>
      <w:r>
        <w:rPr>
          <w:rFonts w:ascii="Arial" w:eastAsia="Arial" w:hAnsi="Arial" w:cs="Arial"/>
        </w:rPr>
        <w:t xml:space="preserve">19’, </w:t>
      </w:r>
      <w:r>
        <w:rPr>
          <w:rFonts w:ascii="Arial" w:eastAsia="Arial" w:hAnsi="Arial" w:cs="Arial"/>
          <w:i/>
        </w:rPr>
        <w:t>BMC Public Health,</w:t>
      </w:r>
      <w:r>
        <w:rPr>
          <w:rFonts w:ascii="Arial" w:eastAsia="Arial" w:hAnsi="Arial" w:cs="Arial"/>
        </w:rPr>
        <w:t xml:space="preserve"> 20(1), pp.1–10.</w:t>
      </w:r>
    </w:p>
    <w:p w14:paraId="73EAAC86"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Eisenberger, R., </w:t>
      </w:r>
      <w:proofErr w:type="spellStart"/>
      <w:r>
        <w:rPr>
          <w:rFonts w:ascii="Arial" w:eastAsia="Arial" w:hAnsi="Arial" w:cs="Arial"/>
          <w:color w:val="000000"/>
        </w:rPr>
        <w:t>Stinglhamber</w:t>
      </w:r>
      <w:proofErr w:type="spellEnd"/>
      <w:r>
        <w:rPr>
          <w:rFonts w:ascii="Arial" w:eastAsia="Arial" w:hAnsi="Arial" w:cs="Arial"/>
          <w:color w:val="000000"/>
        </w:rPr>
        <w:t xml:space="preserve">, F., Vandenberghe, C., Sucharski, I.L. and Rhoades, L. (2002) ‘Perceived supervisor support: Contributions to perceived organisational support and employee retention’, </w:t>
      </w:r>
      <w:r>
        <w:rPr>
          <w:rFonts w:ascii="Arial" w:eastAsia="Arial" w:hAnsi="Arial" w:cs="Arial"/>
          <w:i/>
          <w:color w:val="000000"/>
        </w:rPr>
        <w:t>Journal of Applied Psychology</w:t>
      </w:r>
      <w:r>
        <w:rPr>
          <w:rFonts w:ascii="Arial" w:eastAsia="Arial" w:hAnsi="Arial" w:cs="Arial"/>
          <w:color w:val="000000"/>
        </w:rPr>
        <w:t>, 87(3), pp. 565–573.</w:t>
      </w:r>
    </w:p>
    <w:p w14:paraId="0CE98EB6"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Frias, C.E., Squires, A., Proctor, E.K. and Hunt, R. (2025) ‘Strategies to support the mental health and well-being of health and care workers: A rapid review of systematic reviews’, </w:t>
      </w:r>
      <w:r>
        <w:rPr>
          <w:rFonts w:ascii="Arial" w:eastAsia="Arial" w:hAnsi="Arial" w:cs="Arial"/>
          <w:i/>
          <w:color w:val="000000"/>
        </w:rPr>
        <w:t>Frontiers in Medicine</w:t>
      </w:r>
      <w:r>
        <w:rPr>
          <w:rFonts w:ascii="Arial" w:eastAsia="Arial" w:hAnsi="Arial" w:cs="Arial"/>
          <w:color w:val="000000"/>
        </w:rPr>
        <w:t>, 12, Article 1530287.</w:t>
      </w:r>
    </w:p>
    <w:p w14:paraId="7714A3AC" w14:textId="77777777" w:rsidR="00EA293E" w:rsidRDefault="00000000">
      <w:pPr>
        <w:spacing w:line="360" w:lineRule="auto"/>
        <w:jc w:val="both"/>
        <w:rPr>
          <w:rFonts w:ascii="Arial" w:eastAsia="Arial" w:hAnsi="Arial" w:cs="Arial"/>
        </w:rPr>
      </w:pPr>
      <w:r>
        <w:rPr>
          <w:rFonts w:ascii="Arial" w:eastAsia="Arial" w:hAnsi="Arial" w:cs="Arial"/>
        </w:rPr>
        <w:t>Galanis, P., Vraka, I., Fragkou, D. et al. (2021) ‘Nurses’ burnout and associated risk factors during the COVID</w:t>
      </w:r>
      <w:r>
        <w:rPr>
          <w:rFonts w:ascii="Cambria Math" w:eastAsia="Cambria Math" w:hAnsi="Cambria Math" w:cs="Cambria Math"/>
        </w:rPr>
        <w:t>‑</w:t>
      </w:r>
      <w:r>
        <w:rPr>
          <w:rFonts w:ascii="Arial" w:eastAsia="Arial" w:hAnsi="Arial" w:cs="Arial"/>
        </w:rPr>
        <w:t xml:space="preserve">19 pandemic’, </w:t>
      </w:r>
      <w:r>
        <w:rPr>
          <w:rFonts w:ascii="Arial" w:eastAsia="Arial" w:hAnsi="Arial" w:cs="Arial"/>
          <w:i/>
        </w:rPr>
        <w:t>Journal of Advanced Nursing,</w:t>
      </w:r>
      <w:r>
        <w:rPr>
          <w:rFonts w:ascii="Arial" w:eastAsia="Arial" w:hAnsi="Arial" w:cs="Arial"/>
        </w:rPr>
        <w:t xml:space="preserve"> 77(8), pp.3286–3302.</w:t>
      </w:r>
    </w:p>
    <w:p w14:paraId="6DD7E93B" w14:textId="77777777" w:rsidR="00EA293E" w:rsidRDefault="00000000">
      <w:pPr>
        <w:spacing w:line="360" w:lineRule="auto"/>
        <w:jc w:val="both"/>
        <w:rPr>
          <w:rFonts w:ascii="Arial" w:eastAsia="Arial" w:hAnsi="Arial" w:cs="Arial"/>
        </w:rPr>
      </w:pPr>
      <w:r>
        <w:rPr>
          <w:rFonts w:ascii="Arial" w:eastAsia="Arial" w:hAnsi="Arial" w:cs="Arial"/>
        </w:rPr>
        <w:t xml:space="preserve">Greenberg, N., Docherty, M., </w:t>
      </w:r>
      <w:proofErr w:type="spellStart"/>
      <w:r>
        <w:rPr>
          <w:rFonts w:ascii="Arial" w:eastAsia="Arial" w:hAnsi="Arial" w:cs="Arial"/>
        </w:rPr>
        <w:t>Gnanapragasam</w:t>
      </w:r>
      <w:proofErr w:type="spellEnd"/>
      <w:r>
        <w:rPr>
          <w:rFonts w:ascii="Arial" w:eastAsia="Arial" w:hAnsi="Arial" w:cs="Arial"/>
        </w:rPr>
        <w:t>, S. and Wessely, S. (2021) ‘Managing mental health challenges faced by healthcare workers during COVID</w:t>
      </w:r>
      <w:r>
        <w:rPr>
          <w:rFonts w:ascii="Cambria Math" w:eastAsia="Cambria Math" w:hAnsi="Cambria Math" w:cs="Cambria Math"/>
        </w:rPr>
        <w:t>‑</w:t>
      </w:r>
      <w:r>
        <w:rPr>
          <w:rFonts w:ascii="Arial" w:eastAsia="Arial" w:hAnsi="Arial" w:cs="Arial"/>
        </w:rPr>
        <w:t xml:space="preserve">19’, </w:t>
      </w:r>
      <w:r>
        <w:rPr>
          <w:rFonts w:ascii="Arial" w:eastAsia="Arial" w:hAnsi="Arial" w:cs="Arial"/>
          <w:i/>
        </w:rPr>
        <w:t>BMJ,</w:t>
      </w:r>
      <w:r>
        <w:rPr>
          <w:rFonts w:ascii="Arial" w:eastAsia="Arial" w:hAnsi="Arial" w:cs="Arial"/>
        </w:rPr>
        <w:t xml:space="preserve"> 368, m1211.</w:t>
      </w:r>
    </w:p>
    <w:p w14:paraId="0F1B5E12"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Guest, G., MacQueen, K.M. and Namey, E.E. (2014) </w:t>
      </w:r>
      <w:r>
        <w:rPr>
          <w:rFonts w:ascii="Arial" w:eastAsia="Arial" w:hAnsi="Arial" w:cs="Arial"/>
          <w:i/>
          <w:color w:val="000000"/>
        </w:rPr>
        <w:t>Applied Thematic Analysis</w:t>
      </w:r>
      <w:r>
        <w:rPr>
          <w:rFonts w:ascii="Arial" w:eastAsia="Arial" w:hAnsi="Arial" w:cs="Arial"/>
          <w:color w:val="000000"/>
        </w:rPr>
        <w:t>. Thousand Oaks, CA: SAGE Publications.</w:t>
      </w:r>
    </w:p>
    <w:p w14:paraId="27F47FBA"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proofErr w:type="spellStart"/>
      <w:r>
        <w:rPr>
          <w:rFonts w:ascii="Arial" w:eastAsia="Arial" w:hAnsi="Arial" w:cs="Arial"/>
          <w:color w:val="000000"/>
        </w:rPr>
        <w:lastRenderedPageBreak/>
        <w:t>Gyamerah</w:t>
      </w:r>
      <w:proofErr w:type="spellEnd"/>
      <w:r>
        <w:rPr>
          <w:rFonts w:ascii="Arial" w:eastAsia="Arial" w:hAnsi="Arial" w:cs="Arial"/>
          <w:color w:val="000000"/>
        </w:rPr>
        <w:t xml:space="preserve">, A.O., Takyi, S.A., Boakye, F. and Ackah, B.A. (2025) ‘Factors shaping the mental health of healthcare workers in Ghana: Coping strategies and contextual influences’, </w:t>
      </w:r>
      <w:r>
        <w:rPr>
          <w:rFonts w:ascii="Arial" w:eastAsia="Arial" w:hAnsi="Arial" w:cs="Arial"/>
          <w:i/>
          <w:color w:val="000000"/>
        </w:rPr>
        <w:t>BMC Health Services Research</w:t>
      </w:r>
      <w:r>
        <w:rPr>
          <w:rFonts w:ascii="Arial" w:eastAsia="Arial" w:hAnsi="Arial" w:cs="Arial"/>
          <w:color w:val="000000"/>
        </w:rPr>
        <w:t>, 25(1), Article 12476.</w:t>
      </w:r>
    </w:p>
    <w:p w14:paraId="69D4DC55"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Hart, C. (2018) </w:t>
      </w:r>
      <w:r>
        <w:rPr>
          <w:rFonts w:ascii="Arial" w:eastAsia="Arial" w:hAnsi="Arial" w:cs="Arial"/>
          <w:i/>
          <w:color w:val="000000"/>
        </w:rPr>
        <w:t>Doing a Literature Review</w:t>
      </w:r>
      <w:r>
        <w:rPr>
          <w:rFonts w:ascii="Arial" w:eastAsia="Arial" w:hAnsi="Arial" w:cs="Arial"/>
          <w:color w:val="000000"/>
        </w:rPr>
        <w:t>. 2</w:t>
      </w:r>
      <w:r>
        <w:rPr>
          <w:rFonts w:ascii="Arial" w:eastAsia="Arial" w:hAnsi="Arial" w:cs="Arial"/>
          <w:color w:val="000000"/>
          <w:vertAlign w:val="superscript"/>
        </w:rPr>
        <w:t>nd</w:t>
      </w:r>
      <w:r>
        <w:rPr>
          <w:rFonts w:ascii="Arial" w:eastAsia="Arial" w:hAnsi="Arial" w:cs="Arial"/>
          <w:color w:val="000000"/>
        </w:rPr>
        <w:t xml:space="preserve"> </w:t>
      </w:r>
      <w:proofErr w:type="spellStart"/>
      <w:r>
        <w:rPr>
          <w:rFonts w:ascii="Arial" w:eastAsia="Arial" w:hAnsi="Arial" w:cs="Arial"/>
          <w:color w:val="000000"/>
        </w:rPr>
        <w:t>edn</w:t>
      </w:r>
      <w:proofErr w:type="spellEnd"/>
      <w:r>
        <w:rPr>
          <w:rFonts w:ascii="Arial" w:eastAsia="Arial" w:hAnsi="Arial" w:cs="Arial"/>
          <w:color w:val="000000"/>
        </w:rPr>
        <w:t>. London: SAGE.</w:t>
      </w:r>
    </w:p>
    <w:p w14:paraId="261599F3"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Health and Safety Executive (2020) </w:t>
      </w:r>
      <w:r>
        <w:rPr>
          <w:rFonts w:ascii="Arial" w:eastAsia="Arial" w:hAnsi="Arial" w:cs="Arial"/>
          <w:i/>
          <w:color w:val="000000"/>
        </w:rPr>
        <w:t>Managing work-related stress during the COVID-19 outbreak</w:t>
      </w:r>
      <w:r>
        <w:rPr>
          <w:rFonts w:ascii="Arial" w:eastAsia="Arial" w:hAnsi="Arial" w:cs="Arial"/>
          <w:color w:val="000000"/>
        </w:rPr>
        <w:t xml:space="preserve">. London: HSE. Available at: </w:t>
      </w:r>
      <w:hyperlink r:id="rId8">
        <w:r>
          <w:rPr>
            <w:rFonts w:ascii="Arial" w:eastAsia="Arial" w:hAnsi="Arial" w:cs="Arial"/>
            <w:color w:val="000000"/>
          </w:rPr>
          <w:t>https://www.hse.gov.uk</w:t>
        </w:r>
      </w:hyperlink>
      <w:r>
        <w:rPr>
          <w:rFonts w:ascii="Arial" w:eastAsia="Arial" w:hAnsi="Arial" w:cs="Arial"/>
          <w:color w:val="000000"/>
        </w:rPr>
        <w:t xml:space="preserve"> (Accessed: 6 March 2026).</w:t>
      </w:r>
    </w:p>
    <w:p w14:paraId="25BFB66D" w14:textId="77777777" w:rsidR="00EA293E" w:rsidRDefault="00000000">
      <w:pPr>
        <w:spacing w:line="360" w:lineRule="auto"/>
        <w:jc w:val="both"/>
        <w:rPr>
          <w:rFonts w:ascii="Arial" w:eastAsia="Arial" w:hAnsi="Arial" w:cs="Arial"/>
        </w:rPr>
      </w:pPr>
      <w:r>
        <w:rPr>
          <w:rFonts w:ascii="Arial" w:eastAsia="Arial" w:hAnsi="Arial" w:cs="Arial"/>
        </w:rPr>
        <w:t>Holmes, E.A., O’Connor, R.C., Perry, V.H. et al. (2020) ‘Multidisciplinary research priorities for the COVID</w:t>
      </w:r>
      <w:r>
        <w:rPr>
          <w:rFonts w:ascii="Cambria Math" w:eastAsia="Cambria Math" w:hAnsi="Cambria Math" w:cs="Cambria Math"/>
        </w:rPr>
        <w:t>‑</w:t>
      </w:r>
      <w:r>
        <w:rPr>
          <w:rFonts w:ascii="Arial" w:eastAsia="Arial" w:hAnsi="Arial" w:cs="Arial"/>
        </w:rPr>
        <w:t xml:space="preserve">19 pandemic’, </w:t>
      </w:r>
      <w:r>
        <w:rPr>
          <w:rFonts w:ascii="Arial" w:eastAsia="Arial" w:hAnsi="Arial" w:cs="Arial"/>
          <w:i/>
        </w:rPr>
        <w:t>The Lancet Psychiatry</w:t>
      </w:r>
      <w:r>
        <w:rPr>
          <w:rFonts w:ascii="Arial" w:eastAsia="Arial" w:hAnsi="Arial" w:cs="Arial"/>
        </w:rPr>
        <w:t>, 7(6), pp.547–560.</w:t>
      </w:r>
    </w:p>
    <w:p w14:paraId="46C64173"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Johnston, M.P. (2017) ‘Secondary data analysis: A method of which the time has come’, </w:t>
      </w:r>
      <w:r>
        <w:rPr>
          <w:rFonts w:ascii="Arial" w:eastAsia="Arial" w:hAnsi="Arial" w:cs="Arial"/>
          <w:i/>
          <w:color w:val="000000"/>
        </w:rPr>
        <w:t>Qualitative and Quantitative Methods in Libraries</w:t>
      </w:r>
      <w:r>
        <w:rPr>
          <w:rFonts w:ascii="Arial" w:eastAsia="Arial" w:hAnsi="Arial" w:cs="Arial"/>
          <w:color w:val="000000"/>
        </w:rPr>
        <w:t>, 3(3), pp. 619–626.</w:t>
      </w:r>
    </w:p>
    <w:p w14:paraId="3EC9A80D"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Kang, L., Ma, S., Chen, M. et al. (2020) ‘Impact on mental health and perceptions of psychological care among medical staff in Wuhan during COVID-19’, </w:t>
      </w:r>
      <w:r>
        <w:rPr>
          <w:rFonts w:ascii="Arial" w:eastAsia="Arial" w:hAnsi="Arial" w:cs="Arial"/>
          <w:i/>
          <w:color w:val="000000"/>
        </w:rPr>
        <w:t xml:space="preserve">Brain, </w:t>
      </w:r>
      <w:proofErr w:type="spellStart"/>
      <w:r>
        <w:rPr>
          <w:rFonts w:ascii="Arial" w:eastAsia="Arial" w:hAnsi="Arial" w:cs="Arial"/>
          <w:i/>
          <w:color w:val="000000"/>
        </w:rPr>
        <w:t>Behavior</w:t>
      </w:r>
      <w:proofErr w:type="spellEnd"/>
      <w:r>
        <w:rPr>
          <w:rFonts w:ascii="Arial" w:eastAsia="Arial" w:hAnsi="Arial" w:cs="Arial"/>
          <w:i/>
          <w:color w:val="000000"/>
        </w:rPr>
        <w:t>, and Immunity</w:t>
      </w:r>
      <w:r>
        <w:rPr>
          <w:rFonts w:ascii="Arial" w:eastAsia="Arial" w:hAnsi="Arial" w:cs="Arial"/>
          <w:color w:val="000000"/>
        </w:rPr>
        <w:t>, 87, pp. 11–17.</w:t>
      </w:r>
    </w:p>
    <w:p w14:paraId="5940DB4E"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proofErr w:type="spellStart"/>
      <w:r>
        <w:rPr>
          <w:rFonts w:ascii="Arial" w:eastAsia="Arial" w:hAnsi="Arial" w:cs="Arial"/>
          <w:color w:val="000000"/>
        </w:rPr>
        <w:t>Labrague</w:t>
      </w:r>
      <w:proofErr w:type="spellEnd"/>
      <w:r>
        <w:rPr>
          <w:rFonts w:ascii="Arial" w:eastAsia="Arial" w:hAnsi="Arial" w:cs="Arial"/>
          <w:color w:val="000000"/>
        </w:rPr>
        <w:t xml:space="preserve">, L.J. (2021) ‘Psychological resilience, coping behaviours and social support among healthcare workers during the COVID-19 pandemic: A systematic review’, </w:t>
      </w:r>
      <w:r>
        <w:rPr>
          <w:rFonts w:ascii="Arial" w:eastAsia="Arial" w:hAnsi="Arial" w:cs="Arial"/>
          <w:i/>
          <w:color w:val="000000"/>
        </w:rPr>
        <w:t>Journal of Nursing Management</w:t>
      </w:r>
      <w:r>
        <w:rPr>
          <w:rFonts w:ascii="Arial" w:eastAsia="Arial" w:hAnsi="Arial" w:cs="Arial"/>
          <w:color w:val="000000"/>
        </w:rPr>
        <w:t>, 29(7), pp. 1893–1905.</w:t>
      </w:r>
    </w:p>
    <w:p w14:paraId="282A1E59"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Lai, J., Ma, S., Wang, Y. et al. (2020) ‘Factors associated with mental health outcomes among healthcare workers exposed to COVID-19’, </w:t>
      </w:r>
      <w:r>
        <w:rPr>
          <w:rFonts w:ascii="Arial" w:eastAsia="Arial" w:hAnsi="Arial" w:cs="Arial"/>
          <w:i/>
          <w:color w:val="000000"/>
        </w:rPr>
        <w:t>JAMA Network Open</w:t>
      </w:r>
      <w:r>
        <w:rPr>
          <w:rFonts w:ascii="Arial" w:eastAsia="Arial" w:hAnsi="Arial" w:cs="Arial"/>
          <w:color w:val="000000"/>
        </w:rPr>
        <w:t>, 3(3), e203976.</w:t>
      </w:r>
    </w:p>
    <w:p w14:paraId="72DAFC18"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Larsson, M., </w:t>
      </w:r>
      <w:proofErr w:type="spellStart"/>
      <w:r>
        <w:rPr>
          <w:rFonts w:ascii="Arial" w:eastAsia="Arial" w:hAnsi="Arial" w:cs="Arial"/>
          <w:color w:val="000000"/>
        </w:rPr>
        <w:t>Wästerfors</w:t>
      </w:r>
      <w:proofErr w:type="spellEnd"/>
      <w:r>
        <w:rPr>
          <w:rFonts w:ascii="Arial" w:eastAsia="Arial" w:hAnsi="Arial" w:cs="Arial"/>
          <w:color w:val="000000"/>
        </w:rPr>
        <w:t xml:space="preserve">, D., </w:t>
      </w:r>
      <w:proofErr w:type="spellStart"/>
      <w:r>
        <w:rPr>
          <w:rFonts w:ascii="Arial" w:eastAsia="Arial" w:hAnsi="Arial" w:cs="Arial"/>
          <w:color w:val="000000"/>
        </w:rPr>
        <w:t>Tafvelin</w:t>
      </w:r>
      <w:proofErr w:type="spellEnd"/>
      <w:r>
        <w:rPr>
          <w:rFonts w:ascii="Arial" w:eastAsia="Arial" w:hAnsi="Arial" w:cs="Arial"/>
          <w:color w:val="000000"/>
        </w:rPr>
        <w:t xml:space="preserve">, S. and </w:t>
      </w:r>
      <w:proofErr w:type="spellStart"/>
      <w:r>
        <w:rPr>
          <w:rFonts w:ascii="Arial" w:eastAsia="Arial" w:hAnsi="Arial" w:cs="Arial"/>
          <w:color w:val="000000"/>
        </w:rPr>
        <w:t>Ljungblad</w:t>
      </w:r>
      <w:proofErr w:type="spellEnd"/>
      <w:r>
        <w:rPr>
          <w:rFonts w:ascii="Arial" w:eastAsia="Arial" w:hAnsi="Arial" w:cs="Arial"/>
          <w:color w:val="000000"/>
        </w:rPr>
        <w:t xml:space="preserve">, C. (2025) ‘Digital resilience interventions for healthcare workers during and after COVID-19: An evaluation’, </w:t>
      </w:r>
      <w:r>
        <w:rPr>
          <w:rFonts w:ascii="Arial" w:eastAsia="Arial" w:hAnsi="Arial" w:cs="Arial"/>
          <w:i/>
          <w:color w:val="000000"/>
        </w:rPr>
        <w:t>Frontiers in Public Health</w:t>
      </w:r>
      <w:r>
        <w:rPr>
          <w:rFonts w:ascii="Arial" w:eastAsia="Arial" w:hAnsi="Arial" w:cs="Arial"/>
          <w:color w:val="000000"/>
        </w:rPr>
        <w:t>, 13, pp. 1–12.</w:t>
      </w:r>
    </w:p>
    <w:p w14:paraId="560614A9"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Lee, Y.L., Chou, Y.H., Chen, C.L., Cheng, S.Y. and Lin, P.S. (2025) ‘Burnout, resilience, and coping strategies of healthcare professionals during the COVID-19 pandemic’, </w:t>
      </w:r>
      <w:r>
        <w:rPr>
          <w:rFonts w:ascii="Arial" w:eastAsia="Arial" w:hAnsi="Arial" w:cs="Arial"/>
          <w:i/>
          <w:color w:val="000000"/>
        </w:rPr>
        <w:t>Scientific Reports</w:t>
      </w:r>
      <w:r>
        <w:rPr>
          <w:rFonts w:ascii="Arial" w:eastAsia="Arial" w:hAnsi="Arial" w:cs="Arial"/>
          <w:color w:val="000000"/>
        </w:rPr>
        <w:t>, 15, Article 77493.</w:t>
      </w:r>
    </w:p>
    <w:p w14:paraId="42537F9F"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proofErr w:type="spellStart"/>
      <w:r>
        <w:rPr>
          <w:rFonts w:ascii="Arial" w:eastAsia="Arial" w:hAnsi="Arial" w:cs="Arial"/>
          <w:color w:val="000000"/>
        </w:rPr>
        <w:t>Lengnick</w:t>
      </w:r>
      <w:proofErr w:type="spellEnd"/>
      <w:r>
        <w:rPr>
          <w:rFonts w:ascii="Arial" w:eastAsia="Arial" w:hAnsi="Arial" w:cs="Arial"/>
          <w:color w:val="000000"/>
        </w:rPr>
        <w:t xml:space="preserve">-Hall, C.A., Beck, T.E. and </w:t>
      </w:r>
      <w:proofErr w:type="spellStart"/>
      <w:r>
        <w:rPr>
          <w:rFonts w:ascii="Arial" w:eastAsia="Arial" w:hAnsi="Arial" w:cs="Arial"/>
          <w:color w:val="000000"/>
        </w:rPr>
        <w:t>Lengnick</w:t>
      </w:r>
      <w:proofErr w:type="spellEnd"/>
      <w:r>
        <w:rPr>
          <w:rFonts w:ascii="Arial" w:eastAsia="Arial" w:hAnsi="Arial" w:cs="Arial"/>
          <w:color w:val="000000"/>
        </w:rPr>
        <w:t xml:space="preserve">-Hall, M.L. (2011) ‘Developing a capacity for organizational resilience through strategic human resource management’, </w:t>
      </w:r>
      <w:r>
        <w:rPr>
          <w:rFonts w:ascii="Arial" w:eastAsia="Arial" w:hAnsi="Arial" w:cs="Arial"/>
          <w:i/>
          <w:color w:val="000000"/>
        </w:rPr>
        <w:t>Human Resource Management Review</w:t>
      </w:r>
      <w:r>
        <w:rPr>
          <w:rFonts w:ascii="Arial" w:eastAsia="Arial" w:hAnsi="Arial" w:cs="Arial"/>
          <w:color w:val="000000"/>
        </w:rPr>
        <w:t>, 21(3), pp. 243–255.</w:t>
      </w:r>
    </w:p>
    <w:p w14:paraId="1853C3A4" w14:textId="77777777" w:rsidR="00EA293E" w:rsidRDefault="00000000">
      <w:pPr>
        <w:spacing w:line="360" w:lineRule="auto"/>
        <w:jc w:val="both"/>
        <w:rPr>
          <w:rFonts w:ascii="Arial" w:eastAsia="Arial" w:hAnsi="Arial" w:cs="Arial"/>
        </w:rPr>
      </w:pPr>
      <w:r>
        <w:rPr>
          <w:rFonts w:ascii="Arial" w:eastAsia="Arial" w:hAnsi="Arial" w:cs="Arial"/>
        </w:rPr>
        <w:lastRenderedPageBreak/>
        <w:t xml:space="preserve">Luo, M., Guo, L., Yu, M. and Wang, H. (2020) ‘The psychological and mental impact of coronavirus disease on medical staff’, </w:t>
      </w:r>
      <w:r>
        <w:rPr>
          <w:rFonts w:ascii="Arial" w:eastAsia="Arial" w:hAnsi="Arial" w:cs="Arial"/>
          <w:i/>
        </w:rPr>
        <w:t>Psychiatry Research,</w:t>
      </w:r>
      <w:r>
        <w:rPr>
          <w:rFonts w:ascii="Arial" w:eastAsia="Arial" w:hAnsi="Arial" w:cs="Arial"/>
        </w:rPr>
        <w:t xml:space="preserve"> 291, 113190.</w:t>
      </w:r>
    </w:p>
    <w:p w14:paraId="60852BFD"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Maslach, C. and Leiter, M.P. (2016) </w:t>
      </w:r>
      <w:r>
        <w:rPr>
          <w:rFonts w:ascii="Arial" w:eastAsia="Arial" w:hAnsi="Arial" w:cs="Arial"/>
          <w:i/>
          <w:color w:val="000000"/>
        </w:rPr>
        <w:t>Burnout</w:t>
      </w:r>
      <w:r>
        <w:rPr>
          <w:rFonts w:ascii="Arial" w:eastAsia="Arial" w:hAnsi="Arial" w:cs="Arial"/>
          <w:color w:val="000000"/>
        </w:rPr>
        <w:t xml:space="preserve">. 2nd </w:t>
      </w:r>
      <w:proofErr w:type="spellStart"/>
      <w:r>
        <w:rPr>
          <w:rFonts w:ascii="Arial" w:eastAsia="Arial" w:hAnsi="Arial" w:cs="Arial"/>
          <w:color w:val="000000"/>
        </w:rPr>
        <w:t>edn</w:t>
      </w:r>
      <w:proofErr w:type="spellEnd"/>
      <w:r>
        <w:rPr>
          <w:rFonts w:ascii="Arial" w:eastAsia="Arial" w:hAnsi="Arial" w:cs="Arial"/>
          <w:color w:val="000000"/>
        </w:rPr>
        <w:t>. Hoboken, NJ: Wiley.</w:t>
      </w:r>
    </w:p>
    <w:p w14:paraId="6FF578B3"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Maunder, R.G., Heeney, N.D., Hunter, J.J. et al. (2024) ‘A longitudinal study of hospital workers’ mental health from 2020 to 2023’, </w:t>
      </w:r>
      <w:r>
        <w:rPr>
          <w:rFonts w:ascii="Arial" w:eastAsia="Arial" w:hAnsi="Arial" w:cs="Arial"/>
          <w:i/>
          <w:color w:val="000000"/>
        </w:rPr>
        <w:t>Scientific Reports</w:t>
      </w:r>
      <w:r>
        <w:rPr>
          <w:rFonts w:ascii="Arial" w:eastAsia="Arial" w:hAnsi="Arial" w:cs="Arial"/>
          <w:color w:val="000000"/>
        </w:rPr>
        <w:t>, 14, Article 77493.</w:t>
      </w:r>
    </w:p>
    <w:p w14:paraId="37246B88"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Mazzetti, G., Schaufeli, W.B., Guglielmi, D. and </w:t>
      </w:r>
      <w:proofErr w:type="spellStart"/>
      <w:r>
        <w:rPr>
          <w:rFonts w:ascii="Arial" w:eastAsia="Arial" w:hAnsi="Arial" w:cs="Arial"/>
          <w:color w:val="000000"/>
        </w:rPr>
        <w:t>Simbula</w:t>
      </w:r>
      <w:proofErr w:type="spellEnd"/>
      <w:r>
        <w:rPr>
          <w:rFonts w:ascii="Arial" w:eastAsia="Arial" w:hAnsi="Arial" w:cs="Arial"/>
          <w:color w:val="000000"/>
        </w:rPr>
        <w:t xml:space="preserve">, S. (2025) ‘Resilience and the dynamics of job demands: A diary study of healthcare professionals during COVID-19’, </w:t>
      </w:r>
      <w:r>
        <w:rPr>
          <w:rFonts w:ascii="Arial" w:eastAsia="Arial" w:hAnsi="Arial" w:cs="Arial"/>
          <w:i/>
          <w:color w:val="000000"/>
        </w:rPr>
        <w:t>Journal of Advanced Nursing</w:t>
      </w:r>
      <w:r>
        <w:rPr>
          <w:rFonts w:ascii="Arial" w:eastAsia="Arial" w:hAnsi="Arial" w:cs="Arial"/>
          <w:color w:val="000000"/>
        </w:rPr>
        <w:t>, 81(3), pp. 720–734.</w:t>
      </w:r>
    </w:p>
    <w:p w14:paraId="0B3E07AB"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Mokaya, P.O., Mutiso, V., Musyimi, C. et al. (2025) ‘Assessing the impact of the coronavirus pandemic on nurses’ mental health in low-resource settings’, </w:t>
      </w:r>
      <w:r>
        <w:rPr>
          <w:rFonts w:ascii="Arial" w:eastAsia="Arial" w:hAnsi="Arial" w:cs="Arial"/>
          <w:i/>
          <w:color w:val="000000"/>
        </w:rPr>
        <w:t>BMC Nursing</w:t>
      </w:r>
      <w:r>
        <w:rPr>
          <w:rFonts w:ascii="Arial" w:eastAsia="Arial" w:hAnsi="Arial" w:cs="Arial"/>
          <w:color w:val="000000"/>
        </w:rPr>
        <w:t>, 24(1), Article 89.</w:t>
      </w:r>
    </w:p>
    <w:p w14:paraId="65B8D4A1"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NHS England (2021) </w:t>
      </w:r>
      <w:r>
        <w:rPr>
          <w:rFonts w:ascii="Arial" w:eastAsia="Arial" w:hAnsi="Arial" w:cs="Arial"/>
          <w:i/>
          <w:color w:val="000000"/>
        </w:rPr>
        <w:t>Staff mental health and wellbeing hubs</w:t>
      </w:r>
      <w:r>
        <w:rPr>
          <w:rFonts w:ascii="Arial" w:eastAsia="Arial" w:hAnsi="Arial" w:cs="Arial"/>
          <w:color w:val="000000"/>
        </w:rPr>
        <w:t xml:space="preserve">. London: NHS England. Available at: </w:t>
      </w:r>
      <w:hyperlink r:id="rId9">
        <w:r>
          <w:rPr>
            <w:rFonts w:ascii="Arial" w:eastAsia="Arial" w:hAnsi="Arial" w:cs="Arial"/>
            <w:color w:val="000000"/>
          </w:rPr>
          <w:t>https://www.england.nhs.uk</w:t>
        </w:r>
      </w:hyperlink>
      <w:r>
        <w:rPr>
          <w:rFonts w:ascii="Arial" w:eastAsia="Arial" w:hAnsi="Arial" w:cs="Arial"/>
          <w:color w:val="000000"/>
        </w:rPr>
        <w:t xml:space="preserve"> (Accessed: 6 March 2026).</w:t>
      </w:r>
    </w:p>
    <w:p w14:paraId="7EC21673"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NHS England (2022) </w:t>
      </w:r>
      <w:r>
        <w:rPr>
          <w:rFonts w:ascii="Arial" w:eastAsia="Arial" w:hAnsi="Arial" w:cs="Arial"/>
          <w:i/>
          <w:color w:val="000000"/>
        </w:rPr>
        <w:t>We are the NHS: The NHS People Plan 2022/23</w:t>
      </w:r>
      <w:r>
        <w:rPr>
          <w:rFonts w:ascii="Arial" w:eastAsia="Arial" w:hAnsi="Arial" w:cs="Arial"/>
          <w:color w:val="000000"/>
        </w:rPr>
        <w:t xml:space="preserve">. London: NHS England. Available at: </w:t>
      </w:r>
      <w:hyperlink r:id="rId10">
        <w:r>
          <w:rPr>
            <w:rFonts w:ascii="Arial" w:eastAsia="Arial" w:hAnsi="Arial" w:cs="Arial"/>
            <w:color w:val="000000"/>
          </w:rPr>
          <w:t>https://www.england.nhs.uk</w:t>
        </w:r>
      </w:hyperlink>
      <w:r>
        <w:rPr>
          <w:rFonts w:ascii="Arial" w:eastAsia="Arial" w:hAnsi="Arial" w:cs="Arial"/>
          <w:color w:val="000000"/>
        </w:rPr>
        <w:t xml:space="preserve"> (Accessed: 6 March 2026).</w:t>
      </w:r>
    </w:p>
    <w:p w14:paraId="76E4448B"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NICE (2021) </w:t>
      </w:r>
      <w:r>
        <w:rPr>
          <w:rFonts w:ascii="Arial" w:eastAsia="Arial" w:hAnsi="Arial" w:cs="Arial"/>
          <w:i/>
          <w:color w:val="000000"/>
        </w:rPr>
        <w:t>Mental wellbeing at work</w:t>
      </w:r>
      <w:r>
        <w:rPr>
          <w:rFonts w:ascii="Arial" w:eastAsia="Arial" w:hAnsi="Arial" w:cs="Arial"/>
          <w:color w:val="000000"/>
        </w:rPr>
        <w:t xml:space="preserve">. London: National Institute for Health and Care Excellence. Available at: </w:t>
      </w:r>
      <w:hyperlink r:id="rId11">
        <w:r>
          <w:rPr>
            <w:rFonts w:ascii="Arial" w:eastAsia="Arial" w:hAnsi="Arial" w:cs="Arial"/>
            <w:color w:val="000000"/>
          </w:rPr>
          <w:t>https://www.nice.org.uk</w:t>
        </w:r>
      </w:hyperlink>
      <w:r>
        <w:rPr>
          <w:rFonts w:ascii="Arial" w:eastAsia="Arial" w:hAnsi="Arial" w:cs="Arial"/>
          <w:color w:val="000000"/>
        </w:rPr>
        <w:t xml:space="preserve"> (Accessed: 13 March 2026).</w:t>
      </w:r>
    </w:p>
    <w:p w14:paraId="2E26719F"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Oprea, N., Iliescu, D., Fischmann, G. and Steenbergen, E.F. (2025) ‘Meso-organisational determinants of healthcare workers’ resilience: A scoping review’, </w:t>
      </w:r>
      <w:r>
        <w:rPr>
          <w:rFonts w:ascii="Arial" w:eastAsia="Arial" w:hAnsi="Arial" w:cs="Arial"/>
          <w:i/>
          <w:color w:val="000000"/>
        </w:rPr>
        <w:t>Journal of Occupational Health Psychology</w:t>
      </w:r>
      <w:r>
        <w:rPr>
          <w:rFonts w:ascii="Arial" w:eastAsia="Arial" w:hAnsi="Arial" w:cs="Arial"/>
          <w:color w:val="000000"/>
        </w:rPr>
        <w:t>, 30(1), pp. 15–33.</w:t>
      </w:r>
    </w:p>
    <w:p w14:paraId="13E1B49C" w14:textId="77777777" w:rsidR="00EA293E" w:rsidRDefault="00000000">
      <w:pPr>
        <w:spacing w:line="360" w:lineRule="auto"/>
        <w:jc w:val="both"/>
        <w:rPr>
          <w:rFonts w:ascii="Arial" w:eastAsia="Arial" w:hAnsi="Arial" w:cs="Arial"/>
        </w:rPr>
      </w:pPr>
      <w:r>
        <w:rPr>
          <w:rFonts w:ascii="Arial" w:eastAsia="Arial" w:hAnsi="Arial" w:cs="Arial"/>
        </w:rPr>
        <w:t xml:space="preserve">Pappa, S., </w:t>
      </w:r>
      <w:proofErr w:type="spellStart"/>
      <w:r>
        <w:rPr>
          <w:rFonts w:ascii="Arial" w:eastAsia="Arial" w:hAnsi="Arial" w:cs="Arial"/>
        </w:rPr>
        <w:t>Ntella</w:t>
      </w:r>
      <w:proofErr w:type="spellEnd"/>
      <w:r>
        <w:rPr>
          <w:rFonts w:ascii="Arial" w:eastAsia="Arial" w:hAnsi="Arial" w:cs="Arial"/>
        </w:rPr>
        <w:t>, V., Giannakas, T. et al. (2020) ‘Prevalence of depression, anxiety, and insomnia among healthcare workers during COVID</w:t>
      </w:r>
      <w:r>
        <w:rPr>
          <w:rFonts w:ascii="Cambria Math" w:eastAsia="Cambria Math" w:hAnsi="Cambria Math" w:cs="Cambria Math"/>
        </w:rPr>
        <w:t>‑</w:t>
      </w:r>
      <w:r>
        <w:rPr>
          <w:rFonts w:ascii="Arial" w:eastAsia="Arial" w:hAnsi="Arial" w:cs="Arial"/>
        </w:rPr>
        <w:t xml:space="preserve">19’, </w:t>
      </w:r>
      <w:r>
        <w:rPr>
          <w:rFonts w:ascii="Arial" w:eastAsia="Arial" w:hAnsi="Arial" w:cs="Arial"/>
          <w:i/>
        </w:rPr>
        <w:t xml:space="preserve">Brain, </w:t>
      </w:r>
      <w:proofErr w:type="spellStart"/>
      <w:r>
        <w:rPr>
          <w:rFonts w:ascii="Arial" w:eastAsia="Arial" w:hAnsi="Arial" w:cs="Arial"/>
          <w:i/>
        </w:rPr>
        <w:t>Behavior</w:t>
      </w:r>
      <w:proofErr w:type="spellEnd"/>
      <w:r>
        <w:rPr>
          <w:rFonts w:ascii="Arial" w:eastAsia="Arial" w:hAnsi="Arial" w:cs="Arial"/>
          <w:i/>
        </w:rPr>
        <w:t>, and Immunity, 88</w:t>
      </w:r>
      <w:r>
        <w:rPr>
          <w:rFonts w:ascii="Arial" w:eastAsia="Arial" w:hAnsi="Arial" w:cs="Arial"/>
        </w:rPr>
        <w:t>, pp.901–907.</w:t>
      </w:r>
    </w:p>
    <w:p w14:paraId="54DA81F6"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Public Health England (2020) </w:t>
      </w:r>
      <w:r>
        <w:rPr>
          <w:rFonts w:ascii="Arial" w:eastAsia="Arial" w:hAnsi="Arial" w:cs="Arial"/>
          <w:i/>
          <w:color w:val="000000"/>
        </w:rPr>
        <w:t>COVID-19: Guidance for maintaining services within health and care settings</w:t>
      </w:r>
      <w:r>
        <w:rPr>
          <w:rFonts w:ascii="Arial" w:eastAsia="Arial" w:hAnsi="Arial" w:cs="Arial"/>
          <w:color w:val="000000"/>
        </w:rPr>
        <w:t xml:space="preserve">. London: PHE. Available at: </w:t>
      </w:r>
      <w:hyperlink r:id="rId12">
        <w:r>
          <w:rPr>
            <w:rFonts w:ascii="Arial" w:eastAsia="Arial" w:hAnsi="Arial" w:cs="Arial"/>
            <w:color w:val="000000"/>
          </w:rPr>
          <w:t>https://www.gov.uk</w:t>
        </w:r>
      </w:hyperlink>
      <w:r>
        <w:rPr>
          <w:rFonts w:ascii="Arial" w:eastAsia="Arial" w:hAnsi="Arial" w:cs="Arial"/>
          <w:color w:val="000000"/>
        </w:rPr>
        <w:t xml:space="preserve"> (Accessed: 5 March 2026).</w:t>
      </w:r>
    </w:p>
    <w:p w14:paraId="5DB8AA89"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Robertson, E., </w:t>
      </w:r>
      <w:proofErr w:type="spellStart"/>
      <w:r>
        <w:rPr>
          <w:rFonts w:ascii="Arial" w:eastAsia="Arial" w:hAnsi="Arial" w:cs="Arial"/>
          <w:color w:val="000000"/>
        </w:rPr>
        <w:t>Hershenfield</w:t>
      </w:r>
      <w:proofErr w:type="spellEnd"/>
      <w:r>
        <w:rPr>
          <w:rFonts w:ascii="Arial" w:eastAsia="Arial" w:hAnsi="Arial" w:cs="Arial"/>
          <w:color w:val="000000"/>
        </w:rPr>
        <w:t xml:space="preserve">, K., Grace, S. and Stewart, D. (2020) ‘The mental health impact of the COVID-19 pandemic on healthcare workers’, </w:t>
      </w:r>
      <w:r>
        <w:rPr>
          <w:rFonts w:ascii="Arial" w:eastAsia="Arial" w:hAnsi="Arial" w:cs="Arial"/>
          <w:i/>
          <w:color w:val="000000"/>
        </w:rPr>
        <w:t>Canadian Medical Association Journal</w:t>
      </w:r>
      <w:r>
        <w:rPr>
          <w:rFonts w:ascii="Arial" w:eastAsia="Arial" w:hAnsi="Arial" w:cs="Arial"/>
          <w:color w:val="000000"/>
        </w:rPr>
        <w:t>, 192(15), pp. E416–E417.</w:t>
      </w:r>
    </w:p>
    <w:p w14:paraId="10732064"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lastRenderedPageBreak/>
        <w:t xml:space="preserve">Rossi, M.F., Cisternino, L., Polidori, G. et al. (2023) ‘Coping with burnout and the impact of the COVID-19 pandemic: A scoping review’, </w:t>
      </w:r>
      <w:r>
        <w:rPr>
          <w:rFonts w:ascii="Arial" w:eastAsia="Arial" w:hAnsi="Arial" w:cs="Arial"/>
          <w:i/>
          <w:color w:val="000000"/>
        </w:rPr>
        <w:t>Frontiers in Psychiatry</w:t>
      </w:r>
      <w:r>
        <w:rPr>
          <w:rFonts w:ascii="Arial" w:eastAsia="Arial" w:hAnsi="Arial" w:cs="Arial"/>
          <w:color w:val="000000"/>
        </w:rPr>
        <w:t>, 14, Article 1139260.</w:t>
      </w:r>
    </w:p>
    <w:p w14:paraId="2BAE4EE8" w14:textId="77777777" w:rsidR="00EA293E" w:rsidRDefault="00000000">
      <w:pPr>
        <w:spacing w:line="360" w:lineRule="auto"/>
        <w:jc w:val="both"/>
        <w:rPr>
          <w:rFonts w:ascii="Arial" w:eastAsia="Arial" w:hAnsi="Arial" w:cs="Arial"/>
        </w:rPr>
      </w:pPr>
      <w:r>
        <w:rPr>
          <w:rFonts w:ascii="Arial" w:eastAsia="Arial" w:hAnsi="Arial" w:cs="Arial"/>
        </w:rPr>
        <w:t xml:space="preserve">Serrano-Ripoll, M.J., Meneses-Echavez, J.F., Ricci-Cabello, I. et al. (2020) ‘Impact of viral epidemic outbreaks on mental health of healthcare workers’, </w:t>
      </w:r>
      <w:r>
        <w:rPr>
          <w:rFonts w:ascii="Arial" w:eastAsia="Arial" w:hAnsi="Arial" w:cs="Arial"/>
          <w:i/>
        </w:rPr>
        <w:t>Journal of Affective Disorders</w:t>
      </w:r>
      <w:r>
        <w:rPr>
          <w:rFonts w:ascii="Arial" w:eastAsia="Arial" w:hAnsi="Arial" w:cs="Arial"/>
        </w:rPr>
        <w:t>, 277, pp.347–357.</w:t>
      </w:r>
    </w:p>
    <w:p w14:paraId="5915E50F"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Shanafelt, T., Ripp, J. and </w:t>
      </w:r>
      <w:proofErr w:type="spellStart"/>
      <w:r>
        <w:rPr>
          <w:rFonts w:ascii="Arial" w:eastAsia="Arial" w:hAnsi="Arial" w:cs="Arial"/>
          <w:color w:val="000000"/>
        </w:rPr>
        <w:t>Trockel</w:t>
      </w:r>
      <w:proofErr w:type="spellEnd"/>
      <w:r>
        <w:rPr>
          <w:rFonts w:ascii="Arial" w:eastAsia="Arial" w:hAnsi="Arial" w:cs="Arial"/>
          <w:color w:val="000000"/>
        </w:rPr>
        <w:t xml:space="preserve">, M. (2020) ‘Sources of anxiety among health care professionals during the COVID-19 pandemic’, </w:t>
      </w:r>
      <w:r>
        <w:rPr>
          <w:rFonts w:ascii="Arial" w:eastAsia="Arial" w:hAnsi="Arial" w:cs="Arial"/>
          <w:i/>
          <w:color w:val="000000"/>
        </w:rPr>
        <w:t>JAMA</w:t>
      </w:r>
      <w:r>
        <w:rPr>
          <w:rFonts w:ascii="Arial" w:eastAsia="Arial" w:hAnsi="Arial" w:cs="Arial"/>
          <w:color w:val="000000"/>
        </w:rPr>
        <w:t>, 323(21), pp. 2133–2134.</w:t>
      </w:r>
    </w:p>
    <w:p w14:paraId="380154EE"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Spoorthy, M.S., Pratapa, S.K. and Mahant, S. (2020) ‘Mental health problems faced by healthcare workers due to the COVID-19 pandemic: A review’, </w:t>
      </w:r>
      <w:r>
        <w:rPr>
          <w:rFonts w:ascii="Arial" w:eastAsia="Arial" w:hAnsi="Arial" w:cs="Arial"/>
          <w:i/>
          <w:color w:val="000000"/>
        </w:rPr>
        <w:t>Asian Journal of Psychiatry</w:t>
      </w:r>
      <w:r>
        <w:rPr>
          <w:rFonts w:ascii="Arial" w:eastAsia="Arial" w:hAnsi="Arial" w:cs="Arial"/>
          <w:color w:val="000000"/>
        </w:rPr>
        <w:t>, 51, Article 102119.</w:t>
      </w:r>
    </w:p>
    <w:p w14:paraId="2623F831" w14:textId="77777777" w:rsidR="00EA293E" w:rsidRDefault="00000000">
      <w:pPr>
        <w:spacing w:line="360" w:lineRule="auto"/>
        <w:jc w:val="both"/>
        <w:rPr>
          <w:rFonts w:ascii="Arial" w:eastAsia="Arial" w:hAnsi="Arial" w:cs="Arial"/>
        </w:rPr>
      </w:pPr>
      <w:proofErr w:type="spellStart"/>
      <w:r>
        <w:rPr>
          <w:rFonts w:ascii="Arial" w:eastAsia="Arial" w:hAnsi="Arial" w:cs="Arial"/>
        </w:rPr>
        <w:t>Trumello</w:t>
      </w:r>
      <w:proofErr w:type="spellEnd"/>
      <w:r>
        <w:rPr>
          <w:rFonts w:ascii="Arial" w:eastAsia="Arial" w:hAnsi="Arial" w:cs="Arial"/>
        </w:rPr>
        <w:t xml:space="preserve">, C., </w:t>
      </w:r>
      <w:proofErr w:type="spellStart"/>
      <w:r>
        <w:rPr>
          <w:rFonts w:ascii="Arial" w:eastAsia="Arial" w:hAnsi="Arial" w:cs="Arial"/>
        </w:rPr>
        <w:t>Bramanti</w:t>
      </w:r>
      <w:proofErr w:type="spellEnd"/>
      <w:r>
        <w:rPr>
          <w:rFonts w:ascii="Arial" w:eastAsia="Arial" w:hAnsi="Arial" w:cs="Arial"/>
        </w:rPr>
        <w:t xml:space="preserve">, S.M., </w:t>
      </w:r>
      <w:proofErr w:type="spellStart"/>
      <w:r>
        <w:rPr>
          <w:rFonts w:ascii="Arial" w:eastAsia="Arial" w:hAnsi="Arial" w:cs="Arial"/>
        </w:rPr>
        <w:t>Ballarotto</w:t>
      </w:r>
      <w:proofErr w:type="spellEnd"/>
      <w:r>
        <w:rPr>
          <w:rFonts w:ascii="Arial" w:eastAsia="Arial" w:hAnsi="Arial" w:cs="Arial"/>
        </w:rPr>
        <w:t>, G. et al. (2020) ‘Psychological adjustment of healthcare workers during COVID</w:t>
      </w:r>
      <w:r>
        <w:rPr>
          <w:rFonts w:ascii="Cambria Math" w:eastAsia="Cambria Math" w:hAnsi="Cambria Math" w:cs="Cambria Math"/>
        </w:rPr>
        <w:t>‑</w:t>
      </w:r>
      <w:r>
        <w:rPr>
          <w:rFonts w:ascii="Arial" w:eastAsia="Arial" w:hAnsi="Arial" w:cs="Arial"/>
        </w:rPr>
        <w:t xml:space="preserve">19’, </w:t>
      </w:r>
      <w:r>
        <w:rPr>
          <w:rFonts w:ascii="Arial" w:eastAsia="Arial" w:hAnsi="Arial" w:cs="Arial"/>
          <w:i/>
        </w:rPr>
        <w:t>Frontiers in Psychology</w:t>
      </w:r>
      <w:r>
        <w:rPr>
          <w:rFonts w:ascii="Arial" w:eastAsia="Arial" w:hAnsi="Arial" w:cs="Arial"/>
        </w:rPr>
        <w:t>, 11, 567.</w:t>
      </w:r>
    </w:p>
    <w:p w14:paraId="4CF53F73"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West, M., Bailey, S. and Williams, E. (2018) </w:t>
      </w:r>
      <w:r>
        <w:rPr>
          <w:rFonts w:ascii="Arial" w:eastAsia="Arial" w:hAnsi="Arial" w:cs="Arial"/>
          <w:i/>
          <w:color w:val="000000"/>
        </w:rPr>
        <w:t>The Courage of Compassion: Supporting Nurses and Midwives to Deliver High-Quality Care</w:t>
      </w:r>
      <w:r>
        <w:rPr>
          <w:rFonts w:ascii="Arial" w:eastAsia="Arial" w:hAnsi="Arial" w:cs="Arial"/>
          <w:color w:val="000000"/>
        </w:rPr>
        <w:t>. London: The King’s Fund.</w:t>
      </w:r>
    </w:p>
    <w:p w14:paraId="778FFBD6"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West, M., Coia, D., Atkinson, C., Bailey, S. and Dawson, J. (2020) </w:t>
      </w:r>
      <w:r>
        <w:rPr>
          <w:rFonts w:ascii="Arial" w:eastAsia="Arial" w:hAnsi="Arial" w:cs="Arial"/>
          <w:i/>
          <w:color w:val="000000"/>
        </w:rPr>
        <w:t>Caring for Doctors, Caring for Patients</w:t>
      </w:r>
      <w:r>
        <w:rPr>
          <w:rFonts w:ascii="Arial" w:eastAsia="Arial" w:hAnsi="Arial" w:cs="Arial"/>
          <w:color w:val="000000"/>
        </w:rPr>
        <w:t>. London: General Medical Council.</w:t>
      </w:r>
    </w:p>
    <w:p w14:paraId="69BD3182" w14:textId="77777777" w:rsidR="00EA293E" w:rsidRDefault="00000000">
      <w:pPr>
        <w:spacing w:line="360" w:lineRule="auto"/>
        <w:jc w:val="both"/>
        <w:rPr>
          <w:rFonts w:ascii="Arial" w:eastAsia="Arial" w:hAnsi="Arial" w:cs="Arial"/>
        </w:rPr>
      </w:pPr>
      <w:proofErr w:type="spellStart"/>
      <w:r>
        <w:rPr>
          <w:rFonts w:ascii="Arial" w:eastAsia="Arial" w:hAnsi="Arial" w:cs="Arial"/>
        </w:rPr>
        <w:t>Vizheh</w:t>
      </w:r>
      <w:proofErr w:type="spellEnd"/>
      <w:r>
        <w:rPr>
          <w:rFonts w:ascii="Arial" w:eastAsia="Arial" w:hAnsi="Arial" w:cs="Arial"/>
        </w:rPr>
        <w:t xml:space="preserve">, M., </w:t>
      </w:r>
      <w:proofErr w:type="spellStart"/>
      <w:r>
        <w:rPr>
          <w:rFonts w:ascii="Arial" w:eastAsia="Arial" w:hAnsi="Arial" w:cs="Arial"/>
        </w:rPr>
        <w:t>Qorbani</w:t>
      </w:r>
      <w:proofErr w:type="spellEnd"/>
      <w:r>
        <w:rPr>
          <w:rFonts w:ascii="Arial" w:eastAsia="Arial" w:hAnsi="Arial" w:cs="Arial"/>
        </w:rPr>
        <w:t xml:space="preserve">, M., </w:t>
      </w:r>
      <w:proofErr w:type="spellStart"/>
      <w:r>
        <w:rPr>
          <w:rFonts w:ascii="Arial" w:eastAsia="Arial" w:hAnsi="Arial" w:cs="Arial"/>
        </w:rPr>
        <w:t>Arzaghi</w:t>
      </w:r>
      <w:proofErr w:type="spellEnd"/>
      <w:r>
        <w:rPr>
          <w:rFonts w:ascii="Arial" w:eastAsia="Arial" w:hAnsi="Arial" w:cs="Arial"/>
        </w:rPr>
        <w:t>, S.M. et al. (2020) ‘The mental health of healthcare workers in the COVID</w:t>
      </w:r>
      <w:r>
        <w:rPr>
          <w:rFonts w:ascii="Cambria Math" w:eastAsia="Cambria Math" w:hAnsi="Cambria Math" w:cs="Cambria Math"/>
        </w:rPr>
        <w:t>‑</w:t>
      </w:r>
      <w:r>
        <w:rPr>
          <w:rFonts w:ascii="Arial" w:eastAsia="Arial" w:hAnsi="Arial" w:cs="Arial"/>
        </w:rPr>
        <w:t xml:space="preserve">19 pandemic’, </w:t>
      </w:r>
      <w:r>
        <w:rPr>
          <w:rFonts w:ascii="Arial" w:eastAsia="Arial" w:hAnsi="Arial" w:cs="Arial"/>
          <w:i/>
        </w:rPr>
        <w:t>Global Health</w:t>
      </w:r>
      <w:r>
        <w:rPr>
          <w:rFonts w:ascii="Arial" w:eastAsia="Arial" w:hAnsi="Arial" w:cs="Arial"/>
        </w:rPr>
        <w:t>, 16(1), pp.1–6.</w:t>
      </w:r>
    </w:p>
    <w:p w14:paraId="1A21304E"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Williamson, V., Murphy, D. and Greenberg, N. (2020) ‘COVID-19 and experiences of moral injury in frontline key workers’, </w:t>
      </w:r>
      <w:r>
        <w:rPr>
          <w:rFonts w:ascii="Arial" w:eastAsia="Arial" w:hAnsi="Arial" w:cs="Arial"/>
          <w:i/>
          <w:color w:val="000000"/>
        </w:rPr>
        <w:t>Occupational Medicine</w:t>
      </w:r>
      <w:r>
        <w:rPr>
          <w:rFonts w:ascii="Arial" w:eastAsia="Arial" w:hAnsi="Arial" w:cs="Arial"/>
          <w:color w:val="000000"/>
        </w:rPr>
        <w:t>, 70(5), pp. 317–319.</w:t>
      </w:r>
    </w:p>
    <w:p w14:paraId="0646DF48" w14:textId="77777777" w:rsidR="00EA293E" w:rsidRDefault="00000000">
      <w:pPr>
        <w:pBdr>
          <w:top w:val="nil"/>
          <w:left w:val="nil"/>
          <w:bottom w:val="nil"/>
          <w:right w:val="nil"/>
          <w:between w:val="nil"/>
        </w:pBdr>
        <w:spacing w:before="280" w:after="280" w:line="360" w:lineRule="auto"/>
        <w:jc w:val="both"/>
        <w:rPr>
          <w:rFonts w:ascii="Arial" w:eastAsia="Arial" w:hAnsi="Arial" w:cs="Arial"/>
          <w:color w:val="000000"/>
        </w:rPr>
      </w:pPr>
      <w:r>
        <w:rPr>
          <w:rFonts w:ascii="Arial" w:eastAsia="Arial" w:hAnsi="Arial" w:cs="Arial"/>
          <w:color w:val="000000"/>
        </w:rPr>
        <w:t xml:space="preserve">World Health Organization (2022) </w:t>
      </w:r>
      <w:r>
        <w:rPr>
          <w:rFonts w:ascii="Arial" w:eastAsia="Arial" w:hAnsi="Arial" w:cs="Arial"/>
          <w:i/>
          <w:color w:val="000000"/>
        </w:rPr>
        <w:t>Mental health and psychosocial considerations during the COVID-19 outbreak</w:t>
      </w:r>
      <w:r>
        <w:rPr>
          <w:rFonts w:ascii="Arial" w:eastAsia="Arial" w:hAnsi="Arial" w:cs="Arial"/>
          <w:color w:val="000000"/>
        </w:rPr>
        <w:t xml:space="preserve">. Geneva: WHO. Available at: </w:t>
      </w:r>
      <w:hyperlink r:id="rId13">
        <w:r>
          <w:rPr>
            <w:rFonts w:ascii="Arial" w:eastAsia="Arial" w:hAnsi="Arial" w:cs="Arial"/>
            <w:color w:val="000000"/>
          </w:rPr>
          <w:t>https://www.who.int</w:t>
        </w:r>
      </w:hyperlink>
      <w:r>
        <w:rPr>
          <w:rFonts w:ascii="Arial" w:eastAsia="Arial" w:hAnsi="Arial" w:cs="Arial"/>
          <w:color w:val="000000"/>
        </w:rPr>
        <w:t xml:space="preserve"> (Accessed: 3 March 2026).</w:t>
      </w:r>
    </w:p>
    <w:p w14:paraId="67F07072" w14:textId="77777777" w:rsidR="00EA293E" w:rsidRDefault="00EA293E">
      <w:pPr>
        <w:spacing w:before="280" w:after="280" w:line="360" w:lineRule="auto"/>
        <w:jc w:val="both"/>
        <w:rPr>
          <w:rFonts w:ascii="Arial" w:eastAsia="Arial" w:hAnsi="Arial" w:cs="Arial"/>
          <w:b/>
        </w:rPr>
      </w:pPr>
    </w:p>
    <w:p w14:paraId="0E16B476" w14:textId="77777777" w:rsidR="00EA293E" w:rsidRDefault="00EA293E">
      <w:pPr>
        <w:spacing w:before="280" w:after="280" w:line="360" w:lineRule="auto"/>
        <w:jc w:val="both"/>
        <w:rPr>
          <w:rFonts w:ascii="Arial" w:eastAsia="Arial" w:hAnsi="Arial" w:cs="Arial"/>
          <w:b/>
          <w:sz w:val="36"/>
          <w:szCs w:val="36"/>
        </w:rPr>
      </w:pPr>
    </w:p>
    <w:p w14:paraId="1815CDB0" w14:textId="77777777" w:rsidR="00EA293E" w:rsidRDefault="00EA293E">
      <w:pPr>
        <w:spacing w:before="280" w:after="280" w:line="360" w:lineRule="auto"/>
        <w:jc w:val="both"/>
        <w:rPr>
          <w:rFonts w:ascii="Arial" w:eastAsia="Arial" w:hAnsi="Arial" w:cs="Arial"/>
          <w:b/>
          <w:sz w:val="36"/>
          <w:szCs w:val="36"/>
        </w:rPr>
      </w:pPr>
    </w:p>
    <w:p w14:paraId="1780A2F8" w14:textId="77777777" w:rsidR="00EA293E" w:rsidRDefault="00000000">
      <w:pPr>
        <w:spacing w:after="280" w:line="240" w:lineRule="auto"/>
        <w:jc w:val="both"/>
        <w:rPr>
          <w:rFonts w:ascii="Arial" w:eastAsia="Arial" w:hAnsi="Arial" w:cs="Arial"/>
          <w:b/>
          <w:sz w:val="36"/>
          <w:szCs w:val="36"/>
        </w:rPr>
      </w:pPr>
      <w:r>
        <w:rPr>
          <w:rFonts w:ascii="Arial" w:eastAsia="Arial" w:hAnsi="Arial" w:cs="Arial"/>
          <w:b/>
          <w:sz w:val="36"/>
          <w:szCs w:val="36"/>
        </w:rPr>
        <w:lastRenderedPageBreak/>
        <w:t xml:space="preserve">APPENDIX: </w:t>
      </w:r>
    </w:p>
    <w:p w14:paraId="3CF8C941" w14:textId="77777777" w:rsidR="00EA293E" w:rsidRDefault="00000000">
      <w:pPr>
        <w:pStyle w:val="Heading1"/>
        <w:spacing w:before="0" w:line="240" w:lineRule="auto"/>
        <w:rPr>
          <w:rFonts w:ascii="Arial" w:eastAsia="Arial" w:hAnsi="Arial" w:cs="Arial"/>
          <w:b/>
          <w:color w:val="000000"/>
          <w:sz w:val="22"/>
          <w:szCs w:val="22"/>
        </w:rPr>
      </w:pPr>
      <w:proofErr w:type="spellStart"/>
      <w:r>
        <w:rPr>
          <w:rFonts w:ascii="Arial" w:eastAsia="Arial" w:hAnsi="Arial" w:cs="Arial"/>
          <w:b/>
          <w:color w:val="000000"/>
          <w:sz w:val="22"/>
          <w:szCs w:val="22"/>
        </w:rPr>
        <w:t>Apendix</w:t>
      </w:r>
      <w:proofErr w:type="spellEnd"/>
      <w:r>
        <w:rPr>
          <w:rFonts w:ascii="Arial" w:eastAsia="Arial" w:hAnsi="Arial" w:cs="Arial"/>
          <w:b/>
          <w:color w:val="000000"/>
          <w:sz w:val="22"/>
          <w:szCs w:val="22"/>
        </w:rPr>
        <w:t>-A Source Tracking Table</w:t>
      </w:r>
    </w:p>
    <w:tbl>
      <w:tblPr>
        <w:tblStyle w:val="a0"/>
        <w:tblW w:w="888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86"/>
        <w:gridCol w:w="1050"/>
        <w:gridCol w:w="1560"/>
        <w:gridCol w:w="2551"/>
        <w:gridCol w:w="1276"/>
        <w:gridCol w:w="1660"/>
      </w:tblGrid>
      <w:tr w:rsidR="00EA293E" w14:paraId="7870BFBC" w14:textId="77777777">
        <w:tc>
          <w:tcPr>
            <w:tcW w:w="786" w:type="dxa"/>
          </w:tcPr>
          <w:p w14:paraId="2F4D8F31" w14:textId="77777777" w:rsidR="00EA293E" w:rsidRDefault="00000000">
            <w:pPr>
              <w:rPr>
                <w:rFonts w:ascii="Arial" w:eastAsia="Arial" w:hAnsi="Arial" w:cs="Arial"/>
                <w:b/>
                <w:sz w:val="16"/>
                <w:szCs w:val="16"/>
              </w:rPr>
            </w:pPr>
            <w:r>
              <w:rPr>
                <w:rFonts w:ascii="Arial" w:eastAsia="Arial" w:hAnsi="Arial" w:cs="Arial"/>
                <w:b/>
                <w:sz w:val="16"/>
                <w:szCs w:val="16"/>
              </w:rPr>
              <w:t>Saved?</w:t>
            </w:r>
          </w:p>
        </w:tc>
        <w:tc>
          <w:tcPr>
            <w:tcW w:w="1050" w:type="dxa"/>
          </w:tcPr>
          <w:p w14:paraId="4D7B16B4" w14:textId="77777777" w:rsidR="00EA293E" w:rsidRDefault="00000000">
            <w:pPr>
              <w:rPr>
                <w:rFonts w:ascii="Arial" w:eastAsia="Arial" w:hAnsi="Arial" w:cs="Arial"/>
                <w:b/>
                <w:sz w:val="16"/>
                <w:szCs w:val="16"/>
              </w:rPr>
            </w:pPr>
            <w:r>
              <w:rPr>
                <w:rFonts w:ascii="Arial" w:eastAsia="Arial" w:hAnsi="Arial" w:cs="Arial"/>
                <w:b/>
                <w:sz w:val="16"/>
                <w:szCs w:val="16"/>
              </w:rPr>
              <w:t>Author &amp; Year</w:t>
            </w:r>
          </w:p>
        </w:tc>
        <w:tc>
          <w:tcPr>
            <w:tcW w:w="1560" w:type="dxa"/>
          </w:tcPr>
          <w:p w14:paraId="0622D14F" w14:textId="77777777" w:rsidR="00EA293E" w:rsidRDefault="00000000">
            <w:pPr>
              <w:rPr>
                <w:rFonts w:ascii="Arial" w:eastAsia="Arial" w:hAnsi="Arial" w:cs="Arial"/>
                <w:b/>
                <w:sz w:val="16"/>
                <w:szCs w:val="16"/>
              </w:rPr>
            </w:pPr>
            <w:r>
              <w:rPr>
                <w:rFonts w:ascii="Arial" w:eastAsia="Arial" w:hAnsi="Arial" w:cs="Arial"/>
                <w:b/>
                <w:sz w:val="16"/>
                <w:szCs w:val="16"/>
              </w:rPr>
              <w:t>Title</w:t>
            </w:r>
          </w:p>
        </w:tc>
        <w:tc>
          <w:tcPr>
            <w:tcW w:w="2551" w:type="dxa"/>
          </w:tcPr>
          <w:p w14:paraId="00C475FB" w14:textId="77777777" w:rsidR="00EA293E" w:rsidRDefault="00000000">
            <w:pPr>
              <w:rPr>
                <w:rFonts w:ascii="Arial" w:eastAsia="Arial" w:hAnsi="Arial" w:cs="Arial"/>
                <w:b/>
                <w:sz w:val="16"/>
                <w:szCs w:val="16"/>
              </w:rPr>
            </w:pPr>
            <w:r>
              <w:rPr>
                <w:rFonts w:ascii="Arial" w:eastAsia="Arial" w:hAnsi="Arial" w:cs="Arial"/>
                <w:b/>
                <w:sz w:val="16"/>
                <w:szCs w:val="16"/>
              </w:rPr>
              <w:t>Summary (1–2 sentences)</w:t>
            </w:r>
          </w:p>
        </w:tc>
        <w:tc>
          <w:tcPr>
            <w:tcW w:w="1276" w:type="dxa"/>
          </w:tcPr>
          <w:p w14:paraId="0BEECD18" w14:textId="77777777" w:rsidR="00EA293E" w:rsidRDefault="00000000">
            <w:pPr>
              <w:rPr>
                <w:rFonts w:ascii="Arial" w:eastAsia="Arial" w:hAnsi="Arial" w:cs="Arial"/>
                <w:b/>
                <w:sz w:val="16"/>
                <w:szCs w:val="16"/>
              </w:rPr>
            </w:pPr>
            <w:r>
              <w:rPr>
                <w:rFonts w:ascii="Arial" w:eastAsia="Arial" w:hAnsi="Arial" w:cs="Arial"/>
                <w:b/>
                <w:sz w:val="16"/>
                <w:szCs w:val="16"/>
              </w:rPr>
              <w:t>CRAAP Notes</w:t>
            </w:r>
          </w:p>
        </w:tc>
        <w:tc>
          <w:tcPr>
            <w:tcW w:w="1660" w:type="dxa"/>
          </w:tcPr>
          <w:p w14:paraId="633EB9F4" w14:textId="77777777" w:rsidR="00EA293E" w:rsidRDefault="00000000">
            <w:pPr>
              <w:rPr>
                <w:rFonts w:ascii="Arial" w:eastAsia="Arial" w:hAnsi="Arial" w:cs="Arial"/>
                <w:b/>
                <w:sz w:val="16"/>
                <w:szCs w:val="16"/>
              </w:rPr>
            </w:pPr>
            <w:r>
              <w:rPr>
                <w:rFonts w:ascii="Arial" w:eastAsia="Arial" w:hAnsi="Arial" w:cs="Arial"/>
                <w:b/>
                <w:sz w:val="16"/>
                <w:szCs w:val="16"/>
              </w:rPr>
              <w:t>File Name / Link</w:t>
            </w:r>
          </w:p>
        </w:tc>
      </w:tr>
      <w:tr w:rsidR="00EA293E" w14:paraId="28491285" w14:textId="77777777">
        <w:tc>
          <w:tcPr>
            <w:tcW w:w="786" w:type="dxa"/>
          </w:tcPr>
          <w:p w14:paraId="18787BA5" w14:textId="77777777" w:rsidR="00EA293E" w:rsidRDefault="00000000">
            <w:pPr>
              <w:rPr>
                <w:rFonts w:ascii="Arial" w:eastAsia="Arial" w:hAnsi="Arial" w:cs="Arial"/>
                <w:sz w:val="16"/>
                <w:szCs w:val="16"/>
              </w:rPr>
            </w:pPr>
            <w:r>
              <w:rPr>
                <w:rFonts w:ascii="Arial" w:eastAsia="Arial" w:hAnsi="Arial" w:cs="Arial"/>
                <w:sz w:val="16"/>
                <w:szCs w:val="16"/>
              </w:rPr>
              <w:t>Yes</w:t>
            </w:r>
          </w:p>
        </w:tc>
        <w:tc>
          <w:tcPr>
            <w:tcW w:w="1050" w:type="dxa"/>
          </w:tcPr>
          <w:p w14:paraId="612C3597" w14:textId="77777777" w:rsidR="00EA293E" w:rsidRDefault="00000000">
            <w:pPr>
              <w:rPr>
                <w:rFonts w:ascii="Arial" w:eastAsia="Arial" w:hAnsi="Arial" w:cs="Arial"/>
                <w:sz w:val="16"/>
                <w:szCs w:val="16"/>
              </w:rPr>
            </w:pPr>
            <w:r>
              <w:rPr>
                <w:rFonts w:ascii="Arial" w:eastAsia="Arial" w:hAnsi="Arial" w:cs="Arial"/>
                <w:sz w:val="16"/>
                <w:szCs w:val="16"/>
              </w:rPr>
              <w:t>Rossi et al. (2023)</w:t>
            </w:r>
          </w:p>
        </w:tc>
        <w:tc>
          <w:tcPr>
            <w:tcW w:w="1560" w:type="dxa"/>
          </w:tcPr>
          <w:p w14:paraId="7810DB16" w14:textId="77777777" w:rsidR="00EA293E" w:rsidRDefault="00000000">
            <w:pPr>
              <w:rPr>
                <w:rFonts w:ascii="Arial" w:eastAsia="Arial" w:hAnsi="Arial" w:cs="Arial"/>
                <w:sz w:val="16"/>
                <w:szCs w:val="16"/>
              </w:rPr>
            </w:pPr>
            <w:r>
              <w:rPr>
                <w:rFonts w:ascii="Arial" w:eastAsia="Arial" w:hAnsi="Arial" w:cs="Arial"/>
                <w:sz w:val="16"/>
                <w:szCs w:val="16"/>
              </w:rPr>
              <w:t>Coping with burnout and the impact of COVID</w:t>
            </w:r>
            <w:r>
              <w:rPr>
                <w:rFonts w:ascii="Cambria Math" w:eastAsia="Cambria Math" w:hAnsi="Cambria Math" w:cs="Cambria Math"/>
                <w:sz w:val="16"/>
                <w:szCs w:val="16"/>
              </w:rPr>
              <w:t>‑</w:t>
            </w:r>
            <w:r>
              <w:rPr>
                <w:rFonts w:ascii="Arial" w:eastAsia="Arial" w:hAnsi="Arial" w:cs="Arial"/>
                <w:sz w:val="16"/>
                <w:szCs w:val="16"/>
              </w:rPr>
              <w:t>19</w:t>
            </w:r>
          </w:p>
        </w:tc>
        <w:tc>
          <w:tcPr>
            <w:tcW w:w="2551" w:type="dxa"/>
          </w:tcPr>
          <w:p w14:paraId="39B1D726" w14:textId="77777777" w:rsidR="00EA293E" w:rsidRDefault="00000000">
            <w:pPr>
              <w:rPr>
                <w:rFonts w:ascii="Arial" w:eastAsia="Arial" w:hAnsi="Arial" w:cs="Arial"/>
                <w:sz w:val="16"/>
                <w:szCs w:val="16"/>
              </w:rPr>
            </w:pPr>
            <w:r>
              <w:rPr>
                <w:rFonts w:ascii="Arial" w:eastAsia="Arial" w:hAnsi="Arial" w:cs="Arial"/>
                <w:sz w:val="16"/>
                <w:szCs w:val="16"/>
              </w:rPr>
              <w:t>Review of burnout and coping strategies among healthcare workers during the pandemic.</w:t>
            </w:r>
          </w:p>
        </w:tc>
        <w:tc>
          <w:tcPr>
            <w:tcW w:w="1276" w:type="dxa"/>
          </w:tcPr>
          <w:p w14:paraId="7697A5E4" w14:textId="77777777" w:rsidR="00EA293E" w:rsidRDefault="00000000">
            <w:pPr>
              <w:rPr>
                <w:rFonts w:ascii="Arial" w:eastAsia="Arial" w:hAnsi="Arial" w:cs="Arial"/>
                <w:sz w:val="16"/>
                <w:szCs w:val="16"/>
              </w:rPr>
            </w:pPr>
            <w:r>
              <w:rPr>
                <w:rFonts w:ascii="Arial" w:eastAsia="Arial" w:hAnsi="Arial" w:cs="Arial"/>
                <w:sz w:val="16"/>
                <w:szCs w:val="16"/>
              </w:rPr>
              <w:t>Current, peer</w:t>
            </w:r>
            <w:r>
              <w:rPr>
                <w:rFonts w:ascii="Cambria Math" w:eastAsia="Cambria Math" w:hAnsi="Cambria Math" w:cs="Cambria Math"/>
                <w:sz w:val="16"/>
                <w:szCs w:val="16"/>
              </w:rPr>
              <w:t>‑</w:t>
            </w:r>
            <w:r>
              <w:rPr>
                <w:rFonts w:ascii="Arial" w:eastAsia="Arial" w:hAnsi="Arial" w:cs="Arial"/>
                <w:sz w:val="16"/>
                <w:szCs w:val="16"/>
              </w:rPr>
              <w:t>reviewed, highly relevant.</w:t>
            </w:r>
          </w:p>
        </w:tc>
        <w:tc>
          <w:tcPr>
            <w:tcW w:w="1660" w:type="dxa"/>
          </w:tcPr>
          <w:p w14:paraId="32C41AE8" w14:textId="77777777" w:rsidR="00EA293E" w:rsidRDefault="00000000">
            <w:pPr>
              <w:rPr>
                <w:rFonts w:ascii="Arial" w:eastAsia="Arial" w:hAnsi="Arial" w:cs="Arial"/>
                <w:sz w:val="16"/>
                <w:szCs w:val="16"/>
              </w:rPr>
            </w:pPr>
            <w:r>
              <w:rPr>
                <w:rFonts w:ascii="Arial" w:eastAsia="Arial" w:hAnsi="Arial" w:cs="Arial"/>
                <w:sz w:val="16"/>
                <w:szCs w:val="16"/>
              </w:rPr>
              <w:t>Rossi_2023.pdf</w:t>
            </w:r>
          </w:p>
        </w:tc>
      </w:tr>
      <w:tr w:rsidR="00EA293E" w14:paraId="1C5DAE7E" w14:textId="77777777">
        <w:tc>
          <w:tcPr>
            <w:tcW w:w="786" w:type="dxa"/>
          </w:tcPr>
          <w:p w14:paraId="165842CC" w14:textId="77777777" w:rsidR="00EA293E" w:rsidRDefault="00000000">
            <w:pPr>
              <w:rPr>
                <w:rFonts w:ascii="Arial" w:eastAsia="Arial" w:hAnsi="Arial" w:cs="Arial"/>
                <w:sz w:val="16"/>
                <w:szCs w:val="16"/>
              </w:rPr>
            </w:pPr>
            <w:r>
              <w:rPr>
                <w:rFonts w:ascii="Arial" w:eastAsia="Arial" w:hAnsi="Arial" w:cs="Arial"/>
                <w:sz w:val="16"/>
                <w:szCs w:val="16"/>
              </w:rPr>
              <w:t>Yes</w:t>
            </w:r>
          </w:p>
        </w:tc>
        <w:tc>
          <w:tcPr>
            <w:tcW w:w="1050" w:type="dxa"/>
          </w:tcPr>
          <w:p w14:paraId="530754B7" w14:textId="77777777" w:rsidR="00EA293E" w:rsidRDefault="00000000">
            <w:pPr>
              <w:rPr>
                <w:rFonts w:ascii="Arial" w:eastAsia="Arial" w:hAnsi="Arial" w:cs="Arial"/>
                <w:sz w:val="16"/>
                <w:szCs w:val="16"/>
              </w:rPr>
            </w:pPr>
            <w:r>
              <w:rPr>
                <w:rFonts w:ascii="Arial" w:eastAsia="Arial" w:hAnsi="Arial" w:cs="Arial"/>
                <w:sz w:val="16"/>
                <w:szCs w:val="16"/>
              </w:rPr>
              <w:t>Maunder et al. (2024)</w:t>
            </w:r>
          </w:p>
        </w:tc>
        <w:tc>
          <w:tcPr>
            <w:tcW w:w="1560" w:type="dxa"/>
          </w:tcPr>
          <w:p w14:paraId="5B49CAB1" w14:textId="77777777" w:rsidR="00EA293E" w:rsidRDefault="00000000">
            <w:pPr>
              <w:rPr>
                <w:rFonts w:ascii="Arial" w:eastAsia="Arial" w:hAnsi="Arial" w:cs="Arial"/>
                <w:sz w:val="16"/>
                <w:szCs w:val="16"/>
              </w:rPr>
            </w:pPr>
            <w:r>
              <w:rPr>
                <w:rFonts w:ascii="Arial" w:eastAsia="Arial" w:hAnsi="Arial" w:cs="Arial"/>
                <w:sz w:val="16"/>
                <w:szCs w:val="16"/>
              </w:rPr>
              <w:t>Hospital workers’ mental health 2020</w:t>
            </w:r>
            <w:r>
              <w:rPr>
                <w:rFonts w:ascii="Cambria Math" w:eastAsia="Cambria Math" w:hAnsi="Cambria Math" w:cs="Cambria Math"/>
                <w:sz w:val="16"/>
                <w:szCs w:val="16"/>
              </w:rPr>
              <w:t>‑</w:t>
            </w:r>
            <w:r>
              <w:rPr>
                <w:rFonts w:ascii="Arial" w:eastAsia="Arial" w:hAnsi="Arial" w:cs="Arial"/>
                <w:sz w:val="16"/>
                <w:szCs w:val="16"/>
              </w:rPr>
              <w:t>2023</w:t>
            </w:r>
          </w:p>
        </w:tc>
        <w:tc>
          <w:tcPr>
            <w:tcW w:w="2551" w:type="dxa"/>
          </w:tcPr>
          <w:p w14:paraId="38F1DCD1" w14:textId="77777777" w:rsidR="00EA293E" w:rsidRDefault="00000000">
            <w:pPr>
              <w:rPr>
                <w:rFonts w:ascii="Arial" w:eastAsia="Arial" w:hAnsi="Arial" w:cs="Arial"/>
                <w:sz w:val="16"/>
                <w:szCs w:val="16"/>
              </w:rPr>
            </w:pPr>
            <w:r>
              <w:rPr>
                <w:rFonts w:ascii="Arial" w:eastAsia="Arial" w:hAnsi="Arial" w:cs="Arial"/>
                <w:sz w:val="16"/>
                <w:szCs w:val="16"/>
              </w:rPr>
              <w:t>Longitudinal study tracking psychological distress in hospital workers.</w:t>
            </w:r>
          </w:p>
        </w:tc>
        <w:tc>
          <w:tcPr>
            <w:tcW w:w="1276" w:type="dxa"/>
          </w:tcPr>
          <w:p w14:paraId="31B102B6" w14:textId="77777777" w:rsidR="00EA293E" w:rsidRDefault="00000000">
            <w:pPr>
              <w:rPr>
                <w:rFonts w:ascii="Arial" w:eastAsia="Arial" w:hAnsi="Arial" w:cs="Arial"/>
                <w:sz w:val="16"/>
                <w:szCs w:val="16"/>
              </w:rPr>
            </w:pPr>
            <w:r>
              <w:rPr>
                <w:rFonts w:ascii="Arial" w:eastAsia="Arial" w:hAnsi="Arial" w:cs="Arial"/>
                <w:sz w:val="16"/>
                <w:szCs w:val="16"/>
              </w:rPr>
              <w:t>Strong longitudinal evidence.</w:t>
            </w:r>
          </w:p>
        </w:tc>
        <w:tc>
          <w:tcPr>
            <w:tcW w:w="1660" w:type="dxa"/>
          </w:tcPr>
          <w:p w14:paraId="6EC1D037" w14:textId="77777777" w:rsidR="00EA293E" w:rsidRDefault="00000000">
            <w:pPr>
              <w:rPr>
                <w:rFonts w:ascii="Arial" w:eastAsia="Arial" w:hAnsi="Arial" w:cs="Arial"/>
                <w:sz w:val="16"/>
                <w:szCs w:val="16"/>
              </w:rPr>
            </w:pPr>
            <w:r>
              <w:rPr>
                <w:rFonts w:ascii="Arial" w:eastAsia="Arial" w:hAnsi="Arial" w:cs="Arial"/>
                <w:sz w:val="16"/>
                <w:szCs w:val="16"/>
              </w:rPr>
              <w:t>Maunder_2024.pdf</w:t>
            </w:r>
          </w:p>
        </w:tc>
      </w:tr>
      <w:tr w:rsidR="00EA293E" w14:paraId="37DBDDF0" w14:textId="77777777">
        <w:tc>
          <w:tcPr>
            <w:tcW w:w="786" w:type="dxa"/>
          </w:tcPr>
          <w:p w14:paraId="50FBC973" w14:textId="77777777" w:rsidR="00EA293E" w:rsidRDefault="00000000">
            <w:pPr>
              <w:rPr>
                <w:rFonts w:ascii="Arial" w:eastAsia="Arial" w:hAnsi="Arial" w:cs="Arial"/>
                <w:sz w:val="16"/>
                <w:szCs w:val="16"/>
              </w:rPr>
            </w:pPr>
            <w:r>
              <w:rPr>
                <w:rFonts w:ascii="Arial" w:eastAsia="Arial" w:hAnsi="Arial" w:cs="Arial"/>
                <w:sz w:val="16"/>
                <w:szCs w:val="16"/>
              </w:rPr>
              <w:t>Yes</w:t>
            </w:r>
          </w:p>
        </w:tc>
        <w:tc>
          <w:tcPr>
            <w:tcW w:w="1050" w:type="dxa"/>
          </w:tcPr>
          <w:p w14:paraId="666C2B06" w14:textId="77777777" w:rsidR="00EA293E" w:rsidRDefault="00000000">
            <w:pPr>
              <w:rPr>
                <w:rFonts w:ascii="Arial" w:eastAsia="Arial" w:hAnsi="Arial" w:cs="Arial"/>
                <w:sz w:val="16"/>
                <w:szCs w:val="16"/>
              </w:rPr>
            </w:pPr>
            <w:r>
              <w:rPr>
                <w:rFonts w:ascii="Arial" w:eastAsia="Arial" w:hAnsi="Arial" w:cs="Arial"/>
                <w:sz w:val="16"/>
                <w:szCs w:val="16"/>
              </w:rPr>
              <w:t>Anger et al. (2024)</w:t>
            </w:r>
          </w:p>
        </w:tc>
        <w:tc>
          <w:tcPr>
            <w:tcW w:w="1560" w:type="dxa"/>
          </w:tcPr>
          <w:p w14:paraId="5EBB74BF" w14:textId="77777777" w:rsidR="00EA293E" w:rsidRDefault="00000000">
            <w:pPr>
              <w:rPr>
                <w:rFonts w:ascii="Arial" w:eastAsia="Arial" w:hAnsi="Arial" w:cs="Arial"/>
                <w:sz w:val="16"/>
                <w:szCs w:val="16"/>
              </w:rPr>
            </w:pPr>
            <w:r>
              <w:rPr>
                <w:rFonts w:ascii="Arial" w:eastAsia="Arial" w:hAnsi="Arial" w:cs="Arial"/>
                <w:sz w:val="16"/>
                <w:szCs w:val="16"/>
              </w:rPr>
              <w:t>Addressing healthcare workers’ mental health</w:t>
            </w:r>
          </w:p>
        </w:tc>
        <w:tc>
          <w:tcPr>
            <w:tcW w:w="2551" w:type="dxa"/>
          </w:tcPr>
          <w:p w14:paraId="587AAEFC" w14:textId="77777777" w:rsidR="00EA293E" w:rsidRDefault="00000000">
            <w:pPr>
              <w:rPr>
                <w:rFonts w:ascii="Arial" w:eastAsia="Arial" w:hAnsi="Arial" w:cs="Arial"/>
                <w:sz w:val="16"/>
                <w:szCs w:val="16"/>
              </w:rPr>
            </w:pPr>
            <w:r>
              <w:rPr>
                <w:rFonts w:ascii="Arial" w:eastAsia="Arial" w:hAnsi="Arial" w:cs="Arial"/>
                <w:sz w:val="16"/>
                <w:szCs w:val="16"/>
              </w:rPr>
              <w:t>Systematic review of mental health interventions for healthcare staff.</w:t>
            </w:r>
          </w:p>
        </w:tc>
        <w:tc>
          <w:tcPr>
            <w:tcW w:w="1276" w:type="dxa"/>
          </w:tcPr>
          <w:p w14:paraId="7597CD17" w14:textId="77777777" w:rsidR="00EA293E" w:rsidRDefault="00000000">
            <w:pPr>
              <w:rPr>
                <w:rFonts w:ascii="Arial" w:eastAsia="Arial" w:hAnsi="Arial" w:cs="Arial"/>
                <w:sz w:val="16"/>
                <w:szCs w:val="16"/>
              </w:rPr>
            </w:pPr>
            <w:r>
              <w:rPr>
                <w:rFonts w:ascii="Arial" w:eastAsia="Arial" w:hAnsi="Arial" w:cs="Arial"/>
                <w:sz w:val="16"/>
                <w:szCs w:val="16"/>
              </w:rPr>
              <w:t>High</w:t>
            </w:r>
            <w:r>
              <w:rPr>
                <w:rFonts w:ascii="Cambria Math" w:eastAsia="Cambria Math" w:hAnsi="Cambria Math" w:cs="Cambria Math"/>
                <w:sz w:val="16"/>
                <w:szCs w:val="16"/>
              </w:rPr>
              <w:t>‑</w:t>
            </w:r>
            <w:r>
              <w:rPr>
                <w:rFonts w:ascii="Arial" w:eastAsia="Arial" w:hAnsi="Arial" w:cs="Arial"/>
                <w:sz w:val="16"/>
                <w:szCs w:val="16"/>
              </w:rPr>
              <w:t>quality systematic review.</w:t>
            </w:r>
          </w:p>
        </w:tc>
        <w:tc>
          <w:tcPr>
            <w:tcW w:w="1660" w:type="dxa"/>
          </w:tcPr>
          <w:p w14:paraId="5BA3D980" w14:textId="77777777" w:rsidR="00EA293E" w:rsidRDefault="00000000">
            <w:pPr>
              <w:rPr>
                <w:rFonts w:ascii="Arial" w:eastAsia="Arial" w:hAnsi="Arial" w:cs="Arial"/>
                <w:sz w:val="16"/>
                <w:szCs w:val="16"/>
              </w:rPr>
            </w:pPr>
            <w:r>
              <w:rPr>
                <w:rFonts w:ascii="Arial" w:eastAsia="Arial" w:hAnsi="Arial" w:cs="Arial"/>
                <w:sz w:val="16"/>
                <w:szCs w:val="16"/>
              </w:rPr>
              <w:t>Anger_2024.pdf</w:t>
            </w:r>
          </w:p>
        </w:tc>
      </w:tr>
      <w:tr w:rsidR="00EA293E" w14:paraId="3B4495EE" w14:textId="77777777">
        <w:tc>
          <w:tcPr>
            <w:tcW w:w="786" w:type="dxa"/>
          </w:tcPr>
          <w:p w14:paraId="08DE233F" w14:textId="77777777" w:rsidR="00EA293E" w:rsidRDefault="00000000">
            <w:pPr>
              <w:rPr>
                <w:rFonts w:ascii="Arial" w:eastAsia="Arial" w:hAnsi="Arial" w:cs="Arial"/>
                <w:sz w:val="16"/>
                <w:szCs w:val="16"/>
              </w:rPr>
            </w:pPr>
            <w:r>
              <w:rPr>
                <w:rFonts w:ascii="Arial" w:eastAsia="Arial" w:hAnsi="Arial" w:cs="Arial"/>
                <w:sz w:val="16"/>
                <w:szCs w:val="16"/>
              </w:rPr>
              <w:t>Yes</w:t>
            </w:r>
          </w:p>
        </w:tc>
        <w:tc>
          <w:tcPr>
            <w:tcW w:w="1050" w:type="dxa"/>
          </w:tcPr>
          <w:p w14:paraId="4CFAE04F" w14:textId="77777777" w:rsidR="00EA293E" w:rsidRDefault="00000000">
            <w:pPr>
              <w:rPr>
                <w:rFonts w:ascii="Arial" w:eastAsia="Arial" w:hAnsi="Arial" w:cs="Arial"/>
                <w:sz w:val="16"/>
                <w:szCs w:val="16"/>
              </w:rPr>
            </w:pPr>
            <w:proofErr w:type="spellStart"/>
            <w:r>
              <w:rPr>
                <w:rFonts w:ascii="Arial" w:eastAsia="Arial" w:hAnsi="Arial" w:cs="Arial"/>
                <w:sz w:val="16"/>
                <w:szCs w:val="16"/>
              </w:rPr>
              <w:t>Labrague</w:t>
            </w:r>
            <w:proofErr w:type="spellEnd"/>
            <w:r>
              <w:rPr>
                <w:rFonts w:ascii="Arial" w:eastAsia="Arial" w:hAnsi="Arial" w:cs="Arial"/>
                <w:sz w:val="16"/>
                <w:szCs w:val="16"/>
              </w:rPr>
              <w:t xml:space="preserve"> (2021)</w:t>
            </w:r>
          </w:p>
        </w:tc>
        <w:tc>
          <w:tcPr>
            <w:tcW w:w="1560" w:type="dxa"/>
          </w:tcPr>
          <w:p w14:paraId="4F7C07EC" w14:textId="77777777" w:rsidR="00EA293E" w:rsidRDefault="00000000">
            <w:pPr>
              <w:rPr>
                <w:rFonts w:ascii="Arial" w:eastAsia="Arial" w:hAnsi="Arial" w:cs="Arial"/>
                <w:sz w:val="16"/>
                <w:szCs w:val="16"/>
              </w:rPr>
            </w:pPr>
            <w:r>
              <w:rPr>
                <w:rFonts w:ascii="Arial" w:eastAsia="Arial" w:hAnsi="Arial" w:cs="Arial"/>
                <w:sz w:val="16"/>
                <w:szCs w:val="16"/>
              </w:rPr>
              <w:t>Resilience and coping behaviours</w:t>
            </w:r>
          </w:p>
        </w:tc>
        <w:tc>
          <w:tcPr>
            <w:tcW w:w="2551" w:type="dxa"/>
          </w:tcPr>
          <w:p w14:paraId="6448BEAD" w14:textId="77777777" w:rsidR="00EA293E" w:rsidRDefault="00000000">
            <w:pPr>
              <w:rPr>
                <w:rFonts w:ascii="Arial" w:eastAsia="Arial" w:hAnsi="Arial" w:cs="Arial"/>
                <w:sz w:val="16"/>
                <w:szCs w:val="16"/>
              </w:rPr>
            </w:pPr>
            <w:r>
              <w:rPr>
                <w:rFonts w:ascii="Arial" w:eastAsia="Arial" w:hAnsi="Arial" w:cs="Arial"/>
                <w:sz w:val="16"/>
                <w:szCs w:val="16"/>
              </w:rPr>
              <w:t>Systematic review exploring resilience and coping in healthcare workers.</w:t>
            </w:r>
          </w:p>
        </w:tc>
        <w:tc>
          <w:tcPr>
            <w:tcW w:w="1276" w:type="dxa"/>
          </w:tcPr>
          <w:p w14:paraId="55C7D9CC" w14:textId="77777777" w:rsidR="00EA293E" w:rsidRDefault="00000000">
            <w:pPr>
              <w:rPr>
                <w:rFonts w:ascii="Arial" w:eastAsia="Arial" w:hAnsi="Arial" w:cs="Arial"/>
                <w:sz w:val="16"/>
                <w:szCs w:val="16"/>
              </w:rPr>
            </w:pPr>
            <w:r>
              <w:rPr>
                <w:rFonts w:ascii="Arial" w:eastAsia="Arial" w:hAnsi="Arial" w:cs="Arial"/>
                <w:sz w:val="16"/>
                <w:szCs w:val="16"/>
              </w:rPr>
              <w:t>Relevant, peer</w:t>
            </w:r>
            <w:r>
              <w:rPr>
                <w:rFonts w:ascii="Cambria Math" w:eastAsia="Cambria Math" w:hAnsi="Cambria Math" w:cs="Cambria Math"/>
                <w:sz w:val="16"/>
                <w:szCs w:val="16"/>
              </w:rPr>
              <w:t>‑</w:t>
            </w:r>
            <w:r>
              <w:rPr>
                <w:rFonts w:ascii="Arial" w:eastAsia="Arial" w:hAnsi="Arial" w:cs="Arial"/>
                <w:sz w:val="16"/>
                <w:szCs w:val="16"/>
              </w:rPr>
              <w:t>reviewed.</w:t>
            </w:r>
          </w:p>
        </w:tc>
        <w:tc>
          <w:tcPr>
            <w:tcW w:w="1660" w:type="dxa"/>
          </w:tcPr>
          <w:p w14:paraId="6EFB56FA" w14:textId="77777777" w:rsidR="00EA293E" w:rsidRDefault="00000000">
            <w:pPr>
              <w:rPr>
                <w:rFonts w:ascii="Arial" w:eastAsia="Arial" w:hAnsi="Arial" w:cs="Arial"/>
                <w:sz w:val="16"/>
                <w:szCs w:val="16"/>
              </w:rPr>
            </w:pPr>
            <w:r>
              <w:rPr>
                <w:rFonts w:ascii="Arial" w:eastAsia="Arial" w:hAnsi="Arial" w:cs="Arial"/>
                <w:sz w:val="16"/>
                <w:szCs w:val="16"/>
              </w:rPr>
              <w:t>Labrague_2021.pdf</w:t>
            </w:r>
          </w:p>
        </w:tc>
      </w:tr>
      <w:tr w:rsidR="00EA293E" w14:paraId="73778A3E" w14:textId="77777777">
        <w:tc>
          <w:tcPr>
            <w:tcW w:w="786" w:type="dxa"/>
          </w:tcPr>
          <w:p w14:paraId="51388E85" w14:textId="77777777" w:rsidR="00EA293E" w:rsidRDefault="00000000">
            <w:pPr>
              <w:rPr>
                <w:rFonts w:ascii="Arial" w:eastAsia="Arial" w:hAnsi="Arial" w:cs="Arial"/>
                <w:sz w:val="16"/>
                <w:szCs w:val="16"/>
              </w:rPr>
            </w:pPr>
            <w:r>
              <w:rPr>
                <w:rFonts w:ascii="Arial" w:eastAsia="Arial" w:hAnsi="Arial" w:cs="Arial"/>
                <w:sz w:val="16"/>
                <w:szCs w:val="16"/>
              </w:rPr>
              <w:t>Yes</w:t>
            </w:r>
          </w:p>
        </w:tc>
        <w:tc>
          <w:tcPr>
            <w:tcW w:w="1050" w:type="dxa"/>
          </w:tcPr>
          <w:p w14:paraId="01C073F7" w14:textId="77777777" w:rsidR="00EA293E" w:rsidRDefault="00000000">
            <w:pPr>
              <w:rPr>
                <w:rFonts w:ascii="Arial" w:eastAsia="Arial" w:hAnsi="Arial" w:cs="Arial"/>
                <w:sz w:val="16"/>
                <w:szCs w:val="16"/>
              </w:rPr>
            </w:pPr>
            <w:r>
              <w:rPr>
                <w:rFonts w:ascii="Arial" w:eastAsia="Arial" w:hAnsi="Arial" w:cs="Arial"/>
                <w:sz w:val="16"/>
                <w:szCs w:val="16"/>
              </w:rPr>
              <w:t>Lee et al. (2025)</w:t>
            </w:r>
          </w:p>
        </w:tc>
        <w:tc>
          <w:tcPr>
            <w:tcW w:w="1560" w:type="dxa"/>
          </w:tcPr>
          <w:p w14:paraId="4F2D7092" w14:textId="77777777" w:rsidR="00EA293E" w:rsidRDefault="00000000">
            <w:pPr>
              <w:rPr>
                <w:rFonts w:ascii="Arial" w:eastAsia="Arial" w:hAnsi="Arial" w:cs="Arial"/>
                <w:sz w:val="16"/>
                <w:szCs w:val="16"/>
              </w:rPr>
            </w:pPr>
            <w:r>
              <w:rPr>
                <w:rFonts w:ascii="Arial" w:eastAsia="Arial" w:hAnsi="Arial" w:cs="Arial"/>
                <w:sz w:val="16"/>
                <w:szCs w:val="16"/>
              </w:rPr>
              <w:t>Burnout, resilience and coping</w:t>
            </w:r>
          </w:p>
        </w:tc>
        <w:tc>
          <w:tcPr>
            <w:tcW w:w="2551" w:type="dxa"/>
          </w:tcPr>
          <w:p w14:paraId="1D446078" w14:textId="77777777" w:rsidR="00EA293E" w:rsidRDefault="00000000">
            <w:pPr>
              <w:rPr>
                <w:rFonts w:ascii="Arial" w:eastAsia="Arial" w:hAnsi="Arial" w:cs="Arial"/>
                <w:sz w:val="16"/>
                <w:szCs w:val="16"/>
              </w:rPr>
            </w:pPr>
            <w:r>
              <w:rPr>
                <w:rFonts w:ascii="Arial" w:eastAsia="Arial" w:hAnsi="Arial" w:cs="Arial"/>
                <w:sz w:val="16"/>
                <w:szCs w:val="16"/>
              </w:rPr>
              <w:t>Quantitative research examining resilience and burnout relationships.</w:t>
            </w:r>
          </w:p>
        </w:tc>
        <w:tc>
          <w:tcPr>
            <w:tcW w:w="1276" w:type="dxa"/>
          </w:tcPr>
          <w:p w14:paraId="63359463" w14:textId="77777777" w:rsidR="00EA293E" w:rsidRDefault="00000000">
            <w:pPr>
              <w:rPr>
                <w:rFonts w:ascii="Arial" w:eastAsia="Arial" w:hAnsi="Arial" w:cs="Arial"/>
                <w:sz w:val="16"/>
                <w:szCs w:val="16"/>
              </w:rPr>
            </w:pPr>
            <w:r>
              <w:rPr>
                <w:rFonts w:ascii="Arial" w:eastAsia="Arial" w:hAnsi="Arial" w:cs="Arial"/>
                <w:sz w:val="16"/>
                <w:szCs w:val="16"/>
              </w:rPr>
              <w:t>Recent peer</w:t>
            </w:r>
            <w:r>
              <w:rPr>
                <w:rFonts w:ascii="Cambria Math" w:eastAsia="Cambria Math" w:hAnsi="Cambria Math" w:cs="Cambria Math"/>
                <w:sz w:val="16"/>
                <w:szCs w:val="16"/>
              </w:rPr>
              <w:t>‑</w:t>
            </w:r>
            <w:r>
              <w:rPr>
                <w:rFonts w:ascii="Arial" w:eastAsia="Arial" w:hAnsi="Arial" w:cs="Arial"/>
                <w:sz w:val="16"/>
                <w:szCs w:val="16"/>
              </w:rPr>
              <w:t>reviewed evidence.</w:t>
            </w:r>
          </w:p>
        </w:tc>
        <w:tc>
          <w:tcPr>
            <w:tcW w:w="1660" w:type="dxa"/>
          </w:tcPr>
          <w:p w14:paraId="198A8E08" w14:textId="77777777" w:rsidR="00EA293E" w:rsidRDefault="00000000">
            <w:pPr>
              <w:rPr>
                <w:rFonts w:ascii="Arial" w:eastAsia="Arial" w:hAnsi="Arial" w:cs="Arial"/>
                <w:sz w:val="16"/>
                <w:szCs w:val="16"/>
              </w:rPr>
            </w:pPr>
            <w:r>
              <w:rPr>
                <w:rFonts w:ascii="Arial" w:eastAsia="Arial" w:hAnsi="Arial" w:cs="Arial"/>
                <w:sz w:val="16"/>
                <w:szCs w:val="16"/>
              </w:rPr>
              <w:t>Lee_2025.pdf</w:t>
            </w:r>
          </w:p>
        </w:tc>
      </w:tr>
      <w:tr w:rsidR="00EA293E" w14:paraId="0A204305" w14:textId="77777777">
        <w:tc>
          <w:tcPr>
            <w:tcW w:w="786" w:type="dxa"/>
          </w:tcPr>
          <w:p w14:paraId="4BFF5559" w14:textId="77777777" w:rsidR="00EA293E" w:rsidRDefault="00000000">
            <w:pPr>
              <w:rPr>
                <w:rFonts w:ascii="Arial" w:eastAsia="Arial" w:hAnsi="Arial" w:cs="Arial"/>
                <w:sz w:val="16"/>
                <w:szCs w:val="16"/>
              </w:rPr>
            </w:pPr>
            <w:r>
              <w:rPr>
                <w:rFonts w:ascii="Arial" w:eastAsia="Arial" w:hAnsi="Arial" w:cs="Arial"/>
                <w:sz w:val="16"/>
                <w:szCs w:val="16"/>
              </w:rPr>
              <w:t>Yes</w:t>
            </w:r>
          </w:p>
        </w:tc>
        <w:tc>
          <w:tcPr>
            <w:tcW w:w="1050" w:type="dxa"/>
          </w:tcPr>
          <w:p w14:paraId="1D7A15AB" w14:textId="77777777" w:rsidR="00EA293E" w:rsidRDefault="00000000">
            <w:pPr>
              <w:rPr>
                <w:rFonts w:ascii="Arial" w:eastAsia="Arial" w:hAnsi="Arial" w:cs="Arial"/>
                <w:sz w:val="16"/>
                <w:szCs w:val="16"/>
              </w:rPr>
            </w:pPr>
            <w:r>
              <w:rPr>
                <w:rFonts w:ascii="Arial" w:eastAsia="Arial" w:hAnsi="Arial" w:cs="Arial"/>
                <w:sz w:val="16"/>
                <w:szCs w:val="16"/>
              </w:rPr>
              <w:t>Davies et al. (2025)</w:t>
            </w:r>
          </w:p>
        </w:tc>
        <w:tc>
          <w:tcPr>
            <w:tcW w:w="1560" w:type="dxa"/>
          </w:tcPr>
          <w:p w14:paraId="6F9E0EE5" w14:textId="77777777" w:rsidR="00EA293E" w:rsidRDefault="00000000">
            <w:pPr>
              <w:rPr>
                <w:rFonts w:ascii="Arial" w:eastAsia="Arial" w:hAnsi="Arial" w:cs="Arial"/>
                <w:sz w:val="16"/>
                <w:szCs w:val="16"/>
              </w:rPr>
            </w:pPr>
            <w:r>
              <w:rPr>
                <w:rFonts w:ascii="Arial" w:eastAsia="Arial" w:hAnsi="Arial" w:cs="Arial"/>
                <w:sz w:val="16"/>
                <w:szCs w:val="16"/>
              </w:rPr>
              <w:t>Burnout and moral injury in social care</w:t>
            </w:r>
          </w:p>
        </w:tc>
        <w:tc>
          <w:tcPr>
            <w:tcW w:w="2551" w:type="dxa"/>
          </w:tcPr>
          <w:p w14:paraId="1DAE55DD" w14:textId="77777777" w:rsidR="00EA293E" w:rsidRDefault="00000000">
            <w:pPr>
              <w:rPr>
                <w:rFonts w:ascii="Arial" w:eastAsia="Arial" w:hAnsi="Arial" w:cs="Arial"/>
                <w:sz w:val="16"/>
                <w:szCs w:val="16"/>
              </w:rPr>
            </w:pPr>
            <w:r>
              <w:rPr>
                <w:rFonts w:ascii="Arial" w:eastAsia="Arial" w:hAnsi="Arial" w:cs="Arial"/>
                <w:sz w:val="16"/>
                <w:szCs w:val="16"/>
              </w:rPr>
              <w:t>Study exploring burnout and moral injury among UK care workers.</w:t>
            </w:r>
          </w:p>
        </w:tc>
        <w:tc>
          <w:tcPr>
            <w:tcW w:w="1276" w:type="dxa"/>
          </w:tcPr>
          <w:p w14:paraId="4420BDB3" w14:textId="77777777" w:rsidR="00EA293E" w:rsidRDefault="00000000">
            <w:pPr>
              <w:rPr>
                <w:rFonts w:ascii="Arial" w:eastAsia="Arial" w:hAnsi="Arial" w:cs="Arial"/>
                <w:sz w:val="16"/>
                <w:szCs w:val="16"/>
              </w:rPr>
            </w:pPr>
            <w:r>
              <w:rPr>
                <w:rFonts w:ascii="Arial" w:eastAsia="Arial" w:hAnsi="Arial" w:cs="Arial"/>
                <w:sz w:val="16"/>
                <w:szCs w:val="16"/>
              </w:rPr>
              <w:t>UK focused research.</w:t>
            </w:r>
          </w:p>
        </w:tc>
        <w:tc>
          <w:tcPr>
            <w:tcW w:w="1660" w:type="dxa"/>
          </w:tcPr>
          <w:p w14:paraId="371A61A2" w14:textId="77777777" w:rsidR="00EA293E" w:rsidRDefault="00000000">
            <w:pPr>
              <w:rPr>
                <w:rFonts w:ascii="Arial" w:eastAsia="Arial" w:hAnsi="Arial" w:cs="Arial"/>
                <w:sz w:val="16"/>
                <w:szCs w:val="16"/>
              </w:rPr>
            </w:pPr>
            <w:r>
              <w:rPr>
                <w:rFonts w:ascii="Arial" w:eastAsia="Arial" w:hAnsi="Arial" w:cs="Arial"/>
                <w:sz w:val="16"/>
                <w:szCs w:val="16"/>
              </w:rPr>
              <w:t>Davies_2025.pdf</w:t>
            </w:r>
          </w:p>
        </w:tc>
      </w:tr>
      <w:tr w:rsidR="00EA293E" w14:paraId="7B35035F" w14:textId="77777777">
        <w:tc>
          <w:tcPr>
            <w:tcW w:w="786" w:type="dxa"/>
          </w:tcPr>
          <w:p w14:paraId="12B7CF04" w14:textId="77777777" w:rsidR="00EA293E" w:rsidRDefault="00000000">
            <w:pPr>
              <w:rPr>
                <w:rFonts w:ascii="Arial" w:eastAsia="Arial" w:hAnsi="Arial" w:cs="Arial"/>
                <w:sz w:val="16"/>
                <w:szCs w:val="16"/>
              </w:rPr>
            </w:pPr>
            <w:r>
              <w:rPr>
                <w:rFonts w:ascii="Arial" w:eastAsia="Arial" w:hAnsi="Arial" w:cs="Arial"/>
                <w:sz w:val="16"/>
                <w:szCs w:val="16"/>
              </w:rPr>
              <w:t>Yes</w:t>
            </w:r>
          </w:p>
        </w:tc>
        <w:tc>
          <w:tcPr>
            <w:tcW w:w="1050" w:type="dxa"/>
          </w:tcPr>
          <w:p w14:paraId="308D88C6" w14:textId="77777777" w:rsidR="00EA293E" w:rsidRDefault="00000000">
            <w:pPr>
              <w:rPr>
                <w:rFonts w:ascii="Arial" w:eastAsia="Arial" w:hAnsi="Arial" w:cs="Arial"/>
                <w:sz w:val="16"/>
                <w:szCs w:val="16"/>
              </w:rPr>
            </w:pPr>
            <w:r>
              <w:rPr>
                <w:rFonts w:ascii="Arial" w:eastAsia="Arial" w:hAnsi="Arial" w:cs="Arial"/>
                <w:sz w:val="16"/>
                <w:szCs w:val="16"/>
              </w:rPr>
              <w:t>Frias et al. (2025)</w:t>
            </w:r>
          </w:p>
        </w:tc>
        <w:tc>
          <w:tcPr>
            <w:tcW w:w="1560" w:type="dxa"/>
          </w:tcPr>
          <w:p w14:paraId="40C4CFDF" w14:textId="77777777" w:rsidR="00EA293E" w:rsidRDefault="00000000">
            <w:pPr>
              <w:rPr>
                <w:rFonts w:ascii="Arial" w:eastAsia="Arial" w:hAnsi="Arial" w:cs="Arial"/>
                <w:sz w:val="16"/>
                <w:szCs w:val="16"/>
              </w:rPr>
            </w:pPr>
            <w:r>
              <w:rPr>
                <w:rFonts w:ascii="Arial" w:eastAsia="Arial" w:hAnsi="Arial" w:cs="Arial"/>
                <w:sz w:val="16"/>
                <w:szCs w:val="16"/>
              </w:rPr>
              <w:t>Strategies to support wellbeing</w:t>
            </w:r>
          </w:p>
        </w:tc>
        <w:tc>
          <w:tcPr>
            <w:tcW w:w="2551" w:type="dxa"/>
          </w:tcPr>
          <w:p w14:paraId="596783D7" w14:textId="77777777" w:rsidR="00EA293E" w:rsidRDefault="00000000">
            <w:pPr>
              <w:rPr>
                <w:rFonts w:ascii="Arial" w:eastAsia="Arial" w:hAnsi="Arial" w:cs="Arial"/>
                <w:sz w:val="16"/>
                <w:szCs w:val="16"/>
              </w:rPr>
            </w:pPr>
            <w:r>
              <w:rPr>
                <w:rFonts w:ascii="Arial" w:eastAsia="Arial" w:hAnsi="Arial" w:cs="Arial"/>
                <w:sz w:val="16"/>
                <w:szCs w:val="16"/>
              </w:rPr>
              <w:t>Rapid review identifying support strategies for health workers.</w:t>
            </w:r>
          </w:p>
        </w:tc>
        <w:tc>
          <w:tcPr>
            <w:tcW w:w="1276" w:type="dxa"/>
          </w:tcPr>
          <w:p w14:paraId="7339A32C" w14:textId="77777777" w:rsidR="00EA293E" w:rsidRDefault="00000000">
            <w:pPr>
              <w:rPr>
                <w:rFonts w:ascii="Arial" w:eastAsia="Arial" w:hAnsi="Arial" w:cs="Arial"/>
                <w:sz w:val="16"/>
                <w:szCs w:val="16"/>
              </w:rPr>
            </w:pPr>
            <w:r>
              <w:rPr>
                <w:rFonts w:ascii="Arial" w:eastAsia="Arial" w:hAnsi="Arial" w:cs="Arial"/>
                <w:sz w:val="16"/>
                <w:szCs w:val="16"/>
              </w:rPr>
              <w:t>Current review article.</w:t>
            </w:r>
          </w:p>
        </w:tc>
        <w:tc>
          <w:tcPr>
            <w:tcW w:w="1660" w:type="dxa"/>
          </w:tcPr>
          <w:p w14:paraId="0535C78C" w14:textId="77777777" w:rsidR="00EA293E" w:rsidRDefault="00000000">
            <w:pPr>
              <w:rPr>
                <w:rFonts w:ascii="Arial" w:eastAsia="Arial" w:hAnsi="Arial" w:cs="Arial"/>
                <w:sz w:val="16"/>
                <w:szCs w:val="16"/>
              </w:rPr>
            </w:pPr>
            <w:r>
              <w:rPr>
                <w:rFonts w:ascii="Arial" w:eastAsia="Arial" w:hAnsi="Arial" w:cs="Arial"/>
                <w:sz w:val="16"/>
                <w:szCs w:val="16"/>
              </w:rPr>
              <w:t>Frias_2025.pdf</w:t>
            </w:r>
          </w:p>
        </w:tc>
      </w:tr>
      <w:tr w:rsidR="00EA293E" w14:paraId="096EAF29" w14:textId="77777777">
        <w:tc>
          <w:tcPr>
            <w:tcW w:w="786" w:type="dxa"/>
          </w:tcPr>
          <w:p w14:paraId="3BCF5896" w14:textId="77777777" w:rsidR="00EA293E" w:rsidRDefault="00000000">
            <w:pPr>
              <w:rPr>
                <w:rFonts w:ascii="Arial" w:eastAsia="Arial" w:hAnsi="Arial" w:cs="Arial"/>
                <w:sz w:val="16"/>
                <w:szCs w:val="16"/>
              </w:rPr>
            </w:pPr>
            <w:r>
              <w:rPr>
                <w:rFonts w:ascii="Arial" w:eastAsia="Arial" w:hAnsi="Arial" w:cs="Arial"/>
                <w:sz w:val="16"/>
                <w:szCs w:val="16"/>
              </w:rPr>
              <w:t>Yes</w:t>
            </w:r>
          </w:p>
        </w:tc>
        <w:tc>
          <w:tcPr>
            <w:tcW w:w="1050" w:type="dxa"/>
          </w:tcPr>
          <w:p w14:paraId="1C863CC0" w14:textId="77777777" w:rsidR="00EA293E" w:rsidRDefault="00000000">
            <w:pPr>
              <w:rPr>
                <w:rFonts w:ascii="Arial" w:eastAsia="Arial" w:hAnsi="Arial" w:cs="Arial"/>
                <w:sz w:val="16"/>
                <w:szCs w:val="16"/>
              </w:rPr>
            </w:pPr>
            <w:r>
              <w:rPr>
                <w:rFonts w:ascii="Arial" w:eastAsia="Arial" w:hAnsi="Arial" w:cs="Arial"/>
                <w:sz w:val="16"/>
                <w:szCs w:val="16"/>
              </w:rPr>
              <w:t>Oprea et al. (2025)</w:t>
            </w:r>
          </w:p>
        </w:tc>
        <w:tc>
          <w:tcPr>
            <w:tcW w:w="1560" w:type="dxa"/>
          </w:tcPr>
          <w:p w14:paraId="64D54573" w14:textId="77777777" w:rsidR="00EA293E" w:rsidRDefault="00000000">
            <w:pPr>
              <w:rPr>
                <w:rFonts w:ascii="Arial" w:eastAsia="Arial" w:hAnsi="Arial" w:cs="Arial"/>
                <w:sz w:val="16"/>
                <w:szCs w:val="16"/>
              </w:rPr>
            </w:pPr>
            <w:r>
              <w:rPr>
                <w:rFonts w:ascii="Arial" w:eastAsia="Arial" w:hAnsi="Arial" w:cs="Arial"/>
                <w:sz w:val="16"/>
                <w:szCs w:val="16"/>
              </w:rPr>
              <w:t>Organisational determinants of resilience</w:t>
            </w:r>
          </w:p>
        </w:tc>
        <w:tc>
          <w:tcPr>
            <w:tcW w:w="2551" w:type="dxa"/>
          </w:tcPr>
          <w:p w14:paraId="64D6335A" w14:textId="77777777" w:rsidR="00EA293E" w:rsidRDefault="00000000">
            <w:pPr>
              <w:rPr>
                <w:rFonts w:ascii="Arial" w:eastAsia="Arial" w:hAnsi="Arial" w:cs="Arial"/>
                <w:sz w:val="16"/>
                <w:szCs w:val="16"/>
              </w:rPr>
            </w:pPr>
            <w:r>
              <w:rPr>
                <w:rFonts w:ascii="Arial" w:eastAsia="Arial" w:hAnsi="Arial" w:cs="Arial"/>
                <w:sz w:val="16"/>
                <w:szCs w:val="16"/>
              </w:rPr>
              <w:t>Scoping review focusing on leadership and organisational resilience.</w:t>
            </w:r>
          </w:p>
        </w:tc>
        <w:tc>
          <w:tcPr>
            <w:tcW w:w="1276" w:type="dxa"/>
          </w:tcPr>
          <w:p w14:paraId="087CF717" w14:textId="77777777" w:rsidR="00EA293E" w:rsidRDefault="00000000">
            <w:pPr>
              <w:rPr>
                <w:rFonts w:ascii="Arial" w:eastAsia="Arial" w:hAnsi="Arial" w:cs="Arial"/>
                <w:sz w:val="16"/>
                <w:szCs w:val="16"/>
              </w:rPr>
            </w:pPr>
            <w:r>
              <w:rPr>
                <w:rFonts w:ascii="Arial" w:eastAsia="Arial" w:hAnsi="Arial" w:cs="Arial"/>
                <w:sz w:val="16"/>
                <w:szCs w:val="16"/>
              </w:rPr>
              <w:t>Peer</w:t>
            </w:r>
            <w:r>
              <w:rPr>
                <w:rFonts w:ascii="Cambria Math" w:eastAsia="Cambria Math" w:hAnsi="Cambria Math" w:cs="Cambria Math"/>
                <w:sz w:val="16"/>
                <w:szCs w:val="16"/>
              </w:rPr>
              <w:t>‑</w:t>
            </w:r>
            <w:r>
              <w:rPr>
                <w:rFonts w:ascii="Arial" w:eastAsia="Arial" w:hAnsi="Arial" w:cs="Arial"/>
                <w:sz w:val="16"/>
                <w:szCs w:val="16"/>
              </w:rPr>
              <w:t>reviewed organisational research.</w:t>
            </w:r>
          </w:p>
        </w:tc>
        <w:tc>
          <w:tcPr>
            <w:tcW w:w="1660" w:type="dxa"/>
          </w:tcPr>
          <w:p w14:paraId="3D1FD657" w14:textId="77777777" w:rsidR="00EA293E" w:rsidRDefault="00000000">
            <w:pPr>
              <w:rPr>
                <w:rFonts w:ascii="Arial" w:eastAsia="Arial" w:hAnsi="Arial" w:cs="Arial"/>
                <w:sz w:val="16"/>
                <w:szCs w:val="16"/>
              </w:rPr>
            </w:pPr>
            <w:r>
              <w:rPr>
                <w:rFonts w:ascii="Arial" w:eastAsia="Arial" w:hAnsi="Arial" w:cs="Arial"/>
                <w:sz w:val="16"/>
                <w:szCs w:val="16"/>
              </w:rPr>
              <w:t>Oprea_2025.pdf</w:t>
            </w:r>
          </w:p>
        </w:tc>
      </w:tr>
      <w:tr w:rsidR="00EA293E" w14:paraId="6A5686E3" w14:textId="77777777">
        <w:tc>
          <w:tcPr>
            <w:tcW w:w="786" w:type="dxa"/>
          </w:tcPr>
          <w:p w14:paraId="76426C6B" w14:textId="77777777" w:rsidR="00EA293E" w:rsidRDefault="00000000">
            <w:pPr>
              <w:rPr>
                <w:rFonts w:ascii="Arial" w:eastAsia="Arial" w:hAnsi="Arial" w:cs="Arial"/>
                <w:sz w:val="16"/>
                <w:szCs w:val="16"/>
              </w:rPr>
            </w:pPr>
            <w:r>
              <w:rPr>
                <w:rFonts w:ascii="Arial" w:eastAsia="Arial" w:hAnsi="Arial" w:cs="Arial"/>
                <w:sz w:val="16"/>
                <w:szCs w:val="16"/>
              </w:rPr>
              <w:t>Yes</w:t>
            </w:r>
          </w:p>
        </w:tc>
        <w:tc>
          <w:tcPr>
            <w:tcW w:w="1050" w:type="dxa"/>
          </w:tcPr>
          <w:p w14:paraId="6D462B5F" w14:textId="77777777" w:rsidR="00EA293E" w:rsidRDefault="00000000">
            <w:pPr>
              <w:rPr>
                <w:rFonts w:ascii="Arial" w:eastAsia="Arial" w:hAnsi="Arial" w:cs="Arial"/>
                <w:sz w:val="16"/>
                <w:szCs w:val="16"/>
              </w:rPr>
            </w:pPr>
            <w:r>
              <w:rPr>
                <w:rFonts w:ascii="Arial" w:eastAsia="Arial" w:hAnsi="Arial" w:cs="Arial"/>
                <w:sz w:val="16"/>
                <w:szCs w:val="16"/>
              </w:rPr>
              <w:t>Lai et al. (2020)</w:t>
            </w:r>
          </w:p>
        </w:tc>
        <w:tc>
          <w:tcPr>
            <w:tcW w:w="1560" w:type="dxa"/>
          </w:tcPr>
          <w:p w14:paraId="37FAC7EF" w14:textId="77777777" w:rsidR="00EA293E" w:rsidRDefault="00000000">
            <w:pPr>
              <w:rPr>
                <w:rFonts w:ascii="Arial" w:eastAsia="Arial" w:hAnsi="Arial" w:cs="Arial"/>
                <w:sz w:val="16"/>
                <w:szCs w:val="16"/>
              </w:rPr>
            </w:pPr>
            <w:r>
              <w:rPr>
                <w:rFonts w:ascii="Arial" w:eastAsia="Arial" w:hAnsi="Arial" w:cs="Arial"/>
                <w:sz w:val="16"/>
                <w:szCs w:val="16"/>
              </w:rPr>
              <w:t>Mental health outcomes among healthcare workers</w:t>
            </w:r>
          </w:p>
        </w:tc>
        <w:tc>
          <w:tcPr>
            <w:tcW w:w="2551" w:type="dxa"/>
          </w:tcPr>
          <w:p w14:paraId="2AD4EF5F" w14:textId="77777777" w:rsidR="00EA293E" w:rsidRDefault="00000000">
            <w:pPr>
              <w:rPr>
                <w:rFonts w:ascii="Arial" w:eastAsia="Arial" w:hAnsi="Arial" w:cs="Arial"/>
                <w:sz w:val="16"/>
                <w:szCs w:val="16"/>
              </w:rPr>
            </w:pPr>
            <w:r>
              <w:rPr>
                <w:rFonts w:ascii="Arial" w:eastAsia="Arial" w:hAnsi="Arial" w:cs="Arial"/>
                <w:sz w:val="16"/>
                <w:szCs w:val="16"/>
              </w:rPr>
              <w:t>Large cross</w:t>
            </w:r>
            <w:r>
              <w:rPr>
                <w:rFonts w:ascii="Cambria Math" w:eastAsia="Cambria Math" w:hAnsi="Cambria Math" w:cs="Cambria Math"/>
                <w:sz w:val="16"/>
                <w:szCs w:val="16"/>
              </w:rPr>
              <w:t>‑</w:t>
            </w:r>
            <w:r>
              <w:rPr>
                <w:rFonts w:ascii="Arial" w:eastAsia="Arial" w:hAnsi="Arial" w:cs="Arial"/>
                <w:sz w:val="16"/>
                <w:szCs w:val="16"/>
              </w:rPr>
              <w:t>sectional study of anxiety and depression in frontline workers.</w:t>
            </w:r>
          </w:p>
        </w:tc>
        <w:tc>
          <w:tcPr>
            <w:tcW w:w="1276" w:type="dxa"/>
          </w:tcPr>
          <w:p w14:paraId="45EFD74B" w14:textId="77777777" w:rsidR="00EA293E" w:rsidRDefault="00000000">
            <w:pPr>
              <w:rPr>
                <w:rFonts w:ascii="Arial" w:eastAsia="Arial" w:hAnsi="Arial" w:cs="Arial"/>
                <w:sz w:val="16"/>
                <w:szCs w:val="16"/>
              </w:rPr>
            </w:pPr>
            <w:r>
              <w:rPr>
                <w:rFonts w:ascii="Arial" w:eastAsia="Arial" w:hAnsi="Arial" w:cs="Arial"/>
                <w:sz w:val="16"/>
                <w:szCs w:val="16"/>
              </w:rPr>
              <w:t>Large sample size.</w:t>
            </w:r>
          </w:p>
        </w:tc>
        <w:tc>
          <w:tcPr>
            <w:tcW w:w="1660" w:type="dxa"/>
          </w:tcPr>
          <w:p w14:paraId="1D23328A" w14:textId="77777777" w:rsidR="00EA293E" w:rsidRDefault="00000000">
            <w:pPr>
              <w:rPr>
                <w:rFonts w:ascii="Arial" w:eastAsia="Arial" w:hAnsi="Arial" w:cs="Arial"/>
                <w:sz w:val="16"/>
                <w:szCs w:val="16"/>
              </w:rPr>
            </w:pPr>
            <w:r>
              <w:rPr>
                <w:rFonts w:ascii="Arial" w:eastAsia="Arial" w:hAnsi="Arial" w:cs="Arial"/>
                <w:sz w:val="16"/>
                <w:szCs w:val="16"/>
              </w:rPr>
              <w:t>Lai_2020.pdf</w:t>
            </w:r>
          </w:p>
        </w:tc>
      </w:tr>
      <w:tr w:rsidR="00EA293E" w14:paraId="19434E0B" w14:textId="77777777">
        <w:tc>
          <w:tcPr>
            <w:tcW w:w="786" w:type="dxa"/>
          </w:tcPr>
          <w:p w14:paraId="1481997F" w14:textId="77777777" w:rsidR="00EA293E" w:rsidRDefault="00000000">
            <w:pPr>
              <w:rPr>
                <w:rFonts w:ascii="Arial" w:eastAsia="Arial" w:hAnsi="Arial" w:cs="Arial"/>
                <w:sz w:val="16"/>
                <w:szCs w:val="16"/>
              </w:rPr>
            </w:pPr>
            <w:r>
              <w:rPr>
                <w:rFonts w:ascii="Arial" w:eastAsia="Arial" w:hAnsi="Arial" w:cs="Arial"/>
                <w:sz w:val="16"/>
                <w:szCs w:val="16"/>
              </w:rPr>
              <w:t>Yes</w:t>
            </w:r>
          </w:p>
        </w:tc>
        <w:tc>
          <w:tcPr>
            <w:tcW w:w="1050" w:type="dxa"/>
          </w:tcPr>
          <w:p w14:paraId="4AEA473F" w14:textId="77777777" w:rsidR="00EA293E" w:rsidRDefault="00000000">
            <w:pPr>
              <w:rPr>
                <w:rFonts w:ascii="Arial" w:eastAsia="Arial" w:hAnsi="Arial" w:cs="Arial"/>
                <w:sz w:val="16"/>
                <w:szCs w:val="16"/>
              </w:rPr>
            </w:pPr>
            <w:r>
              <w:rPr>
                <w:rFonts w:ascii="Arial" w:eastAsia="Arial" w:hAnsi="Arial" w:cs="Arial"/>
                <w:sz w:val="16"/>
                <w:szCs w:val="16"/>
              </w:rPr>
              <w:t>Chew et al. (2020)</w:t>
            </w:r>
          </w:p>
        </w:tc>
        <w:tc>
          <w:tcPr>
            <w:tcW w:w="1560" w:type="dxa"/>
          </w:tcPr>
          <w:p w14:paraId="18BC18E0" w14:textId="77777777" w:rsidR="00EA293E" w:rsidRDefault="00000000">
            <w:pPr>
              <w:rPr>
                <w:rFonts w:ascii="Arial" w:eastAsia="Arial" w:hAnsi="Arial" w:cs="Arial"/>
                <w:sz w:val="16"/>
                <w:szCs w:val="16"/>
              </w:rPr>
            </w:pPr>
            <w:r>
              <w:rPr>
                <w:rFonts w:ascii="Arial" w:eastAsia="Arial" w:hAnsi="Arial" w:cs="Arial"/>
                <w:sz w:val="16"/>
                <w:szCs w:val="16"/>
              </w:rPr>
              <w:t>Psychological outcomes during COVID</w:t>
            </w:r>
            <w:r>
              <w:rPr>
                <w:rFonts w:ascii="Cambria Math" w:eastAsia="Cambria Math" w:hAnsi="Cambria Math" w:cs="Cambria Math"/>
                <w:sz w:val="16"/>
                <w:szCs w:val="16"/>
              </w:rPr>
              <w:t>‑</w:t>
            </w:r>
            <w:r>
              <w:rPr>
                <w:rFonts w:ascii="Arial" w:eastAsia="Arial" w:hAnsi="Arial" w:cs="Arial"/>
                <w:sz w:val="16"/>
                <w:szCs w:val="16"/>
              </w:rPr>
              <w:t>19</w:t>
            </w:r>
          </w:p>
        </w:tc>
        <w:tc>
          <w:tcPr>
            <w:tcW w:w="2551" w:type="dxa"/>
          </w:tcPr>
          <w:p w14:paraId="03130CD1" w14:textId="77777777" w:rsidR="00EA293E" w:rsidRDefault="00000000">
            <w:pPr>
              <w:rPr>
                <w:rFonts w:ascii="Arial" w:eastAsia="Arial" w:hAnsi="Arial" w:cs="Arial"/>
                <w:sz w:val="16"/>
                <w:szCs w:val="16"/>
              </w:rPr>
            </w:pPr>
            <w:r>
              <w:rPr>
                <w:rFonts w:ascii="Arial" w:eastAsia="Arial" w:hAnsi="Arial" w:cs="Arial"/>
                <w:sz w:val="16"/>
                <w:szCs w:val="16"/>
              </w:rPr>
              <w:t>Multinational study examining psychological distress in healthcare workers.</w:t>
            </w:r>
          </w:p>
        </w:tc>
        <w:tc>
          <w:tcPr>
            <w:tcW w:w="1276" w:type="dxa"/>
          </w:tcPr>
          <w:p w14:paraId="0CDF4D53" w14:textId="77777777" w:rsidR="00EA293E" w:rsidRDefault="00000000">
            <w:pPr>
              <w:rPr>
                <w:rFonts w:ascii="Arial" w:eastAsia="Arial" w:hAnsi="Arial" w:cs="Arial"/>
                <w:sz w:val="16"/>
                <w:szCs w:val="16"/>
              </w:rPr>
            </w:pPr>
            <w:r>
              <w:rPr>
                <w:rFonts w:ascii="Arial" w:eastAsia="Arial" w:hAnsi="Arial" w:cs="Arial"/>
                <w:sz w:val="16"/>
                <w:szCs w:val="16"/>
              </w:rPr>
              <w:t>Highly cited research.</w:t>
            </w:r>
          </w:p>
        </w:tc>
        <w:tc>
          <w:tcPr>
            <w:tcW w:w="1660" w:type="dxa"/>
          </w:tcPr>
          <w:p w14:paraId="6DA620C0" w14:textId="77777777" w:rsidR="00EA293E" w:rsidRDefault="00000000">
            <w:pPr>
              <w:rPr>
                <w:rFonts w:ascii="Arial" w:eastAsia="Arial" w:hAnsi="Arial" w:cs="Arial"/>
                <w:sz w:val="16"/>
                <w:szCs w:val="16"/>
              </w:rPr>
            </w:pPr>
            <w:r>
              <w:rPr>
                <w:rFonts w:ascii="Arial" w:eastAsia="Arial" w:hAnsi="Arial" w:cs="Arial"/>
                <w:sz w:val="16"/>
                <w:szCs w:val="16"/>
              </w:rPr>
              <w:t>Chew_2020.pdf</w:t>
            </w:r>
          </w:p>
        </w:tc>
      </w:tr>
    </w:tbl>
    <w:p w14:paraId="4615C0B5" w14:textId="77777777" w:rsidR="00EA293E" w:rsidRDefault="00000000">
      <w:pPr>
        <w:pStyle w:val="Heading1"/>
        <w:rPr>
          <w:rFonts w:ascii="Arial" w:eastAsia="Arial" w:hAnsi="Arial" w:cs="Arial"/>
          <w:color w:val="000000"/>
          <w:sz w:val="22"/>
          <w:szCs w:val="22"/>
        </w:rPr>
      </w:pPr>
      <w:r>
        <w:rPr>
          <w:rFonts w:ascii="Arial" w:eastAsia="Arial" w:hAnsi="Arial" w:cs="Arial"/>
          <w:color w:val="000000"/>
          <w:sz w:val="22"/>
          <w:szCs w:val="22"/>
        </w:rPr>
        <w:t>Appendix-B Results Summary Table</w:t>
      </w:r>
    </w:p>
    <w:tbl>
      <w:tblPr>
        <w:tblStyle w:val="a1"/>
        <w:tblW w:w="89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80"/>
        <w:gridCol w:w="1124"/>
        <w:gridCol w:w="1080"/>
        <w:gridCol w:w="1088"/>
        <w:gridCol w:w="1133"/>
        <w:gridCol w:w="1248"/>
        <w:gridCol w:w="1133"/>
        <w:gridCol w:w="1080"/>
      </w:tblGrid>
      <w:tr w:rsidR="00EA293E" w14:paraId="1451901B" w14:textId="77777777">
        <w:tc>
          <w:tcPr>
            <w:tcW w:w="1080" w:type="dxa"/>
          </w:tcPr>
          <w:p w14:paraId="4B8EA8E2" w14:textId="77777777" w:rsidR="00EA293E" w:rsidRDefault="00000000">
            <w:pPr>
              <w:rPr>
                <w:rFonts w:ascii="Arial" w:eastAsia="Arial" w:hAnsi="Arial" w:cs="Arial"/>
                <w:b/>
                <w:sz w:val="16"/>
                <w:szCs w:val="16"/>
              </w:rPr>
            </w:pPr>
            <w:r>
              <w:rPr>
                <w:rFonts w:ascii="Arial" w:eastAsia="Arial" w:hAnsi="Arial" w:cs="Arial"/>
                <w:b/>
                <w:sz w:val="16"/>
                <w:szCs w:val="16"/>
              </w:rPr>
              <w:t>Author &amp; Year</w:t>
            </w:r>
          </w:p>
        </w:tc>
        <w:tc>
          <w:tcPr>
            <w:tcW w:w="1124" w:type="dxa"/>
          </w:tcPr>
          <w:p w14:paraId="3AF1CABB" w14:textId="77777777" w:rsidR="00EA293E" w:rsidRDefault="00000000">
            <w:pPr>
              <w:rPr>
                <w:rFonts w:ascii="Arial" w:eastAsia="Arial" w:hAnsi="Arial" w:cs="Arial"/>
                <w:b/>
                <w:sz w:val="16"/>
                <w:szCs w:val="16"/>
              </w:rPr>
            </w:pPr>
            <w:r>
              <w:rPr>
                <w:rFonts w:ascii="Arial" w:eastAsia="Arial" w:hAnsi="Arial" w:cs="Arial"/>
                <w:b/>
                <w:sz w:val="16"/>
                <w:szCs w:val="16"/>
              </w:rPr>
              <w:t>Article Title</w:t>
            </w:r>
          </w:p>
        </w:tc>
        <w:tc>
          <w:tcPr>
            <w:tcW w:w="1080" w:type="dxa"/>
          </w:tcPr>
          <w:p w14:paraId="68FB3F99" w14:textId="77777777" w:rsidR="00EA293E" w:rsidRDefault="00000000">
            <w:pPr>
              <w:rPr>
                <w:rFonts w:ascii="Arial" w:eastAsia="Arial" w:hAnsi="Arial" w:cs="Arial"/>
                <w:b/>
                <w:sz w:val="16"/>
                <w:szCs w:val="16"/>
              </w:rPr>
            </w:pPr>
            <w:r>
              <w:rPr>
                <w:rFonts w:ascii="Arial" w:eastAsia="Arial" w:hAnsi="Arial" w:cs="Arial"/>
                <w:b/>
                <w:sz w:val="16"/>
                <w:szCs w:val="16"/>
              </w:rPr>
              <w:t>Type of Study</w:t>
            </w:r>
          </w:p>
        </w:tc>
        <w:tc>
          <w:tcPr>
            <w:tcW w:w="1088" w:type="dxa"/>
          </w:tcPr>
          <w:p w14:paraId="09C3BE5B" w14:textId="77777777" w:rsidR="00EA293E" w:rsidRDefault="00000000">
            <w:pPr>
              <w:rPr>
                <w:rFonts w:ascii="Arial" w:eastAsia="Arial" w:hAnsi="Arial" w:cs="Arial"/>
                <w:b/>
                <w:sz w:val="16"/>
                <w:szCs w:val="16"/>
              </w:rPr>
            </w:pPr>
            <w:r>
              <w:rPr>
                <w:rFonts w:ascii="Arial" w:eastAsia="Arial" w:hAnsi="Arial" w:cs="Arial"/>
                <w:b/>
                <w:sz w:val="16"/>
                <w:szCs w:val="16"/>
              </w:rPr>
              <w:t>Research Method &amp; Sample Size</w:t>
            </w:r>
          </w:p>
        </w:tc>
        <w:tc>
          <w:tcPr>
            <w:tcW w:w="1133" w:type="dxa"/>
          </w:tcPr>
          <w:p w14:paraId="356A6082" w14:textId="77777777" w:rsidR="00EA293E" w:rsidRDefault="00000000">
            <w:pPr>
              <w:rPr>
                <w:rFonts w:ascii="Arial" w:eastAsia="Arial" w:hAnsi="Arial" w:cs="Arial"/>
                <w:b/>
                <w:sz w:val="16"/>
                <w:szCs w:val="16"/>
              </w:rPr>
            </w:pPr>
            <w:r>
              <w:rPr>
                <w:rFonts w:ascii="Arial" w:eastAsia="Arial" w:hAnsi="Arial" w:cs="Arial"/>
                <w:b/>
                <w:sz w:val="16"/>
                <w:szCs w:val="16"/>
              </w:rPr>
              <w:t>Strengths &amp; Limitations</w:t>
            </w:r>
          </w:p>
        </w:tc>
        <w:tc>
          <w:tcPr>
            <w:tcW w:w="1248" w:type="dxa"/>
          </w:tcPr>
          <w:p w14:paraId="4D051E96" w14:textId="77777777" w:rsidR="00EA293E" w:rsidRDefault="00000000">
            <w:pPr>
              <w:rPr>
                <w:rFonts w:ascii="Arial" w:eastAsia="Arial" w:hAnsi="Arial" w:cs="Arial"/>
                <w:b/>
                <w:sz w:val="16"/>
                <w:szCs w:val="16"/>
              </w:rPr>
            </w:pPr>
            <w:r>
              <w:rPr>
                <w:rFonts w:ascii="Arial" w:eastAsia="Arial" w:hAnsi="Arial" w:cs="Arial"/>
                <w:b/>
                <w:sz w:val="16"/>
                <w:szCs w:val="16"/>
              </w:rPr>
              <w:t>Main Findings</w:t>
            </w:r>
          </w:p>
        </w:tc>
        <w:tc>
          <w:tcPr>
            <w:tcW w:w="1133" w:type="dxa"/>
          </w:tcPr>
          <w:p w14:paraId="587345A5" w14:textId="77777777" w:rsidR="00EA293E" w:rsidRDefault="00000000">
            <w:pPr>
              <w:rPr>
                <w:rFonts w:ascii="Arial" w:eastAsia="Arial" w:hAnsi="Arial" w:cs="Arial"/>
                <w:b/>
                <w:sz w:val="16"/>
                <w:szCs w:val="16"/>
              </w:rPr>
            </w:pPr>
            <w:r>
              <w:rPr>
                <w:rFonts w:ascii="Arial" w:eastAsia="Arial" w:hAnsi="Arial" w:cs="Arial"/>
                <w:b/>
                <w:sz w:val="16"/>
                <w:szCs w:val="16"/>
              </w:rPr>
              <w:t>Keywords &amp; Codes</w:t>
            </w:r>
          </w:p>
        </w:tc>
        <w:tc>
          <w:tcPr>
            <w:tcW w:w="1080" w:type="dxa"/>
          </w:tcPr>
          <w:p w14:paraId="5943AD05" w14:textId="77777777" w:rsidR="00EA293E" w:rsidRDefault="00000000">
            <w:pPr>
              <w:rPr>
                <w:rFonts w:ascii="Arial" w:eastAsia="Arial" w:hAnsi="Arial" w:cs="Arial"/>
                <w:b/>
                <w:sz w:val="16"/>
                <w:szCs w:val="16"/>
              </w:rPr>
            </w:pPr>
            <w:r>
              <w:rPr>
                <w:rFonts w:ascii="Arial" w:eastAsia="Arial" w:hAnsi="Arial" w:cs="Arial"/>
                <w:b/>
                <w:sz w:val="16"/>
                <w:szCs w:val="16"/>
              </w:rPr>
              <w:t>Notes</w:t>
            </w:r>
          </w:p>
        </w:tc>
      </w:tr>
      <w:tr w:rsidR="00EA293E" w14:paraId="559BF78B" w14:textId="77777777">
        <w:tc>
          <w:tcPr>
            <w:tcW w:w="1080" w:type="dxa"/>
          </w:tcPr>
          <w:p w14:paraId="181215E1" w14:textId="77777777" w:rsidR="00EA293E" w:rsidRDefault="00000000">
            <w:pPr>
              <w:rPr>
                <w:rFonts w:ascii="Arial" w:eastAsia="Arial" w:hAnsi="Arial" w:cs="Arial"/>
                <w:sz w:val="16"/>
                <w:szCs w:val="16"/>
              </w:rPr>
            </w:pPr>
            <w:r>
              <w:rPr>
                <w:rFonts w:ascii="Arial" w:eastAsia="Arial" w:hAnsi="Arial" w:cs="Arial"/>
                <w:sz w:val="16"/>
                <w:szCs w:val="16"/>
              </w:rPr>
              <w:t>Rossi et al. (2023)</w:t>
            </w:r>
          </w:p>
        </w:tc>
        <w:tc>
          <w:tcPr>
            <w:tcW w:w="1124" w:type="dxa"/>
          </w:tcPr>
          <w:p w14:paraId="08DE29D0" w14:textId="77777777" w:rsidR="00EA293E" w:rsidRDefault="00000000">
            <w:pPr>
              <w:rPr>
                <w:rFonts w:ascii="Arial" w:eastAsia="Arial" w:hAnsi="Arial" w:cs="Arial"/>
                <w:sz w:val="16"/>
                <w:szCs w:val="16"/>
              </w:rPr>
            </w:pPr>
            <w:r>
              <w:rPr>
                <w:rFonts w:ascii="Arial" w:eastAsia="Arial" w:hAnsi="Arial" w:cs="Arial"/>
                <w:sz w:val="16"/>
                <w:szCs w:val="16"/>
              </w:rPr>
              <w:t>Coping with burnout</w:t>
            </w:r>
          </w:p>
        </w:tc>
        <w:tc>
          <w:tcPr>
            <w:tcW w:w="1080" w:type="dxa"/>
          </w:tcPr>
          <w:p w14:paraId="4DF6D891" w14:textId="77777777" w:rsidR="00EA293E" w:rsidRDefault="00000000">
            <w:pPr>
              <w:rPr>
                <w:rFonts w:ascii="Arial" w:eastAsia="Arial" w:hAnsi="Arial" w:cs="Arial"/>
                <w:sz w:val="16"/>
                <w:szCs w:val="16"/>
              </w:rPr>
            </w:pPr>
            <w:r>
              <w:rPr>
                <w:rFonts w:ascii="Arial" w:eastAsia="Arial" w:hAnsi="Arial" w:cs="Arial"/>
                <w:sz w:val="16"/>
                <w:szCs w:val="16"/>
              </w:rPr>
              <w:t>Scoping review</w:t>
            </w:r>
          </w:p>
        </w:tc>
        <w:tc>
          <w:tcPr>
            <w:tcW w:w="1088" w:type="dxa"/>
          </w:tcPr>
          <w:p w14:paraId="11DF21DF" w14:textId="77777777" w:rsidR="00EA293E" w:rsidRDefault="00000000">
            <w:pPr>
              <w:rPr>
                <w:rFonts w:ascii="Arial" w:eastAsia="Arial" w:hAnsi="Arial" w:cs="Arial"/>
                <w:sz w:val="16"/>
                <w:szCs w:val="16"/>
              </w:rPr>
            </w:pPr>
            <w:r>
              <w:rPr>
                <w:rFonts w:ascii="Arial" w:eastAsia="Arial" w:hAnsi="Arial" w:cs="Arial"/>
                <w:sz w:val="16"/>
                <w:szCs w:val="16"/>
              </w:rPr>
              <w:t>Review of international studies</w:t>
            </w:r>
          </w:p>
        </w:tc>
        <w:tc>
          <w:tcPr>
            <w:tcW w:w="1133" w:type="dxa"/>
          </w:tcPr>
          <w:p w14:paraId="382330C5" w14:textId="77777777" w:rsidR="00EA293E" w:rsidRDefault="00000000">
            <w:pPr>
              <w:rPr>
                <w:rFonts w:ascii="Arial" w:eastAsia="Arial" w:hAnsi="Arial" w:cs="Arial"/>
                <w:sz w:val="16"/>
                <w:szCs w:val="16"/>
              </w:rPr>
            </w:pPr>
            <w:r>
              <w:rPr>
                <w:rFonts w:ascii="Arial" w:eastAsia="Arial" w:hAnsi="Arial" w:cs="Arial"/>
                <w:sz w:val="16"/>
                <w:szCs w:val="16"/>
              </w:rPr>
              <w:t>Wide evidence base; mixed study quality</w:t>
            </w:r>
          </w:p>
        </w:tc>
        <w:tc>
          <w:tcPr>
            <w:tcW w:w="1248" w:type="dxa"/>
          </w:tcPr>
          <w:p w14:paraId="3912B75B" w14:textId="77777777" w:rsidR="00EA293E" w:rsidRDefault="00000000">
            <w:pPr>
              <w:rPr>
                <w:rFonts w:ascii="Arial" w:eastAsia="Arial" w:hAnsi="Arial" w:cs="Arial"/>
                <w:sz w:val="16"/>
                <w:szCs w:val="16"/>
              </w:rPr>
            </w:pPr>
            <w:r>
              <w:rPr>
                <w:rFonts w:ascii="Arial" w:eastAsia="Arial" w:hAnsi="Arial" w:cs="Arial"/>
                <w:sz w:val="16"/>
                <w:szCs w:val="16"/>
              </w:rPr>
              <w:t>Burnout widely reported among HCWs</w:t>
            </w:r>
          </w:p>
        </w:tc>
        <w:tc>
          <w:tcPr>
            <w:tcW w:w="1133" w:type="dxa"/>
          </w:tcPr>
          <w:p w14:paraId="1E10E3F8" w14:textId="77777777" w:rsidR="00EA293E" w:rsidRDefault="00000000">
            <w:pPr>
              <w:rPr>
                <w:rFonts w:ascii="Arial" w:eastAsia="Arial" w:hAnsi="Arial" w:cs="Arial"/>
                <w:sz w:val="16"/>
                <w:szCs w:val="16"/>
              </w:rPr>
            </w:pPr>
            <w:r>
              <w:rPr>
                <w:rFonts w:ascii="Arial" w:eastAsia="Arial" w:hAnsi="Arial" w:cs="Arial"/>
                <w:sz w:val="16"/>
                <w:szCs w:val="16"/>
              </w:rPr>
              <w:t>burnout, coping</w:t>
            </w:r>
          </w:p>
        </w:tc>
        <w:tc>
          <w:tcPr>
            <w:tcW w:w="1080" w:type="dxa"/>
          </w:tcPr>
          <w:p w14:paraId="090666A2" w14:textId="77777777" w:rsidR="00EA293E" w:rsidRDefault="00000000">
            <w:pPr>
              <w:rPr>
                <w:rFonts w:ascii="Arial" w:eastAsia="Arial" w:hAnsi="Arial" w:cs="Arial"/>
                <w:sz w:val="16"/>
                <w:szCs w:val="16"/>
              </w:rPr>
            </w:pPr>
            <w:r>
              <w:rPr>
                <w:rFonts w:ascii="Arial" w:eastAsia="Arial" w:hAnsi="Arial" w:cs="Arial"/>
                <w:sz w:val="16"/>
                <w:szCs w:val="16"/>
              </w:rPr>
              <w:t>Theme: Burnout</w:t>
            </w:r>
          </w:p>
        </w:tc>
      </w:tr>
      <w:tr w:rsidR="00EA293E" w14:paraId="0E895B47" w14:textId="77777777">
        <w:tc>
          <w:tcPr>
            <w:tcW w:w="1080" w:type="dxa"/>
          </w:tcPr>
          <w:p w14:paraId="5B746D28" w14:textId="77777777" w:rsidR="00EA293E" w:rsidRDefault="00000000">
            <w:pPr>
              <w:rPr>
                <w:rFonts w:ascii="Arial" w:eastAsia="Arial" w:hAnsi="Arial" w:cs="Arial"/>
                <w:sz w:val="16"/>
                <w:szCs w:val="16"/>
              </w:rPr>
            </w:pPr>
            <w:r>
              <w:rPr>
                <w:rFonts w:ascii="Arial" w:eastAsia="Arial" w:hAnsi="Arial" w:cs="Arial"/>
                <w:sz w:val="16"/>
                <w:szCs w:val="16"/>
              </w:rPr>
              <w:t>Maunder et al. (2024)</w:t>
            </w:r>
          </w:p>
        </w:tc>
        <w:tc>
          <w:tcPr>
            <w:tcW w:w="1124" w:type="dxa"/>
          </w:tcPr>
          <w:p w14:paraId="1C8C7352" w14:textId="77777777" w:rsidR="00EA293E" w:rsidRDefault="00000000">
            <w:pPr>
              <w:rPr>
                <w:rFonts w:ascii="Arial" w:eastAsia="Arial" w:hAnsi="Arial" w:cs="Arial"/>
                <w:sz w:val="16"/>
                <w:szCs w:val="16"/>
              </w:rPr>
            </w:pPr>
            <w:r>
              <w:rPr>
                <w:rFonts w:ascii="Arial" w:eastAsia="Arial" w:hAnsi="Arial" w:cs="Arial"/>
                <w:sz w:val="16"/>
                <w:szCs w:val="16"/>
              </w:rPr>
              <w:t>Hospital workers mental health</w:t>
            </w:r>
          </w:p>
        </w:tc>
        <w:tc>
          <w:tcPr>
            <w:tcW w:w="1080" w:type="dxa"/>
          </w:tcPr>
          <w:p w14:paraId="5330D7D2" w14:textId="77777777" w:rsidR="00EA293E" w:rsidRDefault="00000000">
            <w:pPr>
              <w:rPr>
                <w:rFonts w:ascii="Arial" w:eastAsia="Arial" w:hAnsi="Arial" w:cs="Arial"/>
                <w:sz w:val="16"/>
                <w:szCs w:val="16"/>
              </w:rPr>
            </w:pPr>
            <w:r>
              <w:rPr>
                <w:rFonts w:ascii="Arial" w:eastAsia="Arial" w:hAnsi="Arial" w:cs="Arial"/>
                <w:sz w:val="16"/>
                <w:szCs w:val="16"/>
              </w:rPr>
              <w:t>Longitudinal</w:t>
            </w:r>
          </w:p>
        </w:tc>
        <w:tc>
          <w:tcPr>
            <w:tcW w:w="1088" w:type="dxa"/>
          </w:tcPr>
          <w:p w14:paraId="13D474A0" w14:textId="77777777" w:rsidR="00EA293E" w:rsidRDefault="00000000">
            <w:pPr>
              <w:rPr>
                <w:rFonts w:ascii="Arial" w:eastAsia="Arial" w:hAnsi="Arial" w:cs="Arial"/>
                <w:sz w:val="16"/>
                <w:szCs w:val="16"/>
              </w:rPr>
            </w:pPr>
            <w:r>
              <w:rPr>
                <w:rFonts w:ascii="Arial" w:eastAsia="Arial" w:hAnsi="Arial" w:cs="Arial"/>
                <w:sz w:val="16"/>
                <w:szCs w:val="16"/>
              </w:rPr>
              <w:t>Hospital staff followed 3 years</w:t>
            </w:r>
          </w:p>
        </w:tc>
        <w:tc>
          <w:tcPr>
            <w:tcW w:w="1133" w:type="dxa"/>
          </w:tcPr>
          <w:p w14:paraId="588ACFBA" w14:textId="77777777" w:rsidR="00EA293E" w:rsidRDefault="00000000">
            <w:pPr>
              <w:rPr>
                <w:rFonts w:ascii="Arial" w:eastAsia="Arial" w:hAnsi="Arial" w:cs="Arial"/>
                <w:sz w:val="16"/>
                <w:szCs w:val="16"/>
              </w:rPr>
            </w:pPr>
            <w:r>
              <w:rPr>
                <w:rFonts w:ascii="Arial" w:eastAsia="Arial" w:hAnsi="Arial" w:cs="Arial"/>
                <w:sz w:val="16"/>
                <w:szCs w:val="16"/>
              </w:rPr>
              <w:t>Long</w:t>
            </w:r>
            <w:r>
              <w:rPr>
                <w:rFonts w:ascii="Cambria Math" w:eastAsia="Cambria Math" w:hAnsi="Cambria Math" w:cs="Cambria Math"/>
                <w:sz w:val="16"/>
                <w:szCs w:val="16"/>
              </w:rPr>
              <w:t>‑</w:t>
            </w:r>
            <w:r>
              <w:rPr>
                <w:rFonts w:ascii="Arial" w:eastAsia="Arial" w:hAnsi="Arial" w:cs="Arial"/>
                <w:sz w:val="16"/>
                <w:szCs w:val="16"/>
              </w:rPr>
              <w:t>term data; hospital sample</w:t>
            </w:r>
          </w:p>
        </w:tc>
        <w:tc>
          <w:tcPr>
            <w:tcW w:w="1248" w:type="dxa"/>
          </w:tcPr>
          <w:p w14:paraId="604FF5D9" w14:textId="77777777" w:rsidR="00EA293E" w:rsidRDefault="00000000">
            <w:pPr>
              <w:rPr>
                <w:rFonts w:ascii="Arial" w:eastAsia="Arial" w:hAnsi="Arial" w:cs="Arial"/>
                <w:sz w:val="16"/>
                <w:szCs w:val="16"/>
              </w:rPr>
            </w:pPr>
            <w:r>
              <w:rPr>
                <w:rFonts w:ascii="Arial" w:eastAsia="Arial" w:hAnsi="Arial" w:cs="Arial"/>
                <w:sz w:val="16"/>
                <w:szCs w:val="16"/>
              </w:rPr>
              <w:t>Distress remained high after pandemic peak</w:t>
            </w:r>
          </w:p>
        </w:tc>
        <w:tc>
          <w:tcPr>
            <w:tcW w:w="1133" w:type="dxa"/>
          </w:tcPr>
          <w:p w14:paraId="76977985" w14:textId="77777777" w:rsidR="00EA293E" w:rsidRDefault="00000000">
            <w:pPr>
              <w:rPr>
                <w:rFonts w:ascii="Arial" w:eastAsia="Arial" w:hAnsi="Arial" w:cs="Arial"/>
                <w:sz w:val="16"/>
                <w:szCs w:val="16"/>
              </w:rPr>
            </w:pPr>
            <w:r>
              <w:rPr>
                <w:rFonts w:ascii="Arial" w:eastAsia="Arial" w:hAnsi="Arial" w:cs="Arial"/>
                <w:sz w:val="16"/>
                <w:szCs w:val="16"/>
              </w:rPr>
              <w:t>burnout, stress</w:t>
            </w:r>
          </w:p>
        </w:tc>
        <w:tc>
          <w:tcPr>
            <w:tcW w:w="1080" w:type="dxa"/>
          </w:tcPr>
          <w:p w14:paraId="2C1DCE8A" w14:textId="77777777" w:rsidR="00EA293E" w:rsidRDefault="00000000">
            <w:pPr>
              <w:rPr>
                <w:rFonts w:ascii="Arial" w:eastAsia="Arial" w:hAnsi="Arial" w:cs="Arial"/>
                <w:sz w:val="16"/>
                <w:szCs w:val="16"/>
              </w:rPr>
            </w:pPr>
            <w:r>
              <w:rPr>
                <w:rFonts w:ascii="Arial" w:eastAsia="Arial" w:hAnsi="Arial" w:cs="Arial"/>
                <w:sz w:val="16"/>
                <w:szCs w:val="16"/>
              </w:rPr>
              <w:t>Theme: Long</w:t>
            </w:r>
            <w:r>
              <w:rPr>
                <w:rFonts w:ascii="Cambria Math" w:eastAsia="Cambria Math" w:hAnsi="Cambria Math" w:cs="Cambria Math"/>
                <w:sz w:val="16"/>
                <w:szCs w:val="16"/>
              </w:rPr>
              <w:t>‑</w:t>
            </w:r>
            <w:r>
              <w:rPr>
                <w:rFonts w:ascii="Arial" w:eastAsia="Arial" w:hAnsi="Arial" w:cs="Arial"/>
                <w:sz w:val="16"/>
                <w:szCs w:val="16"/>
              </w:rPr>
              <w:t>term impact</w:t>
            </w:r>
          </w:p>
        </w:tc>
      </w:tr>
      <w:tr w:rsidR="00EA293E" w14:paraId="41874E25" w14:textId="77777777">
        <w:tc>
          <w:tcPr>
            <w:tcW w:w="1080" w:type="dxa"/>
          </w:tcPr>
          <w:p w14:paraId="467F6FC9" w14:textId="77777777" w:rsidR="00EA293E" w:rsidRDefault="00000000">
            <w:pPr>
              <w:rPr>
                <w:rFonts w:ascii="Arial" w:eastAsia="Arial" w:hAnsi="Arial" w:cs="Arial"/>
                <w:sz w:val="16"/>
                <w:szCs w:val="16"/>
              </w:rPr>
            </w:pPr>
            <w:r>
              <w:rPr>
                <w:rFonts w:ascii="Arial" w:eastAsia="Arial" w:hAnsi="Arial" w:cs="Arial"/>
                <w:sz w:val="16"/>
                <w:szCs w:val="16"/>
              </w:rPr>
              <w:t>Anger et al. (2024)</w:t>
            </w:r>
          </w:p>
        </w:tc>
        <w:tc>
          <w:tcPr>
            <w:tcW w:w="1124" w:type="dxa"/>
          </w:tcPr>
          <w:p w14:paraId="21F04651" w14:textId="77777777" w:rsidR="00EA293E" w:rsidRDefault="00000000">
            <w:pPr>
              <w:rPr>
                <w:rFonts w:ascii="Arial" w:eastAsia="Arial" w:hAnsi="Arial" w:cs="Arial"/>
                <w:sz w:val="16"/>
                <w:szCs w:val="16"/>
              </w:rPr>
            </w:pPr>
            <w:r>
              <w:rPr>
                <w:rFonts w:ascii="Arial" w:eastAsia="Arial" w:hAnsi="Arial" w:cs="Arial"/>
                <w:sz w:val="16"/>
                <w:szCs w:val="16"/>
              </w:rPr>
              <w:t>Mental health interventions</w:t>
            </w:r>
          </w:p>
        </w:tc>
        <w:tc>
          <w:tcPr>
            <w:tcW w:w="1080" w:type="dxa"/>
          </w:tcPr>
          <w:p w14:paraId="19C6522B" w14:textId="77777777" w:rsidR="00EA293E" w:rsidRDefault="00000000">
            <w:pPr>
              <w:rPr>
                <w:rFonts w:ascii="Arial" w:eastAsia="Arial" w:hAnsi="Arial" w:cs="Arial"/>
                <w:sz w:val="16"/>
                <w:szCs w:val="16"/>
              </w:rPr>
            </w:pPr>
            <w:r>
              <w:rPr>
                <w:rFonts w:ascii="Arial" w:eastAsia="Arial" w:hAnsi="Arial" w:cs="Arial"/>
                <w:sz w:val="16"/>
                <w:szCs w:val="16"/>
              </w:rPr>
              <w:t>Systematic review</w:t>
            </w:r>
          </w:p>
        </w:tc>
        <w:tc>
          <w:tcPr>
            <w:tcW w:w="1088" w:type="dxa"/>
          </w:tcPr>
          <w:p w14:paraId="684AECB2" w14:textId="77777777" w:rsidR="00EA293E" w:rsidRDefault="00000000">
            <w:pPr>
              <w:rPr>
                <w:rFonts w:ascii="Arial" w:eastAsia="Arial" w:hAnsi="Arial" w:cs="Arial"/>
                <w:sz w:val="16"/>
                <w:szCs w:val="16"/>
              </w:rPr>
            </w:pPr>
            <w:r>
              <w:rPr>
                <w:rFonts w:ascii="Arial" w:eastAsia="Arial" w:hAnsi="Arial" w:cs="Arial"/>
                <w:sz w:val="16"/>
                <w:szCs w:val="16"/>
              </w:rPr>
              <w:t>Review of intervention studies</w:t>
            </w:r>
          </w:p>
        </w:tc>
        <w:tc>
          <w:tcPr>
            <w:tcW w:w="1133" w:type="dxa"/>
          </w:tcPr>
          <w:p w14:paraId="1D6767E5" w14:textId="77777777" w:rsidR="00EA293E" w:rsidRDefault="00000000">
            <w:pPr>
              <w:rPr>
                <w:rFonts w:ascii="Arial" w:eastAsia="Arial" w:hAnsi="Arial" w:cs="Arial"/>
                <w:sz w:val="16"/>
                <w:szCs w:val="16"/>
              </w:rPr>
            </w:pPr>
            <w:r>
              <w:rPr>
                <w:rFonts w:ascii="Arial" w:eastAsia="Arial" w:hAnsi="Arial" w:cs="Arial"/>
                <w:sz w:val="16"/>
                <w:szCs w:val="16"/>
              </w:rPr>
              <w:t>Strong methodology</w:t>
            </w:r>
          </w:p>
        </w:tc>
        <w:tc>
          <w:tcPr>
            <w:tcW w:w="1248" w:type="dxa"/>
          </w:tcPr>
          <w:p w14:paraId="23098001" w14:textId="77777777" w:rsidR="00EA293E" w:rsidRDefault="00000000">
            <w:pPr>
              <w:rPr>
                <w:rFonts w:ascii="Arial" w:eastAsia="Arial" w:hAnsi="Arial" w:cs="Arial"/>
                <w:sz w:val="16"/>
                <w:szCs w:val="16"/>
              </w:rPr>
            </w:pPr>
            <w:r>
              <w:rPr>
                <w:rFonts w:ascii="Arial" w:eastAsia="Arial" w:hAnsi="Arial" w:cs="Arial"/>
                <w:sz w:val="16"/>
                <w:szCs w:val="16"/>
              </w:rPr>
              <w:t>Organisational interventions effective</w:t>
            </w:r>
          </w:p>
        </w:tc>
        <w:tc>
          <w:tcPr>
            <w:tcW w:w="1133" w:type="dxa"/>
          </w:tcPr>
          <w:p w14:paraId="3E80689A" w14:textId="77777777" w:rsidR="00EA293E" w:rsidRDefault="00000000">
            <w:pPr>
              <w:rPr>
                <w:rFonts w:ascii="Arial" w:eastAsia="Arial" w:hAnsi="Arial" w:cs="Arial"/>
                <w:sz w:val="16"/>
                <w:szCs w:val="16"/>
              </w:rPr>
            </w:pPr>
            <w:r>
              <w:rPr>
                <w:rFonts w:ascii="Arial" w:eastAsia="Arial" w:hAnsi="Arial" w:cs="Arial"/>
                <w:sz w:val="16"/>
                <w:szCs w:val="16"/>
              </w:rPr>
              <w:t>organisation, support</w:t>
            </w:r>
          </w:p>
        </w:tc>
        <w:tc>
          <w:tcPr>
            <w:tcW w:w="1080" w:type="dxa"/>
          </w:tcPr>
          <w:p w14:paraId="5F39A54C" w14:textId="77777777" w:rsidR="00EA293E" w:rsidRDefault="00000000">
            <w:pPr>
              <w:rPr>
                <w:rFonts w:ascii="Arial" w:eastAsia="Arial" w:hAnsi="Arial" w:cs="Arial"/>
                <w:sz w:val="16"/>
                <w:szCs w:val="16"/>
              </w:rPr>
            </w:pPr>
            <w:r>
              <w:rPr>
                <w:rFonts w:ascii="Arial" w:eastAsia="Arial" w:hAnsi="Arial" w:cs="Arial"/>
                <w:sz w:val="16"/>
                <w:szCs w:val="16"/>
              </w:rPr>
              <w:t>Theme: Leadership</w:t>
            </w:r>
          </w:p>
        </w:tc>
      </w:tr>
      <w:tr w:rsidR="00EA293E" w14:paraId="211427EE" w14:textId="77777777">
        <w:tc>
          <w:tcPr>
            <w:tcW w:w="1080" w:type="dxa"/>
          </w:tcPr>
          <w:p w14:paraId="7ECDACBE" w14:textId="77777777" w:rsidR="00EA293E" w:rsidRDefault="00000000">
            <w:pPr>
              <w:rPr>
                <w:rFonts w:ascii="Arial" w:eastAsia="Arial" w:hAnsi="Arial" w:cs="Arial"/>
                <w:sz w:val="16"/>
                <w:szCs w:val="16"/>
              </w:rPr>
            </w:pPr>
            <w:proofErr w:type="spellStart"/>
            <w:r>
              <w:rPr>
                <w:rFonts w:ascii="Arial" w:eastAsia="Arial" w:hAnsi="Arial" w:cs="Arial"/>
                <w:sz w:val="16"/>
                <w:szCs w:val="16"/>
              </w:rPr>
              <w:t>Labrague</w:t>
            </w:r>
            <w:proofErr w:type="spellEnd"/>
            <w:r>
              <w:rPr>
                <w:rFonts w:ascii="Arial" w:eastAsia="Arial" w:hAnsi="Arial" w:cs="Arial"/>
                <w:sz w:val="16"/>
                <w:szCs w:val="16"/>
              </w:rPr>
              <w:t xml:space="preserve"> (2021)</w:t>
            </w:r>
          </w:p>
        </w:tc>
        <w:tc>
          <w:tcPr>
            <w:tcW w:w="1124" w:type="dxa"/>
          </w:tcPr>
          <w:p w14:paraId="3368E3EB" w14:textId="77777777" w:rsidR="00EA293E" w:rsidRDefault="00000000">
            <w:pPr>
              <w:rPr>
                <w:rFonts w:ascii="Arial" w:eastAsia="Arial" w:hAnsi="Arial" w:cs="Arial"/>
                <w:sz w:val="16"/>
                <w:szCs w:val="16"/>
              </w:rPr>
            </w:pPr>
            <w:r>
              <w:rPr>
                <w:rFonts w:ascii="Arial" w:eastAsia="Arial" w:hAnsi="Arial" w:cs="Arial"/>
                <w:sz w:val="16"/>
                <w:szCs w:val="16"/>
              </w:rPr>
              <w:t>Resilience and coping</w:t>
            </w:r>
          </w:p>
        </w:tc>
        <w:tc>
          <w:tcPr>
            <w:tcW w:w="1080" w:type="dxa"/>
          </w:tcPr>
          <w:p w14:paraId="59FC819D" w14:textId="77777777" w:rsidR="00EA293E" w:rsidRDefault="00000000">
            <w:pPr>
              <w:rPr>
                <w:rFonts w:ascii="Arial" w:eastAsia="Arial" w:hAnsi="Arial" w:cs="Arial"/>
                <w:sz w:val="16"/>
                <w:szCs w:val="16"/>
              </w:rPr>
            </w:pPr>
            <w:r>
              <w:rPr>
                <w:rFonts w:ascii="Arial" w:eastAsia="Arial" w:hAnsi="Arial" w:cs="Arial"/>
                <w:sz w:val="16"/>
                <w:szCs w:val="16"/>
              </w:rPr>
              <w:t>Systematic review</w:t>
            </w:r>
          </w:p>
        </w:tc>
        <w:tc>
          <w:tcPr>
            <w:tcW w:w="1088" w:type="dxa"/>
          </w:tcPr>
          <w:p w14:paraId="47055CAB" w14:textId="77777777" w:rsidR="00EA293E" w:rsidRDefault="00000000">
            <w:pPr>
              <w:rPr>
                <w:rFonts w:ascii="Arial" w:eastAsia="Arial" w:hAnsi="Arial" w:cs="Arial"/>
                <w:sz w:val="16"/>
                <w:szCs w:val="16"/>
              </w:rPr>
            </w:pPr>
            <w:r>
              <w:rPr>
                <w:rFonts w:ascii="Arial" w:eastAsia="Arial" w:hAnsi="Arial" w:cs="Arial"/>
                <w:sz w:val="16"/>
                <w:szCs w:val="16"/>
              </w:rPr>
              <w:t>Review of nursing studies</w:t>
            </w:r>
          </w:p>
        </w:tc>
        <w:tc>
          <w:tcPr>
            <w:tcW w:w="1133" w:type="dxa"/>
          </w:tcPr>
          <w:p w14:paraId="33C0F6E5" w14:textId="77777777" w:rsidR="00EA293E" w:rsidRDefault="00000000">
            <w:pPr>
              <w:rPr>
                <w:rFonts w:ascii="Arial" w:eastAsia="Arial" w:hAnsi="Arial" w:cs="Arial"/>
                <w:sz w:val="16"/>
                <w:szCs w:val="16"/>
              </w:rPr>
            </w:pPr>
            <w:r>
              <w:rPr>
                <w:rFonts w:ascii="Arial" w:eastAsia="Arial" w:hAnsi="Arial" w:cs="Arial"/>
                <w:sz w:val="16"/>
                <w:szCs w:val="16"/>
              </w:rPr>
              <w:t>Strong synthesis; nurse focus</w:t>
            </w:r>
          </w:p>
        </w:tc>
        <w:tc>
          <w:tcPr>
            <w:tcW w:w="1248" w:type="dxa"/>
          </w:tcPr>
          <w:p w14:paraId="0CCC82D1" w14:textId="77777777" w:rsidR="00EA293E" w:rsidRDefault="00000000">
            <w:pPr>
              <w:rPr>
                <w:rFonts w:ascii="Arial" w:eastAsia="Arial" w:hAnsi="Arial" w:cs="Arial"/>
                <w:sz w:val="16"/>
                <w:szCs w:val="16"/>
              </w:rPr>
            </w:pPr>
            <w:r>
              <w:rPr>
                <w:rFonts w:ascii="Arial" w:eastAsia="Arial" w:hAnsi="Arial" w:cs="Arial"/>
                <w:sz w:val="16"/>
                <w:szCs w:val="16"/>
              </w:rPr>
              <w:t>Peer support improved resilience</w:t>
            </w:r>
          </w:p>
        </w:tc>
        <w:tc>
          <w:tcPr>
            <w:tcW w:w="1133" w:type="dxa"/>
          </w:tcPr>
          <w:p w14:paraId="1CC33451" w14:textId="77777777" w:rsidR="00EA293E" w:rsidRDefault="00000000">
            <w:pPr>
              <w:rPr>
                <w:rFonts w:ascii="Arial" w:eastAsia="Arial" w:hAnsi="Arial" w:cs="Arial"/>
                <w:sz w:val="16"/>
                <w:szCs w:val="16"/>
              </w:rPr>
            </w:pPr>
            <w:r>
              <w:rPr>
                <w:rFonts w:ascii="Arial" w:eastAsia="Arial" w:hAnsi="Arial" w:cs="Arial"/>
                <w:sz w:val="16"/>
                <w:szCs w:val="16"/>
              </w:rPr>
              <w:t>resilience, support</w:t>
            </w:r>
          </w:p>
        </w:tc>
        <w:tc>
          <w:tcPr>
            <w:tcW w:w="1080" w:type="dxa"/>
          </w:tcPr>
          <w:p w14:paraId="07BAB73C" w14:textId="77777777" w:rsidR="00EA293E" w:rsidRDefault="00000000">
            <w:pPr>
              <w:rPr>
                <w:rFonts w:ascii="Arial" w:eastAsia="Arial" w:hAnsi="Arial" w:cs="Arial"/>
                <w:sz w:val="16"/>
                <w:szCs w:val="16"/>
              </w:rPr>
            </w:pPr>
            <w:r>
              <w:rPr>
                <w:rFonts w:ascii="Arial" w:eastAsia="Arial" w:hAnsi="Arial" w:cs="Arial"/>
                <w:sz w:val="16"/>
                <w:szCs w:val="16"/>
              </w:rPr>
              <w:t>Theme: Coping</w:t>
            </w:r>
          </w:p>
        </w:tc>
      </w:tr>
      <w:tr w:rsidR="00EA293E" w14:paraId="60F72F48" w14:textId="77777777">
        <w:tc>
          <w:tcPr>
            <w:tcW w:w="1080" w:type="dxa"/>
          </w:tcPr>
          <w:p w14:paraId="1D4C929B" w14:textId="77777777" w:rsidR="00EA293E" w:rsidRDefault="00000000">
            <w:pPr>
              <w:rPr>
                <w:rFonts w:ascii="Arial" w:eastAsia="Arial" w:hAnsi="Arial" w:cs="Arial"/>
                <w:sz w:val="16"/>
                <w:szCs w:val="16"/>
              </w:rPr>
            </w:pPr>
            <w:r>
              <w:rPr>
                <w:rFonts w:ascii="Arial" w:eastAsia="Arial" w:hAnsi="Arial" w:cs="Arial"/>
                <w:sz w:val="16"/>
                <w:szCs w:val="16"/>
              </w:rPr>
              <w:t>Lee et al. (2025)</w:t>
            </w:r>
          </w:p>
        </w:tc>
        <w:tc>
          <w:tcPr>
            <w:tcW w:w="1124" w:type="dxa"/>
          </w:tcPr>
          <w:p w14:paraId="1DA1002E" w14:textId="77777777" w:rsidR="00EA293E" w:rsidRDefault="00000000">
            <w:pPr>
              <w:rPr>
                <w:rFonts w:ascii="Arial" w:eastAsia="Arial" w:hAnsi="Arial" w:cs="Arial"/>
                <w:sz w:val="16"/>
                <w:szCs w:val="16"/>
              </w:rPr>
            </w:pPr>
            <w:r>
              <w:rPr>
                <w:rFonts w:ascii="Arial" w:eastAsia="Arial" w:hAnsi="Arial" w:cs="Arial"/>
                <w:sz w:val="16"/>
                <w:szCs w:val="16"/>
              </w:rPr>
              <w:t>Burnout and resilience</w:t>
            </w:r>
          </w:p>
        </w:tc>
        <w:tc>
          <w:tcPr>
            <w:tcW w:w="1080" w:type="dxa"/>
          </w:tcPr>
          <w:p w14:paraId="44909D35" w14:textId="77777777" w:rsidR="00EA293E" w:rsidRDefault="00000000">
            <w:pPr>
              <w:rPr>
                <w:rFonts w:ascii="Arial" w:eastAsia="Arial" w:hAnsi="Arial" w:cs="Arial"/>
                <w:sz w:val="16"/>
                <w:szCs w:val="16"/>
              </w:rPr>
            </w:pPr>
            <w:r>
              <w:rPr>
                <w:rFonts w:ascii="Arial" w:eastAsia="Arial" w:hAnsi="Arial" w:cs="Arial"/>
                <w:sz w:val="16"/>
                <w:szCs w:val="16"/>
              </w:rPr>
              <w:t>Quantitative survey</w:t>
            </w:r>
          </w:p>
        </w:tc>
        <w:tc>
          <w:tcPr>
            <w:tcW w:w="1088" w:type="dxa"/>
          </w:tcPr>
          <w:p w14:paraId="7AEBD271" w14:textId="77777777" w:rsidR="00EA293E" w:rsidRDefault="00000000">
            <w:pPr>
              <w:rPr>
                <w:rFonts w:ascii="Arial" w:eastAsia="Arial" w:hAnsi="Arial" w:cs="Arial"/>
                <w:sz w:val="16"/>
                <w:szCs w:val="16"/>
              </w:rPr>
            </w:pPr>
            <w:r>
              <w:rPr>
                <w:rFonts w:ascii="Arial" w:eastAsia="Arial" w:hAnsi="Arial" w:cs="Arial"/>
                <w:sz w:val="16"/>
                <w:szCs w:val="16"/>
              </w:rPr>
              <w:t>Survey of healthcare workers</w:t>
            </w:r>
          </w:p>
        </w:tc>
        <w:tc>
          <w:tcPr>
            <w:tcW w:w="1133" w:type="dxa"/>
          </w:tcPr>
          <w:p w14:paraId="43F5313C" w14:textId="77777777" w:rsidR="00EA293E" w:rsidRDefault="00000000">
            <w:pPr>
              <w:rPr>
                <w:rFonts w:ascii="Arial" w:eastAsia="Arial" w:hAnsi="Arial" w:cs="Arial"/>
                <w:sz w:val="16"/>
                <w:szCs w:val="16"/>
              </w:rPr>
            </w:pPr>
            <w:r>
              <w:rPr>
                <w:rFonts w:ascii="Arial" w:eastAsia="Arial" w:hAnsi="Arial" w:cs="Arial"/>
                <w:sz w:val="16"/>
                <w:szCs w:val="16"/>
              </w:rPr>
              <w:t>Statistical analysis; self</w:t>
            </w:r>
            <w:r>
              <w:rPr>
                <w:rFonts w:ascii="Cambria Math" w:eastAsia="Cambria Math" w:hAnsi="Cambria Math" w:cs="Cambria Math"/>
                <w:sz w:val="16"/>
                <w:szCs w:val="16"/>
              </w:rPr>
              <w:t>‑</w:t>
            </w:r>
            <w:r>
              <w:rPr>
                <w:rFonts w:ascii="Arial" w:eastAsia="Arial" w:hAnsi="Arial" w:cs="Arial"/>
                <w:sz w:val="16"/>
                <w:szCs w:val="16"/>
              </w:rPr>
              <w:t>report bias</w:t>
            </w:r>
          </w:p>
        </w:tc>
        <w:tc>
          <w:tcPr>
            <w:tcW w:w="1248" w:type="dxa"/>
          </w:tcPr>
          <w:p w14:paraId="306EB220" w14:textId="77777777" w:rsidR="00EA293E" w:rsidRDefault="00000000">
            <w:pPr>
              <w:rPr>
                <w:rFonts w:ascii="Arial" w:eastAsia="Arial" w:hAnsi="Arial" w:cs="Arial"/>
                <w:sz w:val="16"/>
                <w:szCs w:val="16"/>
              </w:rPr>
            </w:pPr>
            <w:r>
              <w:rPr>
                <w:rFonts w:ascii="Arial" w:eastAsia="Arial" w:hAnsi="Arial" w:cs="Arial"/>
                <w:sz w:val="16"/>
                <w:szCs w:val="16"/>
              </w:rPr>
              <w:t>Higher resilience linked to lower burnout</w:t>
            </w:r>
          </w:p>
        </w:tc>
        <w:tc>
          <w:tcPr>
            <w:tcW w:w="1133" w:type="dxa"/>
          </w:tcPr>
          <w:p w14:paraId="21B43B9C" w14:textId="77777777" w:rsidR="00EA293E" w:rsidRDefault="00000000">
            <w:pPr>
              <w:rPr>
                <w:rFonts w:ascii="Arial" w:eastAsia="Arial" w:hAnsi="Arial" w:cs="Arial"/>
                <w:sz w:val="16"/>
                <w:szCs w:val="16"/>
              </w:rPr>
            </w:pPr>
            <w:r>
              <w:rPr>
                <w:rFonts w:ascii="Arial" w:eastAsia="Arial" w:hAnsi="Arial" w:cs="Arial"/>
                <w:sz w:val="16"/>
                <w:szCs w:val="16"/>
              </w:rPr>
              <w:t>resilience, burnout</w:t>
            </w:r>
          </w:p>
        </w:tc>
        <w:tc>
          <w:tcPr>
            <w:tcW w:w="1080" w:type="dxa"/>
          </w:tcPr>
          <w:p w14:paraId="1A5F9C2D" w14:textId="77777777" w:rsidR="00EA293E" w:rsidRDefault="00000000">
            <w:pPr>
              <w:rPr>
                <w:rFonts w:ascii="Arial" w:eastAsia="Arial" w:hAnsi="Arial" w:cs="Arial"/>
                <w:sz w:val="16"/>
                <w:szCs w:val="16"/>
              </w:rPr>
            </w:pPr>
            <w:r>
              <w:rPr>
                <w:rFonts w:ascii="Arial" w:eastAsia="Arial" w:hAnsi="Arial" w:cs="Arial"/>
                <w:sz w:val="16"/>
                <w:szCs w:val="16"/>
              </w:rPr>
              <w:t>Theme: Coping</w:t>
            </w:r>
          </w:p>
        </w:tc>
      </w:tr>
    </w:tbl>
    <w:p w14:paraId="05DDBB32" w14:textId="77777777" w:rsidR="00EA293E" w:rsidRDefault="00EA293E">
      <w:pPr>
        <w:rPr>
          <w:rFonts w:ascii="Arial" w:eastAsia="Arial" w:hAnsi="Arial" w:cs="Arial"/>
          <w:sz w:val="16"/>
          <w:szCs w:val="16"/>
        </w:rPr>
      </w:pPr>
    </w:p>
    <w:p w14:paraId="26631F11" w14:textId="77777777" w:rsidR="00EA293E" w:rsidRDefault="00EA293E">
      <w:pPr>
        <w:spacing w:before="280" w:after="280" w:line="360" w:lineRule="auto"/>
        <w:jc w:val="both"/>
        <w:rPr>
          <w:rFonts w:ascii="Arial" w:eastAsia="Arial" w:hAnsi="Arial" w:cs="Arial"/>
          <w:b/>
          <w:sz w:val="36"/>
          <w:szCs w:val="36"/>
        </w:rPr>
      </w:pPr>
    </w:p>
    <w:p w14:paraId="43ABA7F7" w14:textId="77777777" w:rsidR="00EA293E" w:rsidRDefault="00000000">
      <w:pPr>
        <w:pStyle w:val="Heading2"/>
        <w:spacing w:line="360" w:lineRule="auto"/>
        <w:jc w:val="both"/>
        <w:rPr>
          <w:rFonts w:ascii="Arial" w:eastAsia="Arial" w:hAnsi="Arial" w:cs="Arial"/>
          <w:b/>
          <w:color w:val="000000"/>
          <w:sz w:val="24"/>
          <w:szCs w:val="24"/>
        </w:rPr>
      </w:pPr>
      <w:proofErr w:type="spellStart"/>
      <w:r>
        <w:rPr>
          <w:rFonts w:ascii="Arial" w:eastAsia="Arial" w:hAnsi="Arial" w:cs="Arial"/>
          <w:b/>
          <w:color w:val="000000"/>
          <w:sz w:val="24"/>
          <w:szCs w:val="24"/>
        </w:rPr>
        <w:lastRenderedPageBreak/>
        <w:t>Apendix</w:t>
      </w:r>
      <w:proofErr w:type="spellEnd"/>
      <w:r>
        <w:rPr>
          <w:rFonts w:ascii="Arial" w:eastAsia="Arial" w:hAnsi="Arial" w:cs="Arial"/>
          <w:b/>
          <w:color w:val="000000"/>
          <w:sz w:val="24"/>
          <w:szCs w:val="24"/>
        </w:rPr>
        <w:t>-</w:t>
      </w:r>
      <w:proofErr w:type="gramStart"/>
      <w:r>
        <w:rPr>
          <w:rFonts w:ascii="Arial" w:eastAsia="Arial" w:hAnsi="Arial" w:cs="Arial"/>
          <w:b/>
          <w:color w:val="000000"/>
          <w:sz w:val="24"/>
          <w:szCs w:val="24"/>
        </w:rPr>
        <w:t>c :</w:t>
      </w:r>
      <w:proofErr w:type="gramEnd"/>
      <w:r>
        <w:rPr>
          <w:rFonts w:ascii="Arial" w:eastAsia="Arial" w:hAnsi="Arial" w:cs="Arial"/>
          <w:b/>
          <w:color w:val="000000"/>
          <w:sz w:val="24"/>
          <w:szCs w:val="24"/>
        </w:rPr>
        <w:t xml:space="preserve"> Overview of Secondary Research Methodology</w:t>
      </w:r>
    </w:p>
    <w:tbl>
      <w:tblPr>
        <w:tblStyle w:val="a2"/>
        <w:tblW w:w="86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80"/>
        <w:gridCol w:w="6660"/>
      </w:tblGrid>
      <w:tr w:rsidR="00EA293E" w14:paraId="14B245D8" w14:textId="77777777">
        <w:tc>
          <w:tcPr>
            <w:tcW w:w="1980" w:type="dxa"/>
            <w:shd w:val="clear" w:color="auto" w:fill="ED7D31"/>
          </w:tcPr>
          <w:p w14:paraId="2B5791F0" w14:textId="77777777" w:rsidR="00EA293E" w:rsidRDefault="00000000">
            <w:pPr>
              <w:spacing w:line="360" w:lineRule="auto"/>
              <w:jc w:val="both"/>
              <w:rPr>
                <w:rFonts w:ascii="Arial" w:eastAsia="Arial" w:hAnsi="Arial" w:cs="Arial"/>
                <w:sz w:val="20"/>
                <w:szCs w:val="20"/>
              </w:rPr>
            </w:pPr>
            <w:r>
              <w:rPr>
                <w:rFonts w:ascii="Arial" w:eastAsia="Arial" w:hAnsi="Arial" w:cs="Arial"/>
                <w:sz w:val="20"/>
                <w:szCs w:val="20"/>
              </w:rPr>
              <w:t>Stage</w:t>
            </w:r>
          </w:p>
        </w:tc>
        <w:tc>
          <w:tcPr>
            <w:tcW w:w="6660" w:type="dxa"/>
            <w:shd w:val="clear" w:color="auto" w:fill="ED7D31"/>
          </w:tcPr>
          <w:p w14:paraId="59866A8B" w14:textId="77777777" w:rsidR="00EA293E" w:rsidRDefault="00000000">
            <w:pPr>
              <w:spacing w:line="360" w:lineRule="auto"/>
              <w:jc w:val="both"/>
              <w:rPr>
                <w:rFonts w:ascii="Arial" w:eastAsia="Arial" w:hAnsi="Arial" w:cs="Arial"/>
                <w:sz w:val="20"/>
                <w:szCs w:val="20"/>
              </w:rPr>
            </w:pPr>
            <w:r>
              <w:rPr>
                <w:rFonts w:ascii="Arial" w:eastAsia="Arial" w:hAnsi="Arial" w:cs="Arial"/>
                <w:sz w:val="20"/>
                <w:szCs w:val="20"/>
              </w:rPr>
              <w:t>Description</w:t>
            </w:r>
          </w:p>
        </w:tc>
      </w:tr>
      <w:tr w:rsidR="00EA293E" w14:paraId="04DB477A" w14:textId="77777777">
        <w:tc>
          <w:tcPr>
            <w:tcW w:w="1980" w:type="dxa"/>
            <w:shd w:val="clear" w:color="auto" w:fill="ED7D31"/>
          </w:tcPr>
          <w:p w14:paraId="162E1FCD" w14:textId="77777777" w:rsidR="00EA293E" w:rsidRDefault="00000000">
            <w:pPr>
              <w:spacing w:line="360" w:lineRule="auto"/>
              <w:jc w:val="both"/>
              <w:rPr>
                <w:rFonts w:ascii="Arial" w:eastAsia="Arial" w:hAnsi="Arial" w:cs="Arial"/>
                <w:sz w:val="20"/>
                <w:szCs w:val="20"/>
              </w:rPr>
            </w:pPr>
            <w:r>
              <w:rPr>
                <w:rFonts w:ascii="Arial" w:eastAsia="Arial" w:hAnsi="Arial" w:cs="Arial"/>
                <w:sz w:val="20"/>
                <w:szCs w:val="20"/>
              </w:rPr>
              <w:t>Search Strategy</w:t>
            </w:r>
          </w:p>
        </w:tc>
        <w:tc>
          <w:tcPr>
            <w:tcW w:w="6660" w:type="dxa"/>
            <w:shd w:val="clear" w:color="auto" w:fill="ED7D31"/>
          </w:tcPr>
          <w:p w14:paraId="0286B506" w14:textId="77777777" w:rsidR="00EA293E" w:rsidRDefault="00000000">
            <w:pPr>
              <w:spacing w:line="360" w:lineRule="auto"/>
              <w:jc w:val="both"/>
              <w:rPr>
                <w:rFonts w:ascii="Arial" w:eastAsia="Arial" w:hAnsi="Arial" w:cs="Arial"/>
                <w:sz w:val="20"/>
                <w:szCs w:val="20"/>
              </w:rPr>
            </w:pPr>
            <w:r>
              <w:rPr>
                <w:rFonts w:ascii="Arial" w:eastAsia="Arial" w:hAnsi="Arial" w:cs="Arial"/>
                <w:sz w:val="20"/>
                <w:szCs w:val="20"/>
              </w:rPr>
              <w:t>Identification of keywords and structured searches using Boolean operators.</w:t>
            </w:r>
          </w:p>
        </w:tc>
      </w:tr>
      <w:tr w:rsidR="00EA293E" w14:paraId="1CE32969" w14:textId="77777777">
        <w:tc>
          <w:tcPr>
            <w:tcW w:w="1980" w:type="dxa"/>
            <w:shd w:val="clear" w:color="auto" w:fill="ED7D31"/>
          </w:tcPr>
          <w:p w14:paraId="6B51D1CF" w14:textId="77777777" w:rsidR="00EA293E" w:rsidRDefault="00000000">
            <w:pPr>
              <w:spacing w:line="360" w:lineRule="auto"/>
              <w:jc w:val="both"/>
              <w:rPr>
                <w:rFonts w:ascii="Arial" w:eastAsia="Arial" w:hAnsi="Arial" w:cs="Arial"/>
                <w:sz w:val="20"/>
                <w:szCs w:val="20"/>
              </w:rPr>
            </w:pPr>
            <w:r>
              <w:rPr>
                <w:rFonts w:ascii="Arial" w:eastAsia="Arial" w:hAnsi="Arial" w:cs="Arial"/>
                <w:sz w:val="20"/>
                <w:szCs w:val="20"/>
              </w:rPr>
              <w:t>Database Selection</w:t>
            </w:r>
          </w:p>
        </w:tc>
        <w:tc>
          <w:tcPr>
            <w:tcW w:w="6660" w:type="dxa"/>
            <w:shd w:val="clear" w:color="auto" w:fill="ED7D31"/>
          </w:tcPr>
          <w:p w14:paraId="3CEAF5C4" w14:textId="77777777" w:rsidR="00EA293E" w:rsidRDefault="00000000">
            <w:pPr>
              <w:spacing w:line="360" w:lineRule="auto"/>
              <w:jc w:val="both"/>
              <w:rPr>
                <w:rFonts w:ascii="Arial" w:eastAsia="Arial" w:hAnsi="Arial" w:cs="Arial"/>
                <w:sz w:val="20"/>
                <w:szCs w:val="20"/>
              </w:rPr>
            </w:pPr>
            <w:r>
              <w:rPr>
                <w:rFonts w:ascii="Arial" w:eastAsia="Arial" w:hAnsi="Arial" w:cs="Arial"/>
                <w:sz w:val="20"/>
                <w:szCs w:val="20"/>
              </w:rPr>
              <w:t>Google Scholar, PubMed, and UWTSD Library used to locate peer-reviewed sources.</w:t>
            </w:r>
          </w:p>
        </w:tc>
      </w:tr>
      <w:tr w:rsidR="00EA293E" w14:paraId="6AD968CC" w14:textId="77777777">
        <w:tc>
          <w:tcPr>
            <w:tcW w:w="1980" w:type="dxa"/>
            <w:shd w:val="clear" w:color="auto" w:fill="ED7D31"/>
          </w:tcPr>
          <w:p w14:paraId="51B86661" w14:textId="77777777" w:rsidR="00EA293E" w:rsidRDefault="00000000">
            <w:pPr>
              <w:spacing w:line="360" w:lineRule="auto"/>
              <w:jc w:val="both"/>
              <w:rPr>
                <w:rFonts w:ascii="Arial" w:eastAsia="Arial" w:hAnsi="Arial" w:cs="Arial"/>
                <w:sz w:val="20"/>
                <w:szCs w:val="20"/>
              </w:rPr>
            </w:pPr>
            <w:r>
              <w:rPr>
                <w:rFonts w:ascii="Arial" w:eastAsia="Arial" w:hAnsi="Arial" w:cs="Arial"/>
                <w:sz w:val="20"/>
                <w:szCs w:val="20"/>
              </w:rPr>
              <w:t>Validation</w:t>
            </w:r>
          </w:p>
        </w:tc>
        <w:tc>
          <w:tcPr>
            <w:tcW w:w="6660" w:type="dxa"/>
            <w:shd w:val="clear" w:color="auto" w:fill="ED7D31"/>
          </w:tcPr>
          <w:p w14:paraId="2A3C6AC9" w14:textId="77777777" w:rsidR="00EA293E" w:rsidRDefault="00000000">
            <w:pPr>
              <w:spacing w:line="360" w:lineRule="auto"/>
              <w:jc w:val="both"/>
              <w:rPr>
                <w:rFonts w:ascii="Arial" w:eastAsia="Arial" w:hAnsi="Arial" w:cs="Arial"/>
                <w:sz w:val="20"/>
                <w:szCs w:val="20"/>
              </w:rPr>
            </w:pPr>
            <w:r>
              <w:rPr>
                <w:rFonts w:ascii="Arial" w:eastAsia="Arial" w:hAnsi="Arial" w:cs="Arial"/>
                <w:sz w:val="20"/>
                <w:szCs w:val="20"/>
              </w:rPr>
              <w:t>Application of skimming techniques and the CRAAP test to assess quality.</w:t>
            </w:r>
          </w:p>
        </w:tc>
      </w:tr>
      <w:tr w:rsidR="00EA293E" w14:paraId="4CE7E0E7" w14:textId="77777777">
        <w:tc>
          <w:tcPr>
            <w:tcW w:w="1980" w:type="dxa"/>
            <w:shd w:val="clear" w:color="auto" w:fill="ED7D31"/>
          </w:tcPr>
          <w:p w14:paraId="31965AC3" w14:textId="77777777" w:rsidR="00EA293E" w:rsidRDefault="00000000">
            <w:pPr>
              <w:spacing w:line="360" w:lineRule="auto"/>
              <w:jc w:val="both"/>
              <w:rPr>
                <w:rFonts w:ascii="Arial" w:eastAsia="Arial" w:hAnsi="Arial" w:cs="Arial"/>
                <w:sz w:val="20"/>
                <w:szCs w:val="20"/>
              </w:rPr>
            </w:pPr>
            <w:r>
              <w:rPr>
                <w:rFonts w:ascii="Arial" w:eastAsia="Arial" w:hAnsi="Arial" w:cs="Arial"/>
                <w:sz w:val="20"/>
                <w:szCs w:val="20"/>
              </w:rPr>
              <w:t>Inclusion/Exclusion</w:t>
            </w:r>
          </w:p>
        </w:tc>
        <w:tc>
          <w:tcPr>
            <w:tcW w:w="6660" w:type="dxa"/>
            <w:shd w:val="clear" w:color="auto" w:fill="ED7D31"/>
          </w:tcPr>
          <w:p w14:paraId="7024C008" w14:textId="77777777" w:rsidR="00EA293E" w:rsidRDefault="00000000">
            <w:pPr>
              <w:spacing w:line="360" w:lineRule="auto"/>
              <w:jc w:val="both"/>
              <w:rPr>
                <w:rFonts w:ascii="Arial" w:eastAsia="Arial" w:hAnsi="Arial" w:cs="Arial"/>
                <w:sz w:val="20"/>
                <w:szCs w:val="20"/>
              </w:rPr>
            </w:pPr>
            <w:r>
              <w:rPr>
                <w:rFonts w:ascii="Arial" w:eastAsia="Arial" w:hAnsi="Arial" w:cs="Arial"/>
                <w:sz w:val="20"/>
                <w:szCs w:val="20"/>
              </w:rPr>
              <w:t>Clear criteria applied to maintain relevance and academic rigour.</w:t>
            </w:r>
          </w:p>
        </w:tc>
      </w:tr>
      <w:tr w:rsidR="00EA293E" w14:paraId="1B46BA07" w14:textId="77777777">
        <w:tc>
          <w:tcPr>
            <w:tcW w:w="1980" w:type="dxa"/>
            <w:shd w:val="clear" w:color="auto" w:fill="ED7D31"/>
          </w:tcPr>
          <w:p w14:paraId="76ABCA44" w14:textId="77777777" w:rsidR="00EA293E" w:rsidRDefault="00000000">
            <w:pPr>
              <w:spacing w:line="360" w:lineRule="auto"/>
              <w:jc w:val="both"/>
              <w:rPr>
                <w:rFonts w:ascii="Arial" w:eastAsia="Arial" w:hAnsi="Arial" w:cs="Arial"/>
                <w:sz w:val="20"/>
                <w:szCs w:val="20"/>
              </w:rPr>
            </w:pPr>
            <w:r>
              <w:rPr>
                <w:rFonts w:ascii="Arial" w:eastAsia="Arial" w:hAnsi="Arial" w:cs="Arial"/>
                <w:sz w:val="20"/>
                <w:szCs w:val="20"/>
              </w:rPr>
              <w:t>Thematic Analysis</w:t>
            </w:r>
          </w:p>
        </w:tc>
        <w:tc>
          <w:tcPr>
            <w:tcW w:w="6660" w:type="dxa"/>
            <w:shd w:val="clear" w:color="auto" w:fill="ED7D31"/>
          </w:tcPr>
          <w:p w14:paraId="377B966E" w14:textId="77777777" w:rsidR="00EA293E" w:rsidRDefault="00000000">
            <w:pPr>
              <w:spacing w:line="360" w:lineRule="auto"/>
              <w:jc w:val="both"/>
              <w:rPr>
                <w:rFonts w:ascii="Arial" w:eastAsia="Arial" w:hAnsi="Arial" w:cs="Arial"/>
                <w:sz w:val="20"/>
                <w:szCs w:val="20"/>
              </w:rPr>
            </w:pPr>
            <w:r>
              <w:rPr>
                <w:rFonts w:ascii="Arial" w:eastAsia="Arial" w:hAnsi="Arial" w:cs="Arial"/>
                <w:sz w:val="20"/>
                <w:szCs w:val="20"/>
              </w:rPr>
              <w:t>Coding and theme development following Braun and Clarke’s framework.</w:t>
            </w:r>
          </w:p>
        </w:tc>
      </w:tr>
    </w:tbl>
    <w:p w14:paraId="035B5DA3" w14:textId="77777777" w:rsidR="00EA293E" w:rsidRDefault="00EA293E">
      <w:pPr>
        <w:spacing w:before="280" w:after="280" w:line="360" w:lineRule="auto"/>
        <w:jc w:val="both"/>
        <w:rPr>
          <w:rFonts w:ascii="Arial" w:eastAsia="Arial" w:hAnsi="Arial" w:cs="Arial"/>
          <w:b/>
          <w:sz w:val="36"/>
          <w:szCs w:val="36"/>
        </w:rPr>
      </w:pPr>
    </w:p>
    <w:p w14:paraId="6323E771" w14:textId="77777777" w:rsidR="00EA293E" w:rsidRDefault="00EA293E">
      <w:pPr>
        <w:spacing w:before="280" w:after="280" w:line="360" w:lineRule="auto"/>
        <w:jc w:val="both"/>
        <w:rPr>
          <w:rFonts w:ascii="Arial" w:eastAsia="Arial" w:hAnsi="Arial" w:cs="Arial"/>
          <w:sz w:val="24"/>
          <w:szCs w:val="24"/>
        </w:rPr>
      </w:pPr>
    </w:p>
    <w:p w14:paraId="7372C0D9" w14:textId="77777777" w:rsidR="00EA293E" w:rsidRDefault="00EA293E">
      <w:pPr>
        <w:spacing w:before="280" w:after="280" w:line="360" w:lineRule="auto"/>
        <w:jc w:val="both"/>
        <w:rPr>
          <w:rFonts w:ascii="Arial" w:eastAsia="Arial" w:hAnsi="Arial" w:cs="Arial"/>
          <w:sz w:val="24"/>
          <w:szCs w:val="24"/>
        </w:rPr>
      </w:pPr>
    </w:p>
    <w:p w14:paraId="145D4D21" w14:textId="77777777" w:rsidR="00EA293E" w:rsidRDefault="00EA293E">
      <w:pPr>
        <w:spacing w:before="280" w:after="280" w:line="360" w:lineRule="auto"/>
        <w:jc w:val="both"/>
        <w:rPr>
          <w:rFonts w:ascii="Arial" w:eastAsia="Arial" w:hAnsi="Arial" w:cs="Arial"/>
          <w:sz w:val="24"/>
          <w:szCs w:val="24"/>
        </w:rPr>
      </w:pPr>
    </w:p>
    <w:p w14:paraId="5A64AE0C" w14:textId="77777777" w:rsidR="00EA293E" w:rsidRDefault="00EA293E"/>
    <w:p w14:paraId="6375F200" w14:textId="77777777" w:rsidR="00EA293E" w:rsidRDefault="00EA293E"/>
    <w:sectPr w:rsidR="00EA293E">
      <w:footerReference w:type="default" r:id="rId1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DFECBC" w14:textId="77777777" w:rsidR="000D7EE5" w:rsidRDefault="000D7EE5">
      <w:pPr>
        <w:spacing w:after="0" w:line="240" w:lineRule="auto"/>
      </w:pPr>
      <w:r>
        <w:separator/>
      </w:r>
    </w:p>
  </w:endnote>
  <w:endnote w:type="continuationSeparator" w:id="0">
    <w:p w14:paraId="085C2E33" w14:textId="77777777" w:rsidR="000D7EE5" w:rsidRDefault="000D7E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lay">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71B75A" w14:textId="77777777" w:rsidR="00EA293E"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6D795C">
      <w:rPr>
        <w:noProof/>
        <w:color w:val="000000"/>
      </w:rPr>
      <w:t>1</w:t>
    </w:r>
    <w:r>
      <w:rPr>
        <w:color w:val="000000"/>
      </w:rPr>
      <w:fldChar w:fldCharType="end"/>
    </w:r>
  </w:p>
  <w:p w14:paraId="3493EF5C" w14:textId="77777777" w:rsidR="00EA293E" w:rsidRDefault="00EA293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213520" w14:textId="77777777" w:rsidR="000D7EE5" w:rsidRDefault="000D7EE5">
      <w:pPr>
        <w:spacing w:after="0" w:line="240" w:lineRule="auto"/>
      </w:pPr>
      <w:r>
        <w:separator/>
      </w:r>
    </w:p>
  </w:footnote>
  <w:footnote w:type="continuationSeparator" w:id="0">
    <w:p w14:paraId="2F243C42" w14:textId="77777777" w:rsidR="000D7EE5" w:rsidRDefault="000D7E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9E2C39"/>
    <w:multiLevelType w:val="multilevel"/>
    <w:tmpl w:val="6CC65D6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32BE6E14"/>
    <w:multiLevelType w:val="multilevel"/>
    <w:tmpl w:val="98FEE01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34F72A91"/>
    <w:multiLevelType w:val="multilevel"/>
    <w:tmpl w:val="8856AF7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7532ACD"/>
    <w:multiLevelType w:val="multilevel"/>
    <w:tmpl w:val="846A7FDC"/>
    <w:lvl w:ilvl="0">
      <w:start w:val="1"/>
      <w:numFmt w:val="bullet"/>
      <w:lvlText w:val="✔"/>
      <w:lvlJc w:val="left"/>
      <w:pPr>
        <w:ind w:left="1440" w:hanging="360"/>
      </w:pPr>
      <w:rPr>
        <w:rFonts w:ascii="Noto Sans Symbols" w:eastAsia="Noto Sans Symbols" w:hAnsi="Noto Sans Symbols" w:cs="Noto Sans Symbols"/>
      </w:rPr>
    </w:lvl>
    <w:lvl w:ilvl="1">
      <w:start w:val="1"/>
      <w:numFmt w:val="bullet"/>
      <w:lvlText w:val="o"/>
      <w:lvlJc w:val="left"/>
      <w:pPr>
        <w:ind w:left="2160" w:hanging="360"/>
      </w:pPr>
      <w:rPr>
        <w:rFonts w:ascii="Courier New" w:eastAsia="Courier New" w:hAnsi="Courier New" w:cs="Courier New"/>
      </w:rPr>
    </w:lvl>
    <w:lvl w:ilvl="2">
      <w:start w:val="1"/>
      <w:numFmt w:val="bullet"/>
      <w:lvlText w:val="▪"/>
      <w:lvlJc w:val="left"/>
      <w:pPr>
        <w:ind w:left="2880" w:hanging="360"/>
      </w:pPr>
      <w:rPr>
        <w:rFonts w:ascii="Noto Sans Symbols" w:eastAsia="Noto Sans Symbols" w:hAnsi="Noto Sans Symbols" w:cs="Noto Sans Symbols"/>
      </w:rPr>
    </w:lvl>
    <w:lvl w:ilvl="3">
      <w:start w:val="1"/>
      <w:numFmt w:val="bullet"/>
      <w:lvlText w:val="●"/>
      <w:lvlJc w:val="left"/>
      <w:pPr>
        <w:ind w:left="3600" w:hanging="360"/>
      </w:pPr>
      <w:rPr>
        <w:rFonts w:ascii="Noto Sans Symbols" w:eastAsia="Noto Sans Symbols" w:hAnsi="Noto Sans Symbols" w:cs="Noto Sans Symbols"/>
      </w:rPr>
    </w:lvl>
    <w:lvl w:ilvl="4">
      <w:start w:val="1"/>
      <w:numFmt w:val="bullet"/>
      <w:lvlText w:val="o"/>
      <w:lvlJc w:val="left"/>
      <w:pPr>
        <w:ind w:left="4320" w:hanging="360"/>
      </w:pPr>
      <w:rPr>
        <w:rFonts w:ascii="Courier New" w:eastAsia="Courier New" w:hAnsi="Courier New" w:cs="Courier New"/>
      </w:rPr>
    </w:lvl>
    <w:lvl w:ilvl="5">
      <w:start w:val="1"/>
      <w:numFmt w:val="bullet"/>
      <w:lvlText w:val="▪"/>
      <w:lvlJc w:val="left"/>
      <w:pPr>
        <w:ind w:left="5040" w:hanging="360"/>
      </w:pPr>
      <w:rPr>
        <w:rFonts w:ascii="Noto Sans Symbols" w:eastAsia="Noto Sans Symbols" w:hAnsi="Noto Sans Symbols" w:cs="Noto Sans Symbols"/>
      </w:rPr>
    </w:lvl>
    <w:lvl w:ilvl="6">
      <w:start w:val="1"/>
      <w:numFmt w:val="bullet"/>
      <w:lvlText w:val="●"/>
      <w:lvlJc w:val="left"/>
      <w:pPr>
        <w:ind w:left="5760" w:hanging="360"/>
      </w:pPr>
      <w:rPr>
        <w:rFonts w:ascii="Noto Sans Symbols" w:eastAsia="Noto Sans Symbols" w:hAnsi="Noto Sans Symbols" w:cs="Noto Sans Symbols"/>
      </w:rPr>
    </w:lvl>
    <w:lvl w:ilvl="7">
      <w:start w:val="1"/>
      <w:numFmt w:val="bullet"/>
      <w:lvlText w:val="o"/>
      <w:lvlJc w:val="left"/>
      <w:pPr>
        <w:ind w:left="6480" w:hanging="360"/>
      </w:pPr>
      <w:rPr>
        <w:rFonts w:ascii="Courier New" w:eastAsia="Courier New" w:hAnsi="Courier New" w:cs="Courier New"/>
      </w:rPr>
    </w:lvl>
    <w:lvl w:ilvl="8">
      <w:start w:val="1"/>
      <w:numFmt w:val="bullet"/>
      <w:lvlText w:val="▪"/>
      <w:lvlJc w:val="left"/>
      <w:pPr>
        <w:ind w:left="7200" w:hanging="360"/>
      </w:pPr>
      <w:rPr>
        <w:rFonts w:ascii="Noto Sans Symbols" w:eastAsia="Noto Sans Symbols" w:hAnsi="Noto Sans Symbols" w:cs="Noto Sans Symbols"/>
      </w:rPr>
    </w:lvl>
  </w:abstractNum>
  <w:abstractNum w:abstractNumId="4" w15:restartNumberingAfterBreak="0">
    <w:nsid w:val="42E928E4"/>
    <w:multiLevelType w:val="multilevel"/>
    <w:tmpl w:val="BE3A5F8A"/>
    <w:lvl w:ilvl="0">
      <w:start w:val="1"/>
      <w:numFmt w:val="decimal"/>
      <w:lvlText w:val="%1"/>
      <w:lvlJc w:val="left"/>
      <w:pPr>
        <w:ind w:left="645" w:hanging="645"/>
      </w:pPr>
    </w:lvl>
    <w:lvl w:ilvl="1">
      <w:start w:val="5"/>
      <w:numFmt w:val="decimal"/>
      <w:lvlText w:val="%1.%2"/>
      <w:lvlJc w:val="left"/>
      <w:pPr>
        <w:ind w:left="645" w:hanging="645"/>
      </w:pPr>
    </w:lvl>
    <w:lvl w:ilvl="2">
      <w:start w:val="2"/>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5" w15:restartNumberingAfterBreak="0">
    <w:nsid w:val="5B6E42B3"/>
    <w:multiLevelType w:val="multilevel"/>
    <w:tmpl w:val="1FE4DD9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608C2F3D"/>
    <w:multiLevelType w:val="multilevel"/>
    <w:tmpl w:val="D7464C1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759817DD"/>
    <w:multiLevelType w:val="multilevel"/>
    <w:tmpl w:val="704C6C4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7C1F1036"/>
    <w:multiLevelType w:val="multilevel"/>
    <w:tmpl w:val="0FC2088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965894108">
    <w:abstractNumId w:val="5"/>
  </w:num>
  <w:num w:numId="2" w16cid:durableId="1736659016">
    <w:abstractNumId w:val="7"/>
  </w:num>
  <w:num w:numId="3" w16cid:durableId="317155432">
    <w:abstractNumId w:val="6"/>
  </w:num>
  <w:num w:numId="4" w16cid:durableId="1828668577">
    <w:abstractNumId w:val="8"/>
  </w:num>
  <w:num w:numId="5" w16cid:durableId="1293444695">
    <w:abstractNumId w:val="1"/>
  </w:num>
  <w:num w:numId="6" w16cid:durableId="2019501959">
    <w:abstractNumId w:val="2"/>
  </w:num>
  <w:num w:numId="7" w16cid:durableId="1777821125">
    <w:abstractNumId w:val="0"/>
  </w:num>
  <w:num w:numId="8" w16cid:durableId="1623727727">
    <w:abstractNumId w:val="3"/>
  </w:num>
  <w:num w:numId="9" w16cid:durableId="19038289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293E"/>
    <w:rsid w:val="000D7EE5"/>
    <w:rsid w:val="006D795C"/>
    <w:rsid w:val="00EA293E"/>
    <w:rsid w:val="00F55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B426E"/>
  <w15:docId w15:val="{FCC67D23-E558-424C-B931-B940FCE6F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color w:val="2F5496"/>
      <w:sz w:val="40"/>
      <w:szCs w:val="40"/>
    </w:rPr>
  </w:style>
  <w:style w:type="paragraph" w:styleId="Heading2">
    <w:name w:val="heading 2"/>
    <w:basedOn w:val="Normal"/>
    <w:next w:val="Normal"/>
    <w:uiPriority w:val="9"/>
    <w:unhideWhenUsed/>
    <w:qFormat/>
    <w:pPr>
      <w:keepNext/>
      <w:keepLines/>
      <w:spacing w:before="160" w:after="80"/>
      <w:outlineLvl w:val="1"/>
    </w:pPr>
    <w:rPr>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hse.gov.uk" TargetMode="External"/><Relationship Id="rId13" Type="http://schemas.openxmlformats.org/officeDocument/2006/relationships/hyperlink" Target="https://www.who.int" TargetMode="External"/><Relationship Id="rId3" Type="http://schemas.openxmlformats.org/officeDocument/2006/relationships/settings" Target="settings.xml"/><Relationship Id="rId7" Type="http://schemas.openxmlformats.org/officeDocument/2006/relationships/hyperlink" Target="https://library.csuchico.edu/sites/default/files/craap-test.pdf" TargetMode="External"/><Relationship Id="rId12" Type="http://schemas.openxmlformats.org/officeDocument/2006/relationships/hyperlink" Target="https://www.gov.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ngland.nhs.uk" TargetMode="External"/><Relationship Id="rId4" Type="http://schemas.openxmlformats.org/officeDocument/2006/relationships/webSettings" Target="webSettings.xml"/><Relationship Id="rId9" Type="http://schemas.openxmlformats.org/officeDocument/2006/relationships/hyperlink" Target="https://www.england.nhs.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48</Pages>
  <Words>14566</Words>
  <Characters>83031</Characters>
  <Application>Microsoft Office Word</Application>
  <DocSecurity>0</DocSecurity>
  <Lines>691</Lines>
  <Paragraphs>194</Paragraphs>
  <ScaleCrop>false</ScaleCrop>
  <Company/>
  <LinksUpToDate>false</LinksUpToDate>
  <CharactersWithSpaces>97403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Saira Arif (2220569)</cp:lastModifiedBy>
  <cp:revision>2</cp:revision>
  <dcterms:created xsi:type="dcterms:W3CDTF">2026-04-07T09:50:00Z</dcterms:created>
  <dcterms:modified xsi:type="dcterms:W3CDTF">2026-04-07T09:55:00Z</dcterms:modified>
</cp:coreProperties>
</file>