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B9F3A" w14:textId="60FB3D3D" w:rsidR="007B17AD" w:rsidRPr="007C655E" w:rsidRDefault="007B17AD" w:rsidP="007C655E">
      <w:pPr>
        <w:spacing w:line="480" w:lineRule="auto"/>
        <w:jc w:val="both"/>
        <w:rPr>
          <w:rFonts w:asciiTheme="minorHAnsi" w:hAnsiTheme="minorHAnsi" w:cstheme="minorHAnsi"/>
          <w:b/>
          <w:szCs w:val="22"/>
        </w:rPr>
      </w:pPr>
      <w:r w:rsidRPr="007C655E">
        <w:rPr>
          <w:rFonts w:asciiTheme="minorHAnsi" w:hAnsiTheme="minorHAnsi" w:cstheme="minorHAnsi"/>
          <w:b/>
          <w:szCs w:val="22"/>
        </w:rPr>
        <w:t>‘Exile’ is a recurring theme in Anglo-Saxon literatu</w:t>
      </w:r>
      <w:r w:rsidR="004E06B0" w:rsidRPr="007C655E">
        <w:rPr>
          <w:rFonts w:asciiTheme="minorHAnsi" w:hAnsiTheme="minorHAnsi" w:cstheme="minorHAnsi"/>
          <w:b/>
          <w:szCs w:val="22"/>
        </w:rPr>
        <w:t xml:space="preserve">re. Explore some of the ways in </w:t>
      </w:r>
      <w:r w:rsidRPr="007C655E">
        <w:rPr>
          <w:rFonts w:asciiTheme="minorHAnsi" w:hAnsiTheme="minorHAnsi" w:cstheme="minorHAnsi"/>
          <w:b/>
          <w:szCs w:val="22"/>
        </w:rPr>
        <w:t>which exile is used in the texts that you have studied for this module. Your essay should refer to AT LEAST TWO of these texts.</w:t>
      </w:r>
    </w:p>
    <w:p w14:paraId="49A83C87" w14:textId="77777777" w:rsidR="007B17AD" w:rsidRPr="007C655E" w:rsidRDefault="007B17AD" w:rsidP="007C655E">
      <w:pPr>
        <w:spacing w:line="480" w:lineRule="auto"/>
        <w:ind w:left="720" w:hanging="720"/>
        <w:jc w:val="both"/>
        <w:rPr>
          <w:rFonts w:asciiTheme="minorHAnsi" w:hAnsiTheme="minorHAnsi" w:cstheme="minorHAnsi"/>
          <w:sz w:val="22"/>
          <w:szCs w:val="22"/>
        </w:rPr>
      </w:pPr>
    </w:p>
    <w:p w14:paraId="1360E22C" w14:textId="767BA7A2" w:rsidR="0060410A" w:rsidRDefault="00E60DBD" w:rsidP="007C655E">
      <w:pPr>
        <w:spacing w:line="480" w:lineRule="auto"/>
        <w:jc w:val="both"/>
        <w:rPr>
          <w:rFonts w:asciiTheme="minorHAnsi" w:hAnsiTheme="minorHAnsi" w:cstheme="minorHAnsi"/>
          <w:sz w:val="22"/>
          <w:szCs w:val="22"/>
        </w:rPr>
      </w:pPr>
      <w:bookmarkStart w:id="0" w:name="_GoBack"/>
      <w:bookmarkEnd w:id="0"/>
      <w:r w:rsidRPr="007C655E">
        <w:rPr>
          <w:rFonts w:asciiTheme="minorHAnsi" w:hAnsiTheme="minorHAnsi" w:cstheme="minorHAnsi"/>
          <w:sz w:val="22"/>
          <w:szCs w:val="22"/>
        </w:rPr>
        <w:t>Exile is</w:t>
      </w:r>
      <w:r w:rsidR="0060410A" w:rsidRPr="007C655E">
        <w:rPr>
          <w:rFonts w:asciiTheme="minorHAnsi" w:hAnsiTheme="minorHAnsi" w:cstheme="minorHAnsi"/>
          <w:sz w:val="22"/>
          <w:szCs w:val="22"/>
        </w:rPr>
        <w:t xml:space="preserve"> a</w:t>
      </w:r>
      <w:r w:rsidRPr="007C655E">
        <w:rPr>
          <w:rFonts w:asciiTheme="minorHAnsi" w:hAnsiTheme="minorHAnsi" w:cstheme="minorHAnsi"/>
          <w:sz w:val="22"/>
          <w:szCs w:val="22"/>
        </w:rPr>
        <w:t xml:space="preserve"> topos </w:t>
      </w:r>
      <w:r w:rsidR="00851527" w:rsidRPr="007C655E">
        <w:rPr>
          <w:rFonts w:asciiTheme="minorHAnsi" w:hAnsiTheme="minorHAnsi" w:cstheme="minorHAnsi"/>
          <w:sz w:val="22"/>
          <w:szCs w:val="22"/>
        </w:rPr>
        <w:t xml:space="preserve">of </w:t>
      </w:r>
      <w:r w:rsidRPr="007C655E">
        <w:rPr>
          <w:rFonts w:asciiTheme="minorHAnsi" w:hAnsiTheme="minorHAnsi" w:cstheme="minorHAnsi"/>
          <w:sz w:val="22"/>
          <w:szCs w:val="22"/>
        </w:rPr>
        <w:t xml:space="preserve">Anglo-Saxon Literature. </w:t>
      </w:r>
      <w:r w:rsidR="0060410A" w:rsidRPr="007C655E">
        <w:rPr>
          <w:rFonts w:asciiTheme="minorHAnsi" w:hAnsiTheme="minorHAnsi" w:cstheme="minorHAnsi"/>
          <w:sz w:val="22"/>
          <w:szCs w:val="22"/>
        </w:rPr>
        <w:t xml:space="preserve">Consideration of the topic exists in numerous examples of Anglo-Saxon literature, from the secular to the ecclesiastical. </w:t>
      </w:r>
      <w:r w:rsidR="00BD58FA">
        <w:rPr>
          <w:rFonts w:asciiTheme="minorHAnsi" w:hAnsiTheme="minorHAnsi" w:cstheme="minorHAnsi"/>
          <w:sz w:val="22"/>
          <w:szCs w:val="22"/>
        </w:rPr>
        <w:t xml:space="preserve">Guilt and shame were a great part of Anglo-Saxon culture, it appears, from the volume of work originating from their era which dealt with topics such as anxiety, longing, and exile. There are numerous such works, but the primary ones chosen for examination in pursuance of the topic are </w:t>
      </w:r>
      <w:r w:rsidR="00BD58FA">
        <w:rPr>
          <w:rFonts w:asciiTheme="minorHAnsi" w:hAnsiTheme="minorHAnsi" w:cstheme="minorHAnsi"/>
          <w:i/>
          <w:sz w:val="22"/>
          <w:szCs w:val="22"/>
        </w:rPr>
        <w:t>The Wife’s Lament, The Seafarer, The Wanderer</w:t>
      </w:r>
      <w:r w:rsidR="00BD58FA">
        <w:rPr>
          <w:rFonts w:asciiTheme="minorHAnsi" w:hAnsiTheme="minorHAnsi" w:cstheme="minorHAnsi"/>
          <w:sz w:val="22"/>
          <w:szCs w:val="22"/>
        </w:rPr>
        <w:t xml:space="preserve"> and </w:t>
      </w:r>
      <w:r w:rsidR="00BD58FA">
        <w:rPr>
          <w:rFonts w:asciiTheme="minorHAnsi" w:hAnsiTheme="minorHAnsi" w:cstheme="minorHAnsi"/>
          <w:i/>
          <w:sz w:val="22"/>
          <w:szCs w:val="22"/>
        </w:rPr>
        <w:t>Wulf and Eadwacer.</w:t>
      </w:r>
      <w:r w:rsidR="00BD58FA">
        <w:rPr>
          <w:rFonts w:asciiTheme="minorHAnsi" w:hAnsiTheme="minorHAnsi" w:cstheme="minorHAnsi"/>
          <w:sz w:val="22"/>
          <w:szCs w:val="22"/>
        </w:rPr>
        <w:t xml:space="preserve"> Whilst some examples have more in common with one-another than others, the topic of exile is at the core of each.</w:t>
      </w:r>
    </w:p>
    <w:p w14:paraId="00DADC41" w14:textId="77777777" w:rsidR="00BD58FA" w:rsidRPr="007C655E" w:rsidRDefault="00BD58FA" w:rsidP="007C655E">
      <w:pPr>
        <w:spacing w:line="480" w:lineRule="auto"/>
        <w:jc w:val="both"/>
        <w:rPr>
          <w:rFonts w:asciiTheme="minorHAnsi" w:hAnsiTheme="minorHAnsi" w:cstheme="minorHAnsi"/>
          <w:sz w:val="22"/>
          <w:szCs w:val="22"/>
        </w:rPr>
      </w:pPr>
    </w:p>
    <w:p w14:paraId="1BC80C8A" w14:textId="4CCE614D" w:rsidR="000F420A" w:rsidRPr="007C655E" w:rsidRDefault="000F420A" w:rsidP="007C655E">
      <w:pPr>
        <w:spacing w:line="480" w:lineRule="auto"/>
        <w:jc w:val="both"/>
        <w:rPr>
          <w:rFonts w:asciiTheme="minorHAnsi" w:hAnsiTheme="minorHAnsi" w:cstheme="minorHAnsi"/>
          <w:i/>
          <w:sz w:val="22"/>
          <w:szCs w:val="22"/>
        </w:rPr>
      </w:pPr>
      <w:r w:rsidRPr="007C655E">
        <w:rPr>
          <w:rFonts w:asciiTheme="minorHAnsi" w:hAnsiTheme="minorHAnsi" w:cstheme="minorHAnsi"/>
          <w:i/>
          <w:sz w:val="22"/>
          <w:szCs w:val="22"/>
        </w:rPr>
        <w:t>The Wife’s Lament</w:t>
      </w:r>
      <w:r w:rsidRPr="007C655E">
        <w:rPr>
          <w:rFonts w:asciiTheme="minorHAnsi" w:hAnsiTheme="minorHAnsi" w:cstheme="minorHAnsi"/>
          <w:sz w:val="22"/>
          <w:szCs w:val="22"/>
        </w:rPr>
        <w:t xml:space="preserve"> is a direct engagement with the topic of Exile. </w:t>
      </w:r>
      <w:r w:rsidR="007C4135" w:rsidRPr="007C655E">
        <w:rPr>
          <w:rFonts w:asciiTheme="minorHAnsi" w:hAnsiTheme="minorHAnsi" w:cstheme="minorHAnsi"/>
          <w:sz w:val="22"/>
          <w:szCs w:val="22"/>
        </w:rPr>
        <w:t xml:space="preserve">In </w:t>
      </w:r>
      <w:r w:rsidR="002317E5" w:rsidRPr="007C655E">
        <w:rPr>
          <w:rFonts w:asciiTheme="minorHAnsi" w:hAnsiTheme="minorHAnsi" w:cstheme="minorHAnsi"/>
          <w:sz w:val="22"/>
          <w:szCs w:val="22"/>
        </w:rPr>
        <w:t>the brief passage, a woman laments her circumstances from a perspective that engages directly with the reader or audience. We di</w:t>
      </w:r>
      <w:r w:rsidR="006D2022" w:rsidRPr="007C655E">
        <w:rPr>
          <w:rFonts w:asciiTheme="minorHAnsi" w:hAnsiTheme="minorHAnsi" w:cstheme="minorHAnsi"/>
          <w:sz w:val="22"/>
          <w:szCs w:val="22"/>
        </w:rPr>
        <w:t xml:space="preserve">scover that she has been exiled, and that she longs for her lord, for the life once provided by his benevolence. </w:t>
      </w:r>
      <w:r w:rsidR="002317E5" w:rsidRPr="007C655E">
        <w:rPr>
          <w:rFonts w:asciiTheme="minorHAnsi" w:hAnsiTheme="minorHAnsi" w:cstheme="minorHAnsi"/>
          <w:sz w:val="22"/>
          <w:szCs w:val="22"/>
        </w:rPr>
        <w:t xml:space="preserve">In similarity to </w:t>
      </w:r>
      <w:r w:rsidR="002317E5" w:rsidRPr="007C655E">
        <w:rPr>
          <w:rFonts w:asciiTheme="minorHAnsi" w:hAnsiTheme="minorHAnsi" w:cstheme="minorHAnsi"/>
          <w:i/>
          <w:sz w:val="22"/>
          <w:szCs w:val="22"/>
        </w:rPr>
        <w:t>The Wanderer,</w:t>
      </w:r>
      <w:r w:rsidR="002317E5" w:rsidRPr="007C655E">
        <w:rPr>
          <w:rFonts w:asciiTheme="minorHAnsi" w:hAnsiTheme="minorHAnsi" w:cstheme="minorHAnsi"/>
          <w:sz w:val="22"/>
          <w:szCs w:val="22"/>
        </w:rPr>
        <w:t xml:space="preserve"> the protagonist – or voice – of </w:t>
      </w:r>
      <w:r w:rsidR="006D2022" w:rsidRPr="007C655E">
        <w:rPr>
          <w:rFonts w:asciiTheme="minorHAnsi" w:hAnsiTheme="minorHAnsi" w:cstheme="minorHAnsi"/>
          <w:i/>
          <w:sz w:val="22"/>
          <w:szCs w:val="22"/>
        </w:rPr>
        <w:t xml:space="preserve">The Wife’s Lament </w:t>
      </w:r>
      <w:r w:rsidR="006D2022" w:rsidRPr="007C655E">
        <w:rPr>
          <w:rFonts w:asciiTheme="minorHAnsi" w:hAnsiTheme="minorHAnsi" w:cstheme="minorHAnsi"/>
          <w:sz w:val="22"/>
          <w:szCs w:val="22"/>
        </w:rPr>
        <w:t>finds herself locked in an Earthly purgatory by her</w:t>
      </w:r>
      <w:r w:rsidR="00825E67" w:rsidRPr="007C655E">
        <w:rPr>
          <w:rFonts w:asciiTheme="minorHAnsi" w:hAnsiTheme="minorHAnsi" w:cstheme="minorHAnsi"/>
          <w:sz w:val="22"/>
          <w:szCs w:val="22"/>
        </w:rPr>
        <w:t xml:space="preserve"> e</w:t>
      </w:r>
      <w:r w:rsidR="006D2022" w:rsidRPr="007C655E">
        <w:rPr>
          <w:rFonts w:asciiTheme="minorHAnsi" w:hAnsiTheme="minorHAnsi" w:cstheme="minorHAnsi"/>
          <w:sz w:val="22"/>
          <w:szCs w:val="22"/>
        </w:rPr>
        <w:t>xile. She has outlived many of her friends, and even those closest, such as a “much loved one” have betrayed her with murderous intent.</w:t>
      </w:r>
      <w:r w:rsidR="00583ADC" w:rsidRPr="007C655E">
        <w:rPr>
          <w:rFonts w:asciiTheme="minorHAnsi" w:hAnsiTheme="minorHAnsi" w:cstheme="minorHAnsi"/>
          <w:sz w:val="22"/>
          <w:szCs w:val="22"/>
        </w:rPr>
        <w:t xml:space="preserve"> It is even conceivable, while not explicit, that the crimes of her loved one (towards whom she displays a duality of affection and loathing) have resulted in the exile of both of </w:t>
      </w:r>
      <w:r w:rsidR="00825E67" w:rsidRPr="007C655E">
        <w:rPr>
          <w:rFonts w:asciiTheme="minorHAnsi" w:hAnsiTheme="minorHAnsi" w:cstheme="minorHAnsi"/>
          <w:sz w:val="22"/>
          <w:szCs w:val="22"/>
        </w:rPr>
        <w:t>parties</w:t>
      </w:r>
      <w:r w:rsidR="00583ADC" w:rsidRPr="007C655E">
        <w:rPr>
          <w:rFonts w:asciiTheme="minorHAnsi" w:hAnsiTheme="minorHAnsi" w:cstheme="minorHAnsi"/>
          <w:sz w:val="22"/>
          <w:szCs w:val="22"/>
        </w:rPr>
        <w:t>.</w:t>
      </w:r>
      <w:r w:rsidR="006D2022" w:rsidRPr="007C655E">
        <w:rPr>
          <w:rFonts w:asciiTheme="minorHAnsi" w:hAnsiTheme="minorHAnsi" w:cstheme="minorHAnsi"/>
          <w:sz w:val="22"/>
          <w:szCs w:val="22"/>
        </w:rPr>
        <w:t xml:space="preserve"> Cursed by circumstance to reside in what amounts to little more than a cave</w:t>
      </w:r>
      <w:r w:rsidR="00583ADC" w:rsidRPr="007C655E">
        <w:rPr>
          <w:rFonts w:asciiTheme="minorHAnsi" w:hAnsiTheme="minorHAnsi" w:cstheme="minorHAnsi"/>
          <w:sz w:val="22"/>
          <w:szCs w:val="22"/>
        </w:rPr>
        <w:t xml:space="preserve"> beneath an oak, with only memories of past joy to sustain her, she contemplates her fate. The structure and language of the text has an anguished desperation to it that compounds the emotional impact of the poem and better portrays the </w:t>
      </w:r>
      <w:r w:rsidR="005D5F58" w:rsidRPr="007C655E">
        <w:rPr>
          <w:rFonts w:asciiTheme="minorHAnsi" w:hAnsiTheme="minorHAnsi" w:cstheme="minorHAnsi"/>
          <w:sz w:val="22"/>
          <w:szCs w:val="22"/>
        </w:rPr>
        <w:t xml:space="preserve">feelings that the piece attempts to convey. A further recurrent theme, emotions reflected in weather – known as pathetic fallacy – is evident within the text. This also visible in works such as </w:t>
      </w:r>
      <w:r w:rsidR="005D5F58" w:rsidRPr="007C655E">
        <w:rPr>
          <w:rFonts w:asciiTheme="minorHAnsi" w:hAnsiTheme="minorHAnsi" w:cstheme="minorHAnsi"/>
          <w:i/>
          <w:sz w:val="22"/>
          <w:szCs w:val="22"/>
        </w:rPr>
        <w:t>The Seafarer.</w:t>
      </w:r>
    </w:p>
    <w:p w14:paraId="24779B6B" w14:textId="1B92268C" w:rsidR="00531E75" w:rsidRPr="007C655E" w:rsidRDefault="00531E75" w:rsidP="007C655E">
      <w:pPr>
        <w:spacing w:line="480" w:lineRule="auto"/>
        <w:jc w:val="both"/>
        <w:rPr>
          <w:rFonts w:asciiTheme="minorHAnsi" w:hAnsiTheme="minorHAnsi" w:cstheme="minorHAnsi"/>
          <w:sz w:val="22"/>
          <w:szCs w:val="22"/>
        </w:rPr>
      </w:pPr>
    </w:p>
    <w:p w14:paraId="68F174FF" w14:textId="303D1279" w:rsidR="008A2BB7" w:rsidRPr="007C655E" w:rsidRDefault="00531E75" w:rsidP="007C655E">
      <w:pPr>
        <w:spacing w:line="480" w:lineRule="auto"/>
        <w:jc w:val="both"/>
        <w:rPr>
          <w:rFonts w:asciiTheme="minorHAnsi" w:hAnsiTheme="minorHAnsi" w:cstheme="minorHAnsi"/>
          <w:i/>
          <w:sz w:val="22"/>
          <w:szCs w:val="22"/>
        </w:rPr>
      </w:pPr>
      <w:r w:rsidRPr="007C655E">
        <w:rPr>
          <w:rFonts w:asciiTheme="minorHAnsi" w:hAnsiTheme="minorHAnsi" w:cstheme="minorHAnsi"/>
          <w:sz w:val="22"/>
          <w:szCs w:val="22"/>
        </w:rPr>
        <w:lastRenderedPageBreak/>
        <w:t>Bradley alludes to a</w:t>
      </w:r>
      <w:r w:rsidR="00D86C47" w:rsidRPr="007C655E">
        <w:rPr>
          <w:rFonts w:asciiTheme="minorHAnsi" w:hAnsiTheme="minorHAnsi" w:cstheme="minorHAnsi"/>
          <w:sz w:val="22"/>
          <w:szCs w:val="22"/>
        </w:rPr>
        <w:t xml:space="preserve"> possible interpretation of </w:t>
      </w:r>
      <w:r w:rsidR="00D86C47" w:rsidRPr="007C655E">
        <w:rPr>
          <w:rFonts w:asciiTheme="minorHAnsi" w:hAnsiTheme="minorHAnsi" w:cstheme="minorHAnsi"/>
          <w:i/>
          <w:sz w:val="22"/>
          <w:szCs w:val="22"/>
        </w:rPr>
        <w:t>The Wife’s Lament</w:t>
      </w:r>
      <w:r w:rsidR="00D86C47" w:rsidRPr="007C655E">
        <w:rPr>
          <w:rFonts w:asciiTheme="minorHAnsi" w:hAnsiTheme="minorHAnsi" w:cstheme="minorHAnsi"/>
          <w:sz w:val="22"/>
          <w:szCs w:val="22"/>
        </w:rPr>
        <w:t xml:space="preserve"> that the piece is in fact a riddle referring to Jerusalem.</w:t>
      </w:r>
      <w:r w:rsidR="00D86C47" w:rsidRPr="007C655E">
        <w:rPr>
          <w:rStyle w:val="FootnoteReference"/>
          <w:rFonts w:asciiTheme="minorHAnsi" w:hAnsiTheme="minorHAnsi" w:cstheme="minorHAnsi"/>
          <w:sz w:val="22"/>
          <w:szCs w:val="22"/>
        </w:rPr>
        <w:footnoteReference w:id="1"/>
      </w:r>
      <w:r w:rsidR="00D86C47" w:rsidRPr="007C655E">
        <w:rPr>
          <w:rFonts w:asciiTheme="minorHAnsi" w:hAnsiTheme="minorHAnsi" w:cstheme="minorHAnsi"/>
          <w:sz w:val="22"/>
          <w:szCs w:val="22"/>
        </w:rPr>
        <w:t xml:space="preserve"> Yet Desmond reminds the reader that </w:t>
      </w:r>
      <w:r w:rsidR="00F85616" w:rsidRPr="007C655E">
        <w:rPr>
          <w:rFonts w:asciiTheme="minorHAnsi" w:hAnsiTheme="minorHAnsi" w:cstheme="minorHAnsi"/>
          <w:sz w:val="22"/>
          <w:szCs w:val="22"/>
        </w:rPr>
        <w:t>the authors of Anglo-Saxon literature are predominantly anonymous, raising questions as to the gender of the authorial voice present behind the poem.</w:t>
      </w:r>
      <w:r w:rsidR="00F85616" w:rsidRPr="007C655E">
        <w:rPr>
          <w:rStyle w:val="FootnoteReference"/>
          <w:rFonts w:asciiTheme="minorHAnsi" w:hAnsiTheme="minorHAnsi" w:cstheme="minorHAnsi"/>
          <w:sz w:val="22"/>
          <w:szCs w:val="22"/>
        </w:rPr>
        <w:footnoteReference w:id="2"/>
      </w:r>
      <w:r w:rsidR="00F85616" w:rsidRPr="007C655E">
        <w:rPr>
          <w:rFonts w:asciiTheme="minorHAnsi" w:hAnsiTheme="minorHAnsi" w:cstheme="minorHAnsi"/>
          <w:sz w:val="22"/>
          <w:szCs w:val="22"/>
        </w:rPr>
        <w:t xml:space="preserve"> Indeed, in an extension of Desmond’s arguments, the allusions made by Bradley ultimately reinforce the authoritative male voice of history. Why must the author of the piece be assumed to be male? Could </w:t>
      </w:r>
      <w:r w:rsidR="00F85616" w:rsidRPr="007C655E">
        <w:rPr>
          <w:rFonts w:asciiTheme="minorHAnsi" w:hAnsiTheme="minorHAnsi" w:cstheme="minorHAnsi"/>
          <w:i/>
          <w:sz w:val="22"/>
          <w:szCs w:val="22"/>
        </w:rPr>
        <w:t>The Wife’s Lament</w:t>
      </w:r>
      <w:r w:rsidR="00F85616" w:rsidRPr="007C655E">
        <w:rPr>
          <w:rFonts w:asciiTheme="minorHAnsi" w:hAnsiTheme="minorHAnsi" w:cstheme="minorHAnsi"/>
          <w:sz w:val="22"/>
          <w:szCs w:val="22"/>
        </w:rPr>
        <w:t xml:space="preserve"> have been written by a woman? </w:t>
      </w:r>
      <w:r w:rsidR="00F85616" w:rsidRPr="007C655E">
        <w:rPr>
          <w:rFonts w:asciiTheme="minorHAnsi" w:hAnsiTheme="minorHAnsi" w:cstheme="minorHAnsi"/>
          <w:i/>
          <w:sz w:val="22"/>
          <w:szCs w:val="22"/>
        </w:rPr>
        <w:t xml:space="preserve">The Wife’s Lament </w:t>
      </w:r>
      <w:r w:rsidR="00F85616" w:rsidRPr="007C655E">
        <w:rPr>
          <w:rFonts w:asciiTheme="minorHAnsi" w:hAnsiTheme="minorHAnsi" w:cstheme="minorHAnsi"/>
          <w:sz w:val="22"/>
          <w:szCs w:val="22"/>
        </w:rPr>
        <w:t xml:space="preserve">is unusual when viewed alongside many other works from the Middle </w:t>
      </w:r>
      <w:r w:rsidR="009F59EA" w:rsidRPr="007C655E">
        <w:rPr>
          <w:rFonts w:asciiTheme="minorHAnsi" w:hAnsiTheme="minorHAnsi" w:cstheme="minorHAnsi"/>
          <w:sz w:val="22"/>
          <w:szCs w:val="22"/>
        </w:rPr>
        <w:t>A</w:t>
      </w:r>
      <w:r w:rsidR="00F85616" w:rsidRPr="007C655E">
        <w:rPr>
          <w:rFonts w:asciiTheme="minorHAnsi" w:hAnsiTheme="minorHAnsi" w:cstheme="minorHAnsi"/>
          <w:sz w:val="22"/>
          <w:szCs w:val="22"/>
        </w:rPr>
        <w:t>ges, as with or without authorial intent, the protagonist of the piece is fema</w:t>
      </w:r>
      <w:r w:rsidR="008A2BB7" w:rsidRPr="007C655E">
        <w:rPr>
          <w:rFonts w:asciiTheme="minorHAnsi" w:hAnsiTheme="minorHAnsi" w:cstheme="minorHAnsi"/>
          <w:sz w:val="22"/>
          <w:szCs w:val="22"/>
        </w:rPr>
        <w:t>le and thinks on female issues.</w:t>
      </w:r>
    </w:p>
    <w:p w14:paraId="459FF9DB" w14:textId="77777777" w:rsidR="008A2BB7" w:rsidRPr="007C655E" w:rsidRDefault="008A2BB7" w:rsidP="007C655E">
      <w:pPr>
        <w:spacing w:line="480" w:lineRule="auto"/>
        <w:jc w:val="both"/>
        <w:rPr>
          <w:rFonts w:asciiTheme="minorHAnsi" w:hAnsiTheme="minorHAnsi" w:cstheme="minorHAnsi"/>
          <w:i/>
          <w:sz w:val="22"/>
          <w:szCs w:val="22"/>
        </w:rPr>
      </w:pPr>
    </w:p>
    <w:p w14:paraId="22F3BDBA" w14:textId="62C5A3B8" w:rsidR="008A2BB7" w:rsidRPr="007C655E" w:rsidRDefault="008A2BB7" w:rsidP="007C655E">
      <w:pPr>
        <w:spacing w:line="480" w:lineRule="auto"/>
        <w:jc w:val="both"/>
        <w:rPr>
          <w:rFonts w:asciiTheme="minorHAnsi" w:hAnsiTheme="minorHAnsi" w:cstheme="minorHAnsi"/>
          <w:sz w:val="22"/>
          <w:szCs w:val="22"/>
        </w:rPr>
      </w:pPr>
      <w:r w:rsidRPr="007C655E">
        <w:rPr>
          <w:rFonts w:asciiTheme="minorHAnsi" w:hAnsiTheme="minorHAnsi" w:cstheme="minorHAnsi"/>
          <w:i/>
          <w:sz w:val="22"/>
          <w:szCs w:val="22"/>
        </w:rPr>
        <w:t xml:space="preserve">Wulf and Eadwacer </w:t>
      </w:r>
      <w:r w:rsidRPr="007C655E">
        <w:rPr>
          <w:rFonts w:asciiTheme="minorHAnsi" w:hAnsiTheme="minorHAnsi" w:cstheme="minorHAnsi"/>
          <w:sz w:val="22"/>
          <w:szCs w:val="22"/>
        </w:rPr>
        <w:t xml:space="preserve">is a similar, shorter still piece that also engages with the topic of exile. </w:t>
      </w:r>
      <w:r w:rsidR="00DB156C" w:rsidRPr="007C655E">
        <w:rPr>
          <w:rFonts w:asciiTheme="minorHAnsi" w:hAnsiTheme="minorHAnsi" w:cstheme="minorHAnsi"/>
          <w:sz w:val="22"/>
          <w:szCs w:val="22"/>
        </w:rPr>
        <w:t>Bradly does point out the temptation to apply religious narratives to works quite secular in nature, due to the wealth of preoccupation with these topics in the vast majority of Anglo-Saxon literature.</w:t>
      </w:r>
      <w:r w:rsidR="00DB156C" w:rsidRPr="007C655E">
        <w:rPr>
          <w:rStyle w:val="FootnoteReference"/>
          <w:rFonts w:asciiTheme="minorHAnsi" w:hAnsiTheme="minorHAnsi" w:cstheme="minorHAnsi"/>
          <w:sz w:val="22"/>
          <w:szCs w:val="22"/>
        </w:rPr>
        <w:footnoteReference w:id="3"/>
      </w:r>
      <w:r w:rsidR="00DB156C" w:rsidRPr="007C655E">
        <w:rPr>
          <w:rFonts w:asciiTheme="minorHAnsi" w:hAnsiTheme="minorHAnsi" w:cstheme="minorHAnsi"/>
          <w:sz w:val="22"/>
          <w:szCs w:val="22"/>
        </w:rPr>
        <w:t xml:space="preserve"> Yet like</w:t>
      </w:r>
      <w:r w:rsidR="00DB156C" w:rsidRPr="007C655E">
        <w:rPr>
          <w:rFonts w:asciiTheme="minorHAnsi" w:hAnsiTheme="minorHAnsi" w:cstheme="minorHAnsi"/>
          <w:i/>
          <w:sz w:val="22"/>
          <w:szCs w:val="22"/>
        </w:rPr>
        <w:t xml:space="preserve"> The Wife’s Lament</w:t>
      </w:r>
      <w:r w:rsidR="00DB156C" w:rsidRPr="007C655E">
        <w:rPr>
          <w:rFonts w:asciiTheme="minorHAnsi" w:hAnsiTheme="minorHAnsi" w:cstheme="minorHAnsi"/>
          <w:sz w:val="22"/>
          <w:szCs w:val="22"/>
        </w:rPr>
        <w:t>, there is a bitterness and a desperation to the text that flows from the page.</w:t>
      </w:r>
      <w:r w:rsidR="00DB156C" w:rsidRPr="007C655E">
        <w:rPr>
          <w:rFonts w:asciiTheme="minorHAnsi" w:hAnsiTheme="minorHAnsi" w:cstheme="minorHAnsi"/>
          <w:i/>
          <w:sz w:val="22"/>
          <w:szCs w:val="22"/>
        </w:rPr>
        <w:t xml:space="preserve"> Wulf and Eadwacer </w:t>
      </w:r>
      <w:r w:rsidR="00DB156C" w:rsidRPr="007C655E">
        <w:rPr>
          <w:rFonts w:asciiTheme="minorHAnsi" w:hAnsiTheme="minorHAnsi" w:cstheme="minorHAnsi"/>
          <w:sz w:val="22"/>
          <w:szCs w:val="22"/>
        </w:rPr>
        <w:t>could be taken as a</w:t>
      </w:r>
      <w:r w:rsidR="00F86D2C" w:rsidRPr="007C655E">
        <w:rPr>
          <w:rFonts w:asciiTheme="minorHAnsi" w:hAnsiTheme="minorHAnsi" w:cstheme="minorHAnsi"/>
          <w:sz w:val="22"/>
          <w:szCs w:val="22"/>
        </w:rPr>
        <w:t xml:space="preserve"> Christian morality lesson in the dangers of adultery, for while the voice of the poem is simultaneously filled with love for her counterpart Wulf, she is also racked with guilt and negative emotions about it. Indeed, in implication the love between the two is forbidden, and it is by this means that Eadw</w:t>
      </w:r>
      <w:r w:rsidR="00E42B90" w:rsidRPr="007C655E">
        <w:rPr>
          <w:rFonts w:asciiTheme="minorHAnsi" w:hAnsiTheme="minorHAnsi" w:cstheme="minorHAnsi"/>
          <w:sz w:val="22"/>
          <w:szCs w:val="22"/>
        </w:rPr>
        <w:t xml:space="preserve">acer is herself locked in exile. Due, perhaps, to the </w:t>
      </w:r>
      <w:r w:rsidR="009F59EA" w:rsidRPr="007C655E">
        <w:rPr>
          <w:rFonts w:asciiTheme="minorHAnsi" w:hAnsiTheme="minorHAnsi" w:cstheme="minorHAnsi"/>
          <w:sz w:val="22"/>
          <w:szCs w:val="22"/>
        </w:rPr>
        <w:t xml:space="preserve">brevity of the text of </w:t>
      </w:r>
      <w:r w:rsidR="009F59EA" w:rsidRPr="007C655E">
        <w:rPr>
          <w:rFonts w:asciiTheme="minorHAnsi" w:hAnsiTheme="minorHAnsi" w:cstheme="minorHAnsi"/>
          <w:i/>
          <w:sz w:val="22"/>
          <w:szCs w:val="22"/>
        </w:rPr>
        <w:t>Wulf and Eadwacer</w:t>
      </w:r>
      <w:r w:rsidR="009F59EA" w:rsidRPr="007C655E">
        <w:rPr>
          <w:rFonts w:asciiTheme="minorHAnsi" w:hAnsiTheme="minorHAnsi" w:cstheme="minorHAnsi"/>
          <w:sz w:val="22"/>
          <w:szCs w:val="22"/>
        </w:rPr>
        <w:t xml:space="preserve">, there numerous potential interpretations of the text. For instance, </w:t>
      </w:r>
      <w:r w:rsidR="009F59EA" w:rsidRPr="007C655E">
        <w:rPr>
          <w:rFonts w:asciiTheme="minorHAnsi" w:hAnsiTheme="minorHAnsi" w:cstheme="minorHAnsi"/>
          <w:i/>
          <w:sz w:val="22"/>
          <w:szCs w:val="22"/>
        </w:rPr>
        <w:t xml:space="preserve">eadwacer </w:t>
      </w:r>
      <w:r w:rsidR="009F59EA" w:rsidRPr="007C655E">
        <w:rPr>
          <w:rFonts w:asciiTheme="minorHAnsi" w:hAnsiTheme="minorHAnsi" w:cstheme="minorHAnsi"/>
          <w:sz w:val="22"/>
          <w:szCs w:val="22"/>
        </w:rPr>
        <w:t>is “not a proper name, but an adjective applied to Wulf, meaning ‘watchful of property/prosperity.’”</w:t>
      </w:r>
      <w:r w:rsidR="009F59EA" w:rsidRPr="007C655E">
        <w:rPr>
          <w:rStyle w:val="FootnoteReference"/>
          <w:rFonts w:asciiTheme="minorHAnsi" w:hAnsiTheme="minorHAnsi" w:cstheme="minorHAnsi"/>
          <w:sz w:val="22"/>
          <w:szCs w:val="22"/>
        </w:rPr>
        <w:footnoteReference w:id="4"/>
      </w:r>
      <w:r w:rsidR="00E057F7" w:rsidRPr="007C655E">
        <w:rPr>
          <w:rFonts w:asciiTheme="minorHAnsi" w:hAnsiTheme="minorHAnsi" w:cstheme="minorHAnsi"/>
          <w:sz w:val="22"/>
          <w:szCs w:val="22"/>
        </w:rPr>
        <w:t xml:space="preserve"> Magennis also suggests that not only is Wulf plausibly a lover, but could also potentially indicate a mother-son relationship.</w:t>
      </w:r>
    </w:p>
    <w:p w14:paraId="6FD1CC14" w14:textId="5E8F0F7A" w:rsidR="00F86D2C" w:rsidRPr="007C655E" w:rsidRDefault="00F86D2C" w:rsidP="007C655E">
      <w:pPr>
        <w:spacing w:line="480" w:lineRule="auto"/>
        <w:jc w:val="both"/>
        <w:rPr>
          <w:rFonts w:asciiTheme="minorHAnsi" w:hAnsiTheme="minorHAnsi" w:cstheme="minorHAnsi"/>
          <w:sz w:val="22"/>
          <w:szCs w:val="22"/>
        </w:rPr>
      </w:pPr>
    </w:p>
    <w:p w14:paraId="068545E2" w14:textId="4F178E09" w:rsidR="00A93B14" w:rsidRPr="007C655E" w:rsidRDefault="008A2BB7" w:rsidP="007C655E">
      <w:pPr>
        <w:spacing w:line="480" w:lineRule="auto"/>
        <w:jc w:val="both"/>
        <w:rPr>
          <w:rFonts w:asciiTheme="minorHAnsi" w:hAnsiTheme="minorHAnsi" w:cstheme="minorHAnsi"/>
          <w:sz w:val="22"/>
          <w:szCs w:val="22"/>
        </w:rPr>
      </w:pPr>
      <w:r w:rsidRPr="007C655E">
        <w:rPr>
          <w:rFonts w:asciiTheme="minorHAnsi" w:hAnsiTheme="minorHAnsi" w:cstheme="minorHAnsi"/>
          <w:sz w:val="22"/>
          <w:szCs w:val="22"/>
        </w:rPr>
        <w:lastRenderedPageBreak/>
        <w:t xml:space="preserve">When considering the elegies </w:t>
      </w:r>
      <w:r w:rsidRPr="007C655E">
        <w:rPr>
          <w:rFonts w:asciiTheme="minorHAnsi" w:hAnsiTheme="minorHAnsi" w:cstheme="minorHAnsi"/>
          <w:i/>
          <w:sz w:val="22"/>
          <w:szCs w:val="22"/>
        </w:rPr>
        <w:t>The Wife’s Lament</w:t>
      </w:r>
      <w:r w:rsidRPr="007C655E">
        <w:rPr>
          <w:rFonts w:asciiTheme="minorHAnsi" w:hAnsiTheme="minorHAnsi" w:cstheme="minorHAnsi"/>
          <w:sz w:val="22"/>
          <w:szCs w:val="22"/>
        </w:rPr>
        <w:t xml:space="preserve"> and</w:t>
      </w:r>
      <w:r w:rsidRPr="007C655E">
        <w:rPr>
          <w:rFonts w:asciiTheme="minorHAnsi" w:hAnsiTheme="minorHAnsi" w:cstheme="minorHAnsi"/>
          <w:i/>
          <w:sz w:val="22"/>
          <w:szCs w:val="22"/>
        </w:rPr>
        <w:t xml:space="preserve"> Wulf and Eadwacer</w:t>
      </w:r>
      <w:r w:rsidRPr="007C655E">
        <w:rPr>
          <w:rFonts w:asciiTheme="minorHAnsi" w:hAnsiTheme="minorHAnsi" w:cstheme="minorHAnsi"/>
          <w:sz w:val="22"/>
          <w:szCs w:val="22"/>
        </w:rPr>
        <w:t xml:space="preserve"> in combination, a multilayered image of Anglo-Saxon society emerges. Not only are the trials and tribulations of women and their social anchoring to men expressed in emotional and considered form, but the two poems also reveal something of the social imperatives and legal structure of Anglo-Saxon society. We see two examples in which the lives of women are impacted directly by their male counterparts negatively: in the form of forbidden love in </w:t>
      </w:r>
      <w:r w:rsidRPr="007C655E">
        <w:rPr>
          <w:rFonts w:asciiTheme="minorHAnsi" w:hAnsiTheme="minorHAnsi" w:cstheme="minorHAnsi"/>
          <w:i/>
          <w:sz w:val="22"/>
          <w:szCs w:val="22"/>
        </w:rPr>
        <w:t>Wulf and Eadwacer</w:t>
      </w:r>
      <w:r w:rsidRPr="007C655E">
        <w:rPr>
          <w:rFonts w:asciiTheme="minorHAnsi" w:hAnsiTheme="minorHAnsi" w:cstheme="minorHAnsi"/>
          <w:sz w:val="22"/>
          <w:szCs w:val="22"/>
        </w:rPr>
        <w:t xml:space="preserve">, and in the form of regretted love in </w:t>
      </w:r>
      <w:r w:rsidRPr="007C655E">
        <w:rPr>
          <w:rFonts w:asciiTheme="minorHAnsi" w:hAnsiTheme="minorHAnsi" w:cstheme="minorHAnsi"/>
          <w:i/>
          <w:sz w:val="22"/>
          <w:szCs w:val="22"/>
        </w:rPr>
        <w:t>The Wife’s Lament</w:t>
      </w:r>
      <w:r w:rsidRPr="007C655E">
        <w:rPr>
          <w:rFonts w:asciiTheme="minorHAnsi" w:hAnsiTheme="minorHAnsi" w:cstheme="minorHAnsi"/>
          <w:sz w:val="22"/>
          <w:szCs w:val="22"/>
        </w:rPr>
        <w:t xml:space="preserve">. </w:t>
      </w:r>
      <w:r w:rsidR="00A93B14" w:rsidRPr="007C655E">
        <w:rPr>
          <w:rFonts w:asciiTheme="minorHAnsi" w:hAnsiTheme="minorHAnsi" w:cstheme="minorHAnsi"/>
          <w:sz w:val="22"/>
          <w:szCs w:val="22"/>
        </w:rPr>
        <w:t xml:space="preserve">Something of the status of women as thinking beings, tied to, yet possessive of thoughts and lives quite separate to men. </w:t>
      </w:r>
      <w:r w:rsidRPr="007C655E">
        <w:rPr>
          <w:rFonts w:asciiTheme="minorHAnsi" w:hAnsiTheme="minorHAnsi" w:cstheme="minorHAnsi"/>
          <w:sz w:val="22"/>
          <w:szCs w:val="22"/>
        </w:rPr>
        <w:t xml:space="preserve">In both pieces </w:t>
      </w:r>
      <w:r w:rsidR="00A93B14" w:rsidRPr="007C655E">
        <w:rPr>
          <w:rFonts w:asciiTheme="minorHAnsi" w:hAnsiTheme="minorHAnsi" w:cstheme="minorHAnsi"/>
          <w:sz w:val="22"/>
          <w:szCs w:val="22"/>
        </w:rPr>
        <w:t>exile is also an extremely strong theme, for the protagonists of both pieces are defined by their exile more so than they are defined by their relationship to men.</w:t>
      </w:r>
    </w:p>
    <w:p w14:paraId="55B0DD1D" w14:textId="7D1F864F" w:rsidR="00A93B14" w:rsidRPr="007C655E" w:rsidRDefault="00A93B14" w:rsidP="007C655E">
      <w:pPr>
        <w:spacing w:line="480" w:lineRule="auto"/>
        <w:jc w:val="both"/>
        <w:rPr>
          <w:rFonts w:asciiTheme="minorHAnsi" w:hAnsiTheme="minorHAnsi" w:cstheme="minorHAnsi"/>
          <w:sz w:val="22"/>
          <w:szCs w:val="22"/>
        </w:rPr>
      </w:pPr>
    </w:p>
    <w:p w14:paraId="4BE515B5" w14:textId="2A5B783C" w:rsidR="00AB4DDC" w:rsidRPr="007C655E" w:rsidRDefault="00A93B14" w:rsidP="007C655E">
      <w:pPr>
        <w:spacing w:line="480" w:lineRule="auto"/>
        <w:jc w:val="both"/>
        <w:rPr>
          <w:rFonts w:asciiTheme="minorHAnsi" w:hAnsiTheme="minorHAnsi" w:cstheme="minorHAnsi"/>
          <w:sz w:val="22"/>
          <w:szCs w:val="22"/>
        </w:rPr>
      </w:pPr>
      <w:r w:rsidRPr="007C655E">
        <w:rPr>
          <w:rFonts w:asciiTheme="minorHAnsi" w:hAnsiTheme="minorHAnsi" w:cstheme="minorHAnsi"/>
          <w:i/>
          <w:sz w:val="22"/>
          <w:szCs w:val="22"/>
        </w:rPr>
        <w:t xml:space="preserve">The Seafarer </w:t>
      </w:r>
      <w:r w:rsidRPr="007C655E">
        <w:rPr>
          <w:rFonts w:asciiTheme="minorHAnsi" w:hAnsiTheme="minorHAnsi" w:cstheme="minorHAnsi"/>
          <w:sz w:val="22"/>
          <w:szCs w:val="22"/>
        </w:rPr>
        <w:t>takes a different path in the examination o</w:t>
      </w:r>
      <w:r w:rsidR="00AB4DDC" w:rsidRPr="007C655E">
        <w:rPr>
          <w:rFonts w:asciiTheme="minorHAnsi" w:hAnsiTheme="minorHAnsi" w:cstheme="minorHAnsi"/>
          <w:sz w:val="22"/>
          <w:szCs w:val="22"/>
        </w:rPr>
        <w:t>f e</w:t>
      </w:r>
      <w:r w:rsidRPr="007C655E">
        <w:rPr>
          <w:rFonts w:asciiTheme="minorHAnsi" w:hAnsiTheme="minorHAnsi" w:cstheme="minorHAnsi"/>
          <w:sz w:val="22"/>
          <w:szCs w:val="22"/>
        </w:rPr>
        <w:t>xile.</w:t>
      </w:r>
      <w:r w:rsidR="00AB4DDC" w:rsidRPr="007C655E">
        <w:rPr>
          <w:rFonts w:asciiTheme="minorHAnsi" w:hAnsiTheme="minorHAnsi" w:cstheme="minorHAnsi"/>
          <w:sz w:val="22"/>
          <w:szCs w:val="22"/>
        </w:rPr>
        <w:t xml:space="preserve"> Told from the perspective of a well-travelled Anglo-Saxon reminiscing on their past, exile is not explicitly the focus of the poem in the same way as </w:t>
      </w:r>
      <w:r w:rsidR="00AB4DDC" w:rsidRPr="007C655E">
        <w:rPr>
          <w:rFonts w:asciiTheme="minorHAnsi" w:hAnsiTheme="minorHAnsi" w:cstheme="minorHAnsi"/>
          <w:i/>
          <w:sz w:val="22"/>
          <w:szCs w:val="22"/>
        </w:rPr>
        <w:t xml:space="preserve">Wulf and Eadwacer </w:t>
      </w:r>
      <w:r w:rsidR="00AB4DDC" w:rsidRPr="007C655E">
        <w:rPr>
          <w:rFonts w:asciiTheme="minorHAnsi" w:hAnsiTheme="minorHAnsi" w:cstheme="minorHAnsi"/>
          <w:sz w:val="22"/>
          <w:szCs w:val="22"/>
        </w:rPr>
        <w:t xml:space="preserve">or </w:t>
      </w:r>
      <w:r w:rsidR="00AB4DDC" w:rsidRPr="007C655E">
        <w:rPr>
          <w:rFonts w:asciiTheme="minorHAnsi" w:hAnsiTheme="minorHAnsi" w:cstheme="minorHAnsi"/>
          <w:i/>
          <w:sz w:val="22"/>
          <w:szCs w:val="22"/>
        </w:rPr>
        <w:t>The Wife’s Lament</w:t>
      </w:r>
      <w:r w:rsidR="00AB4DDC" w:rsidRPr="007C655E">
        <w:rPr>
          <w:rFonts w:asciiTheme="minorHAnsi" w:hAnsiTheme="minorHAnsi" w:cstheme="minorHAnsi"/>
          <w:sz w:val="22"/>
          <w:szCs w:val="22"/>
        </w:rPr>
        <w:t>. Yet according to Magennis, the “language of exile”</w:t>
      </w:r>
      <w:r w:rsidR="00AB4DDC" w:rsidRPr="007C655E">
        <w:rPr>
          <w:rStyle w:val="FootnoteReference"/>
          <w:rFonts w:asciiTheme="minorHAnsi" w:hAnsiTheme="minorHAnsi" w:cstheme="minorHAnsi"/>
          <w:sz w:val="22"/>
          <w:szCs w:val="22"/>
        </w:rPr>
        <w:footnoteReference w:id="5"/>
      </w:r>
      <w:r w:rsidR="00AB4DDC" w:rsidRPr="007C655E">
        <w:rPr>
          <w:rFonts w:asciiTheme="minorHAnsi" w:hAnsiTheme="minorHAnsi" w:cstheme="minorHAnsi"/>
          <w:sz w:val="22"/>
          <w:szCs w:val="22"/>
        </w:rPr>
        <w:t xml:space="preserve"> certainly is.  The Seafarer opens with the voice of the poem telling of the anxieties and hardships of the sea, of the agonizing loneliness, </w:t>
      </w:r>
      <w:r w:rsidR="00E60DBD" w:rsidRPr="007C655E">
        <w:rPr>
          <w:rFonts w:asciiTheme="minorHAnsi" w:hAnsiTheme="minorHAnsi" w:cstheme="minorHAnsi"/>
          <w:sz w:val="22"/>
          <w:szCs w:val="22"/>
        </w:rPr>
        <w:t>of the calls of seabirds intermingling with the memory of happiness on land. This is a self-imposed exile, for the voice of the poem tells of the pining for the sea after spending too long on land. This “call of the sea” is revealed here as one of the oldest narrative clichés in literature. The poem also reveals religious overtones as it… ???</w:t>
      </w:r>
    </w:p>
    <w:p w14:paraId="12206C7E" w14:textId="00EED753" w:rsidR="00E60DBD" w:rsidRPr="007C655E" w:rsidRDefault="00E60DBD" w:rsidP="007C655E">
      <w:pPr>
        <w:spacing w:line="480" w:lineRule="auto"/>
        <w:jc w:val="both"/>
        <w:rPr>
          <w:rFonts w:asciiTheme="minorHAnsi" w:hAnsiTheme="minorHAnsi" w:cstheme="minorHAnsi"/>
          <w:sz w:val="22"/>
          <w:szCs w:val="22"/>
        </w:rPr>
      </w:pPr>
    </w:p>
    <w:p w14:paraId="6C22AAC8" w14:textId="32C80C49" w:rsidR="00E60DBD" w:rsidRPr="007C655E" w:rsidRDefault="00E60DBD" w:rsidP="007C655E">
      <w:pPr>
        <w:spacing w:line="480" w:lineRule="auto"/>
        <w:jc w:val="both"/>
        <w:rPr>
          <w:rFonts w:asciiTheme="minorHAnsi" w:hAnsiTheme="minorHAnsi" w:cstheme="minorHAnsi"/>
          <w:sz w:val="22"/>
          <w:szCs w:val="22"/>
        </w:rPr>
      </w:pPr>
      <w:r w:rsidRPr="007C655E">
        <w:rPr>
          <w:rFonts w:asciiTheme="minorHAnsi" w:hAnsiTheme="minorHAnsi" w:cstheme="minorHAnsi"/>
          <w:sz w:val="22"/>
          <w:szCs w:val="22"/>
        </w:rPr>
        <w:t xml:space="preserve">Anglo-Saxon law referred to exile as a potential punishment. </w:t>
      </w:r>
      <w:r w:rsidR="00BC3EF6" w:rsidRPr="007C655E">
        <w:rPr>
          <w:rFonts w:asciiTheme="minorHAnsi" w:hAnsiTheme="minorHAnsi" w:cstheme="minorHAnsi"/>
          <w:sz w:val="22"/>
          <w:szCs w:val="22"/>
        </w:rPr>
        <w:t xml:space="preserve">Anglo-Saxon laws of outlawry, the act of naming someone a criminal an outlaw for a crime, even resulted in the wholesale movement of family to different places within Anglo-Saxon England. The practice survived into Anglo-Norman law, and it </w:t>
      </w:r>
      <w:r w:rsidR="00BC3EF6" w:rsidRPr="007C655E">
        <w:rPr>
          <w:rFonts w:asciiTheme="minorHAnsi" w:hAnsiTheme="minorHAnsi" w:cstheme="minorHAnsi"/>
          <w:sz w:val="22"/>
          <w:szCs w:val="22"/>
        </w:rPr>
        <w:lastRenderedPageBreak/>
        <w:t xml:space="preserve">is arguable that its presence was still felt in the era of colonization by transportation to penal colonies centuries later. </w:t>
      </w:r>
      <w:r w:rsidR="00BC3EF6" w:rsidRPr="007C655E">
        <w:rPr>
          <w:rStyle w:val="FootnoteReference"/>
          <w:rFonts w:asciiTheme="minorHAnsi" w:hAnsiTheme="minorHAnsi" w:cstheme="minorHAnsi"/>
          <w:sz w:val="22"/>
          <w:szCs w:val="22"/>
        </w:rPr>
        <w:footnoteReference w:id="6"/>
      </w:r>
      <w:r w:rsidR="00BC3EF6" w:rsidRPr="007C655E">
        <w:rPr>
          <w:rFonts w:asciiTheme="minorHAnsi" w:hAnsiTheme="minorHAnsi" w:cstheme="minorHAnsi"/>
          <w:sz w:val="22"/>
          <w:szCs w:val="22"/>
        </w:rPr>
        <w:t xml:space="preserve"> </w:t>
      </w:r>
    </w:p>
    <w:p w14:paraId="4BB41B87" w14:textId="77777777" w:rsidR="00BA73F7" w:rsidRPr="007C655E" w:rsidRDefault="00BA73F7" w:rsidP="007C655E">
      <w:pPr>
        <w:spacing w:line="480" w:lineRule="auto"/>
        <w:jc w:val="both"/>
        <w:rPr>
          <w:rFonts w:asciiTheme="minorHAnsi" w:hAnsiTheme="minorHAnsi" w:cstheme="minorHAnsi"/>
          <w:sz w:val="22"/>
          <w:szCs w:val="22"/>
        </w:rPr>
      </w:pPr>
    </w:p>
    <w:p w14:paraId="51970C9D" w14:textId="2478F259" w:rsidR="00E60DBD" w:rsidRPr="007C655E" w:rsidRDefault="00BA73F7" w:rsidP="007C655E">
      <w:pPr>
        <w:spacing w:line="480" w:lineRule="auto"/>
        <w:jc w:val="both"/>
        <w:rPr>
          <w:rFonts w:asciiTheme="minorHAnsi" w:hAnsiTheme="minorHAnsi" w:cstheme="minorHAnsi"/>
          <w:sz w:val="22"/>
          <w:szCs w:val="22"/>
        </w:rPr>
      </w:pPr>
      <w:r w:rsidRPr="007C655E">
        <w:rPr>
          <w:rFonts w:asciiTheme="minorHAnsi" w:hAnsiTheme="minorHAnsi" w:cstheme="minorHAnsi"/>
          <w:sz w:val="22"/>
          <w:szCs w:val="22"/>
        </w:rPr>
        <w:t>As masters of the growing literary form in the British Isles, the content and nature of the recorded works of Anglo-Saxon literature was subject to an ecclesiastical guiding hand.</w:t>
      </w:r>
      <w:r w:rsidRPr="007C655E">
        <w:rPr>
          <w:rStyle w:val="FootnoteReference"/>
          <w:rFonts w:asciiTheme="minorHAnsi" w:hAnsiTheme="minorHAnsi" w:cstheme="minorHAnsi"/>
          <w:sz w:val="22"/>
          <w:szCs w:val="22"/>
        </w:rPr>
        <w:footnoteReference w:id="7"/>
      </w:r>
      <w:r w:rsidRPr="007C655E">
        <w:rPr>
          <w:rFonts w:asciiTheme="minorHAnsi" w:hAnsiTheme="minorHAnsi" w:cstheme="minorHAnsi"/>
          <w:sz w:val="22"/>
          <w:szCs w:val="22"/>
        </w:rPr>
        <w:t xml:space="preserve"> It is therefore notable that the texts of </w:t>
      </w:r>
      <w:r w:rsidRPr="007C655E">
        <w:rPr>
          <w:rFonts w:asciiTheme="minorHAnsi" w:hAnsiTheme="minorHAnsi" w:cstheme="minorHAnsi"/>
          <w:i/>
          <w:sz w:val="22"/>
          <w:szCs w:val="22"/>
        </w:rPr>
        <w:t xml:space="preserve">The Wife’s Lament </w:t>
      </w:r>
      <w:r w:rsidRPr="007C655E">
        <w:rPr>
          <w:rFonts w:asciiTheme="minorHAnsi" w:hAnsiTheme="minorHAnsi" w:cstheme="minorHAnsi"/>
          <w:sz w:val="22"/>
          <w:szCs w:val="22"/>
        </w:rPr>
        <w:t xml:space="preserve">and </w:t>
      </w:r>
      <w:r w:rsidRPr="007C655E">
        <w:rPr>
          <w:rFonts w:asciiTheme="minorHAnsi" w:hAnsiTheme="minorHAnsi" w:cstheme="minorHAnsi"/>
          <w:i/>
          <w:sz w:val="22"/>
          <w:szCs w:val="22"/>
        </w:rPr>
        <w:t>Wulf and Eadwacer</w:t>
      </w:r>
      <w:r w:rsidR="00851527" w:rsidRPr="007C655E">
        <w:rPr>
          <w:rFonts w:asciiTheme="minorHAnsi" w:hAnsiTheme="minorHAnsi" w:cstheme="minorHAnsi"/>
          <w:sz w:val="22"/>
          <w:szCs w:val="22"/>
        </w:rPr>
        <w:t xml:space="preserve"> are presented as part of one of the surviving works of Anglo-Saxon literature. Yet it can also be interpreted that the works are not moralizations against the sin of adultery, or there to portray a negative perception of women, for the poems are found amidst particularly ribald riddles. In the view of Pasternack, adultery is not the foci of the works.</w:t>
      </w:r>
      <w:r w:rsidR="00851527" w:rsidRPr="007C655E">
        <w:rPr>
          <w:rStyle w:val="FootnoteReference"/>
          <w:rFonts w:asciiTheme="minorHAnsi" w:hAnsiTheme="minorHAnsi" w:cstheme="minorHAnsi"/>
          <w:sz w:val="22"/>
          <w:szCs w:val="22"/>
        </w:rPr>
        <w:footnoteReference w:id="8"/>
      </w:r>
      <w:r w:rsidR="00851527" w:rsidRPr="007C655E">
        <w:rPr>
          <w:rFonts w:asciiTheme="minorHAnsi" w:hAnsiTheme="minorHAnsi" w:cstheme="minorHAnsi"/>
          <w:sz w:val="22"/>
          <w:szCs w:val="22"/>
        </w:rPr>
        <w:t xml:space="preserve"> Therefore, it can be extrapolated that rumination on the topic of exile is. </w:t>
      </w:r>
    </w:p>
    <w:p w14:paraId="0D8214FE" w14:textId="77777777" w:rsidR="00BA73F7" w:rsidRPr="007C655E" w:rsidRDefault="00BA73F7" w:rsidP="007C655E">
      <w:pPr>
        <w:spacing w:line="480" w:lineRule="auto"/>
        <w:jc w:val="both"/>
        <w:rPr>
          <w:rFonts w:asciiTheme="minorHAnsi" w:hAnsiTheme="minorHAnsi" w:cstheme="minorHAnsi"/>
          <w:sz w:val="22"/>
          <w:szCs w:val="22"/>
        </w:rPr>
      </w:pPr>
    </w:p>
    <w:p w14:paraId="0C4EF77C" w14:textId="1C078BEC" w:rsidR="00E60DBD" w:rsidRPr="007C655E" w:rsidRDefault="00E60DBD" w:rsidP="007C655E">
      <w:pPr>
        <w:spacing w:line="480" w:lineRule="auto"/>
        <w:jc w:val="both"/>
        <w:rPr>
          <w:rFonts w:asciiTheme="minorHAnsi" w:hAnsiTheme="minorHAnsi" w:cstheme="minorHAnsi"/>
          <w:sz w:val="22"/>
          <w:szCs w:val="22"/>
        </w:rPr>
      </w:pPr>
      <w:r w:rsidRPr="007C655E">
        <w:rPr>
          <w:rFonts w:asciiTheme="minorHAnsi" w:hAnsiTheme="minorHAnsi" w:cstheme="minorHAnsi"/>
          <w:sz w:val="22"/>
          <w:szCs w:val="22"/>
        </w:rPr>
        <w:t xml:space="preserve">Ultimately, from the poems chosen as illustrative examples, a preoccupation with the topic of exile is revealed as a central tenet of much of the philosophy at the core of Anglo-Saxon literature. It appears as though to the Anglo-Saxon, community is oft represented as </w:t>
      </w:r>
      <w:r w:rsidR="004828F6" w:rsidRPr="007C655E">
        <w:rPr>
          <w:rFonts w:asciiTheme="minorHAnsi" w:hAnsiTheme="minorHAnsi" w:cstheme="minorHAnsi"/>
          <w:sz w:val="22"/>
          <w:szCs w:val="22"/>
        </w:rPr>
        <w:t>one of the most important factors</w:t>
      </w:r>
      <w:r w:rsidRPr="007C655E">
        <w:rPr>
          <w:rFonts w:asciiTheme="minorHAnsi" w:hAnsiTheme="minorHAnsi" w:cstheme="minorHAnsi"/>
          <w:sz w:val="22"/>
          <w:szCs w:val="22"/>
        </w:rPr>
        <w:t xml:space="preserve"> in life, and alienation or exile from it is considered to be one of the worst things that could happen.</w:t>
      </w:r>
      <w:r w:rsidR="004828F6" w:rsidRPr="007C655E">
        <w:rPr>
          <w:rStyle w:val="FootnoteReference"/>
          <w:rFonts w:asciiTheme="minorHAnsi" w:hAnsiTheme="minorHAnsi" w:cstheme="minorHAnsi"/>
          <w:sz w:val="22"/>
          <w:szCs w:val="22"/>
        </w:rPr>
        <w:footnoteReference w:id="9"/>
      </w:r>
      <w:r w:rsidRPr="007C655E">
        <w:rPr>
          <w:rFonts w:asciiTheme="minorHAnsi" w:hAnsiTheme="minorHAnsi" w:cstheme="minorHAnsi"/>
          <w:sz w:val="22"/>
          <w:szCs w:val="22"/>
        </w:rPr>
        <w:t xml:space="preserve"> Across numerous poems, this is repeated: from the anguish of exile derived from a socially unacceptable love in </w:t>
      </w:r>
      <w:r w:rsidRPr="007C655E">
        <w:rPr>
          <w:rFonts w:asciiTheme="minorHAnsi" w:hAnsiTheme="minorHAnsi" w:cstheme="minorHAnsi"/>
          <w:i/>
          <w:sz w:val="22"/>
          <w:szCs w:val="22"/>
        </w:rPr>
        <w:t>Wulf and Eadwacer</w:t>
      </w:r>
      <w:r w:rsidRPr="007C655E">
        <w:rPr>
          <w:rFonts w:asciiTheme="minorHAnsi" w:hAnsiTheme="minorHAnsi" w:cstheme="minorHAnsi"/>
          <w:sz w:val="22"/>
          <w:szCs w:val="22"/>
        </w:rPr>
        <w:t xml:space="preserve"> to the anxiety about exile from repeated sea voyages experienced by the protagonist voice of </w:t>
      </w:r>
      <w:r w:rsidRPr="007C655E">
        <w:rPr>
          <w:rFonts w:asciiTheme="minorHAnsi" w:hAnsiTheme="minorHAnsi" w:cstheme="minorHAnsi"/>
          <w:i/>
          <w:sz w:val="22"/>
          <w:szCs w:val="22"/>
        </w:rPr>
        <w:t>The Seafarer.</w:t>
      </w:r>
      <w:r w:rsidR="00BA73F7" w:rsidRPr="007C655E">
        <w:rPr>
          <w:rFonts w:asciiTheme="minorHAnsi" w:hAnsiTheme="minorHAnsi" w:cstheme="minorHAnsi"/>
          <w:sz w:val="22"/>
          <w:szCs w:val="22"/>
        </w:rPr>
        <w:t xml:space="preserve"> </w:t>
      </w:r>
    </w:p>
    <w:p w14:paraId="12E28DA5" w14:textId="77777777" w:rsidR="00AB4DDC" w:rsidRPr="007C655E" w:rsidRDefault="00AB4DDC" w:rsidP="007C655E">
      <w:pPr>
        <w:spacing w:line="480" w:lineRule="auto"/>
        <w:jc w:val="both"/>
        <w:rPr>
          <w:rFonts w:asciiTheme="minorHAnsi" w:hAnsiTheme="minorHAnsi" w:cstheme="minorHAnsi"/>
          <w:sz w:val="22"/>
          <w:szCs w:val="22"/>
        </w:rPr>
      </w:pPr>
    </w:p>
    <w:p w14:paraId="63385192" w14:textId="16A4E3A6" w:rsidR="000F420A" w:rsidRPr="007C655E" w:rsidRDefault="000F420A" w:rsidP="007C655E">
      <w:pPr>
        <w:spacing w:line="480" w:lineRule="auto"/>
        <w:jc w:val="both"/>
        <w:rPr>
          <w:rFonts w:asciiTheme="minorHAnsi" w:hAnsiTheme="minorHAnsi" w:cstheme="minorHAnsi"/>
          <w:sz w:val="22"/>
          <w:szCs w:val="22"/>
        </w:rPr>
      </w:pPr>
    </w:p>
    <w:p w14:paraId="029E330C" w14:textId="01F3B00F" w:rsidR="00CD73BA" w:rsidRPr="007C655E" w:rsidRDefault="00CD73BA" w:rsidP="007C655E">
      <w:pPr>
        <w:spacing w:after="160" w:line="259" w:lineRule="auto"/>
        <w:jc w:val="both"/>
        <w:rPr>
          <w:rFonts w:asciiTheme="minorHAnsi" w:hAnsiTheme="minorHAnsi" w:cstheme="minorHAnsi"/>
          <w:sz w:val="22"/>
          <w:szCs w:val="22"/>
        </w:rPr>
      </w:pPr>
      <w:r w:rsidRPr="007C655E">
        <w:rPr>
          <w:rFonts w:asciiTheme="minorHAnsi" w:hAnsiTheme="minorHAnsi" w:cstheme="minorHAnsi"/>
          <w:sz w:val="22"/>
          <w:szCs w:val="22"/>
        </w:rPr>
        <w:br w:type="page"/>
      </w:r>
    </w:p>
    <w:p w14:paraId="0A190125" w14:textId="77777777" w:rsidR="00FB6A08" w:rsidRPr="007C655E" w:rsidRDefault="00FB6A08" w:rsidP="007C655E">
      <w:pPr>
        <w:spacing w:line="480" w:lineRule="auto"/>
        <w:jc w:val="both"/>
        <w:rPr>
          <w:rFonts w:asciiTheme="minorHAnsi" w:hAnsiTheme="minorHAnsi" w:cstheme="minorHAnsi"/>
          <w:b/>
          <w:sz w:val="22"/>
          <w:szCs w:val="22"/>
        </w:rPr>
      </w:pPr>
      <w:r w:rsidRPr="007C655E">
        <w:rPr>
          <w:rFonts w:asciiTheme="minorHAnsi" w:hAnsiTheme="minorHAnsi" w:cstheme="minorHAnsi"/>
          <w:b/>
          <w:sz w:val="22"/>
          <w:szCs w:val="22"/>
        </w:rPr>
        <w:lastRenderedPageBreak/>
        <w:t>Bibliography</w:t>
      </w:r>
    </w:p>
    <w:p w14:paraId="7C4D9B3E" w14:textId="77777777" w:rsidR="00FB6A08" w:rsidRPr="007C655E" w:rsidRDefault="00FB6A08" w:rsidP="007C655E">
      <w:pPr>
        <w:spacing w:line="480" w:lineRule="auto"/>
        <w:jc w:val="both"/>
        <w:rPr>
          <w:rFonts w:asciiTheme="minorHAnsi" w:hAnsiTheme="minorHAnsi" w:cstheme="minorHAnsi"/>
          <w:sz w:val="22"/>
          <w:szCs w:val="22"/>
        </w:rPr>
      </w:pPr>
    </w:p>
    <w:p w14:paraId="48499033"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bookmarkStart w:id="2" w:name="_Hlk519249729"/>
      <w:r w:rsidRPr="007C655E">
        <w:rPr>
          <w:rFonts w:asciiTheme="minorHAnsi" w:hAnsiTheme="minorHAnsi" w:cstheme="minorHAnsi"/>
          <w:i/>
          <w:iCs/>
          <w:color w:val="000000"/>
          <w:sz w:val="22"/>
          <w:szCs w:val="22"/>
          <w:lang w:val="en-GB" w:eastAsia="en-GB"/>
        </w:rPr>
        <w:t xml:space="preserve">Anglo-Saxon Poetry, </w:t>
      </w:r>
      <w:r w:rsidRPr="007C655E">
        <w:rPr>
          <w:rFonts w:asciiTheme="minorHAnsi" w:hAnsiTheme="minorHAnsi" w:cstheme="minorHAnsi"/>
          <w:color w:val="000000"/>
          <w:sz w:val="22"/>
          <w:szCs w:val="22"/>
          <w:lang w:val="en-GB" w:eastAsia="en-GB"/>
        </w:rPr>
        <w:t>Trans. &amp; Ed. S. A. J. Bradley (London: Everyman Library, 1995).</w:t>
      </w:r>
    </w:p>
    <w:p w14:paraId="492DDACE"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i/>
          <w:iCs/>
          <w:color w:val="000000"/>
          <w:sz w:val="22"/>
          <w:szCs w:val="22"/>
          <w:lang w:val="en-GB" w:eastAsia="en-GB"/>
        </w:rPr>
        <w:t xml:space="preserve">Beowulf and Other Stories: A New Introduction to Old English, Old Icelandic and Anglo-Noman Literatures, </w:t>
      </w:r>
      <w:r w:rsidRPr="007C655E">
        <w:rPr>
          <w:rFonts w:asciiTheme="minorHAnsi" w:hAnsiTheme="minorHAnsi" w:cstheme="minorHAnsi"/>
          <w:color w:val="000000"/>
          <w:sz w:val="22"/>
          <w:szCs w:val="22"/>
          <w:lang w:val="en-GB" w:eastAsia="en-GB"/>
        </w:rPr>
        <w:t>Ed. R. North, J. Allard (Harlow: Pearson Education Limited, 2007).</w:t>
      </w:r>
    </w:p>
    <w:p w14:paraId="7F2FE859"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i/>
          <w:iCs/>
          <w:color w:val="000000"/>
          <w:sz w:val="22"/>
          <w:szCs w:val="22"/>
          <w:lang w:val="en-GB" w:eastAsia="en-GB"/>
        </w:rPr>
        <w:t xml:space="preserve">Beowulf, </w:t>
      </w:r>
      <w:r w:rsidRPr="007C655E">
        <w:rPr>
          <w:rFonts w:asciiTheme="minorHAnsi" w:hAnsiTheme="minorHAnsi" w:cstheme="minorHAnsi"/>
          <w:color w:val="000000"/>
          <w:sz w:val="22"/>
          <w:szCs w:val="22"/>
          <w:lang w:val="en-GB" w:eastAsia="en-GB"/>
        </w:rPr>
        <w:t>Trans. M. Swanton (Manchester: Manchester University Press, 1997).</w:t>
      </w:r>
    </w:p>
    <w:p w14:paraId="6BF1A487"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i/>
          <w:iCs/>
          <w:color w:val="000000"/>
          <w:sz w:val="22"/>
          <w:szCs w:val="22"/>
          <w:lang w:val="en-GB" w:eastAsia="en-GB"/>
        </w:rPr>
        <w:t>Beowulf: A Dual-Language Edition</w:t>
      </w:r>
      <w:r w:rsidRPr="007C655E">
        <w:rPr>
          <w:rFonts w:asciiTheme="minorHAnsi" w:hAnsiTheme="minorHAnsi" w:cstheme="minorHAnsi"/>
          <w:color w:val="000000"/>
          <w:sz w:val="22"/>
          <w:szCs w:val="22"/>
          <w:lang w:val="en-GB" w:eastAsia="en-GB"/>
        </w:rPr>
        <w:t>, Trans. &amp; Ed. H. D. Chickering, Jr. (New York: Anchor Books Editions, 2006).</w:t>
      </w:r>
    </w:p>
    <w:p w14:paraId="3041B52C"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i/>
          <w:iCs/>
          <w:color w:val="000000"/>
          <w:sz w:val="22"/>
          <w:szCs w:val="22"/>
          <w:lang w:val="en-GB" w:eastAsia="en-GB"/>
        </w:rPr>
        <w:t xml:space="preserve">Beowulf: A New Verse Translation, </w:t>
      </w:r>
      <w:r w:rsidRPr="007C655E">
        <w:rPr>
          <w:rFonts w:asciiTheme="minorHAnsi" w:hAnsiTheme="minorHAnsi" w:cstheme="minorHAnsi"/>
          <w:color w:val="000000"/>
          <w:sz w:val="22"/>
          <w:szCs w:val="22"/>
          <w:lang w:val="en-GB" w:eastAsia="en-GB"/>
        </w:rPr>
        <w:t>Trans. S. Heany (New York: W. W. Norton &amp; Company Inc., 2000).</w:t>
      </w:r>
    </w:p>
    <w:p w14:paraId="63D022A3"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 xml:space="preserve">Crossley-Holland, K., </w:t>
      </w:r>
      <w:r w:rsidRPr="007C655E">
        <w:rPr>
          <w:rFonts w:asciiTheme="minorHAnsi" w:hAnsiTheme="minorHAnsi" w:cstheme="minorHAnsi"/>
          <w:i/>
          <w:iCs/>
          <w:color w:val="000000"/>
          <w:sz w:val="22"/>
          <w:szCs w:val="22"/>
          <w:lang w:val="en-GB" w:eastAsia="en-GB"/>
        </w:rPr>
        <w:t xml:space="preserve">The Anglo-Saxon World </w:t>
      </w:r>
      <w:r w:rsidRPr="007C655E">
        <w:rPr>
          <w:rFonts w:asciiTheme="minorHAnsi" w:hAnsiTheme="minorHAnsi" w:cstheme="minorHAnsi"/>
          <w:color w:val="000000"/>
          <w:sz w:val="22"/>
          <w:szCs w:val="22"/>
          <w:lang w:val="en-GB" w:eastAsia="en-GB"/>
        </w:rPr>
        <w:t>(Woodbridge: The Boydell Press, 2002).</w:t>
      </w:r>
    </w:p>
    <w:bookmarkEnd w:id="2"/>
    <w:p w14:paraId="68D5E328"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 xml:space="preserve">Desmond, M., ‘The Voice of Exile: Feminist Literary History and the Anonymous Anglo-Saxon Elegy’, </w:t>
      </w:r>
      <w:r w:rsidRPr="007C655E">
        <w:rPr>
          <w:rFonts w:asciiTheme="minorHAnsi" w:hAnsiTheme="minorHAnsi" w:cstheme="minorHAnsi"/>
          <w:i/>
          <w:color w:val="000000"/>
          <w:sz w:val="22"/>
          <w:szCs w:val="22"/>
          <w:lang w:val="en-GB" w:eastAsia="en-GB"/>
        </w:rPr>
        <w:t>Critical Inquiry</w:t>
      </w:r>
      <w:r w:rsidRPr="007C655E">
        <w:rPr>
          <w:rFonts w:asciiTheme="minorHAnsi" w:hAnsiTheme="minorHAnsi" w:cstheme="minorHAnsi"/>
          <w:color w:val="000000"/>
          <w:sz w:val="22"/>
          <w:szCs w:val="22"/>
          <w:lang w:val="en-GB" w:eastAsia="en-GB"/>
        </w:rPr>
        <w:t>, Vol. 16, No. 3, (1990), pp. 572-590.</w:t>
      </w:r>
    </w:p>
    <w:p w14:paraId="707865EC" w14:textId="1C1714E9"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 xml:space="preserve">Greenfield, S. B., ‘The Formulaic Expression of the Theme of “Exile” in Anglo-Saxon Poetry’, </w:t>
      </w:r>
      <w:r w:rsidRPr="007C655E">
        <w:rPr>
          <w:rFonts w:asciiTheme="minorHAnsi" w:hAnsiTheme="minorHAnsi" w:cstheme="minorHAnsi"/>
          <w:i/>
          <w:color w:val="000000"/>
          <w:sz w:val="22"/>
          <w:szCs w:val="22"/>
          <w:lang w:val="en-GB" w:eastAsia="en-GB"/>
        </w:rPr>
        <w:t>Speculum</w:t>
      </w:r>
      <w:r w:rsidRPr="007C655E">
        <w:rPr>
          <w:rFonts w:asciiTheme="minorHAnsi" w:hAnsiTheme="minorHAnsi" w:cstheme="minorHAnsi"/>
          <w:color w:val="000000"/>
          <w:sz w:val="22"/>
          <w:szCs w:val="22"/>
          <w:lang w:val="en-GB" w:eastAsia="en-GB"/>
        </w:rPr>
        <w:t>, Vol</w:t>
      </w:r>
      <w:r w:rsidR="008B1751" w:rsidRPr="007C655E">
        <w:rPr>
          <w:rFonts w:asciiTheme="minorHAnsi" w:hAnsiTheme="minorHAnsi" w:cstheme="minorHAnsi"/>
          <w:color w:val="000000"/>
          <w:sz w:val="22"/>
          <w:szCs w:val="22"/>
          <w:lang w:val="en-GB" w:eastAsia="en-GB"/>
        </w:rPr>
        <w:t>.</w:t>
      </w:r>
      <w:r w:rsidRPr="007C655E">
        <w:rPr>
          <w:rFonts w:asciiTheme="minorHAnsi" w:hAnsiTheme="minorHAnsi" w:cstheme="minorHAnsi"/>
          <w:color w:val="000000"/>
          <w:sz w:val="22"/>
          <w:szCs w:val="22"/>
          <w:lang w:val="en-GB" w:eastAsia="en-GB"/>
        </w:rPr>
        <w:t xml:space="preserve"> 30, No. 2, (1955), pp. 200-206</w:t>
      </w:r>
      <w:r w:rsidR="009A4A64" w:rsidRPr="007C655E">
        <w:rPr>
          <w:rFonts w:asciiTheme="minorHAnsi" w:hAnsiTheme="minorHAnsi" w:cstheme="minorHAnsi"/>
          <w:color w:val="000000"/>
          <w:sz w:val="22"/>
          <w:szCs w:val="22"/>
          <w:lang w:val="en-GB" w:eastAsia="en-GB"/>
        </w:rPr>
        <w:t>.</w:t>
      </w:r>
    </w:p>
    <w:p w14:paraId="55EAFA41" w14:textId="77777777" w:rsidR="001A42FE" w:rsidRPr="007C655E" w:rsidRDefault="001A42FE" w:rsidP="007C655E">
      <w:pPr>
        <w:spacing w:line="480" w:lineRule="auto"/>
        <w:jc w:val="both"/>
        <w:rPr>
          <w:rFonts w:asciiTheme="minorHAnsi" w:hAnsiTheme="minorHAnsi" w:cstheme="minorHAnsi"/>
          <w:color w:val="000000"/>
          <w:sz w:val="22"/>
          <w:szCs w:val="22"/>
          <w:lang w:val="en-GB" w:eastAsia="en-GB"/>
        </w:rPr>
      </w:pPr>
      <w:bookmarkStart w:id="3" w:name="_Hlk519249766"/>
      <w:r w:rsidRPr="007C655E">
        <w:rPr>
          <w:rFonts w:asciiTheme="minorHAnsi" w:hAnsiTheme="minorHAnsi" w:cstheme="minorHAnsi"/>
          <w:color w:val="000000"/>
          <w:sz w:val="22"/>
          <w:szCs w:val="22"/>
          <w:lang w:val="en-GB" w:eastAsia="en-GB"/>
        </w:rPr>
        <w:t xml:space="preserve">Griffiths, B., </w:t>
      </w:r>
      <w:r w:rsidRPr="007C655E">
        <w:rPr>
          <w:rFonts w:asciiTheme="minorHAnsi" w:hAnsiTheme="minorHAnsi" w:cstheme="minorHAnsi"/>
          <w:i/>
          <w:iCs/>
          <w:color w:val="000000"/>
          <w:sz w:val="22"/>
          <w:szCs w:val="22"/>
          <w:lang w:val="en-GB" w:eastAsia="en-GB"/>
        </w:rPr>
        <w:t>A User-Friendly Dictionary of Old English,</w:t>
      </w:r>
      <w:r w:rsidRPr="007C655E">
        <w:rPr>
          <w:rFonts w:asciiTheme="minorHAnsi" w:hAnsiTheme="minorHAnsi" w:cstheme="minorHAnsi"/>
          <w:color w:val="000000"/>
          <w:sz w:val="22"/>
          <w:szCs w:val="22"/>
          <w:lang w:val="en-GB" w:eastAsia="en-GB"/>
        </w:rPr>
        <w:t>5th edition (Avebury: Heart of Albion Press, 2005).</w:t>
      </w:r>
    </w:p>
    <w:p w14:paraId="328F82A1"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 xml:space="preserve">Magennis, H., </w:t>
      </w:r>
      <w:r w:rsidRPr="007C655E">
        <w:rPr>
          <w:rFonts w:asciiTheme="minorHAnsi" w:hAnsiTheme="minorHAnsi" w:cstheme="minorHAnsi"/>
          <w:i/>
          <w:iCs/>
          <w:color w:val="000000"/>
          <w:sz w:val="22"/>
          <w:szCs w:val="22"/>
          <w:lang w:val="en-GB" w:eastAsia="en-GB"/>
        </w:rPr>
        <w:t>The Cambridge Introduction to Anglo-Saxon Literature</w:t>
      </w:r>
      <w:r w:rsidRPr="007C655E">
        <w:rPr>
          <w:rFonts w:asciiTheme="minorHAnsi" w:hAnsiTheme="minorHAnsi" w:cstheme="minorHAnsi"/>
          <w:color w:val="000000"/>
          <w:sz w:val="22"/>
          <w:szCs w:val="22"/>
          <w:lang w:val="en-GB" w:eastAsia="en-GB"/>
        </w:rPr>
        <w:t xml:space="preserve"> (Cambridge: Cambridge University Press, 2011).</w:t>
      </w:r>
    </w:p>
    <w:p w14:paraId="46932D5C"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i/>
          <w:iCs/>
          <w:color w:val="000000"/>
          <w:sz w:val="22"/>
          <w:szCs w:val="22"/>
          <w:lang w:val="en-GB" w:eastAsia="en-GB"/>
        </w:rPr>
        <w:t xml:space="preserve">Reading Old English Texts, </w:t>
      </w:r>
      <w:r w:rsidRPr="007C655E">
        <w:rPr>
          <w:rFonts w:asciiTheme="minorHAnsi" w:hAnsiTheme="minorHAnsi" w:cstheme="minorHAnsi"/>
          <w:color w:val="000000"/>
          <w:sz w:val="22"/>
          <w:szCs w:val="22"/>
          <w:lang w:val="en-GB" w:eastAsia="en-GB"/>
        </w:rPr>
        <w:t>Ed. K. O'Brien O'Keefe (Cambridge: Cambridge University Press, 1997).</w:t>
      </w:r>
    </w:p>
    <w:p w14:paraId="173FF838" w14:textId="77777777" w:rsidR="001A42FE" w:rsidRPr="007C655E" w:rsidRDefault="001A42FE" w:rsidP="007C655E">
      <w:pPr>
        <w:spacing w:line="480" w:lineRule="auto"/>
        <w:jc w:val="both"/>
        <w:rPr>
          <w:rFonts w:asciiTheme="minorHAnsi" w:hAnsiTheme="minorHAnsi" w:cstheme="minorHAnsi"/>
          <w:color w:val="000000"/>
          <w:sz w:val="22"/>
          <w:szCs w:val="22"/>
          <w:lang w:val="en-GB" w:eastAsia="en-GB"/>
        </w:rPr>
      </w:pPr>
      <w:r w:rsidRPr="007C655E">
        <w:rPr>
          <w:rFonts w:asciiTheme="minorHAnsi" w:hAnsiTheme="minorHAnsi" w:cstheme="minorHAnsi"/>
          <w:color w:val="000000"/>
          <w:sz w:val="22"/>
          <w:szCs w:val="22"/>
          <w:lang w:val="en-GB" w:eastAsia="en-GB"/>
        </w:rPr>
        <w:t xml:space="preserve">Stenton, F. M., </w:t>
      </w:r>
      <w:r w:rsidRPr="007C655E">
        <w:rPr>
          <w:rFonts w:asciiTheme="minorHAnsi" w:hAnsiTheme="minorHAnsi" w:cstheme="minorHAnsi"/>
          <w:i/>
          <w:iCs/>
          <w:color w:val="000000"/>
          <w:sz w:val="22"/>
          <w:szCs w:val="22"/>
          <w:lang w:val="en-GB" w:eastAsia="en-GB"/>
        </w:rPr>
        <w:t xml:space="preserve">Anglo-Saxon England, </w:t>
      </w:r>
      <w:r w:rsidRPr="007C655E">
        <w:rPr>
          <w:rFonts w:asciiTheme="minorHAnsi" w:hAnsiTheme="minorHAnsi" w:cstheme="minorHAnsi"/>
          <w:color w:val="000000"/>
          <w:sz w:val="22"/>
          <w:szCs w:val="22"/>
          <w:lang w:val="en-GB" w:eastAsia="en-GB"/>
        </w:rPr>
        <w:t>3rd edition (Oxford: Oxford University Press, 2001).</w:t>
      </w:r>
    </w:p>
    <w:p w14:paraId="0C222F00"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The Anglo-Saxon Chronicles,</w:t>
      </w:r>
      <w:r w:rsidRPr="007C655E">
        <w:rPr>
          <w:rFonts w:asciiTheme="minorHAnsi" w:hAnsiTheme="minorHAnsi" w:cstheme="minorHAnsi"/>
          <w:i/>
          <w:iCs/>
          <w:color w:val="000000"/>
          <w:sz w:val="22"/>
          <w:szCs w:val="22"/>
          <w:lang w:val="en-GB" w:eastAsia="en-GB"/>
        </w:rPr>
        <w:t xml:space="preserve"> Trans. &amp; Ed. M. Swanton </w:t>
      </w:r>
      <w:r w:rsidRPr="007C655E">
        <w:rPr>
          <w:rFonts w:asciiTheme="minorHAnsi" w:hAnsiTheme="minorHAnsi" w:cstheme="minorHAnsi"/>
          <w:color w:val="000000"/>
          <w:sz w:val="22"/>
          <w:szCs w:val="22"/>
          <w:lang w:val="en-GB" w:eastAsia="en-GB"/>
        </w:rPr>
        <w:t>(London: Phoenix Press, 2000).</w:t>
      </w:r>
    </w:p>
    <w:p w14:paraId="1671BE63" w14:textId="77777777" w:rsidR="001A42FE" w:rsidRPr="007C655E" w:rsidRDefault="001A42FE" w:rsidP="007C655E">
      <w:pPr>
        <w:spacing w:line="480" w:lineRule="auto"/>
        <w:jc w:val="both"/>
        <w:rPr>
          <w:rFonts w:asciiTheme="minorHAnsi" w:hAnsiTheme="minorHAnsi" w:cstheme="minorHAnsi"/>
          <w:i/>
          <w:iCs/>
          <w:color w:val="000000"/>
          <w:sz w:val="22"/>
          <w:szCs w:val="22"/>
          <w:lang w:val="en-GB" w:eastAsia="en-GB"/>
        </w:rPr>
      </w:pPr>
      <w:r w:rsidRPr="007C655E">
        <w:rPr>
          <w:rFonts w:asciiTheme="minorHAnsi" w:hAnsiTheme="minorHAnsi" w:cstheme="minorHAnsi"/>
          <w:color w:val="000000"/>
          <w:sz w:val="22"/>
          <w:szCs w:val="22"/>
          <w:lang w:val="en-GB" w:eastAsia="en-GB"/>
        </w:rPr>
        <w:t xml:space="preserve">Whitelock, D., </w:t>
      </w:r>
      <w:r w:rsidRPr="007C655E">
        <w:rPr>
          <w:rFonts w:asciiTheme="minorHAnsi" w:hAnsiTheme="minorHAnsi" w:cstheme="minorHAnsi"/>
          <w:i/>
          <w:iCs/>
          <w:color w:val="000000"/>
          <w:sz w:val="22"/>
          <w:szCs w:val="22"/>
          <w:lang w:val="en-GB" w:eastAsia="en-GB"/>
        </w:rPr>
        <w:t>The Beginnings of English Society</w:t>
      </w:r>
      <w:r w:rsidRPr="007C655E">
        <w:rPr>
          <w:rFonts w:asciiTheme="minorHAnsi" w:hAnsiTheme="minorHAnsi" w:cstheme="minorHAnsi"/>
          <w:color w:val="000000"/>
          <w:sz w:val="22"/>
          <w:szCs w:val="22"/>
          <w:lang w:val="en-GB" w:eastAsia="en-GB"/>
        </w:rPr>
        <w:t xml:space="preserve"> (London: Penguin Books, 1991).</w:t>
      </w:r>
    </w:p>
    <w:p w14:paraId="24A195F6" w14:textId="47BE435F" w:rsidR="001A42FE" w:rsidRPr="007C655E" w:rsidRDefault="001A42FE" w:rsidP="007C655E">
      <w:pPr>
        <w:spacing w:line="480" w:lineRule="auto"/>
        <w:jc w:val="both"/>
        <w:rPr>
          <w:rFonts w:asciiTheme="minorHAnsi" w:hAnsiTheme="minorHAnsi" w:cstheme="minorHAnsi"/>
          <w:color w:val="000000"/>
          <w:sz w:val="22"/>
          <w:szCs w:val="22"/>
          <w:lang w:val="en-GB" w:eastAsia="en-GB"/>
        </w:rPr>
      </w:pPr>
      <w:r w:rsidRPr="007C655E">
        <w:rPr>
          <w:rFonts w:asciiTheme="minorHAnsi" w:hAnsiTheme="minorHAnsi" w:cstheme="minorHAnsi"/>
          <w:color w:val="000000"/>
          <w:sz w:val="22"/>
          <w:szCs w:val="22"/>
          <w:lang w:val="en-GB" w:eastAsia="en-GB"/>
        </w:rPr>
        <w:t>Wrenn, C. L.,</w:t>
      </w:r>
      <w:r w:rsidRPr="007C655E">
        <w:rPr>
          <w:rFonts w:asciiTheme="minorHAnsi" w:hAnsiTheme="minorHAnsi" w:cstheme="minorHAnsi"/>
          <w:i/>
          <w:iCs/>
          <w:color w:val="000000"/>
          <w:sz w:val="22"/>
          <w:szCs w:val="22"/>
          <w:lang w:val="en-GB" w:eastAsia="en-GB"/>
        </w:rPr>
        <w:t xml:space="preserve"> A Study of Old English Literature</w:t>
      </w:r>
      <w:r w:rsidRPr="007C655E">
        <w:rPr>
          <w:rFonts w:asciiTheme="minorHAnsi" w:hAnsiTheme="minorHAnsi" w:cstheme="minorHAnsi"/>
          <w:color w:val="000000"/>
          <w:sz w:val="22"/>
          <w:szCs w:val="22"/>
          <w:lang w:val="en-GB" w:eastAsia="en-GB"/>
        </w:rPr>
        <w:t xml:space="preserve"> (London: George G. Harrap &amp; Co. Ltd., 1967).</w:t>
      </w:r>
    </w:p>
    <w:p w14:paraId="692B7118" w14:textId="34313515" w:rsidR="007C655E" w:rsidRPr="007C655E" w:rsidRDefault="007C655E" w:rsidP="007C655E">
      <w:pPr>
        <w:spacing w:line="480" w:lineRule="auto"/>
        <w:jc w:val="both"/>
        <w:rPr>
          <w:rFonts w:asciiTheme="minorHAnsi" w:hAnsiTheme="minorHAnsi" w:cstheme="minorHAnsi"/>
          <w:color w:val="FF0000"/>
          <w:sz w:val="22"/>
          <w:szCs w:val="22"/>
        </w:rPr>
      </w:pPr>
      <w:r w:rsidRPr="007C655E">
        <w:rPr>
          <w:rFonts w:asciiTheme="minorHAnsi" w:hAnsiTheme="minorHAnsi" w:cstheme="minorHAnsi"/>
          <w:sz w:val="22"/>
          <w:szCs w:val="22"/>
        </w:rPr>
        <w:t xml:space="preserve">Wood, M.,  </w:t>
      </w:r>
      <w:r w:rsidRPr="007C655E">
        <w:rPr>
          <w:rFonts w:asciiTheme="minorHAnsi" w:hAnsiTheme="minorHAnsi" w:cstheme="minorHAnsi"/>
          <w:i/>
          <w:sz w:val="22"/>
          <w:szCs w:val="22"/>
        </w:rPr>
        <w:t>Anglo Saxon Law and Order</w:t>
      </w:r>
      <w:r>
        <w:rPr>
          <w:rFonts w:asciiTheme="minorHAnsi" w:hAnsiTheme="minorHAnsi" w:cstheme="minorHAnsi"/>
          <w:sz w:val="22"/>
          <w:szCs w:val="22"/>
        </w:rPr>
        <w:t xml:space="preserve">, BBC, [online]. Available at: </w:t>
      </w:r>
      <w:hyperlink r:id="rId8" w:history="1">
        <w:r w:rsidRPr="007C655E">
          <w:rPr>
            <w:rStyle w:val="Hyperlink"/>
            <w:rFonts w:asciiTheme="minorHAnsi" w:hAnsiTheme="minorHAnsi" w:cstheme="minorHAnsi"/>
            <w:sz w:val="22"/>
            <w:szCs w:val="22"/>
          </w:rPr>
          <w:t>http://www.bbc.co.uk/history/trail/conquest/wes</w:t>
        </w:r>
        <w:r w:rsidRPr="007C655E">
          <w:rPr>
            <w:rStyle w:val="Hyperlink"/>
            <w:rFonts w:asciiTheme="minorHAnsi" w:hAnsiTheme="minorHAnsi" w:cstheme="minorHAnsi"/>
            <w:sz w:val="22"/>
            <w:szCs w:val="22"/>
          </w:rPr>
          <w:t>s</w:t>
        </w:r>
        <w:r w:rsidRPr="007C655E">
          <w:rPr>
            <w:rStyle w:val="Hyperlink"/>
            <w:rFonts w:asciiTheme="minorHAnsi" w:hAnsiTheme="minorHAnsi" w:cstheme="minorHAnsi"/>
            <w:sz w:val="22"/>
            <w:szCs w:val="22"/>
          </w:rPr>
          <w:t>ex_kings/anglosaxon_law_05.shtml</w:t>
        </w:r>
      </w:hyperlink>
      <w:r w:rsidRPr="007C655E">
        <w:rPr>
          <w:rFonts w:asciiTheme="minorHAnsi" w:hAnsiTheme="minorHAnsi" w:cstheme="minorHAnsi"/>
          <w:sz w:val="22"/>
          <w:szCs w:val="22"/>
        </w:rPr>
        <w:t xml:space="preserve"> (accessed: 13/07/2018).</w:t>
      </w:r>
    </w:p>
    <w:p w14:paraId="40A3775D" w14:textId="202D6A8C" w:rsidR="007C655E" w:rsidRPr="007C655E" w:rsidRDefault="007C655E" w:rsidP="007C655E">
      <w:pPr>
        <w:spacing w:line="480" w:lineRule="auto"/>
        <w:jc w:val="both"/>
        <w:rPr>
          <w:rFonts w:asciiTheme="minorHAnsi" w:hAnsiTheme="minorHAnsi" w:cstheme="minorHAnsi"/>
          <w:i/>
          <w:iCs/>
          <w:sz w:val="22"/>
          <w:szCs w:val="22"/>
          <w:lang w:val="en-GB" w:eastAsia="en-GB"/>
        </w:rPr>
      </w:pPr>
      <w:r w:rsidRPr="007C655E">
        <w:rPr>
          <w:rFonts w:asciiTheme="minorHAnsi" w:hAnsiTheme="minorHAnsi" w:cstheme="minorHAnsi"/>
        </w:rPr>
        <w:lastRenderedPageBreak/>
        <w:t xml:space="preserve">The Editors of Encyclopedia Britannica, </w:t>
      </w:r>
      <w:r w:rsidRPr="007C655E">
        <w:rPr>
          <w:rFonts w:asciiTheme="minorHAnsi" w:hAnsiTheme="minorHAnsi" w:cstheme="minorHAnsi"/>
          <w:i/>
        </w:rPr>
        <w:t>Outlawry</w:t>
      </w:r>
      <w:r w:rsidRPr="007C655E">
        <w:rPr>
          <w:rFonts w:asciiTheme="minorHAnsi" w:hAnsiTheme="minorHAnsi" w:cstheme="minorHAnsi"/>
        </w:rPr>
        <w:t xml:space="preserve">, Encyclopedia Britannica, [online]. Available at: </w:t>
      </w:r>
      <w:hyperlink r:id="rId9" w:history="1">
        <w:r w:rsidRPr="007C655E">
          <w:rPr>
            <w:rStyle w:val="Hyperlink"/>
            <w:rFonts w:asciiTheme="minorHAnsi" w:hAnsiTheme="minorHAnsi" w:cstheme="minorHAnsi"/>
            <w:color w:val="auto"/>
          </w:rPr>
          <w:t>https://www.britannica.com/topic/outlawry</w:t>
        </w:r>
      </w:hyperlink>
      <w:r w:rsidRPr="007C655E">
        <w:rPr>
          <w:rFonts w:asciiTheme="minorHAnsi" w:hAnsiTheme="minorHAnsi" w:cstheme="minorHAnsi"/>
        </w:rPr>
        <w:t xml:space="preserve"> (acessed 13/07/2018).</w:t>
      </w:r>
    </w:p>
    <w:bookmarkEnd w:id="3"/>
    <w:p w14:paraId="6602C878" w14:textId="77777777" w:rsidR="00FB6A08" w:rsidRPr="007C655E" w:rsidRDefault="00FB6A08" w:rsidP="007C655E">
      <w:pPr>
        <w:spacing w:line="480" w:lineRule="auto"/>
        <w:jc w:val="both"/>
        <w:rPr>
          <w:rFonts w:asciiTheme="minorHAnsi" w:hAnsiTheme="minorHAnsi" w:cstheme="minorHAnsi"/>
          <w:sz w:val="22"/>
          <w:szCs w:val="22"/>
        </w:rPr>
      </w:pPr>
    </w:p>
    <w:sectPr w:rsidR="00FB6A08" w:rsidRPr="007C65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ABA42" w14:textId="77777777" w:rsidR="005A1BCD" w:rsidRDefault="005A1BCD" w:rsidP="00D86C47">
      <w:r>
        <w:separator/>
      </w:r>
    </w:p>
  </w:endnote>
  <w:endnote w:type="continuationSeparator" w:id="0">
    <w:p w14:paraId="14FDFCF0" w14:textId="77777777" w:rsidR="005A1BCD" w:rsidRDefault="005A1BCD" w:rsidP="00D86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B4B6F0" w14:textId="77777777" w:rsidR="005A1BCD" w:rsidRDefault="005A1BCD" w:rsidP="00D86C47">
      <w:r>
        <w:separator/>
      </w:r>
    </w:p>
  </w:footnote>
  <w:footnote w:type="continuationSeparator" w:id="0">
    <w:p w14:paraId="60EE5E46" w14:textId="77777777" w:rsidR="005A1BCD" w:rsidRDefault="005A1BCD" w:rsidP="00D86C47">
      <w:r>
        <w:continuationSeparator/>
      </w:r>
    </w:p>
  </w:footnote>
  <w:footnote w:id="1">
    <w:p w14:paraId="274B6C1B" w14:textId="7AC46415" w:rsidR="00D86C47" w:rsidRPr="00F03896" w:rsidRDefault="00D86C47"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Pr="00F03896">
        <w:rPr>
          <w:rFonts w:asciiTheme="minorHAnsi" w:hAnsiTheme="minorHAnsi" w:cstheme="minorHAnsi"/>
          <w:i/>
          <w:iCs/>
          <w:color w:val="000000"/>
          <w:lang w:val="en-GB" w:eastAsia="en-GB"/>
        </w:rPr>
        <w:t xml:space="preserve">Anglo-Saxon Poetry, </w:t>
      </w:r>
      <w:r w:rsidRPr="00F03896">
        <w:rPr>
          <w:rFonts w:asciiTheme="minorHAnsi" w:hAnsiTheme="minorHAnsi" w:cstheme="minorHAnsi"/>
          <w:color w:val="000000"/>
          <w:lang w:val="en-GB" w:eastAsia="en-GB"/>
        </w:rPr>
        <w:t>Trans. &amp; Ed. S. A. J. Bradley (London: Everyman Library, 1995), pp. 382-384.</w:t>
      </w:r>
    </w:p>
  </w:footnote>
  <w:footnote w:id="2">
    <w:p w14:paraId="6630589D" w14:textId="0B8B09AE" w:rsidR="00F85616" w:rsidRPr="00F03896" w:rsidRDefault="00F85616" w:rsidP="00F03896">
      <w:pPr>
        <w:rPr>
          <w:rFonts w:asciiTheme="minorHAnsi" w:hAnsiTheme="minorHAnsi" w:cstheme="minorHAnsi"/>
          <w:i/>
          <w:iCs/>
          <w:color w:val="000000"/>
          <w:sz w:val="20"/>
          <w:szCs w:val="20"/>
          <w:highlight w:val="yellow"/>
          <w:lang w:val="en-GB" w:eastAsia="en-GB"/>
        </w:rPr>
      </w:pPr>
      <w:r w:rsidRPr="00F03896">
        <w:rPr>
          <w:rStyle w:val="FootnoteReference"/>
          <w:rFonts w:asciiTheme="minorHAnsi" w:hAnsiTheme="minorHAnsi" w:cstheme="minorHAnsi"/>
          <w:sz w:val="20"/>
          <w:szCs w:val="20"/>
        </w:rPr>
        <w:footnoteRef/>
      </w:r>
      <w:r w:rsidRPr="00F03896">
        <w:rPr>
          <w:rFonts w:asciiTheme="minorHAnsi" w:hAnsiTheme="minorHAnsi" w:cstheme="minorHAnsi"/>
          <w:sz w:val="20"/>
          <w:szCs w:val="20"/>
        </w:rPr>
        <w:t xml:space="preserve"> </w:t>
      </w:r>
      <w:r w:rsidR="009F59EA" w:rsidRPr="00C031DA">
        <w:rPr>
          <w:rFonts w:asciiTheme="minorHAnsi" w:hAnsiTheme="minorHAnsi" w:cstheme="minorHAnsi"/>
          <w:color w:val="000000"/>
          <w:sz w:val="20"/>
          <w:szCs w:val="20"/>
          <w:lang w:val="en-GB" w:eastAsia="en-GB"/>
        </w:rPr>
        <w:t>M. Desmond,</w:t>
      </w:r>
      <w:r w:rsidRPr="00C031DA">
        <w:rPr>
          <w:rFonts w:asciiTheme="minorHAnsi" w:hAnsiTheme="minorHAnsi" w:cstheme="minorHAnsi"/>
          <w:color w:val="000000"/>
          <w:sz w:val="20"/>
          <w:szCs w:val="20"/>
          <w:lang w:val="en-GB" w:eastAsia="en-GB"/>
        </w:rPr>
        <w:t xml:space="preserve"> ‘The Voice of Exile: Feminist Literary History and the Anonymous Anglo-Saxon Elegy’, </w:t>
      </w:r>
      <w:r w:rsidRPr="00C031DA">
        <w:rPr>
          <w:rFonts w:asciiTheme="minorHAnsi" w:hAnsiTheme="minorHAnsi" w:cstheme="minorHAnsi"/>
          <w:i/>
          <w:color w:val="000000"/>
          <w:sz w:val="20"/>
          <w:szCs w:val="20"/>
          <w:lang w:val="en-GB" w:eastAsia="en-GB"/>
        </w:rPr>
        <w:t>Critical Inquiry</w:t>
      </w:r>
      <w:r w:rsidRPr="00C031DA">
        <w:rPr>
          <w:rFonts w:asciiTheme="minorHAnsi" w:hAnsiTheme="minorHAnsi" w:cstheme="minorHAnsi"/>
          <w:color w:val="000000"/>
          <w:sz w:val="20"/>
          <w:szCs w:val="20"/>
          <w:lang w:val="en-GB" w:eastAsia="en-GB"/>
        </w:rPr>
        <w:t>, Vol. 16, No. 3, (1990), pp. 572-590, p. 581.</w:t>
      </w:r>
    </w:p>
  </w:footnote>
  <w:footnote w:id="3">
    <w:p w14:paraId="4981FADE" w14:textId="77777777" w:rsidR="00DB156C" w:rsidRPr="00F03896" w:rsidRDefault="00DB156C"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Pr="00F03896">
        <w:rPr>
          <w:rFonts w:asciiTheme="minorHAnsi" w:hAnsiTheme="minorHAnsi" w:cstheme="minorHAnsi"/>
          <w:i/>
          <w:iCs/>
          <w:color w:val="000000"/>
          <w:lang w:val="en-GB" w:eastAsia="en-GB"/>
        </w:rPr>
        <w:t xml:space="preserve">Anglo-Saxon Poetry, </w:t>
      </w:r>
      <w:r w:rsidRPr="00F03896">
        <w:rPr>
          <w:rFonts w:asciiTheme="minorHAnsi" w:hAnsiTheme="minorHAnsi" w:cstheme="minorHAnsi"/>
          <w:color w:val="000000"/>
          <w:lang w:val="en-GB" w:eastAsia="en-GB"/>
        </w:rPr>
        <w:t>Trans. &amp; Ed. S. A. J. Bradley (London: Everyman Library, 1995), p. 365.</w:t>
      </w:r>
    </w:p>
  </w:footnote>
  <w:footnote w:id="4">
    <w:p w14:paraId="233C9AEE" w14:textId="1DAC8B8E" w:rsidR="009F59EA" w:rsidRPr="00F03896" w:rsidRDefault="009F59EA"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00E057F7" w:rsidRPr="00F03896">
        <w:rPr>
          <w:rFonts w:asciiTheme="minorHAnsi" w:hAnsiTheme="minorHAnsi" w:cstheme="minorHAnsi"/>
          <w:color w:val="000000"/>
          <w:lang w:val="en-GB" w:eastAsia="en-GB"/>
        </w:rPr>
        <w:t xml:space="preserve">H. Magennis, </w:t>
      </w:r>
      <w:r w:rsidR="00E057F7" w:rsidRPr="00F03896">
        <w:rPr>
          <w:rFonts w:asciiTheme="minorHAnsi" w:hAnsiTheme="minorHAnsi" w:cstheme="minorHAnsi"/>
          <w:i/>
          <w:iCs/>
          <w:color w:val="000000"/>
          <w:lang w:val="en-GB" w:eastAsia="en-GB"/>
        </w:rPr>
        <w:t>The Cambridge Introduction to Anglo-Saxon Literature</w:t>
      </w:r>
      <w:r w:rsidR="00E057F7" w:rsidRPr="00F03896">
        <w:rPr>
          <w:rFonts w:asciiTheme="minorHAnsi" w:hAnsiTheme="minorHAnsi" w:cstheme="minorHAnsi"/>
          <w:color w:val="000000"/>
          <w:lang w:val="en-GB" w:eastAsia="en-GB"/>
        </w:rPr>
        <w:t xml:space="preserve"> (Cambridge: Cambridge University Press, 2011), p. 157.</w:t>
      </w:r>
    </w:p>
  </w:footnote>
  <w:footnote w:id="5">
    <w:p w14:paraId="52E09348" w14:textId="0741FEEF" w:rsidR="00AB4DDC" w:rsidRPr="00F03896" w:rsidRDefault="00AB4DDC" w:rsidP="00F03896">
      <w:pPr>
        <w:rPr>
          <w:rFonts w:asciiTheme="minorHAnsi" w:hAnsiTheme="minorHAnsi" w:cstheme="minorHAnsi"/>
          <w:i/>
          <w:iCs/>
          <w:color w:val="000000"/>
          <w:sz w:val="20"/>
          <w:szCs w:val="20"/>
          <w:lang w:val="en-GB" w:eastAsia="en-GB"/>
        </w:rPr>
      </w:pPr>
      <w:r w:rsidRPr="00F03896">
        <w:rPr>
          <w:rStyle w:val="FootnoteReference"/>
          <w:rFonts w:asciiTheme="minorHAnsi" w:hAnsiTheme="minorHAnsi" w:cstheme="minorHAnsi"/>
          <w:sz w:val="20"/>
          <w:szCs w:val="20"/>
        </w:rPr>
        <w:footnoteRef/>
      </w:r>
      <w:r w:rsidRPr="00F03896">
        <w:rPr>
          <w:rFonts w:asciiTheme="minorHAnsi" w:hAnsiTheme="minorHAnsi" w:cstheme="minorHAnsi"/>
          <w:sz w:val="20"/>
          <w:szCs w:val="20"/>
        </w:rPr>
        <w:t xml:space="preserve"> </w:t>
      </w:r>
      <w:bookmarkStart w:id="1" w:name="_Hlk519276717"/>
      <w:r w:rsidRPr="00F03896">
        <w:rPr>
          <w:rFonts w:asciiTheme="minorHAnsi" w:hAnsiTheme="minorHAnsi" w:cstheme="minorHAnsi"/>
          <w:color w:val="000000"/>
          <w:sz w:val="20"/>
          <w:szCs w:val="20"/>
          <w:lang w:val="en-GB" w:eastAsia="en-GB"/>
        </w:rPr>
        <w:t xml:space="preserve">H. Magennis, </w:t>
      </w:r>
      <w:r w:rsidRPr="00F03896">
        <w:rPr>
          <w:rFonts w:asciiTheme="minorHAnsi" w:hAnsiTheme="minorHAnsi" w:cstheme="minorHAnsi"/>
          <w:i/>
          <w:iCs/>
          <w:color w:val="000000"/>
          <w:sz w:val="20"/>
          <w:szCs w:val="20"/>
          <w:lang w:val="en-GB" w:eastAsia="en-GB"/>
        </w:rPr>
        <w:t>The Cambridge Introduction to Anglo-Saxon Literature</w:t>
      </w:r>
      <w:r w:rsidRPr="00F03896">
        <w:rPr>
          <w:rFonts w:asciiTheme="minorHAnsi" w:hAnsiTheme="minorHAnsi" w:cstheme="minorHAnsi"/>
          <w:color w:val="000000"/>
          <w:sz w:val="20"/>
          <w:szCs w:val="20"/>
          <w:lang w:val="en-GB" w:eastAsia="en-GB"/>
        </w:rPr>
        <w:t xml:space="preserve"> (Cambridge: Cambridge University Press, 2011), p. 159.</w:t>
      </w:r>
      <w:bookmarkEnd w:id="1"/>
    </w:p>
  </w:footnote>
  <w:footnote w:id="6">
    <w:p w14:paraId="3CDE1606" w14:textId="4C22BFC1" w:rsidR="00F03896" w:rsidRPr="00F03896" w:rsidRDefault="00BC3EF6" w:rsidP="00F03896">
      <w:pPr>
        <w:rPr>
          <w:rFonts w:asciiTheme="minorHAnsi" w:hAnsiTheme="minorHAnsi" w:cstheme="minorHAnsi"/>
          <w:color w:val="FF0000"/>
          <w:sz w:val="20"/>
          <w:szCs w:val="20"/>
        </w:rPr>
      </w:pPr>
      <w:r w:rsidRPr="00F03896">
        <w:rPr>
          <w:rStyle w:val="FootnoteReference"/>
          <w:rFonts w:asciiTheme="minorHAnsi" w:hAnsiTheme="minorHAnsi" w:cstheme="minorHAnsi"/>
          <w:sz w:val="20"/>
          <w:szCs w:val="20"/>
        </w:rPr>
        <w:footnoteRef/>
      </w:r>
      <w:r w:rsidRPr="00F03896">
        <w:rPr>
          <w:rFonts w:asciiTheme="minorHAnsi" w:hAnsiTheme="minorHAnsi" w:cstheme="minorHAnsi"/>
          <w:sz w:val="20"/>
          <w:szCs w:val="20"/>
        </w:rPr>
        <w:t xml:space="preserve"> </w:t>
      </w:r>
      <w:r w:rsidR="00F03896">
        <w:rPr>
          <w:rFonts w:asciiTheme="minorHAnsi" w:hAnsiTheme="minorHAnsi" w:cstheme="minorHAnsi"/>
          <w:sz w:val="20"/>
          <w:szCs w:val="20"/>
        </w:rPr>
        <w:t>M. Wood,</w:t>
      </w:r>
      <w:r w:rsidR="00F03896" w:rsidRPr="00F03896">
        <w:rPr>
          <w:rFonts w:asciiTheme="minorHAnsi" w:hAnsiTheme="minorHAnsi" w:cstheme="minorHAnsi"/>
          <w:sz w:val="20"/>
          <w:szCs w:val="20"/>
        </w:rPr>
        <w:t xml:space="preserve"> </w:t>
      </w:r>
      <w:r w:rsidR="00F03896" w:rsidRPr="00F03896">
        <w:rPr>
          <w:rFonts w:asciiTheme="minorHAnsi" w:hAnsiTheme="minorHAnsi" w:cstheme="minorHAnsi"/>
          <w:i/>
          <w:sz w:val="20"/>
          <w:szCs w:val="20"/>
        </w:rPr>
        <w:t>Anglo Saxon Law and Order</w:t>
      </w:r>
      <w:r w:rsidR="00F03896" w:rsidRPr="00F03896">
        <w:rPr>
          <w:rFonts w:asciiTheme="minorHAnsi" w:hAnsiTheme="minorHAnsi" w:cstheme="minorHAnsi"/>
          <w:sz w:val="20"/>
          <w:szCs w:val="20"/>
        </w:rPr>
        <w:t xml:space="preserve">, BBC, [online]. Available at: </w:t>
      </w:r>
      <w:hyperlink r:id="rId1" w:history="1">
        <w:r w:rsidR="00F03896" w:rsidRPr="00F03896">
          <w:rPr>
            <w:rStyle w:val="Hyperlink"/>
            <w:rFonts w:asciiTheme="minorHAnsi" w:hAnsiTheme="minorHAnsi" w:cstheme="minorHAnsi"/>
            <w:sz w:val="20"/>
            <w:szCs w:val="20"/>
          </w:rPr>
          <w:t>http://www.bbc.co.uk/history/trail/conquest/wessex_kings/anglosaxon_law_05.shtml</w:t>
        </w:r>
      </w:hyperlink>
      <w:r w:rsidR="00F03896" w:rsidRPr="00F03896">
        <w:rPr>
          <w:rFonts w:asciiTheme="minorHAnsi" w:hAnsiTheme="minorHAnsi" w:cstheme="minorHAnsi"/>
          <w:sz w:val="20"/>
          <w:szCs w:val="20"/>
        </w:rPr>
        <w:t xml:space="preserve"> (accessed: 13/07/2018).</w:t>
      </w:r>
    </w:p>
    <w:p w14:paraId="3F8C1F3E" w14:textId="526CF558" w:rsidR="00BC3EF6" w:rsidRPr="00F03896" w:rsidRDefault="00F03896" w:rsidP="00F03896">
      <w:pPr>
        <w:rPr>
          <w:rFonts w:asciiTheme="minorHAnsi" w:hAnsiTheme="minorHAnsi" w:cstheme="minorHAnsi"/>
          <w:i/>
          <w:iCs/>
          <w:sz w:val="20"/>
          <w:szCs w:val="20"/>
          <w:lang w:val="en-GB" w:eastAsia="en-GB"/>
        </w:rPr>
      </w:pPr>
      <w:r w:rsidRPr="00F03896">
        <w:rPr>
          <w:rFonts w:asciiTheme="minorHAnsi" w:hAnsiTheme="minorHAnsi" w:cstheme="minorHAnsi"/>
          <w:sz w:val="20"/>
          <w:szCs w:val="20"/>
        </w:rPr>
        <w:t xml:space="preserve">The Editors of Encyclopedia Britannica, </w:t>
      </w:r>
      <w:r w:rsidRPr="00F03896">
        <w:rPr>
          <w:rFonts w:asciiTheme="minorHAnsi" w:hAnsiTheme="minorHAnsi" w:cstheme="minorHAnsi"/>
          <w:i/>
          <w:sz w:val="20"/>
          <w:szCs w:val="20"/>
        </w:rPr>
        <w:t>Outlawry</w:t>
      </w:r>
      <w:r w:rsidRPr="00F03896">
        <w:rPr>
          <w:rFonts w:asciiTheme="minorHAnsi" w:hAnsiTheme="minorHAnsi" w:cstheme="minorHAnsi"/>
          <w:sz w:val="20"/>
          <w:szCs w:val="20"/>
        </w:rPr>
        <w:t xml:space="preserve">, Encyclopedia Britannica, [online]. Available at: </w:t>
      </w:r>
      <w:hyperlink r:id="rId2" w:history="1">
        <w:r w:rsidRPr="00F03896">
          <w:rPr>
            <w:rStyle w:val="Hyperlink"/>
            <w:rFonts w:asciiTheme="minorHAnsi" w:hAnsiTheme="minorHAnsi" w:cstheme="minorHAnsi"/>
            <w:color w:val="auto"/>
            <w:sz w:val="20"/>
            <w:szCs w:val="20"/>
          </w:rPr>
          <w:t>https://www.britannica.com/topic/outlawry</w:t>
        </w:r>
      </w:hyperlink>
      <w:r w:rsidRPr="00F03896">
        <w:rPr>
          <w:rFonts w:asciiTheme="minorHAnsi" w:hAnsiTheme="minorHAnsi" w:cstheme="minorHAnsi"/>
          <w:sz w:val="20"/>
          <w:szCs w:val="20"/>
        </w:rPr>
        <w:t xml:space="preserve"> (acessed 13/07/2018).</w:t>
      </w:r>
    </w:p>
  </w:footnote>
  <w:footnote w:id="7">
    <w:p w14:paraId="7EF25AC1" w14:textId="196CC3DF" w:rsidR="00BA73F7" w:rsidRPr="00F03896" w:rsidRDefault="00BA73F7"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007C655E" w:rsidRPr="00F03896">
        <w:rPr>
          <w:rFonts w:asciiTheme="minorHAnsi" w:hAnsiTheme="minorHAnsi" w:cstheme="minorHAnsi"/>
        </w:rPr>
        <w:t xml:space="preserve">C. B. Pasternack, </w:t>
      </w:r>
      <w:r w:rsidR="00EB75E3" w:rsidRPr="00F03896">
        <w:rPr>
          <w:rFonts w:asciiTheme="minorHAnsi" w:hAnsiTheme="minorHAnsi" w:cstheme="minorHAnsi"/>
        </w:rPr>
        <w:t>“</w:t>
      </w:r>
      <w:r w:rsidR="007C655E" w:rsidRPr="00F03896">
        <w:rPr>
          <w:rFonts w:asciiTheme="minorHAnsi" w:hAnsiTheme="minorHAnsi" w:cstheme="minorHAnsi"/>
        </w:rPr>
        <w:t xml:space="preserve">Literature, Old English,” </w:t>
      </w:r>
      <w:r w:rsidR="00621AA4" w:rsidRPr="00F03896">
        <w:rPr>
          <w:rFonts w:asciiTheme="minorHAnsi" w:hAnsiTheme="minorHAnsi" w:cstheme="minorHAnsi"/>
          <w:i/>
        </w:rPr>
        <w:t>Women and Gender in Medieval Europe</w:t>
      </w:r>
      <w:r w:rsidR="00621AA4" w:rsidRPr="00F03896">
        <w:rPr>
          <w:rFonts w:asciiTheme="minorHAnsi" w:hAnsiTheme="minorHAnsi" w:cstheme="minorHAnsi"/>
        </w:rPr>
        <w:t>, ed</w:t>
      </w:r>
      <w:r w:rsidR="00EB75E3" w:rsidRPr="00F03896">
        <w:rPr>
          <w:rFonts w:asciiTheme="minorHAnsi" w:hAnsiTheme="minorHAnsi" w:cstheme="minorHAnsi"/>
        </w:rPr>
        <w:t>.</w:t>
      </w:r>
      <w:r w:rsidR="007C655E" w:rsidRPr="00F03896">
        <w:rPr>
          <w:rFonts w:asciiTheme="minorHAnsi" w:hAnsiTheme="minorHAnsi" w:cstheme="minorHAnsi"/>
        </w:rPr>
        <w:t xml:space="preserve"> M. Schauss</w:t>
      </w:r>
      <w:r w:rsidR="00EB75E3" w:rsidRPr="00F03896">
        <w:rPr>
          <w:rFonts w:asciiTheme="minorHAnsi" w:hAnsiTheme="minorHAnsi" w:cstheme="minorHAnsi"/>
        </w:rPr>
        <w:t xml:space="preserve"> </w:t>
      </w:r>
      <w:r w:rsidR="007C655E" w:rsidRPr="00F03896">
        <w:rPr>
          <w:rFonts w:asciiTheme="minorHAnsi" w:hAnsiTheme="minorHAnsi" w:cstheme="minorHAnsi"/>
        </w:rPr>
        <w:t>(New York: Routledge, 2006), p. 491.</w:t>
      </w:r>
    </w:p>
  </w:footnote>
  <w:footnote w:id="8">
    <w:p w14:paraId="4EF6021E" w14:textId="537D9F3C" w:rsidR="00851527" w:rsidRPr="00F03896" w:rsidRDefault="00851527"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007C655E" w:rsidRPr="00F03896">
        <w:rPr>
          <w:rFonts w:asciiTheme="minorHAnsi" w:hAnsiTheme="minorHAnsi" w:cstheme="minorHAnsi"/>
          <w:i/>
        </w:rPr>
        <w:t xml:space="preserve">Ibid. </w:t>
      </w:r>
      <w:r w:rsidR="007C655E" w:rsidRPr="00F03896">
        <w:rPr>
          <w:rFonts w:asciiTheme="minorHAnsi" w:hAnsiTheme="minorHAnsi" w:cstheme="minorHAnsi"/>
        </w:rPr>
        <w:t>p. 492.</w:t>
      </w:r>
    </w:p>
  </w:footnote>
  <w:footnote w:id="9">
    <w:p w14:paraId="77B94B9B" w14:textId="29A5F7AA" w:rsidR="004828F6" w:rsidRPr="00F03896" w:rsidRDefault="004828F6" w:rsidP="00F03896">
      <w:pPr>
        <w:pStyle w:val="FootnoteText"/>
        <w:rPr>
          <w:rFonts w:asciiTheme="minorHAnsi" w:hAnsiTheme="minorHAnsi" w:cstheme="minorHAnsi"/>
          <w:lang w:val="en-GB"/>
        </w:rPr>
      </w:pPr>
      <w:r w:rsidRPr="00F03896">
        <w:rPr>
          <w:rStyle w:val="FootnoteReference"/>
          <w:rFonts w:asciiTheme="minorHAnsi" w:hAnsiTheme="minorHAnsi" w:cstheme="minorHAnsi"/>
        </w:rPr>
        <w:footnoteRef/>
      </w:r>
      <w:r w:rsidRPr="00F03896">
        <w:rPr>
          <w:rFonts w:asciiTheme="minorHAnsi" w:hAnsiTheme="minorHAnsi" w:cstheme="minorHAnsi"/>
        </w:rPr>
        <w:t xml:space="preserve"> </w:t>
      </w:r>
      <w:r w:rsidR="00BA73F7" w:rsidRPr="00F03896">
        <w:rPr>
          <w:rFonts w:asciiTheme="minorHAnsi" w:hAnsiTheme="minorHAnsi" w:cstheme="minorHAnsi"/>
        </w:rPr>
        <w:t>H. Magennis, The Cambridge Introduction to Anglo-Saxon Literature (Cambridge: Cambridge University Press, 2011), p. 159.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FA27D2"/>
    <w:multiLevelType w:val="hybridMultilevel"/>
    <w:tmpl w:val="CD1AF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A57E6A"/>
    <w:multiLevelType w:val="hybridMultilevel"/>
    <w:tmpl w:val="2DDE28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44C5AAD"/>
    <w:multiLevelType w:val="hybridMultilevel"/>
    <w:tmpl w:val="F3C21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915E7B"/>
    <w:multiLevelType w:val="hybridMultilevel"/>
    <w:tmpl w:val="C0CE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7AD"/>
    <w:rsid w:val="0000386C"/>
    <w:rsid w:val="000320F7"/>
    <w:rsid w:val="000A2F1A"/>
    <w:rsid w:val="000D5A76"/>
    <w:rsid w:val="000F420A"/>
    <w:rsid w:val="00117E9E"/>
    <w:rsid w:val="0015783C"/>
    <w:rsid w:val="001A42FE"/>
    <w:rsid w:val="002317E5"/>
    <w:rsid w:val="00293CD0"/>
    <w:rsid w:val="00302170"/>
    <w:rsid w:val="00321793"/>
    <w:rsid w:val="00324DBE"/>
    <w:rsid w:val="003E66AF"/>
    <w:rsid w:val="004041ED"/>
    <w:rsid w:val="004238FA"/>
    <w:rsid w:val="004828F6"/>
    <w:rsid w:val="00495FB3"/>
    <w:rsid w:val="004E06B0"/>
    <w:rsid w:val="00531E75"/>
    <w:rsid w:val="00551A34"/>
    <w:rsid w:val="00583ADC"/>
    <w:rsid w:val="00583B5D"/>
    <w:rsid w:val="005A1BCD"/>
    <w:rsid w:val="005A70C4"/>
    <w:rsid w:val="005B2AB2"/>
    <w:rsid w:val="005C6C9D"/>
    <w:rsid w:val="005D5F58"/>
    <w:rsid w:val="0060410A"/>
    <w:rsid w:val="00621AA4"/>
    <w:rsid w:val="00660167"/>
    <w:rsid w:val="00694E51"/>
    <w:rsid w:val="006D0381"/>
    <w:rsid w:val="006D2022"/>
    <w:rsid w:val="006F196B"/>
    <w:rsid w:val="00726B86"/>
    <w:rsid w:val="007B17AD"/>
    <w:rsid w:val="007C4135"/>
    <w:rsid w:val="007C655E"/>
    <w:rsid w:val="007E6A52"/>
    <w:rsid w:val="00825E67"/>
    <w:rsid w:val="00851527"/>
    <w:rsid w:val="008A2BB7"/>
    <w:rsid w:val="008B1751"/>
    <w:rsid w:val="00913A73"/>
    <w:rsid w:val="009A4A64"/>
    <w:rsid w:val="009C5224"/>
    <w:rsid w:val="009F59EA"/>
    <w:rsid w:val="00A73B70"/>
    <w:rsid w:val="00A9202B"/>
    <w:rsid w:val="00A93B14"/>
    <w:rsid w:val="00AB4DDC"/>
    <w:rsid w:val="00AF2C86"/>
    <w:rsid w:val="00BA73F7"/>
    <w:rsid w:val="00BC3EF6"/>
    <w:rsid w:val="00BD58FA"/>
    <w:rsid w:val="00BF4CEA"/>
    <w:rsid w:val="00C031DA"/>
    <w:rsid w:val="00C41E59"/>
    <w:rsid w:val="00CD73BA"/>
    <w:rsid w:val="00D35AD4"/>
    <w:rsid w:val="00D86C47"/>
    <w:rsid w:val="00DB156C"/>
    <w:rsid w:val="00E057F7"/>
    <w:rsid w:val="00E42B90"/>
    <w:rsid w:val="00E60DBD"/>
    <w:rsid w:val="00EB75E3"/>
    <w:rsid w:val="00F03896"/>
    <w:rsid w:val="00F85616"/>
    <w:rsid w:val="00F86D2C"/>
    <w:rsid w:val="00FB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E58F"/>
  <w15:chartTrackingRefBased/>
  <w15:docId w15:val="{39B39D14-ED87-4B23-920D-727D234A6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17A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7AD"/>
    <w:pPr>
      <w:ind w:left="720"/>
      <w:contextualSpacing/>
    </w:pPr>
  </w:style>
  <w:style w:type="character" w:styleId="CommentReference">
    <w:name w:val="annotation reference"/>
    <w:basedOn w:val="DefaultParagraphFont"/>
    <w:uiPriority w:val="99"/>
    <w:semiHidden/>
    <w:unhideWhenUsed/>
    <w:rsid w:val="000F420A"/>
    <w:rPr>
      <w:sz w:val="16"/>
      <w:szCs w:val="16"/>
    </w:rPr>
  </w:style>
  <w:style w:type="paragraph" w:styleId="CommentText">
    <w:name w:val="annotation text"/>
    <w:basedOn w:val="Normal"/>
    <w:link w:val="CommentTextChar"/>
    <w:uiPriority w:val="99"/>
    <w:semiHidden/>
    <w:unhideWhenUsed/>
    <w:rsid w:val="000F420A"/>
    <w:rPr>
      <w:sz w:val="20"/>
      <w:szCs w:val="20"/>
    </w:rPr>
  </w:style>
  <w:style w:type="character" w:customStyle="1" w:styleId="CommentTextChar">
    <w:name w:val="Comment Text Char"/>
    <w:basedOn w:val="DefaultParagraphFont"/>
    <w:link w:val="CommentText"/>
    <w:uiPriority w:val="99"/>
    <w:semiHidden/>
    <w:rsid w:val="000F420A"/>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0F420A"/>
    <w:rPr>
      <w:b/>
      <w:bCs/>
    </w:rPr>
  </w:style>
  <w:style w:type="character" w:customStyle="1" w:styleId="CommentSubjectChar">
    <w:name w:val="Comment Subject Char"/>
    <w:basedOn w:val="CommentTextChar"/>
    <w:link w:val="CommentSubject"/>
    <w:uiPriority w:val="99"/>
    <w:semiHidden/>
    <w:rsid w:val="000F420A"/>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0F42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420A"/>
    <w:rPr>
      <w:rFonts w:ascii="Segoe UI" w:eastAsia="Times New Roman" w:hAnsi="Segoe UI" w:cs="Segoe UI"/>
      <w:sz w:val="18"/>
      <w:szCs w:val="18"/>
      <w:lang w:val="en-US"/>
    </w:rPr>
  </w:style>
  <w:style w:type="paragraph" w:styleId="FootnoteText">
    <w:name w:val="footnote text"/>
    <w:basedOn w:val="Normal"/>
    <w:link w:val="FootnoteTextChar"/>
    <w:uiPriority w:val="99"/>
    <w:semiHidden/>
    <w:unhideWhenUsed/>
    <w:rsid w:val="00D86C47"/>
    <w:rPr>
      <w:sz w:val="20"/>
      <w:szCs w:val="20"/>
    </w:rPr>
  </w:style>
  <w:style w:type="character" w:customStyle="1" w:styleId="FootnoteTextChar">
    <w:name w:val="Footnote Text Char"/>
    <w:basedOn w:val="DefaultParagraphFont"/>
    <w:link w:val="FootnoteText"/>
    <w:uiPriority w:val="99"/>
    <w:semiHidden/>
    <w:rsid w:val="00D86C47"/>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D86C47"/>
    <w:rPr>
      <w:vertAlign w:val="superscript"/>
    </w:rPr>
  </w:style>
  <w:style w:type="character" w:styleId="Hyperlink">
    <w:name w:val="Hyperlink"/>
    <w:basedOn w:val="DefaultParagraphFont"/>
    <w:uiPriority w:val="99"/>
    <w:unhideWhenUsed/>
    <w:rsid w:val="00BC3EF6"/>
    <w:rPr>
      <w:color w:val="0563C1" w:themeColor="hyperlink"/>
      <w:u w:val="single"/>
    </w:rPr>
  </w:style>
  <w:style w:type="character" w:styleId="UnresolvedMention">
    <w:name w:val="Unresolved Mention"/>
    <w:basedOn w:val="DefaultParagraphFont"/>
    <w:uiPriority w:val="99"/>
    <w:semiHidden/>
    <w:unhideWhenUsed/>
    <w:rsid w:val="00BC3EF6"/>
    <w:rPr>
      <w:color w:val="808080"/>
      <w:shd w:val="clear" w:color="auto" w:fill="E6E6E6"/>
    </w:rPr>
  </w:style>
  <w:style w:type="character" w:styleId="FollowedHyperlink">
    <w:name w:val="FollowedHyperlink"/>
    <w:basedOn w:val="DefaultParagraphFont"/>
    <w:uiPriority w:val="99"/>
    <w:semiHidden/>
    <w:unhideWhenUsed/>
    <w:rsid w:val="007C65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194118">
      <w:bodyDiv w:val="1"/>
      <w:marLeft w:val="0"/>
      <w:marRight w:val="0"/>
      <w:marTop w:val="0"/>
      <w:marBottom w:val="0"/>
      <w:divBdr>
        <w:top w:val="none" w:sz="0" w:space="0" w:color="auto"/>
        <w:left w:val="none" w:sz="0" w:space="0" w:color="auto"/>
        <w:bottom w:val="none" w:sz="0" w:space="0" w:color="auto"/>
        <w:right w:val="none" w:sz="0" w:space="0" w:color="auto"/>
      </w:divBdr>
    </w:div>
    <w:div w:id="394402730">
      <w:bodyDiv w:val="1"/>
      <w:marLeft w:val="0"/>
      <w:marRight w:val="0"/>
      <w:marTop w:val="0"/>
      <w:marBottom w:val="0"/>
      <w:divBdr>
        <w:top w:val="none" w:sz="0" w:space="0" w:color="auto"/>
        <w:left w:val="none" w:sz="0" w:space="0" w:color="auto"/>
        <w:bottom w:val="none" w:sz="0" w:space="0" w:color="auto"/>
        <w:right w:val="none" w:sz="0" w:space="0" w:color="auto"/>
      </w:divBdr>
    </w:div>
    <w:div w:id="573783102">
      <w:bodyDiv w:val="1"/>
      <w:marLeft w:val="0"/>
      <w:marRight w:val="0"/>
      <w:marTop w:val="0"/>
      <w:marBottom w:val="0"/>
      <w:divBdr>
        <w:top w:val="none" w:sz="0" w:space="0" w:color="auto"/>
        <w:left w:val="none" w:sz="0" w:space="0" w:color="auto"/>
        <w:bottom w:val="none" w:sz="0" w:space="0" w:color="auto"/>
        <w:right w:val="none" w:sz="0" w:space="0" w:color="auto"/>
      </w:divBdr>
    </w:div>
    <w:div w:id="1081759583">
      <w:bodyDiv w:val="1"/>
      <w:marLeft w:val="0"/>
      <w:marRight w:val="0"/>
      <w:marTop w:val="0"/>
      <w:marBottom w:val="0"/>
      <w:divBdr>
        <w:top w:val="none" w:sz="0" w:space="0" w:color="auto"/>
        <w:left w:val="none" w:sz="0" w:space="0" w:color="auto"/>
        <w:bottom w:val="none" w:sz="0" w:space="0" w:color="auto"/>
        <w:right w:val="none" w:sz="0" w:space="0" w:color="auto"/>
      </w:divBdr>
    </w:div>
    <w:div w:id="1120999555">
      <w:bodyDiv w:val="1"/>
      <w:marLeft w:val="0"/>
      <w:marRight w:val="0"/>
      <w:marTop w:val="0"/>
      <w:marBottom w:val="0"/>
      <w:divBdr>
        <w:top w:val="none" w:sz="0" w:space="0" w:color="auto"/>
        <w:left w:val="none" w:sz="0" w:space="0" w:color="auto"/>
        <w:bottom w:val="none" w:sz="0" w:space="0" w:color="auto"/>
        <w:right w:val="none" w:sz="0" w:space="0" w:color="auto"/>
      </w:divBdr>
    </w:div>
    <w:div w:id="1140149693">
      <w:bodyDiv w:val="1"/>
      <w:marLeft w:val="0"/>
      <w:marRight w:val="0"/>
      <w:marTop w:val="0"/>
      <w:marBottom w:val="0"/>
      <w:divBdr>
        <w:top w:val="none" w:sz="0" w:space="0" w:color="auto"/>
        <w:left w:val="none" w:sz="0" w:space="0" w:color="auto"/>
        <w:bottom w:val="none" w:sz="0" w:space="0" w:color="auto"/>
        <w:right w:val="none" w:sz="0" w:space="0" w:color="auto"/>
      </w:divBdr>
    </w:div>
    <w:div w:id="1192454072">
      <w:bodyDiv w:val="1"/>
      <w:marLeft w:val="0"/>
      <w:marRight w:val="0"/>
      <w:marTop w:val="0"/>
      <w:marBottom w:val="0"/>
      <w:divBdr>
        <w:top w:val="none" w:sz="0" w:space="0" w:color="auto"/>
        <w:left w:val="none" w:sz="0" w:space="0" w:color="auto"/>
        <w:bottom w:val="none" w:sz="0" w:space="0" w:color="auto"/>
        <w:right w:val="none" w:sz="0" w:space="0" w:color="auto"/>
      </w:divBdr>
    </w:div>
    <w:div w:id="1265961705">
      <w:bodyDiv w:val="1"/>
      <w:marLeft w:val="0"/>
      <w:marRight w:val="0"/>
      <w:marTop w:val="0"/>
      <w:marBottom w:val="0"/>
      <w:divBdr>
        <w:top w:val="none" w:sz="0" w:space="0" w:color="auto"/>
        <w:left w:val="none" w:sz="0" w:space="0" w:color="auto"/>
        <w:bottom w:val="none" w:sz="0" w:space="0" w:color="auto"/>
        <w:right w:val="none" w:sz="0" w:space="0" w:color="auto"/>
      </w:divBdr>
    </w:div>
    <w:div w:id="1294405826">
      <w:bodyDiv w:val="1"/>
      <w:marLeft w:val="0"/>
      <w:marRight w:val="0"/>
      <w:marTop w:val="0"/>
      <w:marBottom w:val="0"/>
      <w:divBdr>
        <w:top w:val="none" w:sz="0" w:space="0" w:color="auto"/>
        <w:left w:val="none" w:sz="0" w:space="0" w:color="auto"/>
        <w:bottom w:val="none" w:sz="0" w:space="0" w:color="auto"/>
        <w:right w:val="none" w:sz="0" w:space="0" w:color="auto"/>
      </w:divBdr>
    </w:div>
    <w:div w:id="1581475749">
      <w:bodyDiv w:val="1"/>
      <w:marLeft w:val="0"/>
      <w:marRight w:val="0"/>
      <w:marTop w:val="0"/>
      <w:marBottom w:val="0"/>
      <w:divBdr>
        <w:top w:val="none" w:sz="0" w:space="0" w:color="auto"/>
        <w:left w:val="none" w:sz="0" w:space="0" w:color="auto"/>
        <w:bottom w:val="none" w:sz="0" w:space="0" w:color="auto"/>
        <w:right w:val="none" w:sz="0" w:space="0" w:color="auto"/>
      </w:divBdr>
    </w:div>
    <w:div w:id="1586649409">
      <w:bodyDiv w:val="1"/>
      <w:marLeft w:val="0"/>
      <w:marRight w:val="0"/>
      <w:marTop w:val="0"/>
      <w:marBottom w:val="0"/>
      <w:divBdr>
        <w:top w:val="none" w:sz="0" w:space="0" w:color="auto"/>
        <w:left w:val="none" w:sz="0" w:space="0" w:color="auto"/>
        <w:bottom w:val="none" w:sz="0" w:space="0" w:color="auto"/>
        <w:right w:val="none" w:sz="0" w:space="0" w:color="auto"/>
      </w:divBdr>
    </w:div>
    <w:div w:id="1771075097">
      <w:bodyDiv w:val="1"/>
      <w:marLeft w:val="0"/>
      <w:marRight w:val="0"/>
      <w:marTop w:val="0"/>
      <w:marBottom w:val="0"/>
      <w:divBdr>
        <w:top w:val="none" w:sz="0" w:space="0" w:color="auto"/>
        <w:left w:val="none" w:sz="0" w:space="0" w:color="auto"/>
        <w:bottom w:val="none" w:sz="0" w:space="0" w:color="auto"/>
        <w:right w:val="none" w:sz="0" w:space="0" w:color="auto"/>
      </w:divBdr>
    </w:div>
    <w:div w:id="1869564293">
      <w:bodyDiv w:val="1"/>
      <w:marLeft w:val="0"/>
      <w:marRight w:val="0"/>
      <w:marTop w:val="0"/>
      <w:marBottom w:val="0"/>
      <w:divBdr>
        <w:top w:val="none" w:sz="0" w:space="0" w:color="auto"/>
        <w:left w:val="none" w:sz="0" w:space="0" w:color="auto"/>
        <w:bottom w:val="none" w:sz="0" w:space="0" w:color="auto"/>
        <w:right w:val="none" w:sz="0" w:space="0" w:color="auto"/>
      </w:divBdr>
    </w:div>
    <w:div w:id="2072338071">
      <w:bodyDiv w:val="1"/>
      <w:marLeft w:val="0"/>
      <w:marRight w:val="0"/>
      <w:marTop w:val="0"/>
      <w:marBottom w:val="0"/>
      <w:divBdr>
        <w:top w:val="none" w:sz="0" w:space="0" w:color="auto"/>
        <w:left w:val="none" w:sz="0" w:space="0" w:color="auto"/>
        <w:bottom w:val="none" w:sz="0" w:space="0" w:color="auto"/>
        <w:right w:val="none" w:sz="0" w:space="0" w:color="auto"/>
      </w:divBdr>
    </w:div>
    <w:div w:id="2103136533">
      <w:bodyDiv w:val="1"/>
      <w:marLeft w:val="0"/>
      <w:marRight w:val="0"/>
      <w:marTop w:val="0"/>
      <w:marBottom w:val="0"/>
      <w:divBdr>
        <w:top w:val="none" w:sz="0" w:space="0" w:color="auto"/>
        <w:left w:val="none" w:sz="0" w:space="0" w:color="auto"/>
        <w:bottom w:val="none" w:sz="0" w:space="0" w:color="auto"/>
        <w:right w:val="none" w:sz="0" w:space="0" w:color="auto"/>
      </w:divBdr>
    </w:div>
    <w:div w:id="2130588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trail/conquest/wessex_kings/anglosaxon_law_05.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topic/outlawr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topic/outlawry" TargetMode="External"/><Relationship Id="rId1" Type="http://schemas.openxmlformats.org/officeDocument/2006/relationships/hyperlink" Target="http://www.bbc.co.uk/history/trail/conquest/wessex_kings/anglosaxon_law_05.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86DC3-0032-4A70-8A15-41A492741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6</Pages>
  <Words>1432</Words>
  <Characters>8166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6</cp:revision>
  <dcterms:created xsi:type="dcterms:W3CDTF">2018-07-13T21:09:00Z</dcterms:created>
  <dcterms:modified xsi:type="dcterms:W3CDTF">2018-07-13T22:18:00Z</dcterms:modified>
</cp:coreProperties>
</file>