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CD4A5" w14:textId="64DB7304" w:rsidR="00385348" w:rsidRDefault="00385348" w:rsidP="00935FFB">
      <w:pPr>
        <w:jc w:val="center"/>
        <w:rPr>
          <w:rFonts w:ascii="Segoe UI" w:hAnsi="Segoe UI" w:cs="Segoe UI"/>
          <w:color w:val="373A3C"/>
          <w:sz w:val="32"/>
          <w:szCs w:val="32"/>
          <w:u w:val="single"/>
        </w:rPr>
      </w:pPr>
      <w:r w:rsidRPr="00385348">
        <w:rPr>
          <w:rFonts w:ascii="Segoe UI" w:hAnsi="Segoe UI" w:cs="Segoe UI"/>
          <w:color w:val="373A3C"/>
          <w:sz w:val="32"/>
          <w:szCs w:val="32"/>
          <w:u w:val="single"/>
        </w:rPr>
        <w:t>How is the concept of anatomy relevant to Donne’s Devotions upon Emergent Occasions? Discussion Essay.</w:t>
      </w:r>
    </w:p>
    <w:p w14:paraId="6F6F1ED9" w14:textId="77777777" w:rsidR="00935FFB" w:rsidRPr="00935FFB" w:rsidRDefault="00935FFB" w:rsidP="00935FFB">
      <w:pPr>
        <w:jc w:val="center"/>
        <w:rPr>
          <w:rFonts w:ascii="Segoe UI" w:hAnsi="Segoe UI" w:cs="Segoe UI"/>
          <w:color w:val="373A3C"/>
          <w:sz w:val="32"/>
          <w:szCs w:val="32"/>
          <w:u w:val="single"/>
        </w:rPr>
      </w:pPr>
    </w:p>
    <w:p w14:paraId="12121F96" w14:textId="02BECFE3" w:rsidR="00385348" w:rsidRPr="008012C5" w:rsidRDefault="00385348" w:rsidP="00385348">
      <w:pPr>
        <w:pStyle w:val="NoSpacing"/>
        <w:jc w:val="right"/>
        <w:rPr>
          <w:sz w:val="14"/>
          <w:szCs w:val="14"/>
          <w:u w:val="single"/>
        </w:rPr>
      </w:pPr>
      <w:r w:rsidRPr="008012C5">
        <w:rPr>
          <w:sz w:val="14"/>
          <w:szCs w:val="14"/>
          <w:u w:val="single"/>
        </w:rPr>
        <w:t>Darren Tierney</w:t>
      </w:r>
    </w:p>
    <w:p w14:paraId="5F986C83" w14:textId="6DB29C88" w:rsidR="00385348" w:rsidRPr="008012C5" w:rsidRDefault="00385348" w:rsidP="00385348">
      <w:pPr>
        <w:pStyle w:val="NoSpacing"/>
        <w:jc w:val="right"/>
        <w:rPr>
          <w:sz w:val="14"/>
          <w:szCs w:val="14"/>
          <w:u w:val="single"/>
        </w:rPr>
      </w:pPr>
      <w:r w:rsidRPr="008012C5">
        <w:rPr>
          <w:sz w:val="14"/>
          <w:szCs w:val="14"/>
          <w:u w:val="single"/>
        </w:rPr>
        <w:t>05/05/2023</w:t>
      </w:r>
    </w:p>
    <w:p w14:paraId="3025B37E" w14:textId="2477CA66" w:rsidR="00147F04" w:rsidRPr="008012C5" w:rsidRDefault="00385348" w:rsidP="00E1781C">
      <w:pPr>
        <w:pStyle w:val="NoSpacing"/>
        <w:jc w:val="right"/>
        <w:rPr>
          <w:sz w:val="14"/>
          <w:szCs w:val="14"/>
          <w:u w:val="single"/>
        </w:rPr>
      </w:pPr>
      <w:r w:rsidRPr="008012C5">
        <w:rPr>
          <w:sz w:val="14"/>
          <w:szCs w:val="14"/>
          <w:u w:val="single"/>
        </w:rPr>
        <w:t>Level 5</w:t>
      </w:r>
    </w:p>
    <w:p w14:paraId="535AE145" w14:textId="77777777" w:rsidR="00E1781C" w:rsidRDefault="00E1781C" w:rsidP="00385348">
      <w:pPr>
        <w:rPr>
          <w:rFonts w:cstheme="minorHAnsi"/>
          <w:color w:val="373A3C"/>
          <w:sz w:val="23"/>
          <w:szCs w:val="23"/>
        </w:rPr>
      </w:pPr>
    </w:p>
    <w:p w14:paraId="2AA10009" w14:textId="44ED0162" w:rsidR="00385348" w:rsidRPr="00043B7F" w:rsidRDefault="00C02E58" w:rsidP="0053355A">
      <w:pPr>
        <w:ind w:firstLine="720"/>
        <w:rPr>
          <w:rFonts w:cstheme="minorHAnsi"/>
          <w:color w:val="373A3C"/>
          <w:sz w:val="20"/>
          <w:szCs w:val="20"/>
        </w:rPr>
      </w:pPr>
      <w:r w:rsidRPr="00043B7F">
        <w:rPr>
          <w:rFonts w:cstheme="minorHAnsi"/>
          <w:color w:val="373A3C"/>
          <w:sz w:val="20"/>
          <w:szCs w:val="20"/>
        </w:rPr>
        <w:t>“</w:t>
      </w:r>
      <w:r w:rsidR="00385348" w:rsidRPr="00043B7F">
        <w:rPr>
          <w:rFonts w:cstheme="minorHAnsi"/>
          <w:color w:val="373A3C"/>
          <w:sz w:val="20"/>
          <w:szCs w:val="20"/>
        </w:rPr>
        <w:t>Donne’s Devotions Upon Emergent Occasions” is a notable literary work authored by the esteemed English poet and cleric, John Donne.</w:t>
      </w:r>
      <w:r w:rsidR="007E0613" w:rsidRPr="00043B7F">
        <w:rPr>
          <w:rStyle w:val="FootnoteReference"/>
          <w:rFonts w:cstheme="minorHAnsi"/>
          <w:color w:val="373A3C"/>
          <w:sz w:val="20"/>
          <w:szCs w:val="20"/>
        </w:rPr>
        <w:footnoteReference w:id="1"/>
      </w:r>
      <w:r w:rsidR="00385348" w:rsidRPr="00043B7F">
        <w:rPr>
          <w:rFonts w:cstheme="minorHAnsi"/>
          <w:color w:val="373A3C"/>
          <w:sz w:val="20"/>
          <w:szCs w:val="20"/>
        </w:rPr>
        <w:t xml:space="preserve"> Originally published in 1624, this piece comprises a series of meditations and prayers that offer profound insight into Donne’s contemplation of life, mortality, and spiritual concerns. This work stands as a testament to the intellectual and spiritual depth of Donne, showcasing his ability to delve into the profound existential questions of his time with meticulous reflection and eloquent prose.</w:t>
      </w:r>
      <w:r w:rsidR="007E0613" w:rsidRPr="00043B7F">
        <w:rPr>
          <w:rStyle w:val="FootnoteReference"/>
          <w:rFonts w:cstheme="minorHAnsi"/>
          <w:color w:val="373A3C"/>
          <w:sz w:val="20"/>
          <w:szCs w:val="20"/>
        </w:rPr>
        <w:footnoteReference w:id="2"/>
      </w:r>
      <w:r w:rsidR="00385348" w:rsidRPr="00043B7F">
        <w:rPr>
          <w:rFonts w:cstheme="minorHAnsi"/>
          <w:color w:val="373A3C"/>
          <w:sz w:val="20"/>
          <w:szCs w:val="20"/>
        </w:rPr>
        <w:t xml:space="preserve"> Donne recognises the profound significance of his own personal near-death experience, the event prompts him to delve further into contemplation. In the source, Donne draws stringent correlation</w:t>
      </w:r>
      <w:r w:rsidRPr="00043B7F">
        <w:rPr>
          <w:rFonts w:cstheme="minorHAnsi"/>
          <w:color w:val="373A3C"/>
          <w:sz w:val="20"/>
          <w:szCs w:val="20"/>
        </w:rPr>
        <w:t>s</w:t>
      </w:r>
      <w:r w:rsidR="00385348" w:rsidRPr="00043B7F">
        <w:rPr>
          <w:rFonts w:cstheme="minorHAnsi"/>
          <w:color w:val="373A3C"/>
          <w:sz w:val="20"/>
          <w:szCs w:val="20"/>
        </w:rPr>
        <w:t xml:space="preserve"> between the condition of the human body, specifically his own, and the vitality of the religious institute to which he belongs. This amalgamation of theological and philosophical speculation is not uniquely contained to the writings of Donne, but the ‘Devotions’ itself provides an insightful portrayal of the early era of western medicine before the schism of medical practices and theological beliefs.</w:t>
      </w:r>
      <w:r w:rsidR="007E0613" w:rsidRPr="00043B7F">
        <w:rPr>
          <w:rStyle w:val="FootnoteReference"/>
          <w:rFonts w:cstheme="minorHAnsi"/>
          <w:color w:val="373A3C"/>
          <w:sz w:val="20"/>
          <w:szCs w:val="20"/>
        </w:rPr>
        <w:footnoteReference w:id="3"/>
      </w:r>
    </w:p>
    <w:p w14:paraId="159F1C82" w14:textId="153675F1" w:rsidR="00385348" w:rsidRPr="00043B7F" w:rsidRDefault="00F91483" w:rsidP="0053355A">
      <w:pPr>
        <w:ind w:firstLine="720"/>
        <w:rPr>
          <w:rFonts w:cstheme="minorHAnsi"/>
          <w:color w:val="373A3C"/>
          <w:sz w:val="20"/>
          <w:szCs w:val="20"/>
        </w:rPr>
      </w:pPr>
      <w:r w:rsidRPr="00043B7F">
        <w:rPr>
          <w:rFonts w:cstheme="minorHAnsi"/>
          <w:color w:val="373A3C"/>
          <w:sz w:val="20"/>
          <w:szCs w:val="20"/>
        </w:rPr>
        <w:t>Donne</w:t>
      </w:r>
      <w:r w:rsidR="0065194A" w:rsidRPr="00043B7F">
        <w:rPr>
          <w:rFonts w:cstheme="minorHAnsi"/>
          <w:color w:val="373A3C"/>
          <w:sz w:val="20"/>
          <w:szCs w:val="20"/>
        </w:rPr>
        <w:t xml:space="preserve"> lived from 1572 to 1631</w:t>
      </w:r>
      <w:r w:rsidR="00C02E58" w:rsidRPr="00043B7F">
        <w:rPr>
          <w:rFonts w:cstheme="minorHAnsi"/>
          <w:color w:val="373A3C"/>
          <w:sz w:val="20"/>
          <w:szCs w:val="20"/>
        </w:rPr>
        <w:t xml:space="preserve"> and</w:t>
      </w:r>
      <w:r w:rsidR="0065194A" w:rsidRPr="00043B7F">
        <w:rPr>
          <w:rFonts w:cstheme="minorHAnsi"/>
          <w:color w:val="373A3C"/>
          <w:sz w:val="20"/>
          <w:szCs w:val="20"/>
        </w:rPr>
        <w:t xml:space="preserve"> had lived a varied life</w:t>
      </w:r>
      <w:r w:rsidR="00C02E58" w:rsidRPr="00043B7F">
        <w:rPr>
          <w:rFonts w:cstheme="minorHAnsi"/>
          <w:color w:val="373A3C"/>
          <w:sz w:val="20"/>
          <w:szCs w:val="20"/>
        </w:rPr>
        <w:t xml:space="preserve"> of</w:t>
      </w:r>
      <w:r w:rsidR="0065194A" w:rsidRPr="00043B7F">
        <w:rPr>
          <w:rFonts w:cstheme="minorHAnsi"/>
          <w:color w:val="373A3C"/>
          <w:sz w:val="20"/>
          <w:szCs w:val="20"/>
        </w:rPr>
        <w:t xml:space="preserve"> a scholar, poet, priest, </w:t>
      </w:r>
      <w:r w:rsidR="00636F7B" w:rsidRPr="00043B7F">
        <w:rPr>
          <w:rFonts w:cstheme="minorHAnsi"/>
          <w:color w:val="373A3C"/>
          <w:sz w:val="20"/>
          <w:szCs w:val="20"/>
        </w:rPr>
        <w:t>politician,</w:t>
      </w:r>
      <w:r w:rsidR="0065194A" w:rsidRPr="00043B7F">
        <w:rPr>
          <w:rFonts w:cstheme="minorHAnsi"/>
          <w:color w:val="373A3C"/>
          <w:sz w:val="20"/>
          <w:szCs w:val="20"/>
        </w:rPr>
        <w:t xml:space="preserve"> and lawyer</w:t>
      </w:r>
      <w:r w:rsidRPr="00043B7F">
        <w:rPr>
          <w:rFonts w:cstheme="minorHAnsi"/>
          <w:color w:val="373A3C"/>
          <w:sz w:val="20"/>
          <w:szCs w:val="20"/>
        </w:rPr>
        <w:t>.</w:t>
      </w:r>
      <w:r w:rsidR="0065194A" w:rsidRPr="00043B7F">
        <w:rPr>
          <w:rFonts w:cstheme="minorHAnsi"/>
          <w:color w:val="373A3C"/>
          <w:sz w:val="20"/>
          <w:szCs w:val="20"/>
        </w:rPr>
        <w:t xml:space="preserve"> </w:t>
      </w:r>
      <w:r w:rsidRPr="00043B7F">
        <w:rPr>
          <w:rFonts w:cstheme="minorHAnsi"/>
          <w:color w:val="373A3C"/>
          <w:sz w:val="20"/>
          <w:szCs w:val="20"/>
        </w:rPr>
        <w:t xml:space="preserve">While </w:t>
      </w:r>
      <w:r w:rsidR="0065194A" w:rsidRPr="00043B7F">
        <w:rPr>
          <w:rFonts w:cstheme="minorHAnsi"/>
          <w:color w:val="373A3C"/>
          <w:sz w:val="20"/>
          <w:szCs w:val="20"/>
        </w:rPr>
        <w:t>being a cleric in the Church of England</w:t>
      </w:r>
      <w:r w:rsidR="00C02E58" w:rsidRPr="00043B7F">
        <w:rPr>
          <w:rFonts w:cstheme="minorHAnsi"/>
          <w:color w:val="373A3C"/>
          <w:sz w:val="20"/>
          <w:szCs w:val="20"/>
        </w:rPr>
        <w:t>,</w:t>
      </w:r>
      <w:r w:rsidR="00720548" w:rsidRPr="00043B7F">
        <w:rPr>
          <w:rFonts w:cstheme="minorHAnsi"/>
          <w:color w:val="373A3C"/>
          <w:sz w:val="20"/>
          <w:szCs w:val="20"/>
        </w:rPr>
        <w:t xml:space="preserve"> Donne</w:t>
      </w:r>
      <w:r w:rsidRPr="00043B7F">
        <w:rPr>
          <w:rFonts w:cstheme="minorHAnsi"/>
          <w:color w:val="373A3C"/>
          <w:sz w:val="20"/>
          <w:szCs w:val="20"/>
        </w:rPr>
        <w:t xml:space="preserve"> </w:t>
      </w:r>
      <w:r w:rsidR="00720548" w:rsidRPr="00043B7F">
        <w:rPr>
          <w:rFonts w:cstheme="minorHAnsi"/>
          <w:color w:val="373A3C"/>
          <w:sz w:val="20"/>
          <w:szCs w:val="20"/>
        </w:rPr>
        <w:t>was</w:t>
      </w:r>
      <w:r w:rsidR="0065194A" w:rsidRPr="00043B7F">
        <w:rPr>
          <w:rFonts w:cstheme="minorHAnsi"/>
          <w:color w:val="373A3C"/>
          <w:sz w:val="20"/>
          <w:szCs w:val="20"/>
        </w:rPr>
        <w:t xml:space="preserve"> appointed as the</w:t>
      </w:r>
      <w:r w:rsidRPr="00043B7F">
        <w:rPr>
          <w:rFonts w:cstheme="minorHAnsi"/>
          <w:color w:val="373A3C"/>
          <w:sz w:val="20"/>
          <w:szCs w:val="20"/>
        </w:rPr>
        <w:t xml:space="preserve"> Dean of </w:t>
      </w:r>
      <w:r w:rsidR="0065194A" w:rsidRPr="00043B7F">
        <w:rPr>
          <w:rFonts w:cstheme="minorHAnsi"/>
          <w:color w:val="373A3C"/>
          <w:sz w:val="20"/>
          <w:szCs w:val="20"/>
        </w:rPr>
        <w:t>St Paul’s Cathedral in London in 1612</w:t>
      </w:r>
      <w:r w:rsidRPr="00043B7F">
        <w:rPr>
          <w:rFonts w:cstheme="minorHAnsi"/>
          <w:color w:val="373A3C"/>
          <w:sz w:val="20"/>
          <w:szCs w:val="20"/>
        </w:rPr>
        <w:t>.</w:t>
      </w:r>
      <w:r w:rsidRPr="00043B7F">
        <w:rPr>
          <w:rStyle w:val="FootnoteReference"/>
          <w:rFonts w:cstheme="minorHAnsi"/>
          <w:color w:val="373A3C"/>
          <w:sz w:val="20"/>
          <w:szCs w:val="20"/>
        </w:rPr>
        <w:footnoteReference w:id="4"/>
      </w:r>
      <w:r w:rsidRPr="00043B7F">
        <w:rPr>
          <w:rFonts w:cstheme="minorHAnsi"/>
          <w:color w:val="373A3C"/>
          <w:sz w:val="20"/>
          <w:szCs w:val="20"/>
        </w:rPr>
        <w:t xml:space="preserve"> </w:t>
      </w:r>
      <w:r w:rsidR="0065194A" w:rsidRPr="00043B7F">
        <w:rPr>
          <w:rFonts w:cstheme="minorHAnsi"/>
          <w:color w:val="373A3C"/>
          <w:sz w:val="20"/>
          <w:szCs w:val="20"/>
        </w:rPr>
        <w:t>It was while he was the Dean of this institute that he succumbed to a life threatening illness between 23-24 November 1623</w:t>
      </w:r>
      <w:r w:rsidR="00C02E58" w:rsidRPr="00043B7F">
        <w:rPr>
          <w:rFonts w:cstheme="minorHAnsi"/>
          <w:color w:val="373A3C"/>
          <w:sz w:val="20"/>
          <w:szCs w:val="20"/>
        </w:rPr>
        <w:t>,</w:t>
      </w:r>
      <w:r w:rsidR="00720548" w:rsidRPr="00043B7F">
        <w:rPr>
          <w:rFonts w:cstheme="minorHAnsi"/>
          <w:color w:val="373A3C"/>
          <w:sz w:val="20"/>
          <w:szCs w:val="20"/>
        </w:rPr>
        <w:t xml:space="preserve"> although some sources suggest later in the year</w:t>
      </w:r>
      <w:r w:rsidR="00C02E58" w:rsidRPr="00043B7F">
        <w:rPr>
          <w:rFonts w:cstheme="minorHAnsi"/>
          <w:color w:val="373A3C"/>
          <w:sz w:val="20"/>
          <w:szCs w:val="20"/>
        </w:rPr>
        <w:t>.</w:t>
      </w:r>
      <w:r w:rsidR="00720548" w:rsidRPr="00043B7F">
        <w:rPr>
          <w:rStyle w:val="FootnoteReference"/>
          <w:rFonts w:cstheme="minorHAnsi"/>
          <w:color w:val="373A3C"/>
          <w:sz w:val="20"/>
          <w:szCs w:val="20"/>
        </w:rPr>
        <w:footnoteReference w:id="5"/>
      </w:r>
      <w:r w:rsidR="0065194A" w:rsidRPr="00043B7F">
        <w:rPr>
          <w:rFonts w:cstheme="minorHAnsi"/>
          <w:color w:val="373A3C"/>
          <w:sz w:val="20"/>
          <w:szCs w:val="20"/>
        </w:rPr>
        <w:t xml:space="preserve"> </w:t>
      </w:r>
      <w:r w:rsidR="00C02E58" w:rsidRPr="00043B7F">
        <w:rPr>
          <w:rFonts w:cstheme="minorHAnsi"/>
          <w:color w:val="373A3C"/>
          <w:sz w:val="20"/>
          <w:szCs w:val="20"/>
        </w:rPr>
        <w:t>M</w:t>
      </w:r>
      <w:r w:rsidR="0065194A" w:rsidRPr="00043B7F">
        <w:rPr>
          <w:rFonts w:cstheme="minorHAnsi"/>
          <w:color w:val="373A3C"/>
          <w:sz w:val="20"/>
          <w:szCs w:val="20"/>
        </w:rPr>
        <w:t>odern day scholars suggest Typhus</w:t>
      </w:r>
      <w:r w:rsidR="00C02E58" w:rsidRPr="00043B7F">
        <w:rPr>
          <w:rFonts w:cstheme="minorHAnsi"/>
          <w:color w:val="373A3C"/>
          <w:sz w:val="20"/>
          <w:szCs w:val="20"/>
        </w:rPr>
        <w:t xml:space="preserve"> as the ailment</w:t>
      </w:r>
      <w:r w:rsidR="0065194A" w:rsidRPr="00043B7F">
        <w:rPr>
          <w:rFonts w:cstheme="minorHAnsi"/>
          <w:color w:val="373A3C"/>
          <w:sz w:val="20"/>
          <w:szCs w:val="20"/>
        </w:rPr>
        <w:t xml:space="preserve"> due to the ongoing endemic.</w:t>
      </w:r>
      <w:r w:rsidR="0065194A" w:rsidRPr="00043B7F">
        <w:rPr>
          <w:rStyle w:val="FootnoteReference"/>
          <w:rFonts w:cstheme="minorHAnsi"/>
          <w:color w:val="373A3C"/>
          <w:sz w:val="20"/>
          <w:szCs w:val="20"/>
        </w:rPr>
        <w:footnoteReference w:id="6"/>
      </w:r>
      <w:r w:rsidR="0065194A" w:rsidRPr="00043B7F">
        <w:rPr>
          <w:rFonts w:cstheme="minorHAnsi"/>
          <w:color w:val="373A3C"/>
          <w:sz w:val="20"/>
          <w:szCs w:val="20"/>
        </w:rPr>
        <w:t xml:space="preserve"> It was at this point when he experienced this that he was inclined to portray his ailment and the process of the disease into a work of literature, and this is where we find the creation of Donne’s ‘Devotions Upon Emergent Occasions’.</w:t>
      </w:r>
      <w:r w:rsidR="00BC02CF">
        <w:rPr>
          <w:rStyle w:val="FootnoteReference"/>
          <w:rFonts w:cstheme="minorHAnsi"/>
          <w:color w:val="373A3C"/>
          <w:sz w:val="20"/>
          <w:szCs w:val="20"/>
        </w:rPr>
        <w:footnoteReference w:id="7"/>
      </w:r>
      <w:r w:rsidR="0065194A" w:rsidRPr="00043B7F">
        <w:rPr>
          <w:rFonts w:cstheme="minorHAnsi"/>
          <w:color w:val="373A3C"/>
          <w:sz w:val="20"/>
          <w:szCs w:val="20"/>
        </w:rPr>
        <w:t xml:space="preserve">  This event in his life clearly unsettled him</w:t>
      </w:r>
      <w:r w:rsidR="005C0A39" w:rsidRPr="00043B7F">
        <w:rPr>
          <w:rFonts w:cstheme="minorHAnsi"/>
          <w:color w:val="373A3C"/>
          <w:sz w:val="20"/>
          <w:szCs w:val="20"/>
        </w:rPr>
        <w:t>, and through his solitude he made this work.</w:t>
      </w:r>
      <w:r w:rsidR="005C0A39" w:rsidRPr="00043B7F">
        <w:rPr>
          <w:rStyle w:val="FootnoteReference"/>
          <w:rFonts w:cstheme="minorHAnsi"/>
          <w:color w:val="373A3C"/>
          <w:sz w:val="20"/>
          <w:szCs w:val="20"/>
        </w:rPr>
        <w:footnoteReference w:id="8"/>
      </w:r>
      <w:r w:rsidR="00D43F7D" w:rsidRPr="00043B7F">
        <w:rPr>
          <w:rFonts w:cstheme="minorHAnsi"/>
          <w:color w:val="373A3C"/>
          <w:sz w:val="20"/>
          <w:szCs w:val="20"/>
        </w:rPr>
        <w:t xml:space="preserve"> </w:t>
      </w:r>
      <w:r w:rsidR="005C0A39" w:rsidRPr="00043B7F">
        <w:rPr>
          <w:rFonts w:cstheme="minorHAnsi"/>
          <w:color w:val="373A3C"/>
          <w:sz w:val="20"/>
          <w:szCs w:val="20"/>
        </w:rPr>
        <w:t>W</w:t>
      </w:r>
      <w:r w:rsidR="00D43F7D" w:rsidRPr="00043B7F">
        <w:rPr>
          <w:rFonts w:cstheme="minorHAnsi"/>
          <w:color w:val="373A3C"/>
          <w:sz w:val="20"/>
          <w:szCs w:val="20"/>
        </w:rPr>
        <w:t xml:space="preserve">e find </w:t>
      </w:r>
      <w:r w:rsidR="005C0A39" w:rsidRPr="00043B7F">
        <w:rPr>
          <w:rFonts w:cstheme="minorHAnsi"/>
          <w:color w:val="373A3C"/>
          <w:sz w:val="20"/>
          <w:szCs w:val="20"/>
        </w:rPr>
        <w:t>‘Devotions’</w:t>
      </w:r>
      <w:r w:rsidR="00D43F7D" w:rsidRPr="00043B7F">
        <w:rPr>
          <w:rFonts w:cstheme="minorHAnsi"/>
          <w:color w:val="373A3C"/>
          <w:sz w:val="20"/>
          <w:szCs w:val="20"/>
        </w:rPr>
        <w:t xml:space="preserve"> is one of the later works from Donne’s life,</w:t>
      </w:r>
      <w:r w:rsidR="00C02E58" w:rsidRPr="00043B7F">
        <w:rPr>
          <w:rFonts w:cstheme="minorHAnsi"/>
          <w:color w:val="373A3C"/>
          <w:sz w:val="20"/>
          <w:szCs w:val="20"/>
        </w:rPr>
        <w:t xml:space="preserve"> after his illness </w:t>
      </w:r>
      <w:r w:rsidR="00D43F7D" w:rsidRPr="00043B7F">
        <w:rPr>
          <w:rFonts w:cstheme="minorHAnsi"/>
          <w:color w:val="373A3C"/>
          <w:sz w:val="20"/>
          <w:szCs w:val="20"/>
        </w:rPr>
        <w:t>Donne did not conduct a sermon until 28</w:t>
      </w:r>
      <w:r w:rsidR="00D43F7D" w:rsidRPr="00043B7F">
        <w:rPr>
          <w:rFonts w:cstheme="minorHAnsi"/>
          <w:color w:val="373A3C"/>
          <w:sz w:val="20"/>
          <w:szCs w:val="20"/>
          <w:vertAlign w:val="superscript"/>
        </w:rPr>
        <w:t>th</w:t>
      </w:r>
      <w:r w:rsidR="00D43F7D" w:rsidRPr="00043B7F">
        <w:rPr>
          <w:rFonts w:cstheme="minorHAnsi"/>
          <w:color w:val="373A3C"/>
          <w:sz w:val="20"/>
          <w:szCs w:val="20"/>
        </w:rPr>
        <w:t xml:space="preserve"> March 1624</w:t>
      </w:r>
      <w:r w:rsidR="00C02E58" w:rsidRPr="00043B7F">
        <w:rPr>
          <w:rFonts w:cstheme="minorHAnsi"/>
          <w:color w:val="373A3C"/>
          <w:sz w:val="20"/>
          <w:szCs w:val="20"/>
        </w:rPr>
        <w:t>,</w:t>
      </w:r>
      <w:r w:rsidR="00D43F7D" w:rsidRPr="00043B7F">
        <w:rPr>
          <w:rFonts w:cstheme="minorHAnsi"/>
          <w:color w:val="373A3C"/>
          <w:sz w:val="20"/>
          <w:szCs w:val="20"/>
        </w:rPr>
        <w:t xml:space="preserve"> attributing to the critical condition he found himself in.</w:t>
      </w:r>
      <w:r w:rsidR="00D43F7D" w:rsidRPr="00043B7F">
        <w:rPr>
          <w:rStyle w:val="FootnoteReference"/>
          <w:rFonts w:cstheme="minorHAnsi"/>
          <w:color w:val="373A3C"/>
          <w:sz w:val="20"/>
          <w:szCs w:val="20"/>
        </w:rPr>
        <w:footnoteReference w:id="9"/>
      </w:r>
      <w:r w:rsidR="00A937EF" w:rsidRPr="00043B7F">
        <w:rPr>
          <w:rFonts w:cstheme="minorHAnsi"/>
          <w:color w:val="373A3C"/>
          <w:sz w:val="20"/>
          <w:szCs w:val="20"/>
        </w:rPr>
        <w:t xml:space="preserve"> Conti Writes That Donne’s ‘Devotions’ is a simultaneously public and private profession of faith</w:t>
      </w:r>
      <w:r w:rsidR="00885DCB" w:rsidRPr="00043B7F">
        <w:rPr>
          <w:rFonts w:cstheme="minorHAnsi"/>
          <w:color w:val="373A3C"/>
          <w:sz w:val="20"/>
          <w:szCs w:val="20"/>
        </w:rPr>
        <w:t>.</w:t>
      </w:r>
      <w:r w:rsidR="00885DCB" w:rsidRPr="00043B7F">
        <w:rPr>
          <w:rStyle w:val="FootnoteReference"/>
          <w:rFonts w:cstheme="minorHAnsi"/>
          <w:color w:val="373A3C"/>
          <w:sz w:val="20"/>
          <w:szCs w:val="20"/>
        </w:rPr>
        <w:footnoteReference w:id="10"/>
      </w:r>
      <w:r w:rsidR="00A937EF" w:rsidRPr="00043B7F">
        <w:rPr>
          <w:rFonts w:cstheme="minorHAnsi"/>
          <w:color w:val="373A3C"/>
          <w:sz w:val="20"/>
          <w:szCs w:val="20"/>
        </w:rPr>
        <w:t xml:space="preserve"> </w:t>
      </w:r>
    </w:p>
    <w:p w14:paraId="7896E50D" w14:textId="665BD505" w:rsidR="00385348" w:rsidRPr="00043B7F" w:rsidRDefault="00385348" w:rsidP="0053355A">
      <w:pPr>
        <w:ind w:firstLine="720"/>
        <w:rPr>
          <w:sz w:val="20"/>
          <w:szCs w:val="20"/>
        </w:rPr>
      </w:pPr>
      <w:r w:rsidRPr="00043B7F">
        <w:rPr>
          <w:rFonts w:cstheme="minorHAnsi"/>
          <w:color w:val="373A3C"/>
          <w:sz w:val="20"/>
          <w:szCs w:val="20"/>
        </w:rPr>
        <w:t>Donne’s ‘Devotions’ is a thorough analysis into the philosophy of the sick body, we find many references within the text associating the anatomy of man to the workings of theology and spirituality. While there are direct references to the body itself, they are mostly used in metaphorical simile.</w:t>
      </w:r>
      <w:r w:rsidR="00FC774A" w:rsidRPr="00043B7F">
        <w:rPr>
          <w:rFonts w:cstheme="minorHAnsi"/>
          <w:color w:val="373A3C"/>
          <w:sz w:val="20"/>
          <w:szCs w:val="20"/>
        </w:rPr>
        <w:t xml:space="preserve"> Tucker suggests ‘in the Devotions, these passages illustrate the high level of achievement which we must expect from Donne at his </w:t>
      </w:r>
      <w:r w:rsidR="00FC774A" w:rsidRPr="00043B7F">
        <w:rPr>
          <w:rFonts w:cstheme="minorHAnsi"/>
          <w:color w:val="373A3C"/>
          <w:sz w:val="20"/>
          <w:szCs w:val="20"/>
        </w:rPr>
        <w:lastRenderedPageBreak/>
        <w:t>best.’</w:t>
      </w:r>
      <w:r w:rsidR="00FC774A" w:rsidRPr="00043B7F">
        <w:rPr>
          <w:rStyle w:val="FootnoteReference"/>
          <w:rFonts w:cstheme="minorHAnsi"/>
          <w:color w:val="373A3C"/>
          <w:sz w:val="20"/>
          <w:szCs w:val="20"/>
        </w:rPr>
        <w:footnoteReference w:id="11"/>
      </w:r>
      <w:r w:rsidR="00B72904" w:rsidRPr="00043B7F">
        <w:rPr>
          <w:rFonts w:cstheme="minorHAnsi"/>
          <w:color w:val="373A3C"/>
          <w:sz w:val="20"/>
          <w:szCs w:val="20"/>
        </w:rPr>
        <w:t xml:space="preserve"> Donne’s </w:t>
      </w:r>
      <w:r w:rsidR="00C02E58" w:rsidRPr="00043B7F">
        <w:rPr>
          <w:rFonts w:cstheme="minorHAnsi"/>
          <w:color w:val="373A3C"/>
          <w:sz w:val="20"/>
          <w:szCs w:val="20"/>
        </w:rPr>
        <w:t xml:space="preserve">citation </w:t>
      </w:r>
      <w:r w:rsidR="00B72904" w:rsidRPr="00043B7F">
        <w:rPr>
          <w:rFonts w:cstheme="minorHAnsi"/>
          <w:color w:val="373A3C"/>
          <w:sz w:val="20"/>
          <w:szCs w:val="20"/>
        </w:rPr>
        <w:t>work within the pages are not direct references, but lendin</w:t>
      </w:r>
      <w:r w:rsidR="005C0A39" w:rsidRPr="00043B7F">
        <w:rPr>
          <w:rFonts w:cstheme="minorHAnsi"/>
          <w:color w:val="373A3C"/>
          <w:sz w:val="20"/>
          <w:szCs w:val="20"/>
        </w:rPr>
        <w:t>g</w:t>
      </w:r>
      <w:r w:rsidR="00B72904" w:rsidRPr="00043B7F">
        <w:rPr>
          <w:rFonts w:cstheme="minorHAnsi"/>
          <w:color w:val="373A3C"/>
          <w:sz w:val="20"/>
          <w:szCs w:val="20"/>
        </w:rPr>
        <w:t xml:space="preserve"> a note of confirmation or resolution to his own words.</w:t>
      </w:r>
      <w:r w:rsidR="00B72904" w:rsidRPr="00043B7F">
        <w:rPr>
          <w:rStyle w:val="FootnoteReference"/>
          <w:rFonts w:cstheme="minorHAnsi"/>
          <w:color w:val="373A3C"/>
          <w:sz w:val="20"/>
          <w:szCs w:val="20"/>
        </w:rPr>
        <w:footnoteReference w:id="12"/>
      </w:r>
      <w:r w:rsidR="005C0A39" w:rsidRPr="00043B7F">
        <w:rPr>
          <w:rFonts w:cstheme="minorHAnsi"/>
          <w:color w:val="373A3C"/>
          <w:sz w:val="20"/>
          <w:szCs w:val="20"/>
        </w:rPr>
        <w:t xml:space="preserve"> Donne tackles the twenty three separate units in three distinct approaches; The meditation upon our humane condition; expostulation, and a debate with god; a prayer to God.</w:t>
      </w:r>
      <w:r w:rsidR="005C0A39" w:rsidRPr="00043B7F">
        <w:rPr>
          <w:rStyle w:val="FootnoteReference"/>
          <w:rFonts w:cstheme="minorHAnsi"/>
          <w:color w:val="373A3C"/>
          <w:sz w:val="20"/>
          <w:szCs w:val="20"/>
        </w:rPr>
        <w:footnoteReference w:id="13"/>
      </w:r>
      <w:r w:rsidR="00A937EF" w:rsidRPr="00043B7F">
        <w:rPr>
          <w:rFonts w:cstheme="minorHAnsi"/>
          <w:color w:val="373A3C"/>
          <w:sz w:val="20"/>
          <w:szCs w:val="20"/>
        </w:rPr>
        <w:t xml:space="preserve"> Although a debate to god can be seen as somewhat heretical to a degree</w:t>
      </w:r>
      <w:r w:rsidR="00C02E58" w:rsidRPr="00043B7F">
        <w:rPr>
          <w:rFonts w:cstheme="minorHAnsi"/>
          <w:color w:val="373A3C"/>
          <w:sz w:val="20"/>
          <w:szCs w:val="20"/>
        </w:rPr>
        <w:t>,</w:t>
      </w:r>
      <w:r w:rsidR="00A937EF" w:rsidRPr="00043B7F">
        <w:rPr>
          <w:rFonts w:cstheme="minorHAnsi"/>
          <w:color w:val="373A3C"/>
          <w:sz w:val="20"/>
          <w:szCs w:val="20"/>
        </w:rPr>
        <w:t xml:space="preserve"> Webber states </w:t>
      </w:r>
      <w:r w:rsidR="00A937EF" w:rsidRPr="00043B7F">
        <w:rPr>
          <w:sz w:val="20"/>
          <w:szCs w:val="20"/>
        </w:rPr>
        <w:t>‘Suspicion and expostulation and a storm of affections, he said, may well consist together in a heart absolutely surrendered to God.’</w:t>
      </w:r>
      <w:r w:rsidR="00A937EF" w:rsidRPr="00043B7F">
        <w:rPr>
          <w:rStyle w:val="FootnoteReference"/>
          <w:sz w:val="20"/>
          <w:szCs w:val="20"/>
        </w:rPr>
        <w:footnoteReference w:id="14"/>
      </w:r>
      <w:r w:rsidR="00A937EF" w:rsidRPr="00043B7F">
        <w:rPr>
          <w:sz w:val="20"/>
          <w:szCs w:val="20"/>
        </w:rPr>
        <w:t xml:space="preserve"> </w:t>
      </w:r>
      <w:r w:rsidR="007A6092" w:rsidRPr="00043B7F">
        <w:rPr>
          <w:sz w:val="20"/>
          <w:szCs w:val="20"/>
        </w:rPr>
        <w:t>One distinct aspect from this work that Horn describes as ‘troubling’ is the dark tone, and the imagery of decay and degeneration.</w:t>
      </w:r>
      <w:r w:rsidR="007A6092" w:rsidRPr="00043B7F">
        <w:rPr>
          <w:rStyle w:val="FootnoteReference"/>
          <w:sz w:val="20"/>
          <w:szCs w:val="20"/>
        </w:rPr>
        <w:footnoteReference w:id="15"/>
      </w:r>
      <w:r w:rsidR="007A6092" w:rsidRPr="00043B7F">
        <w:rPr>
          <w:sz w:val="20"/>
          <w:szCs w:val="20"/>
        </w:rPr>
        <w:t xml:space="preserve"> Horn also suggests due to a poem he wrote when he most likely was in the middle of writing th</w:t>
      </w:r>
      <w:r w:rsidR="00C02E58" w:rsidRPr="00043B7F">
        <w:rPr>
          <w:sz w:val="20"/>
          <w:szCs w:val="20"/>
        </w:rPr>
        <w:t>e ‘Devotions’</w:t>
      </w:r>
      <w:r w:rsidR="007A6092" w:rsidRPr="00043B7F">
        <w:rPr>
          <w:sz w:val="20"/>
          <w:szCs w:val="20"/>
        </w:rPr>
        <w:t xml:space="preserve"> and his sickness, where he exclaims he has a deep fear of death, Donne </w:t>
      </w:r>
      <w:r w:rsidR="005F79AF" w:rsidRPr="00043B7F">
        <w:rPr>
          <w:sz w:val="20"/>
          <w:szCs w:val="20"/>
        </w:rPr>
        <w:t xml:space="preserve">may have </w:t>
      </w:r>
      <w:r w:rsidR="007A6092" w:rsidRPr="00043B7F">
        <w:rPr>
          <w:sz w:val="20"/>
          <w:szCs w:val="20"/>
        </w:rPr>
        <w:t xml:space="preserve">really </w:t>
      </w:r>
      <w:r w:rsidR="005F79AF" w:rsidRPr="00043B7F">
        <w:rPr>
          <w:sz w:val="20"/>
          <w:szCs w:val="20"/>
        </w:rPr>
        <w:t>believed</w:t>
      </w:r>
      <w:r w:rsidR="007A6092" w:rsidRPr="00043B7F">
        <w:rPr>
          <w:sz w:val="20"/>
          <w:szCs w:val="20"/>
        </w:rPr>
        <w:t xml:space="preserve"> h</w:t>
      </w:r>
      <w:r w:rsidR="005F79AF" w:rsidRPr="00043B7F">
        <w:rPr>
          <w:sz w:val="20"/>
          <w:szCs w:val="20"/>
        </w:rPr>
        <w:t>is demise was imminent</w:t>
      </w:r>
      <w:r w:rsidR="007A6092" w:rsidRPr="00043B7F">
        <w:rPr>
          <w:sz w:val="20"/>
          <w:szCs w:val="20"/>
        </w:rPr>
        <w:t>.</w:t>
      </w:r>
      <w:r w:rsidR="007A6092" w:rsidRPr="00043B7F">
        <w:rPr>
          <w:rStyle w:val="FootnoteReference"/>
          <w:sz w:val="20"/>
          <w:szCs w:val="20"/>
        </w:rPr>
        <w:footnoteReference w:id="16"/>
      </w:r>
    </w:p>
    <w:p w14:paraId="6B26D782" w14:textId="1DC5C7D6" w:rsidR="00385348" w:rsidRPr="00043B7F" w:rsidRDefault="00385348" w:rsidP="00385348">
      <w:pPr>
        <w:jc w:val="center"/>
        <w:rPr>
          <w:rFonts w:cstheme="minorHAnsi"/>
          <w:color w:val="373A3C"/>
          <w:sz w:val="20"/>
          <w:szCs w:val="20"/>
        </w:rPr>
      </w:pPr>
      <w:r w:rsidRPr="00043B7F">
        <w:rPr>
          <w:rFonts w:cstheme="minorHAnsi"/>
          <w:color w:val="373A3C"/>
          <w:sz w:val="20"/>
          <w:szCs w:val="20"/>
        </w:rPr>
        <w:t>‘There is no vein in me that is not full of the blood of thy son, who I have crucified again and again… there is no artery in me that hath not the spirit of error.’</w:t>
      </w:r>
      <w:r w:rsidRPr="00043B7F">
        <w:rPr>
          <w:rStyle w:val="FootnoteReference"/>
          <w:rFonts w:cstheme="minorHAnsi"/>
          <w:color w:val="373A3C"/>
          <w:sz w:val="20"/>
          <w:szCs w:val="20"/>
        </w:rPr>
        <w:footnoteReference w:id="17"/>
      </w:r>
    </w:p>
    <w:p w14:paraId="2B4BA007" w14:textId="77777777" w:rsidR="0065542C" w:rsidRDefault="00C46A59" w:rsidP="006517C6">
      <w:pPr>
        <w:ind w:firstLine="720"/>
        <w:rPr>
          <w:sz w:val="20"/>
          <w:szCs w:val="20"/>
        </w:rPr>
      </w:pPr>
      <w:r w:rsidRPr="00043B7F">
        <w:rPr>
          <w:sz w:val="20"/>
          <w:szCs w:val="20"/>
        </w:rPr>
        <w:t>In this Metaphorical expression,</w:t>
      </w:r>
      <w:r w:rsidR="00385348" w:rsidRPr="00043B7F">
        <w:rPr>
          <w:sz w:val="20"/>
          <w:szCs w:val="20"/>
        </w:rPr>
        <w:t xml:space="preserve"> Donne exp</w:t>
      </w:r>
      <w:r w:rsidRPr="00043B7F">
        <w:rPr>
          <w:sz w:val="20"/>
          <w:szCs w:val="20"/>
        </w:rPr>
        <w:t>ounds upon the notion</w:t>
      </w:r>
      <w:r w:rsidR="00385348" w:rsidRPr="00043B7F">
        <w:rPr>
          <w:sz w:val="20"/>
          <w:szCs w:val="20"/>
        </w:rPr>
        <w:t xml:space="preserve"> that his body has </w:t>
      </w:r>
      <w:r w:rsidRPr="00043B7F">
        <w:rPr>
          <w:sz w:val="20"/>
          <w:szCs w:val="20"/>
        </w:rPr>
        <w:t>betrayed the teachings of</w:t>
      </w:r>
      <w:r w:rsidR="00385348" w:rsidRPr="00043B7F">
        <w:rPr>
          <w:sz w:val="20"/>
          <w:szCs w:val="20"/>
        </w:rPr>
        <w:t xml:space="preserve"> Christ</w:t>
      </w:r>
      <w:r w:rsidRPr="00043B7F">
        <w:rPr>
          <w:sz w:val="20"/>
          <w:szCs w:val="20"/>
        </w:rPr>
        <w:t>.</w:t>
      </w:r>
      <w:r w:rsidR="00385348" w:rsidRPr="00043B7F">
        <w:rPr>
          <w:sz w:val="20"/>
          <w:szCs w:val="20"/>
        </w:rPr>
        <w:t xml:space="preserve"> </w:t>
      </w:r>
      <w:r w:rsidRPr="00043B7F">
        <w:rPr>
          <w:sz w:val="20"/>
          <w:szCs w:val="20"/>
        </w:rPr>
        <w:t>He may attribute this transgression to his failure to perform his clerical duties or</w:t>
      </w:r>
      <w:r w:rsidRPr="00043B7F">
        <w:rPr>
          <w:sz w:val="20"/>
          <w:szCs w:val="20"/>
        </w:rPr>
        <w:t xml:space="preserve"> the original sin as the cause</w:t>
      </w:r>
      <w:r w:rsidRPr="00043B7F">
        <w:rPr>
          <w:sz w:val="20"/>
          <w:szCs w:val="20"/>
        </w:rPr>
        <w:t>.</w:t>
      </w:r>
      <w:r w:rsidR="00385348" w:rsidRPr="00043B7F">
        <w:rPr>
          <w:sz w:val="20"/>
          <w:szCs w:val="20"/>
        </w:rPr>
        <w:t xml:space="preserve"> </w:t>
      </w:r>
      <w:r w:rsidRPr="00043B7F">
        <w:rPr>
          <w:sz w:val="20"/>
          <w:szCs w:val="20"/>
        </w:rPr>
        <w:t>Additionally, he exclaims the gravity of his spiritual crisis</w:t>
      </w:r>
      <w:r w:rsidR="00385348" w:rsidRPr="00043B7F">
        <w:rPr>
          <w:sz w:val="20"/>
          <w:szCs w:val="20"/>
        </w:rPr>
        <w:t xml:space="preserve"> with the</w:t>
      </w:r>
      <w:r w:rsidRPr="00043B7F">
        <w:rPr>
          <w:sz w:val="20"/>
          <w:szCs w:val="20"/>
        </w:rPr>
        <w:t xml:space="preserve"> statement that</w:t>
      </w:r>
      <w:r w:rsidR="00385348" w:rsidRPr="00043B7F">
        <w:rPr>
          <w:sz w:val="20"/>
          <w:szCs w:val="20"/>
        </w:rPr>
        <w:t xml:space="preserve"> </w:t>
      </w:r>
      <w:r w:rsidRPr="00043B7F">
        <w:rPr>
          <w:sz w:val="20"/>
          <w:szCs w:val="20"/>
        </w:rPr>
        <w:t xml:space="preserve">within </w:t>
      </w:r>
      <w:r w:rsidR="00385348" w:rsidRPr="00043B7F">
        <w:rPr>
          <w:sz w:val="20"/>
          <w:szCs w:val="20"/>
        </w:rPr>
        <w:t>his arteries</w:t>
      </w:r>
      <w:r w:rsidRPr="00043B7F">
        <w:rPr>
          <w:sz w:val="20"/>
          <w:szCs w:val="20"/>
        </w:rPr>
        <w:t xml:space="preserve"> reside the</w:t>
      </w:r>
      <w:r w:rsidR="00385348" w:rsidRPr="00043B7F">
        <w:rPr>
          <w:sz w:val="20"/>
          <w:szCs w:val="20"/>
        </w:rPr>
        <w:t xml:space="preserve"> spirit</w:t>
      </w:r>
      <w:r w:rsidRPr="00043B7F">
        <w:rPr>
          <w:sz w:val="20"/>
          <w:szCs w:val="20"/>
        </w:rPr>
        <w:t xml:space="preserve"> of sin</w:t>
      </w:r>
      <w:r w:rsidR="005D4F77" w:rsidRPr="00043B7F">
        <w:rPr>
          <w:sz w:val="20"/>
          <w:szCs w:val="20"/>
        </w:rPr>
        <w:t xml:space="preserve">. Donne </w:t>
      </w:r>
      <w:r w:rsidRPr="00043B7F">
        <w:rPr>
          <w:sz w:val="20"/>
          <w:szCs w:val="20"/>
        </w:rPr>
        <w:t>delves into</w:t>
      </w:r>
      <w:r w:rsidR="005D4F77" w:rsidRPr="00043B7F">
        <w:rPr>
          <w:sz w:val="20"/>
          <w:szCs w:val="20"/>
        </w:rPr>
        <w:t xml:space="preserve"> the further sins of his body, he </w:t>
      </w:r>
      <w:r w:rsidRPr="00043B7F">
        <w:rPr>
          <w:sz w:val="20"/>
          <w:szCs w:val="20"/>
        </w:rPr>
        <w:t>elaborates upon the intricacies of these sins by asserting</w:t>
      </w:r>
      <w:r w:rsidR="005D4F77" w:rsidRPr="00043B7F">
        <w:rPr>
          <w:sz w:val="20"/>
          <w:szCs w:val="20"/>
        </w:rPr>
        <w:t xml:space="preserve"> ‘no bone in me that is not hardened with the custom of sin and nourished and suppled with the marrow of sin; no sinews, no ligaments, that do not tie and chain sin and sin together.’</w:t>
      </w:r>
      <w:r w:rsidR="005D4F77" w:rsidRPr="00043B7F">
        <w:rPr>
          <w:rStyle w:val="FootnoteReference"/>
          <w:sz w:val="20"/>
          <w:szCs w:val="20"/>
        </w:rPr>
        <w:footnoteReference w:id="18"/>
      </w:r>
      <w:r w:rsidR="005D4F77" w:rsidRPr="00043B7F">
        <w:rPr>
          <w:sz w:val="20"/>
          <w:szCs w:val="20"/>
        </w:rPr>
        <w:t xml:space="preserve"> </w:t>
      </w:r>
      <w:r w:rsidR="006733A2" w:rsidRPr="00043B7F">
        <w:rPr>
          <w:sz w:val="20"/>
          <w:szCs w:val="20"/>
        </w:rPr>
        <w:t xml:space="preserve">Donne acknowledges his human nature, tainted by sin, as an underlying theme within the ‘Devotions’. </w:t>
      </w:r>
      <w:r w:rsidRPr="00043B7F">
        <w:rPr>
          <w:sz w:val="20"/>
          <w:szCs w:val="20"/>
        </w:rPr>
        <w:t>H</w:t>
      </w:r>
      <w:r w:rsidR="005D4F77" w:rsidRPr="00043B7F">
        <w:rPr>
          <w:sz w:val="20"/>
          <w:szCs w:val="20"/>
        </w:rPr>
        <w:t xml:space="preserve">e </w:t>
      </w:r>
      <w:r w:rsidR="006733A2" w:rsidRPr="00043B7F">
        <w:rPr>
          <w:sz w:val="20"/>
          <w:szCs w:val="20"/>
        </w:rPr>
        <w:t>seeks repentance for his sins by reflecting on his current physical maladies, he recognises that his anatomical body was created by God.</w:t>
      </w:r>
      <w:r w:rsidR="005D4F77" w:rsidRPr="00043B7F">
        <w:rPr>
          <w:sz w:val="20"/>
          <w:szCs w:val="20"/>
        </w:rPr>
        <w:t xml:space="preserve"> Donne </w:t>
      </w:r>
      <w:r w:rsidR="005F79AF" w:rsidRPr="00043B7F">
        <w:rPr>
          <w:sz w:val="20"/>
          <w:szCs w:val="20"/>
        </w:rPr>
        <w:t>reiterates</w:t>
      </w:r>
      <w:r w:rsidR="005D4F77" w:rsidRPr="00043B7F">
        <w:rPr>
          <w:sz w:val="20"/>
          <w:szCs w:val="20"/>
        </w:rPr>
        <w:t xml:space="preserve"> this concept</w:t>
      </w:r>
      <w:r w:rsidR="005F79AF" w:rsidRPr="00043B7F">
        <w:rPr>
          <w:sz w:val="20"/>
          <w:szCs w:val="20"/>
        </w:rPr>
        <w:t xml:space="preserve"> through</w:t>
      </w:r>
      <w:r w:rsidR="005D4F77" w:rsidRPr="00043B7F">
        <w:rPr>
          <w:sz w:val="20"/>
          <w:szCs w:val="20"/>
        </w:rPr>
        <w:t xml:space="preserve"> ‘The body, the sin, is the serpent’s; and the garment that covers it, the lie is his too.’</w:t>
      </w:r>
      <w:r w:rsidR="005D4F77" w:rsidRPr="00043B7F">
        <w:rPr>
          <w:rStyle w:val="FootnoteReference"/>
          <w:sz w:val="20"/>
          <w:szCs w:val="20"/>
        </w:rPr>
        <w:footnoteReference w:id="19"/>
      </w:r>
      <w:r w:rsidR="00F45DBC" w:rsidRPr="00043B7F">
        <w:rPr>
          <w:sz w:val="20"/>
          <w:szCs w:val="20"/>
        </w:rPr>
        <w:t xml:space="preserve"> </w:t>
      </w:r>
      <w:r w:rsidR="006733A2" w:rsidRPr="00043B7F">
        <w:rPr>
          <w:sz w:val="20"/>
          <w:szCs w:val="20"/>
        </w:rPr>
        <w:t xml:space="preserve">As the work unfolds, Donne’s writing </w:t>
      </w:r>
      <w:r w:rsidR="005F79AF" w:rsidRPr="00043B7F">
        <w:rPr>
          <w:sz w:val="20"/>
          <w:szCs w:val="20"/>
        </w:rPr>
        <w:t>grants us a</w:t>
      </w:r>
      <w:r w:rsidR="006733A2" w:rsidRPr="00043B7F">
        <w:rPr>
          <w:sz w:val="20"/>
          <w:szCs w:val="20"/>
        </w:rPr>
        <w:t xml:space="preserve"> glimpse into the </w:t>
      </w:r>
      <w:r w:rsidR="005F79AF" w:rsidRPr="00043B7F">
        <w:rPr>
          <w:sz w:val="20"/>
          <w:szCs w:val="20"/>
        </w:rPr>
        <w:t>essence</w:t>
      </w:r>
      <w:r w:rsidR="006733A2" w:rsidRPr="00043B7F">
        <w:rPr>
          <w:sz w:val="20"/>
          <w:szCs w:val="20"/>
        </w:rPr>
        <w:t xml:space="preserve"> of</w:t>
      </w:r>
      <w:r w:rsidR="005F79AF" w:rsidRPr="00043B7F">
        <w:rPr>
          <w:sz w:val="20"/>
          <w:szCs w:val="20"/>
        </w:rPr>
        <w:t xml:space="preserve"> his own</w:t>
      </w:r>
      <w:r w:rsidR="006733A2" w:rsidRPr="00043B7F">
        <w:rPr>
          <w:sz w:val="20"/>
          <w:szCs w:val="20"/>
        </w:rPr>
        <w:t xml:space="preserve"> mortality.</w:t>
      </w:r>
      <w:r w:rsidR="00F45DBC" w:rsidRPr="00043B7F">
        <w:rPr>
          <w:sz w:val="20"/>
          <w:szCs w:val="20"/>
        </w:rPr>
        <w:t xml:space="preserve"> </w:t>
      </w:r>
    </w:p>
    <w:p w14:paraId="37DB328D" w14:textId="7521C33B" w:rsidR="00575C5E" w:rsidRPr="00043B7F" w:rsidRDefault="00F45DBC" w:rsidP="006517C6">
      <w:pPr>
        <w:ind w:firstLine="720"/>
        <w:rPr>
          <w:sz w:val="20"/>
          <w:szCs w:val="20"/>
        </w:rPr>
      </w:pPr>
      <w:r w:rsidRPr="00043B7F">
        <w:rPr>
          <w:sz w:val="20"/>
          <w:szCs w:val="20"/>
        </w:rPr>
        <w:t xml:space="preserve">Tucker </w:t>
      </w:r>
      <w:r w:rsidR="00C917C8" w:rsidRPr="00043B7F">
        <w:rPr>
          <w:sz w:val="20"/>
          <w:szCs w:val="20"/>
        </w:rPr>
        <w:t>suggests</w:t>
      </w:r>
      <w:r w:rsidRPr="00043B7F">
        <w:rPr>
          <w:sz w:val="20"/>
          <w:szCs w:val="20"/>
        </w:rPr>
        <w:t>,</w:t>
      </w:r>
      <w:r w:rsidR="006733A2" w:rsidRPr="00043B7F">
        <w:rPr>
          <w:sz w:val="20"/>
          <w:szCs w:val="20"/>
        </w:rPr>
        <w:t xml:space="preserve"> </w:t>
      </w:r>
      <w:r w:rsidRPr="00043B7F">
        <w:rPr>
          <w:sz w:val="20"/>
          <w:szCs w:val="20"/>
        </w:rPr>
        <w:t>‘This double anaphora, developed in a chain of brilliant visual, auditory, and kin[a]</w:t>
      </w:r>
      <w:proofErr w:type="spellStart"/>
      <w:r w:rsidRPr="00043B7F">
        <w:rPr>
          <w:sz w:val="20"/>
          <w:szCs w:val="20"/>
        </w:rPr>
        <w:t>esthetic</w:t>
      </w:r>
      <w:proofErr w:type="spellEnd"/>
      <w:r w:rsidRPr="00043B7F">
        <w:rPr>
          <w:sz w:val="20"/>
          <w:szCs w:val="20"/>
        </w:rPr>
        <w:t xml:space="preserve"> images, serves to bind the cosmic events with the progressive destruction of the human anatomy.’</w:t>
      </w:r>
      <w:r w:rsidRPr="00043B7F">
        <w:rPr>
          <w:rStyle w:val="FootnoteReference"/>
          <w:sz w:val="20"/>
          <w:szCs w:val="20"/>
        </w:rPr>
        <w:footnoteReference w:id="20"/>
      </w:r>
      <w:r w:rsidR="006517C6" w:rsidRPr="00043B7F">
        <w:rPr>
          <w:sz w:val="20"/>
          <w:szCs w:val="20"/>
        </w:rPr>
        <w:t xml:space="preserve"> </w:t>
      </w:r>
      <w:r w:rsidR="005F79AF" w:rsidRPr="00043B7F">
        <w:rPr>
          <w:sz w:val="20"/>
          <w:szCs w:val="20"/>
        </w:rPr>
        <w:t>While the manuscript delves into grave themes</w:t>
      </w:r>
      <w:r w:rsidR="00064A60" w:rsidRPr="00043B7F">
        <w:rPr>
          <w:sz w:val="20"/>
          <w:szCs w:val="20"/>
        </w:rPr>
        <w:t xml:space="preserve">, </w:t>
      </w:r>
      <w:r w:rsidR="00C917C8" w:rsidRPr="00043B7F">
        <w:rPr>
          <w:sz w:val="20"/>
          <w:szCs w:val="20"/>
        </w:rPr>
        <w:t>Donne’s u</w:t>
      </w:r>
      <w:r w:rsidR="005F79AF" w:rsidRPr="00043B7F">
        <w:rPr>
          <w:sz w:val="20"/>
          <w:szCs w:val="20"/>
        </w:rPr>
        <w:t>tilisation</w:t>
      </w:r>
      <w:r w:rsidR="00C917C8" w:rsidRPr="00043B7F">
        <w:rPr>
          <w:sz w:val="20"/>
          <w:szCs w:val="20"/>
        </w:rPr>
        <w:t xml:space="preserve"> of playful metaphors </w:t>
      </w:r>
      <w:r w:rsidR="005F79AF" w:rsidRPr="00043B7F">
        <w:rPr>
          <w:sz w:val="20"/>
          <w:szCs w:val="20"/>
        </w:rPr>
        <w:t xml:space="preserve">enlivens the </w:t>
      </w:r>
      <w:r w:rsidR="00C917C8" w:rsidRPr="00043B7F">
        <w:rPr>
          <w:sz w:val="20"/>
          <w:szCs w:val="20"/>
        </w:rPr>
        <w:t xml:space="preserve">message </w:t>
      </w:r>
      <w:r w:rsidR="005F79AF" w:rsidRPr="00043B7F">
        <w:rPr>
          <w:sz w:val="20"/>
          <w:szCs w:val="20"/>
        </w:rPr>
        <w:t>and prevents it from becoming excessively desolate</w:t>
      </w:r>
      <w:r w:rsidR="00C917C8" w:rsidRPr="00043B7F">
        <w:rPr>
          <w:sz w:val="20"/>
          <w:szCs w:val="20"/>
        </w:rPr>
        <w:t>.</w:t>
      </w:r>
      <w:r w:rsidR="00064A60" w:rsidRPr="00043B7F">
        <w:rPr>
          <w:sz w:val="20"/>
          <w:szCs w:val="20"/>
        </w:rPr>
        <w:t xml:space="preserve"> Donne states, ‘The disease hath established a kingdom, an empire in me, and will have certain arcana </w:t>
      </w:r>
      <w:proofErr w:type="spellStart"/>
      <w:r w:rsidR="00064A60" w:rsidRPr="00043B7F">
        <w:rPr>
          <w:sz w:val="20"/>
          <w:szCs w:val="20"/>
        </w:rPr>
        <w:t>imperii</w:t>
      </w:r>
      <w:proofErr w:type="spellEnd"/>
      <w:r w:rsidR="00064A60" w:rsidRPr="00043B7F">
        <w:rPr>
          <w:sz w:val="20"/>
          <w:szCs w:val="20"/>
        </w:rPr>
        <w:t xml:space="preserve">, secrets of the state, by which it will </w:t>
      </w:r>
      <w:proofErr w:type="gramStart"/>
      <w:r w:rsidR="00636F7B" w:rsidRPr="00043B7F">
        <w:rPr>
          <w:sz w:val="20"/>
          <w:szCs w:val="20"/>
        </w:rPr>
        <w:t>proceed</w:t>
      </w:r>
      <w:proofErr w:type="gramEnd"/>
      <w:r w:rsidR="00064A60" w:rsidRPr="00043B7F">
        <w:rPr>
          <w:sz w:val="20"/>
          <w:szCs w:val="20"/>
        </w:rPr>
        <w:t xml:space="preserve"> and no be bound to declare them.’</w:t>
      </w:r>
      <w:r w:rsidR="00064A60" w:rsidRPr="00043B7F">
        <w:rPr>
          <w:rStyle w:val="FootnoteReference"/>
          <w:sz w:val="20"/>
          <w:szCs w:val="20"/>
        </w:rPr>
        <w:footnoteReference w:id="21"/>
      </w:r>
      <w:r w:rsidR="00064A60" w:rsidRPr="00043B7F">
        <w:rPr>
          <w:sz w:val="20"/>
          <w:szCs w:val="20"/>
        </w:rPr>
        <w:t xml:space="preserve"> </w:t>
      </w:r>
      <w:r w:rsidR="006733A2" w:rsidRPr="00043B7F">
        <w:rPr>
          <w:sz w:val="20"/>
          <w:szCs w:val="20"/>
        </w:rPr>
        <w:t>Donne’s body is portrayed as a besieged kingdom, assaulted by a disease</w:t>
      </w:r>
      <w:r w:rsidR="007E4862" w:rsidRPr="00043B7F">
        <w:rPr>
          <w:sz w:val="20"/>
          <w:szCs w:val="20"/>
        </w:rPr>
        <w:t xml:space="preserve">. </w:t>
      </w:r>
    </w:p>
    <w:p w14:paraId="0ADA4115" w14:textId="2F29592D" w:rsidR="00575C5E" w:rsidRPr="00043B7F" w:rsidRDefault="00575C5E" w:rsidP="0065542C">
      <w:pPr>
        <w:jc w:val="center"/>
        <w:rPr>
          <w:sz w:val="20"/>
          <w:szCs w:val="20"/>
        </w:rPr>
      </w:pPr>
      <w:r w:rsidRPr="00043B7F">
        <w:rPr>
          <w:sz w:val="20"/>
          <w:szCs w:val="20"/>
        </w:rPr>
        <w:t xml:space="preserve">‘How ruinous a farm hath man taken, in taking himself! How ready is the house every day to fall down, and how is the ground overspread with weeds, all the body with diseases’ where not only turf, but every stone </w:t>
      </w:r>
      <w:proofErr w:type="gramStart"/>
      <w:r w:rsidRPr="00043B7F">
        <w:rPr>
          <w:sz w:val="20"/>
          <w:szCs w:val="20"/>
        </w:rPr>
        <w:t>bears</w:t>
      </w:r>
      <w:proofErr w:type="gramEnd"/>
      <w:r w:rsidRPr="00043B7F">
        <w:rPr>
          <w:sz w:val="20"/>
          <w:szCs w:val="20"/>
        </w:rPr>
        <w:t xml:space="preserve"> weeds.’</w:t>
      </w:r>
      <w:r w:rsidRPr="00043B7F">
        <w:rPr>
          <w:rStyle w:val="FootnoteReference"/>
          <w:sz w:val="20"/>
          <w:szCs w:val="20"/>
        </w:rPr>
        <w:footnoteReference w:id="22"/>
      </w:r>
      <w:r w:rsidR="0065542C">
        <w:rPr>
          <w:sz w:val="20"/>
          <w:szCs w:val="20"/>
        </w:rPr>
        <w:t xml:space="preserve"> </w:t>
      </w:r>
      <w:r w:rsidRPr="00043B7F">
        <w:rPr>
          <w:sz w:val="20"/>
          <w:szCs w:val="20"/>
        </w:rPr>
        <w:t>‘How dear and how often a rent doth man pay for his farm! He pays twice a day, in double meals, and how little time he hath to raise his rent! How many holidays to call him from his labour! Every day is a half holiday, half spent in sleep.’</w:t>
      </w:r>
      <w:r w:rsidRPr="00043B7F">
        <w:rPr>
          <w:rStyle w:val="FootnoteReference"/>
          <w:sz w:val="20"/>
          <w:szCs w:val="20"/>
        </w:rPr>
        <w:footnoteReference w:id="23"/>
      </w:r>
    </w:p>
    <w:p w14:paraId="59E20B40" w14:textId="571A397D" w:rsidR="00653975" w:rsidRPr="00043B7F" w:rsidRDefault="00087923" w:rsidP="0053355A">
      <w:pPr>
        <w:ind w:firstLine="720"/>
        <w:rPr>
          <w:sz w:val="20"/>
          <w:szCs w:val="20"/>
        </w:rPr>
      </w:pPr>
      <w:r w:rsidRPr="00043B7F">
        <w:rPr>
          <w:sz w:val="20"/>
          <w:szCs w:val="20"/>
        </w:rPr>
        <w:t xml:space="preserve">This gives us a </w:t>
      </w:r>
      <w:r w:rsidR="005F79AF" w:rsidRPr="00043B7F">
        <w:rPr>
          <w:sz w:val="20"/>
          <w:szCs w:val="20"/>
        </w:rPr>
        <w:t>distinct</w:t>
      </w:r>
      <w:r w:rsidRPr="00043B7F">
        <w:rPr>
          <w:sz w:val="20"/>
          <w:szCs w:val="20"/>
        </w:rPr>
        <w:t xml:space="preserve"> indication of the message Donne </w:t>
      </w:r>
      <w:r w:rsidR="005F79AF" w:rsidRPr="00043B7F">
        <w:rPr>
          <w:sz w:val="20"/>
          <w:szCs w:val="20"/>
        </w:rPr>
        <w:t>aims to communicate</w:t>
      </w:r>
      <w:r w:rsidRPr="00043B7F">
        <w:rPr>
          <w:sz w:val="20"/>
          <w:szCs w:val="20"/>
        </w:rPr>
        <w:t xml:space="preserve"> convey within the text, the body is ready to fall down every day, the </w:t>
      </w:r>
      <w:r w:rsidR="00B42D74" w:rsidRPr="00043B7F">
        <w:rPr>
          <w:sz w:val="20"/>
          <w:szCs w:val="20"/>
        </w:rPr>
        <w:t>human condition</w:t>
      </w:r>
      <w:r w:rsidRPr="00043B7F">
        <w:rPr>
          <w:sz w:val="20"/>
          <w:szCs w:val="20"/>
        </w:rPr>
        <w:t xml:space="preserve"> is a frail thing, </w:t>
      </w:r>
      <w:r w:rsidR="005F79AF" w:rsidRPr="00043B7F">
        <w:rPr>
          <w:sz w:val="20"/>
          <w:szCs w:val="20"/>
        </w:rPr>
        <w:t>as it remains vulnerable to afflictions</w:t>
      </w:r>
      <w:r w:rsidR="005F4E8F" w:rsidRPr="00043B7F">
        <w:rPr>
          <w:sz w:val="20"/>
          <w:szCs w:val="20"/>
        </w:rPr>
        <w:t xml:space="preserve"> and systematically ravaged by</w:t>
      </w:r>
      <w:r w:rsidR="005F79AF" w:rsidRPr="00043B7F">
        <w:rPr>
          <w:sz w:val="20"/>
          <w:szCs w:val="20"/>
        </w:rPr>
        <w:t xml:space="preserve"> both</w:t>
      </w:r>
      <w:r w:rsidR="005F4E8F" w:rsidRPr="00043B7F">
        <w:rPr>
          <w:sz w:val="20"/>
          <w:szCs w:val="20"/>
        </w:rPr>
        <w:t xml:space="preserve"> disease and sin</w:t>
      </w:r>
      <w:r w:rsidRPr="00043B7F">
        <w:rPr>
          <w:sz w:val="20"/>
          <w:szCs w:val="20"/>
        </w:rPr>
        <w:t>.</w:t>
      </w:r>
      <w:r w:rsidR="00B42D74" w:rsidRPr="00043B7F">
        <w:rPr>
          <w:rStyle w:val="FootnoteReference"/>
          <w:sz w:val="20"/>
          <w:szCs w:val="20"/>
        </w:rPr>
        <w:footnoteReference w:id="24"/>
      </w:r>
      <w:r w:rsidR="00445C1E" w:rsidRPr="00043B7F">
        <w:rPr>
          <w:sz w:val="20"/>
          <w:szCs w:val="20"/>
        </w:rPr>
        <w:t xml:space="preserve"> Donne suggesting misery is akin to those forms </w:t>
      </w:r>
      <w:r w:rsidR="00445C1E" w:rsidRPr="00043B7F">
        <w:rPr>
          <w:sz w:val="20"/>
          <w:szCs w:val="20"/>
        </w:rPr>
        <w:lastRenderedPageBreak/>
        <w:t>of tenure, the man never owns the field.</w:t>
      </w:r>
      <w:r w:rsidR="00445C1E" w:rsidRPr="00043B7F">
        <w:rPr>
          <w:rStyle w:val="FootnoteReference"/>
          <w:sz w:val="20"/>
          <w:szCs w:val="20"/>
        </w:rPr>
        <w:footnoteReference w:id="25"/>
      </w:r>
      <w:r w:rsidRPr="00043B7F">
        <w:rPr>
          <w:sz w:val="20"/>
          <w:szCs w:val="20"/>
        </w:rPr>
        <w:t xml:space="preserve"> </w:t>
      </w:r>
      <w:r w:rsidR="005F79AF" w:rsidRPr="00043B7F">
        <w:rPr>
          <w:sz w:val="20"/>
          <w:szCs w:val="20"/>
        </w:rPr>
        <w:t>This is a possible hint at an inherent vulnerability in the human life, and without soul to</w:t>
      </w:r>
      <w:r w:rsidR="00405374" w:rsidRPr="00043B7F">
        <w:rPr>
          <w:sz w:val="20"/>
          <w:szCs w:val="20"/>
        </w:rPr>
        <w:t xml:space="preserve"> act as a bulwark Donne tells us that</w:t>
      </w:r>
      <w:r w:rsidRPr="00043B7F">
        <w:rPr>
          <w:sz w:val="20"/>
          <w:szCs w:val="20"/>
        </w:rPr>
        <w:t xml:space="preserve"> ‘the verdure and good estate of the body is but an illusion and the goodliest man a fearful ghost.’</w:t>
      </w:r>
      <w:r w:rsidRPr="00043B7F">
        <w:rPr>
          <w:rStyle w:val="FootnoteReference"/>
          <w:sz w:val="20"/>
          <w:szCs w:val="20"/>
        </w:rPr>
        <w:footnoteReference w:id="26"/>
      </w:r>
      <w:r w:rsidR="00B72904" w:rsidRPr="00043B7F">
        <w:rPr>
          <w:sz w:val="20"/>
          <w:szCs w:val="20"/>
        </w:rPr>
        <w:t xml:space="preserve"> Mueller writes ‘in Donne’s frequent references to the sacraments as he tries to understand and apply the Word of God to the course of his illness we may observe the brilliant associa</w:t>
      </w:r>
      <w:r w:rsidR="002C762F" w:rsidRPr="00043B7F">
        <w:rPr>
          <w:sz w:val="20"/>
          <w:szCs w:val="20"/>
        </w:rPr>
        <w:t>tionism so characteristic of his mind</w:t>
      </w:r>
      <w:r w:rsidR="00C917C8" w:rsidRPr="00043B7F">
        <w:rPr>
          <w:sz w:val="20"/>
          <w:szCs w:val="20"/>
        </w:rPr>
        <w:t>,’ to which I agree.</w:t>
      </w:r>
      <w:r w:rsidR="002C762F" w:rsidRPr="00043B7F">
        <w:rPr>
          <w:rStyle w:val="FootnoteReference"/>
          <w:sz w:val="20"/>
          <w:szCs w:val="20"/>
        </w:rPr>
        <w:footnoteReference w:id="27"/>
      </w:r>
      <w:r w:rsidR="00C917C8" w:rsidRPr="00043B7F">
        <w:rPr>
          <w:sz w:val="20"/>
          <w:szCs w:val="20"/>
        </w:rPr>
        <w:t xml:space="preserve"> </w:t>
      </w:r>
      <w:r w:rsidR="00405374" w:rsidRPr="00043B7F">
        <w:rPr>
          <w:sz w:val="20"/>
          <w:szCs w:val="20"/>
        </w:rPr>
        <w:t>Donne’s</w:t>
      </w:r>
      <w:r w:rsidR="00C917C8" w:rsidRPr="00043B7F">
        <w:rPr>
          <w:sz w:val="20"/>
          <w:szCs w:val="20"/>
        </w:rPr>
        <w:t xml:space="preserve"> </w:t>
      </w:r>
      <w:r w:rsidR="00405374" w:rsidRPr="00043B7F">
        <w:rPr>
          <w:sz w:val="20"/>
          <w:szCs w:val="20"/>
        </w:rPr>
        <w:t>expression of the connection between the human anatomy</w:t>
      </w:r>
      <w:r w:rsidR="00C917C8" w:rsidRPr="00043B7F">
        <w:rPr>
          <w:sz w:val="20"/>
          <w:szCs w:val="20"/>
        </w:rPr>
        <w:t xml:space="preserve"> and the</w:t>
      </w:r>
      <w:r w:rsidR="00405374" w:rsidRPr="00043B7F">
        <w:rPr>
          <w:sz w:val="20"/>
          <w:szCs w:val="20"/>
        </w:rPr>
        <w:t xml:space="preserve"> wider world</w:t>
      </w:r>
      <w:r w:rsidR="00C917C8" w:rsidRPr="00043B7F">
        <w:rPr>
          <w:sz w:val="20"/>
          <w:szCs w:val="20"/>
        </w:rPr>
        <w:t xml:space="preserve"> that surrounds us is a delicate balance of words that </w:t>
      </w:r>
      <w:r w:rsidR="00405374" w:rsidRPr="00043B7F">
        <w:rPr>
          <w:sz w:val="20"/>
          <w:szCs w:val="20"/>
        </w:rPr>
        <w:t>he explains with skilful ease.</w:t>
      </w:r>
      <w:r w:rsidR="00E1781C" w:rsidRPr="00043B7F">
        <w:rPr>
          <w:sz w:val="20"/>
          <w:szCs w:val="20"/>
        </w:rPr>
        <w:t xml:space="preserve"> </w:t>
      </w:r>
      <w:r w:rsidR="002C762F" w:rsidRPr="00043B7F">
        <w:rPr>
          <w:sz w:val="20"/>
          <w:szCs w:val="20"/>
        </w:rPr>
        <w:t>Kuchar writes ‘Few texts exemplify the changes that early modern discourses of anatomy had on conceptions of the body more dramatically than John Donne’s Devotions Upon Emergent Occasions.’</w:t>
      </w:r>
      <w:r w:rsidR="002C762F" w:rsidRPr="00043B7F">
        <w:rPr>
          <w:rStyle w:val="FootnoteReference"/>
          <w:sz w:val="20"/>
          <w:szCs w:val="20"/>
        </w:rPr>
        <w:footnoteReference w:id="28"/>
      </w:r>
      <w:r w:rsidR="00AC74F1" w:rsidRPr="00043B7F">
        <w:rPr>
          <w:sz w:val="20"/>
          <w:szCs w:val="20"/>
        </w:rPr>
        <w:t xml:space="preserve"> </w:t>
      </w:r>
    </w:p>
    <w:p w14:paraId="235C648E" w14:textId="7FB3CF62" w:rsidR="00653975" w:rsidRPr="00043B7F" w:rsidRDefault="00653975" w:rsidP="00F91483">
      <w:pPr>
        <w:jc w:val="center"/>
        <w:rPr>
          <w:sz w:val="20"/>
          <w:szCs w:val="20"/>
        </w:rPr>
      </w:pPr>
      <w:r w:rsidRPr="00043B7F">
        <w:rPr>
          <w:sz w:val="20"/>
          <w:szCs w:val="20"/>
        </w:rPr>
        <w:t>When therefore I took this farm, undertook this body, I undertook to drain not a marsh but a moat, where there was, not water mingled to offend, but all was water</w:t>
      </w:r>
      <w:r w:rsidR="00F91483" w:rsidRPr="00043B7F">
        <w:rPr>
          <w:sz w:val="20"/>
          <w:szCs w:val="20"/>
        </w:rPr>
        <w:t>.’</w:t>
      </w:r>
      <w:r w:rsidR="00F91483" w:rsidRPr="00043B7F">
        <w:rPr>
          <w:rStyle w:val="FootnoteReference"/>
          <w:sz w:val="20"/>
          <w:szCs w:val="20"/>
        </w:rPr>
        <w:footnoteReference w:id="29"/>
      </w:r>
    </w:p>
    <w:p w14:paraId="76D4E587" w14:textId="653213BA" w:rsidR="00A91FCD" w:rsidRPr="00043B7F" w:rsidRDefault="002C1513" w:rsidP="0053355A">
      <w:pPr>
        <w:ind w:firstLine="720"/>
        <w:rPr>
          <w:sz w:val="20"/>
          <w:szCs w:val="20"/>
        </w:rPr>
      </w:pPr>
      <w:r w:rsidRPr="00043B7F">
        <w:rPr>
          <w:sz w:val="20"/>
          <w:szCs w:val="20"/>
        </w:rPr>
        <w:t>Immediately</w:t>
      </w:r>
      <w:r w:rsidR="00F91483" w:rsidRPr="00043B7F">
        <w:rPr>
          <w:sz w:val="20"/>
          <w:szCs w:val="20"/>
        </w:rPr>
        <w:t xml:space="preserve"> this quote </w:t>
      </w:r>
      <w:r w:rsidR="00405374" w:rsidRPr="00043B7F">
        <w:rPr>
          <w:sz w:val="20"/>
          <w:szCs w:val="20"/>
        </w:rPr>
        <w:t>appears</w:t>
      </w:r>
      <w:r w:rsidR="00F91483" w:rsidRPr="00043B7F">
        <w:rPr>
          <w:sz w:val="20"/>
          <w:szCs w:val="20"/>
        </w:rPr>
        <w:t xml:space="preserve"> to be referring to how he as a man has been given a field, he was expecting to find a moat of water, but a marsh is in its place. The presence of water is </w:t>
      </w:r>
      <w:r w:rsidR="00445C1E" w:rsidRPr="00043B7F">
        <w:rPr>
          <w:sz w:val="20"/>
          <w:szCs w:val="20"/>
        </w:rPr>
        <w:t>expected to make his field thrive</w:t>
      </w:r>
      <w:r w:rsidR="00F91483" w:rsidRPr="00043B7F">
        <w:rPr>
          <w:sz w:val="20"/>
          <w:szCs w:val="20"/>
        </w:rPr>
        <w:t xml:space="preserve">, </w:t>
      </w:r>
      <w:r w:rsidR="00405374" w:rsidRPr="00043B7F">
        <w:rPr>
          <w:sz w:val="20"/>
          <w:szCs w:val="20"/>
        </w:rPr>
        <w:t>though</w:t>
      </w:r>
      <w:r w:rsidR="00F91483" w:rsidRPr="00043B7F">
        <w:rPr>
          <w:sz w:val="20"/>
          <w:szCs w:val="20"/>
        </w:rPr>
        <w:t xml:space="preserve"> </w:t>
      </w:r>
      <w:r w:rsidR="00405374" w:rsidRPr="00043B7F">
        <w:rPr>
          <w:sz w:val="20"/>
          <w:szCs w:val="20"/>
        </w:rPr>
        <w:t>excess</w:t>
      </w:r>
      <w:r w:rsidR="00F91483" w:rsidRPr="00043B7F">
        <w:rPr>
          <w:sz w:val="20"/>
          <w:szCs w:val="20"/>
        </w:rPr>
        <w:t xml:space="preserve"> amount of water seems to be </w:t>
      </w:r>
      <w:r w:rsidR="00405374" w:rsidRPr="00043B7F">
        <w:rPr>
          <w:sz w:val="20"/>
          <w:szCs w:val="20"/>
        </w:rPr>
        <w:t>disrupting</w:t>
      </w:r>
      <w:r w:rsidR="00F91483" w:rsidRPr="00043B7F">
        <w:rPr>
          <w:sz w:val="20"/>
          <w:szCs w:val="20"/>
        </w:rPr>
        <w:t xml:space="preserve"> his </w:t>
      </w:r>
      <w:r w:rsidR="00405374" w:rsidRPr="00043B7F">
        <w:rPr>
          <w:sz w:val="20"/>
          <w:szCs w:val="20"/>
        </w:rPr>
        <w:t>stability</w:t>
      </w:r>
      <w:r w:rsidR="00F91483" w:rsidRPr="00043B7F">
        <w:rPr>
          <w:sz w:val="20"/>
          <w:szCs w:val="20"/>
        </w:rPr>
        <w:t xml:space="preserve">. It </w:t>
      </w:r>
      <w:r w:rsidR="00AC74F1" w:rsidRPr="00043B7F">
        <w:rPr>
          <w:sz w:val="20"/>
          <w:szCs w:val="20"/>
        </w:rPr>
        <w:t>could be speculated that this might</w:t>
      </w:r>
      <w:r w:rsidR="00F91483" w:rsidRPr="00043B7F">
        <w:rPr>
          <w:sz w:val="20"/>
          <w:szCs w:val="20"/>
        </w:rPr>
        <w:t xml:space="preserve"> be a direct reference to the water humour</w:t>
      </w:r>
      <w:r w:rsidR="00405374" w:rsidRPr="00043B7F">
        <w:rPr>
          <w:sz w:val="20"/>
          <w:szCs w:val="20"/>
        </w:rPr>
        <w:t xml:space="preserve"> and Donne’s way of interpreting it</w:t>
      </w:r>
      <w:r w:rsidR="00F91483" w:rsidRPr="00043B7F">
        <w:rPr>
          <w:sz w:val="20"/>
          <w:szCs w:val="20"/>
        </w:rPr>
        <w:t>,</w:t>
      </w:r>
      <w:r w:rsidR="00AC74F1" w:rsidRPr="00043B7F">
        <w:rPr>
          <w:sz w:val="20"/>
          <w:szCs w:val="20"/>
        </w:rPr>
        <w:t xml:space="preserve"> as the concept of humours was not foreign to Donne,</w:t>
      </w:r>
      <w:r w:rsidR="00AC74F1" w:rsidRPr="00043B7F">
        <w:rPr>
          <w:rStyle w:val="FootnoteReference"/>
          <w:sz w:val="20"/>
          <w:szCs w:val="20"/>
        </w:rPr>
        <w:footnoteReference w:id="30"/>
      </w:r>
      <w:r w:rsidR="00F91483" w:rsidRPr="00043B7F">
        <w:rPr>
          <w:sz w:val="20"/>
          <w:szCs w:val="20"/>
        </w:rPr>
        <w:t xml:space="preserve"> </w:t>
      </w:r>
      <w:r w:rsidR="006517C6" w:rsidRPr="00043B7F">
        <w:rPr>
          <w:sz w:val="20"/>
          <w:szCs w:val="20"/>
        </w:rPr>
        <w:t>although</w:t>
      </w:r>
      <w:r w:rsidR="00F91483" w:rsidRPr="00043B7F">
        <w:rPr>
          <w:sz w:val="20"/>
          <w:szCs w:val="20"/>
        </w:rPr>
        <w:t xml:space="preserve"> the metaphor would stand without the concept</w:t>
      </w:r>
      <w:r w:rsidR="007A6092" w:rsidRPr="00043B7F">
        <w:rPr>
          <w:sz w:val="20"/>
          <w:szCs w:val="20"/>
        </w:rPr>
        <w:t xml:space="preserve">. Donne had a mix of views in this matter, he believed in both the </w:t>
      </w:r>
      <w:r w:rsidR="00C571E3" w:rsidRPr="00043B7F">
        <w:rPr>
          <w:sz w:val="20"/>
          <w:szCs w:val="20"/>
        </w:rPr>
        <w:t>humoral</w:t>
      </w:r>
      <w:r w:rsidR="007A6092" w:rsidRPr="00043B7F">
        <w:rPr>
          <w:sz w:val="20"/>
          <w:szCs w:val="20"/>
        </w:rPr>
        <w:t xml:space="preserve"> body and the atomic</w:t>
      </w:r>
      <w:r w:rsidR="00C571E3" w:rsidRPr="00043B7F">
        <w:rPr>
          <w:sz w:val="20"/>
          <w:szCs w:val="20"/>
        </w:rPr>
        <w:t>. T</w:t>
      </w:r>
      <w:r w:rsidR="007A6092" w:rsidRPr="00043B7F">
        <w:rPr>
          <w:sz w:val="20"/>
          <w:szCs w:val="20"/>
        </w:rPr>
        <w:t xml:space="preserve">his concept </w:t>
      </w:r>
      <w:r w:rsidR="00C571E3" w:rsidRPr="00043B7F">
        <w:rPr>
          <w:sz w:val="20"/>
          <w:szCs w:val="20"/>
        </w:rPr>
        <w:t>may</w:t>
      </w:r>
      <w:r w:rsidR="007A6092" w:rsidRPr="00043B7F">
        <w:rPr>
          <w:sz w:val="20"/>
          <w:szCs w:val="20"/>
        </w:rPr>
        <w:t xml:space="preserve"> have </w:t>
      </w:r>
      <w:r w:rsidR="006517C6" w:rsidRPr="00043B7F">
        <w:rPr>
          <w:sz w:val="20"/>
          <w:szCs w:val="20"/>
        </w:rPr>
        <w:t>agreed</w:t>
      </w:r>
      <w:r w:rsidR="007A6092" w:rsidRPr="00043B7F">
        <w:rPr>
          <w:sz w:val="20"/>
          <w:szCs w:val="20"/>
        </w:rPr>
        <w:t xml:space="preserve"> with his statement</w:t>
      </w:r>
      <w:r w:rsidR="00F91483" w:rsidRPr="00043B7F">
        <w:rPr>
          <w:sz w:val="20"/>
          <w:szCs w:val="20"/>
        </w:rPr>
        <w:t>.</w:t>
      </w:r>
      <w:r w:rsidR="00F91483" w:rsidRPr="00043B7F">
        <w:rPr>
          <w:rStyle w:val="FootnoteReference"/>
          <w:sz w:val="20"/>
          <w:szCs w:val="20"/>
        </w:rPr>
        <w:footnoteReference w:id="31"/>
      </w:r>
    </w:p>
    <w:p w14:paraId="2D6BB3D3" w14:textId="04089078" w:rsidR="00A91FCD" w:rsidRPr="00043B7F" w:rsidRDefault="00C571E3" w:rsidP="00AC74F1">
      <w:pPr>
        <w:jc w:val="center"/>
        <w:rPr>
          <w:sz w:val="20"/>
          <w:szCs w:val="20"/>
        </w:rPr>
      </w:pPr>
      <w:r w:rsidRPr="00043B7F">
        <w:rPr>
          <w:sz w:val="20"/>
          <w:szCs w:val="20"/>
        </w:rPr>
        <w:t>‘</w:t>
      </w:r>
      <w:r w:rsidR="00A91FCD" w:rsidRPr="00043B7F">
        <w:rPr>
          <w:sz w:val="20"/>
          <w:szCs w:val="20"/>
        </w:rPr>
        <w:t>If all the veins in our bodies were extended to rivers, and the sinews to veins of mines, and all the muscles that lie upon one another, to hills, and all the bones to quarries of stones, and all the other pieces to the proportion of those which correspond to them in the world, the air would be too little for this orb of man to move in, the firmament would be but enough for this star.’</w:t>
      </w:r>
      <w:r w:rsidR="00A91FCD" w:rsidRPr="00043B7F">
        <w:rPr>
          <w:rStyle w:val="FootnoteReference"/>
          <w:sz w:val="20"/>
          <w:szCs w:val="20"/>
        </w:rPr>
        <w:footnoteReference w:id="32"/>
      </w:r>
    </w:p>
    <w:p w14:paraId="78F08031" w14:textId="23B37F12" w:rsidR="002C1513" w:rsidRPr="00043B7F" w:rsidRDefault="009E0DBC" w:rsidP="0053355A">
      <w:pPr>
        <w:ind w:firstLine="720"/>
        <w:rPr>
          <w:sz w:val="20"/>
          <w:szCs w:val="20"/>
        </w:rPr>
      </w:pPr>
      <w:r w:rsidRPr="00043B7F">
        <w:rPr>
          <w:sz w:val="20"/>
          <w:szCs w:val="20"/>
        </w:rPr>
        <w:t>In this quote</w:t>
      </w:r>
      <w:r w:rsidR="006517C6" w:rsidRPr="00043B7F">
        <w:rPr>
          <w:sz w:val="20"/>
          <w:szCs w:val="20"/>
        </w:rPr>
        <w:t>,</w:t>
      </w:r>
      <w:r w:rsidRPr="00043B7F">
        <w:rPr>
          <w:sz w:val="20"/>
          <w:szCs w:val="20"/>
        </w:rPr>
        <w:t xml:space="preserve"> </w:t>
      </w:r>
      <w:r w:rsidR="00A91FCD" w:rsidRPr="00043B7F">
        <w:rPr>
          <w:sz w:val="20"/>
          <w:szCs w:val="20"/>
        </w:rPr>
        <w:t>Donne</w:t>
      </w:r>
      <w:r w:rsidRPr="00043B7F">
        <w:rPr>
          <w:sz w:val="20"/>
          <w:szCs w:val="20"/>
        </w:rPr>
        <w:t xml:space="preserve"> </w:t>
      </w:r>
      <w:r w:rsidR="006517C6" w:rsidRPr="00043B7F">
        <w:rPr>
          <w:sz w:val="20"/>
          <w:szCs w:val="20"/>
        </w:rPr>
        <w:t xml:space="preserve">asserts </w:t>
      </w:r>
      <w:r w:rsidR="00A91FCD" w:rsidRPr="00043B7F">
        <w:rPr>
          <w:sz w:val="20"/>
          <w:szCs w:val="20"/>
        </w:rPr>
        <w:t>that</w:t>
      </w:r>
      <w:r w:rsidR="006517C6" w:rsidRPr="00043B7F">
        <w:rPr>
          <w:sz w:val="20"/>
          <w:szCs w:val="20"/>
        </w:rPr>
        <w:t xml:space="preserve"> the human soul, likened to a star, is too vast to be contained within the space of the physical body unless there exists another realm of existence, namely heaven</w:t>
      </w:r>
      <w:r w:rsidR="00A91FCD" w:rsidRPr="00043B7F">
        <w:rPr>
          <w:sz w:val="20"/>
          <w:szCs w:val="20"/>
        </w:rPr>
        <w:t>.</w:t>
      </w:r>
      <w:r w:rsidR="00B42D74" w:rsidRPr="00043B7F">
        <w:rPr>
          <w:sz w:val="20"/>
          <w:szCs w:val="20"/>
        </w:rPr>
        <w:t xml:space="preserve"> This is where Donne shines in his metaphors, he is likening the concept of anatomy of the body, with the realms of</w:t>
      </w:r>
      <w:r w:rsidRPr="00043B7F">
        <w:rPr>
          <w:sz w:val="20"/>
          <w:szCs w:val="20"/>
        </w:rPr>
        <w:t xml:space="preserve"> nature and</w:t>
      </w:r>
      <w:r w:rsidR="00B42D74" w:rsidRPr="00043B7F">
        <w:rPr>
          <w:sz w:val="20"/>
          <w:szCs w:val="20"/>
        </w:rPr>
        <w:t xml:space="preserve"> theology itself</w:t>
      </w:r>
      <w:r w:rsidRPr="00043B7F">
        <w:rPr>
          <w:sz w:val="20"/>
          <w:szCs w:val="20"/>
        </w:rPr>
        <w:t>,</w:t>
      </w:r>
      <w:r w:rsidR="00B42D74" w:rsidRPr="00043B7F">
        <w:rPr>
          <w:sz w:val="20"/>
          <w:szCs w:val="20"/>
        </w:rPr>
        <w:t xml:space="preserve"> and it is a striking concept. </w:t>
      </w:r>
      <w:r w:rsidR="002C762F" w:rsidRPr="00043B7F">
        <w:rPr>
          <w:sz w:val="20"/>
          <w:szCs w:val="20"/>
        </w:rPr>
        <w:t>Kuchar writes, ‘Once the discrete object of empirical analysis, rather than the fleshy cabinet of the soul… the body is God’s “book”’</w:t>
      </w:r>
      <w:r w:rsidR="002C762F" w:rsidRPr="00043B7F">
        <w:rPr>
          <w:rStyle w:val="FootnoteReference"/>
          <w:sz w:val="20"/>
          <w:szCs w:val="20"/>
        </w:rPr>
        <w:footnoteReference w:id="33"/>
      </w:r>
      <w:r w:rsidRPr="00043B7F">
        <w:rPr>
          <w:sz w:val="20"/>
          <w:szCs w:val="20"/>
        </w:rPr>
        <w:t xml:space="preserve"> Donne through his metaphors the parallels between physical and spiritual disease.</w:t>
      </w:r>
      <w:r w:rsidRPr="00043B7F">
        <w:rPr>
          <w:rStyle w:val="FootnoteReference"/>
          <w:sz w:val="20"/>
          <w:szCs w:val="20"/>
        </w:rPr>
        <w:footnoteReference w:id="34"/>
      </w:r>
      <w:r w:rsidRPr="00043B7F">
        <w:rPr>
          <w:sz w:val="20"/>
          <w:szCs w:val="20"/>
        </w:rPr>
        <w:t xml:space="preserve"> </w:t>
      </w:r>
      <w:r w:rsidR="006517C6" w:rsidRPr="00043B7F">
        <w:rPr>
          <w:sz w:val="20"/>
          <w:szCs w:val="20"/>
        </w:rPr>
        <w:t>In his work ‘Devotions’, Donne implies that the practice of medicine holds inherent sanctity, Kuch</w:t>
      </w:r>
      <w:r w:rsidR="00043B7F">
        <w:rPr>
          <w:sz w:val="20"/>
          <w:szCs w:val="20"/>
        </w:rPr>
        <w:t>a</w:t>
      </w:r>
      <w:r w:rsidR="006517C6" w:rsidRPr="00043B7F">
        <w:rPr>
          <w:sz w:val="20"/>
          <w:szCs w:val="20"/>
        </w:rPr>
        <w:t xml:space="preserve">r writes that ‘Diagnosing the failure of </w:t>
      </w:r>
      <w:r w:rsidR="006517C6" w:rsidRPr="00043B7F">
        <w:rPr>
          <w:rStyle w:val="highlight"/>
          <w:sz w:val="20"/>
          <w:szCs w:val="20"/>
        </w:rPr>
        <w:t>anatomy</w:t>
      </w:r>
      <w:r w:rsidR="006517C6" w:rsidRPr="00043B7F">
        <w:rPr>
          <w:sz w:val="20"/>
          <w:szCs w:val="20"/>
        </w:rPr>
        <w:t xml:space="preserve"> and the medical arts to address the most fundamental spiritual needs of the patient,’ was necessary.</w:t>
      </w:r>
      <w:r w:rsidR="006517C6" w:rsidRPr="00043B7F">
        <w:rPr>
          <w:rStyle w:val="FootnoteReference"/>
          <w:sz w:val="20"/>
          <w:szCs w:val="20"/>
        </w:rPr>
        <w:footnoteReference w:id="35"/>
      </w:r>
      <w:r w:rsidR="006517C6" w:rsidRPr="00043B7F">
        <w:rPr>
          <w:sz w:val="20"/>
          <w:szCs w:val="20"/>
        </w:rPr>
        <w:t xml:space="preserve"> </w:t>
      </w:r>
      <w:r w:rsidRPr="00043B7F">
        <w:rPr>
          <w:sz w:val="20"/>
          <w:szCs w:val="20"/>
        </w:rPr>
        <w:t xml:space="preserve">As Donne suffers from two diseases, two </w:t>
      </w:r>
      <w:r w:rsidR="00A30C86" w:rsidRPr="00043B7F">
        <w:rPr>
          <w:sz w:val="20"/>
          <w:szCs w:val="20"/>
        </w:rPr>
        <w:t>physicians</w:t>
      </w:r>
      <w:r w:rsidRPr="00043B7F">
        <w:rPr>
          <w:sz w:val="20"/>
          <w:szCs w:val="20"/>
        </w:rPr>
        <w:t xml:space="preserve"> are needed, bodily and spiritual.</w:t>
      </w:r>
      <w:r w:rsidRPr="00043B7F">
        <w:rPr>
          <w:rStyle w:val="FootnoteReference"/>
          <w:sz w:val="20"/>
          <w:szCs w:val="20"/>
        </w:rPr>
        <w:footnoteReference w:id="36"/>
      </w:r>
      <w:r w:rsidRPr="00043B7F">
        <w:rPr>
          <w:sz w:val="20"/>
          <w:szCs w:val="20"/>
        </w:rPr>
        <w:t xml:space="preserve"> Donne identifies Christ as the spiritual physician in the devotions.</w:t>
      </w:r>
      <w:r w:rsidRPr="00043B7F">
        <w:rPr>
          <w:rStyle w:val="FootnoteReference"/>
          <w:sz w:val="20"/>
          <w:szCs w:val="20"/>
        </w:rPr>
        <w:footnoteReference w:id="37"/>
      </w:r>
      <w:r w:rsidR="00B82079" w:rsidRPr="00043B7F">
        <w:rPr>
          <w:sz w:val="20"/>
          <w:szCs w:val="20"/>
        </w:rPr>
        <w:t xml:space="preserve"> Goldberg suggests that Donn’s belief is the ‘patient acceptance of illness, with the recognition of God’s guiding hand, assures the sick man that he has found the road to salvation’.</w:t>
      </w:r>
      <w:r w:rsidR="00B82079" w:rsidRPr="00043B7F">
        <w:rPr>
          <w:rStyle w:val="FootnoteReference"/>
          <w:sz w:val="20"/>
          <w:szCs w:val="20"/>
        </w:rPr>
        <w:footnoteReference w:id="38"/>
      </w:r>
    </w:p>
    <w:p w14:paraId="19F9C2F1" w14:textId="1161D761" w:rsidR="00E1781C" w:rsidRPr="00043B7F" w:rsidRDefault="00E1781C" w:rsidP="006B7554">
      <w:pPr>
        <w:ind w:firstLine="720"/>
        <w:rPr>
          <w:sz w:val="20"/>
          <w:szCs w:val="20"/>
        </w:rPr>
      </w:pPr>
      <w:r w:rsidRPr="00043B7F">
        <w:rPr>
          <w:sz w:val="20"/>
          <w:szCs w:val="20"/>
        </w:rPr>
        <w:t>Donne’s ‘Devotions</w:t>
      </w:r>
      <w:r w:rsidR="006517C6" w:rsidRPr="00043B7F">
        <w:rPr>
          <w:sz w:val="20"/>
          <w:szCs w:val="20"/>
        </w:rPr>
        <w:t xml:space="preserve">’ provides a </w:t>
      </w:r>
      <w:r w:rsidR="00A30C86" w:rsidRPr="00043B7F">
        <w:rPr>
          <w:sz w:val="20"/>
          <w:szCs w:val="20"/>
        </w:rPr>
        <w:t>distinct</w:t>
      </w:r>
      <w:r w:rsidR="006517C6" w:rsidRPr="00043B7F">
        <w:rPr>
          <w:sz w:val="20"/>
          <w:szCs w:val="20"/>
        </w:rPr>
        <w:t xml:space="preserve"> perspective on the religious experiences of a notable figure as he approaches his (near) deathbed</w:t>
      </w:r>
      <w:r w:rsidRPr="00043B7F">
        <w:rPr>
          <w:sz w:val="20"/>
          <w:szCs w:val="20"/>
        </w:rPr>
        <w:t xml:space="preserve">. Kuchar </w:t>
      </w:r>
      <w:r w:rsidR="006517C6" w:rsidRPr="00043B7F">
        <w:rPr>
          <w:sz w:val="20"/>
          <w:szCs w:val="20"/>
        </w:rPr>
        <w:t>argues that</w:t>
      </w:r>
      <w:r w:rsidR="002C1513" w:rsidRPr="00043B7F">
        <w:rPr>
          <w:sz w:val="20"/>
          <w:szCs w:val="20"/>
        </w:rPr>
        <w:t xml:space="preserve"> </w:t>
      </w:r>
      <w:r w:rsidR="00B82079" w:rsidRPr="00043B7F">
        <w:rPr>
          <w:sz w:val="20"/>
          <w:szCs w:val="20"/>
        </w:rPr>
        <w:t>Donne</w:t>
      </w:r>
      <w:r w:rsidR="006517C6" w:rsidRPr="00043B7F">
        <w:rPr>
          <w:sz w:val="20"/>
          <w:szCs w:val="20"/>
        </w:rPr>
        <w:t>’s exploration in ‘Devotions’ reflects a Neoplatonic perspective, with an addition of the concept of sacred anatomy, and I agree with this interpretation.</w:t>
      </w:r>
      <w:r w:rsidR="00B82079" w:rsidRPr="00043B7F">
        <w:rPr>
          <w:rStyle w:val="FootnoteReference"/>
          <w:sz w:val="20"/>
          <w:szCs w:val="20"/>
        </w:rPr>
        <w:footnoteReference w:id="39"/>
      </w:r>
      <w:r w:rsidR="00B82079" w:rsidRPr="00043B7F">
        <w:rPr>
          <w:sz w:val="20"/>
          <w:szCs w:val="20"/>
        </w:rPr>
        <w:t xml:space="preserve"> </w:t>
      </w:r>
      <w:r w:rsidR="006517C6" w:rsidRPr="00043B7F">
        <w:rPr>
          <w:sz w:val="20"/>
          <w:szCs w:val="20"/>
        </w:rPr>
        <w:t xml:space="preserve">Despite his physical frailty, Donne maintains the belief that his spirit will ascend to heaven </w:t>
      </w:r>
      <w:r w:rsidR="006517C6" w:rsidRPr="00043B7F">
        <w:rPr>
          <w:sz w:val="20"/>
          <w:szCs w:val="20"/>
        </w:rPr>
        <w:lastRenderedPageBreak/>
        <w:t xml:space="preserve">after his death. </w:t>
      </w:r>
      <w:r w:rsidR="006B7554" w:rsidRPr="00043B7F">
        <w:rPr>
          <w:sz w:val="20"/>
          <w:szCs w:val="20"/>
        </w:rPr>
        <w:t>However,</w:t>
      </w:r>
      <w:r w:rsidR="006517C6" w:rsidRPr="00043B7F">
        <w:rPr>
          <w:sz w:val="20"/>
          <w:szCs w:val="20"/>
        </w:rPr>
        <w:t xml:space="preserve"> there is a sense of uncertainty in Donne’s </w:t>
      </w:r>
      <w:r w:rsidRPr="00043B7F">
        <w:rPr>
          <w:sz w:val="20"/>
          <w:szCs w:val="20"/>
        </w:rPr>
        <w:t>‘Devotions’</w:t>
      </w:r>
      <w:r w:rsidR="006517C6" w:rsidRPr="00043B7F">
        <w:rPr>
          <w:sz w:val="20"/>
          <w:szCs w:val="20"/>
        </w:rPr>
        <w:t xml:space="preserve"> towards the end, which coincides with an increase in morbid theme, his own redemption seems uncertain to him as the sins he has accrued are vast</w:t>
      </w:r>
      <w:r w:rsidR="002C1513" w:rsidRPr="00043B7F">
        <w:rPr>
          <w:sz w:val="20"/>
          <w:szCs w:val="20"/>
        </w:rPr>
        <w:t>.</w:t>
      </w:r>
      <w:r w:rsidR="00BC02CF">
        <w:rPr>
          <w:sz w:val="20"/>
          <w:szCs w:val="20"/>
        </w:rPr>
        <w:t xml:space="preserve"> But after a crescendo of debilitation and delirious visions</w:t>
      </w:r>
      <w:r w:rsidR="005A166C">
        <w:rPr>
          <w:sz w:val="20"/>
          <w:szCs w:val="20"/>
        </w:rPr>
        <w:t>,</w:t>
      </w:r>
      <w:r w:rsidR="00BC02CF">
        <w:rPr>
          <w:sz w:val="20"/>
          <w:szCs w:val="20"/>
        </w:rPr>
        <w:t xml:space="preserve"> the last five devotions</w:t>
      </w:r>
      <w:r w:rsidR="005A166C">
        <w:rPr>
          <w:sz w:val="20"/>
          <w:szCs w:val="20"/>
        </w:rPr>
        <w:t xml:space="preserve"> we are made aware that</w:t>
      </w:r>
      <w:r w:rsidR="00BC02CF">
        <w:rPr>
          <w:sz w:val="20"/>
          <w:szCs w:val="20"/>
        </w:rPr>
        <w:t xml:space="preserve"> he is purged of his sickness</w:t>
      </w:r>
      <w:r w:rsidR="005A166C">
        <w:rPr>
          <w:sz w:val="20"/>
          <w:szCs w:val="20"/>
        </w:rPr>
        <w:t>, Frost remarks ‘it’s hero recovers his life and his health.’</w:t>
      </w:r>
      <w:r w:rsidR="005A166C">
        <w:rPr>
          <w:rStyle w:val="FootnoteReference"/>
          <w:sz w:val="20"/>
          <w:szCs w:val="20"/>
        </w:rPr>
        <w:footnoteReference w:id="40"/>
      </w:r>
      <w:r w:rsidR="002C1513" w:rsidRPr="00043B7F">
        <w:rPr>
          <w:sz w:val="20"/>
          <w:szCs w:val="20"/>
        </w:rPr>
        <w:t xml:space="preserve"> The anatomy of man is something that at its base level is holy,</w:t>
      </w:r>
      <w:r w:rsidR="006B7554" w:rsidRPr="00043B7F">
        <w:rPr>
          <w:sz w:val="20"/>
          <w:szCs w:val="20"/>
        </w:rPr>
        <w:t xml:space="preserve"> Donne’s sins flowing through his own anatomy</w:t>
      </w:r>
      <w:r w:rsidR="002C1513" w:rsidRPr="00043B7F">
        <w:rPr>
          <w:sz w:val="20"/>
          <w:szCs w:val="20"/>
        </w:rPr>
        <w:t xml:space="preserve"> may be in direct contest to the intention of God.</w:t>
      </w:r>
      <w:r w:rsidR="00BC02CF">
        <w:rPr>
          <w:rStyle w:val="FootnoteReference"/>
          <w:sz w:val="20"/>
          <w:szCs w:val="20"/>
        </w:rPr>
        <w:footnoteReference w:id="41"/>
      </w:r>
      <w:r w:rsidR="002C1513" w:rsidRPr="00043B7F">
        <w:rPr>
          <w:sz w:val="20"/>
          <w:szCs w:val="20"/>
        </w:rPr>
        <w:t xml:space="preserve"> We find though</w:t>
      </w:r>
      <w:r w:rsidR="006B7554" w:rsidRPr="00043B7F">
        <w:rPr>
          <w:sz w:val="20"/>
          <w:szCs w:val="20"/>
        </w:rPr>
        <w:t>, through</w:t>
      </w:r>
      <w:r w:rsidR="002C1513" w:rsidRPr="00043B7F">
        <w:rPr>
          <w:sz w:val="20"/>
          <w:szCs w:val="20"/>
        </w:rPr>
        <w:t xml:space="preserve"> disease</w:t>
      </w:r>
      <w:r w:rsidR="00885DCB" w:rsidRPr="00043B7F">
        <w:rPr>
          <w:sz w:val="20"/>
          <w:szCs w:val="20"/>
        </w:rPr>
        <w:t xml:space="preserve"> and as Donne suggests, but not </w:t>
      </w:r>
      <w:r w:rsidRPr="00043B7F">
        <w:rPr>
          <w:sz w:val="20"/>
          <w:szCs w:val="20"/>
        </w:rPr>
        <w:t>explicitly</w:t>
      </w:r>
      <w:r w:rsidR="00885DCB" w:rsidRPr="00043B7F">
        <w:rPr>
          <w:sz w:val="20"/>
          <w:szCs w:val="20"/>
        </w:rPr>
        <w:t xml:space="preserve"> states</w:t>
      </w:r>
      <w:r w:rsidR="001B12B9" w:rsidRPr="00043B7F">
        <w:rPr>
          <w:sz w:val="20"/>
          <w:szCs w:val="20"/>
        </w:rPr>
        <w:t xml:space="preserve"> it</w:t>
      </w:r>
      <w:r w:rsidR="002C1513" w:rsidRPr="00043B7F">
        <w:rPr>
          <w:sz w:val="20"/>
          <w:szCs w:val="20"/>
        </w:rPr>
        <w:t xml:space="preserve"> is just </w:t>
      </w:r>
      <w:r w:rsidR="00A30C86" w:rsidRPr="00043B7F">
        <w:rPr>
          <w:sz w:val="20"/>
          <w:szCs w:val="20"/>
        </w:rPr>
        <w:t>G</w:t>
      </w:r>
      <w:r w:rsidR="002C1513" w:rsidRPr="00043B7F">
        <w:rPr>
          <w:sz w:val="20"/>
          <w:szCs w:val="20"/>
        </w:rPr>
        <w:t>ods punishment for being sinful</w:t>
      </w:r>
      <w:r w:rsidR="00F90CAA" w:rsidRPr="00043B7F">
        <w:rPr>
          <w:sz w:val="20"/>
          <w:szCs w:val="20"/>
        </w:rPr>
        <w:t>.</w:t>
      </w:r>
      <w:r w:rsidR="00F90CAA" w:rsidRPr="00043B7F">
        <w:rPr>
          <w:rStyle w:val="FootnoteReference"/>
          <w:sz w:val="20"/>
          <w:szCs w:val="20"/>
        </w:rPr>
        <w:footnoteReference w:id="42"/>
      </w:r>
      <w:r w:rsidR="002C1513" w:rsidRPr="00043B7F">
        <w:rPr>
          <w:sz w:val="20"/>
          <w:szCs w:val="20"/>
        </w:rPr>
        <w:t xml:space="preserve"> </w:t>
      </w:r>
      <w:r w:rsidR="00445C1E" w:rsidRPr="00043B7F">
        <w:rPr>
          <w:sz w:val="20"/>
          <w:szCs w:val="20"/>
        </w:rPr>
        <w:t>Donne</w:t>
      </w:r>
      <w:r w:rsidRPr="00043B7F">
        <w:rPr>
          <w:sz w:val="20"/>
          <w:szCs w:val="20"/>
        </w:rPr>
        <w:t>’s ideology</w:t>
      </w:r>
      <w:r w:rsidR="00445C1E" w:rsidRPr="00043B7F">
        <w:rPr>
          <w:sz w:val="20"/>
          <w:szCs w:val="20"/>
        </w:rPr>
        <w:t xml:space="preserve"> does not move in terms of a misery which is universal and inevitable,</w:t>
      </w:r>
      <w:r w:rsidR="00445C1E" w:rsidRPr="00043B7F">
        <w:rPr>
          <w:rStyle w:val="FootnoteReference"/>
          <w:sz w:val="20"/>
          <w:szCs w:val="20"/>
        </w:rPr>
        <w:footnoteReference w:id="43"/>
      </w:r>
      <w:r w:rsidR="00445C1E" w:rsidRPr="00043B7F">
        <w:rPr>
          <w:sz w:val="20"/>
          <w:szCs w:val="20"/>
        </w:rPr>
        <w:t xml:space="preserve"> </w:t>
      </w:r>
      <w:r w:rsidRPr="00043B7F">
        <w:rPr>
          <w:sz w:val="20"/>
          <w:szCs w:val="20"/>
        </w:rPr>
        <w:t>and</w:t>
      </w:r>
      <w:r w:rsidR="00B32E15" w:rsidRPr="00043B7F">
        <w:rPr>
          <w:sz w:val="20"/>
          <w:szCs w:val="20"/>
        </w:rPr>
        <w:t xml:space="preserve"> Horn suggests that he may have thought the soul dissolves with the body</w:t>
      </w:r>
      <w:r w:rsidRPr="00043B7F">
        <w:rPr>
          <w:sz w:val="20"/>
          <w:szCs w:val="20"/>
        </w:rPr>
        <w:t xml:space="preserve"> itself</w:t>
      </w:r>
      <w:r w:rsidR="006B7554" w:rsidRPr="00043B7F">
        <w:rPr>
          <w:sz w:val="20"/>
          <w:szCs w:val="20"/>
        </w:rPr>
        <w:t>, bringing with it an extra plane of uncertainty that seeps through Donne’s ‘Devotions’</w:t>
      </w:r>
      <w:r w:rsidR="00B32E15" w:rsidRPr="00043B7F">
        <w:rPr>
          <w:sz w:val="20"/>
          <w:szCs w:val="20"/>
        </w:rPr>
        <w:t>.</w:t>
      </w:r>
      <w:r w:rsidR="00B32E15" w:rsidRPr="00043B7F">
        <w:rPr>
          <w:rStyle w:val="FootnoteReference"/>
          <w:sz w:val="20"/>
          <w:szCs w:val="20"/>
        </w:rPr>
        <w:footnoteReference w:id="44"/>
      </w:r>
      <w:r w:rsidR="00B32E15" w:rsidRPr="00043B7F">
        <w:rPr>
          <w:sz w:val="20"/>
          <w:szCs w:val="20"/>
        </w:rPr>
        <w:t xml:space="preserve"> </w:t>
      </w:r>
    </w:p>
    <w:p w14:paraId="4E50B5C3" w14:textId="4F3CAFBD" w:rsidR="002C1513" w:rsidRPr="00043B7F" w:rsidRDefault="002C1513" w:rsidP="00A30C86">
      <w:pPr>
        <w:ind w:firstLine="720"/>
        <w:rPr>
          <w:rFonts w:cstheme="minorHAnsi"/>
          <w:color w:val="373A3C"/>
          <w:sz w:val="20"/>
          <w:szCs w:val="20"/>
        </w:rPr>
      </w:pPr>
      <w:r w:rsidRPr="00043B7F">
        <w:rPr>
          <w:sz w:val="20"/>
          <w:szCs w:val="20"/>
        </w:rPr>
        <w:t xml:space="preserve">In conclusion, Donne’s writings can </w:t>
      </w:r>
      <w:r w:rsidR="00E1781C" w:rsidRPr="00043B7F">
        <w:rPr>
          <w:sz w:val="20"/>
          <w:szCs w:val="20"/>
        </w:rPr>
        <w:t xml:space="preserve">be </w:t>
      </w:r>
      <w:r w:rsidRPr="00043B7F">
        <w:rPr>
          <w:sz w:val="20"/>
          <w:szCs w:val="20"/>
        </w:rPr>
        <w:t>see</w:t>
      </w:r>
      <w:r w:rsidR="00E1781C" w:rsidRPr="00043B7F">
        <w:rPr>
          <w:sz w:val="20"/>
          <w:szCs w:val="20"/>
        </w:rPr>
        <w:t>n</w:t>
      </w:r>
      <w:r w:rsidRPr="00043B7F">
        <w:rPr>
          <w:sz w:val="20"/>
          <w:szCs w:val="20"/>
        </w:rPr>
        <w:t xml:space="preserve"> extravagant</w:t>
      </w:r>
      <w:r w:rsidR="00E1781C" w:rsidRPr="00043B7F">
        <w:rPr>
          <w:sz w:val="20"/>
          <w:szCs w:val="20"/>
        </w:rPr>
        <w:t>,</w:t>
      </w:r>
      <w:r w:rsidRPr="00043B7F">
        <w:rPr>
          <w:sz w:val="20"/>
          <w:szCs w:val="20"/>
        </w:rPr>
        <w:t xml:space="preserve"> metaphorical</w:t>
      </w:r>
      <w:r w:rsidR="006B7554" w:rsidRPr="00043B7F">
        <w:rPr>
          <w:sz w:val="20"/>
          <w:szCs w:val="20"/>
        </w:rPr>
        <w:t>,</w:t>
      </w:r>
      <w:r w:rsidR="00E1781C" w:rsidRPr="00043B7F">
        <w:rPr>
          <w:sz w:val="20"/>
          <w:szCs w:val="20"/>
        </w:rPr>
        <w:t xml:space="preserve"> and his </w:t>
      </w:r>
      <w:r w:rsidR="00BC02CF" w:rsidRPr="00043B7F">
        <w:rPr>
          <w:sz w:val="20"/>
          <w:szCs w:val="20"/>
        </w:rPr>
        <w:t>dialogues</w:t>
      </w:r>
      <w:r w:rsidR="00E1781C" w:rsidRPr="00043B7F">
        <w:rPr>
          <w:sz w:val="20"/>
          <w:szCs w:val="20"/>
        </w:rPr>
        <w:t xml:space="preserve"> with God</w:t>
      </w:r>
      <w:r w:rsidR="006B7554" w:rsidRPr="00043B7F">
        <w:rPr>
          <w:sz w:val="20"/>
          <w:szCs w:val="20"/>
        </w:rPr>
        <w:t xml:space="preserve"> may be interpreted by some as having heretical undertones</w:t>
      </w:r>
      <w:r w:rsidR="00E1781C" w:rsidRPr="00043B7F">
        <w:rPr>
          <w:sz w:val="20"/>
          <w:szCs w:val="20"/>
        </w:rPr>
        <w:t>.</w:t>
      </w:r>
      <w:r w:rsidRPr="00043B7F">
        <w:rPr>
          <w:sz w:val="20"/>
          <w:szCs w:val="20"/>
        </w:rPr>
        <w:t xml:space="preserve"> </w:t>
      </w:r>
      <w:r w:rsidR="006B7554" w:rsidRPr="00043B7F">
        <w:rPr>
          <w:sz w:val="20"/>
          <w:szCs w:val="20"/>
        </w:rPr>
        <w:t>Although Donne does not explicitly reference human anatomy in a purely scientific manner, it serves as a prevalent metaphorical framework within his religious ideas and the ‘Devotions’</w:t>
      </w:r>
      <w:r w:rsidRPr="00043B7F">
        <w:rPr>
          <w:sz w:val="20"/>
          <w:szCs w:val="20"/>
        </w:rPr>
        <w:t>.</w:t>
      </w:r>
      <w:r w:rsidR="00C571E3" w:rsidRPr="00043B7F">
        <w:rPr>
          <w:sz w:val="20"/>
          <w:szCs w:val="20"/>
        </w:rPr>
        <w:t xml:space="preserve"> </w:t>
      </w:r>
      <w:r w:rsidR="006B7554" w:rsidRPr="00043B7F">
        <w:rPr>
          <w:sz w:val="20"/>
          <w:szCs w:val="20"/>
        </w:rPr>
        <w:t xml:space="preserve">While it would be speculative to assert that the entirety of Donne’s ‘Devotions’ solely revolve around the theme of anatomy, I </w:t>
      </w:r>
      <w:r w:rsidR="00185AA3" w:rsidRPr="00043B7F">
        <w:rPr>
          <w:sz w:val="20"/>
          <w:szCs w:val="20"/>
        </w:rPr>
        <w:t>believe</w:t>
      </w:r>
      <w:r w:rsidR="006B7554" w:rsidRPr="00043B7F">
        <w:rPr>
          <w:sz w:val="20"/>
          <w:szCs w:val="20"/>
        </w:rPr>
        <w:t xml:space="preserve"> that it is an accurate assessment to state that the subject of anatomy holds significant importance and serves as an integral foundation for his work</w:t>
      </w:r>
      <w:r w:rsidR="00C571E3" w:rsidRPr="00043B7F">
        <w:rPr>
          <w:sz w:val="20"/>
          <w:szCs w:val="20"/>
        </w:rPr>
        <w:t>.</w:t>
      </w:r>
      <w:r w:rsidR="00E1781C" w:rsidRPr="00043B7F">
        <w:rPr>
          <w:sz w:val="20"/>
          <w:szCs w:val="20"/>
        </w:rPr>
        <w:t xml:space="preserve"> </w:t>
      </w:r>
      <w:r w:rsidR="006B7554" w:rsidRPr="00043B7F">
        <w:rPr>
          <w:sz w:val="20"/>
          <w:szCs w:val="20"/>
        </w:rPr>
        <w:t>‘</w:t>
      </w:r>
      <w:r w:rsidR="00E1781C" w:rsidRPr="00043B7F">
        <w:rPr>
          <w:sz w:val="20"/>
          <w:szCs w:val="20"/>
        </w:rPr>
        <w:t>Devotions</w:t>
      </w:r>
      <w:r w:rsidR="006B7554" w:rsidRPr="00043B7F">
        <w:rPr>
          <w:sz w:val="20"/>
          <w:szCs w:val="20"/>
        </w:rPr>
        <w:t>’ is</w:t>
      </w:r>
      <w:r w:rsidR="00E1781C" w:rsidRPr="00043B7F">
        <w:rPr>
          <w:sz w:val="20"/>
          <w:szCs w:val="20"/>
        </w:rPr>
        <w:t xml:space="preserve"> </w:t>
      </w:r>
      <w:r w:rsidR="000A7F42" w:rsidRPr="00043B7F">
        <w:rPr>
          <w:sz w:val="20"/>
          <w:szCs w:val="20"/>
        </w:rPr>
        <w:t xml:space="preserve">structured in a way that is meticulous with its three blocks of meditation, </w:t>
      </w:r>
      <w:r w:rsidR="000A7F42" w:rsidRPr="00043B7F">
        <w:rPr>
          <w:rFonts w:cstheme="minorHAnsi"/>
          <w:color w:val="373A3C"/>
          <w:sz w:val="20"/>
          <w:szCs w:val="20"/>
        </w:rPr>
        <w:t>expostulation</w:t>
      </w:r>
      <w:r w:rsidR="000A7F42" w:rsidRPr="00043B7F">
        <w:rPr>
          <w:rFonts w:cstheme="minorHAnsi"/>
          <w:color w:val="373A3C"/>
          <w:sz w:val="20"/>
          <w:szCs w:val="20"/>
        </w:rPr>
        <w:t xml:space="preserve"> and debate, and excellently written piece of prose</w:t>
      </w:r>
      <w:r w:rsidR="00A30C86" w:rsidRPr="00043B7F">
        <w:rPr>
          <w:rFonts w:cstheme="minorHAnsi"/>
          <w:color w:val="373A3C"/>
          <w:sz w:val="20"/>
          <w:szCs w:val="20"/>
        </w:rPr>
        <w:t>. Donne’s unique approach of drawing correlations between the earth, field, and the human body within a sermon-like atmosphere serves as a distinctive method of incorporating the concept of anatomy into his work</w:t>
      </w:r>
      <w:r w:rsidR="000A7F42" w:rsidRPr="00043B7F">
        <w:rPr>
          <w:rFonts w:cstheme="minorHAnsi"/>
          <w:color w:val="373A3C"/>
          <w:sz w:val="20"/>
          <w:szCs w:val="20"/>
        </w:rPr>
        <w:t>. The</w:t>
      </w:r>
      <w:r w:rsidR="00A30C86" w:rsidRPr="00043B7F">
        <w:rPr>
          <w:rFonts w:cstheme="minorHAnsi"/>
          <w:color w:val="373A3C"/>
          <w:sz w:val="20"/>
          <w:szCs w:val="20"/>
        </w:rPr>
        <w:t xml:space="preserve"> profound</w:t>
      </w:r>
      <w:r w:rsidR="000A7F42" w:rsidRPr="00043B7F">
        <w:rPr>
          <w:rFonts w:cstheme="minorHAnsi"/>
          <w:color w:val="373A3C"/>
          <w:sz w:val="20"/>
          <w:szCs w:val="20"/>
        </w:rPr>
        <w:t xml:space="preserve"> depth</w:t>
      </w:r>
      <w:r w:rsidR="00A30C86" w:rsidRPr="00043B7F">
        <w:rPr>
          <w:rFonts w:cstheme="minorHAnsi"/>
          <w:color w:val="373A3C"/>
          <w:sz w:val="20"/>
          <w:szCs w:val="20"/>
        </w:rPr>
        <w:t xml:space="preserve"> of Donne’s explanations, presented by Donne with ease</w:t>
      </w:r>
      <w:r w:rsidR="000A7F42" w:rsidRPr="00043B7F">
        <w:rPr>
          <w:rFonts w:cstheme="minorHAnsi"/>
          <w:color w:val="373A3C"/>
          <w:sz w:val="20"/>
          <w:szCs w:val="20"/>
        </w:rPr>
        <w:t xml:space="preserve"> c</w:t>
      </w:r>
      <w:r w:rsidR="00A30C86" w:rsidRPr="00043B7F">
        <w:rPr>
          <w:rFonts w:cstheme="minorHAnsi"/>
          <w:color w:val="373A3C"/>
          <w:sz w:val="20"/>
          <w:szCs w:val="20"/>
        </w:rPr>
        <w:t>an</w:t>
      </w:r>
      <w:r w:rsidR="000A7F42" w:rsidRPr="00043B7F">
        <w:rPr>
          <w:rFonts w:cstheme="minorHAnsi"/>
          <w:color w:val="373A3C"/>
          <w:sz w:val="20"/>
          <w:szCs w:val="20"/>
        </w:rPr>
        <w:t xml:space="preserve"> be largely attributed to his </w:t>
      </w:r>
      <w:r w:rsidR="00A30C86" w:rsidRPr="00043B7F">
        <w:rPr>
          <w:rFonts w:cstheme="minorHAnsi"/>
          <w:color w:val="373A3C"/>
          <w:sz w:val="20"/>
          <w:szCs w:val="20"/>
        </w:rPr>
        <w:t>extensive experience</w:t>
      </w:r>
      <w:r w:rsidR="000A7F42" w:rsidRPr="00043B7F">
        <w:rPr>
          <w:rFonts w:cstheme="minorHAnsi"/>
          <w:color w:val="373A3C"/>
          <w:sz w:val="20"/>
          <w:szCs w:val="20"/>
        </w:rPr>
        <w:t xml:space="preserve"> </w:t>
      </w:r>
      <w:r w:rsidR="00A30C86" w:rsidRPr="00043B7F">
        <w:rPr>
          <w:rFonts w:cstheme="minorHAnsi"/>
          <w:color w:val="373A3C"/>
          <w:sz w:val="20"/>
          <w:szCs w:val="20"/>
        </w:rPr>
        <w:t>and mastery as a writer honed over the years</w:t>
      </w:r>
      <w:r w:rsidR="000A7F42" w:rsidRPr="00043B7F">
        <w:rPr>
          <w:rFonts w:cstheme="minorHAnsi"/>
          <w:color w:val="373A3C"/>
          <w:sz w:val="20"/>
          <w:szCs w:val="20"/>
        </w:rPr>
        <w:t xml:space="preserve">. At the heart of this sermon is the body of Donne, as </w:t>
      </w:r>
      <w:r w:rsidR="00A30C86" w:rsidRPr="00043B7F">
        <w:rPr>
          <w:rFonts w:cstheme="minorHAnsi"/>
          <w:color w:val="373A3C"/>
          <w:sz w:val="20"/>
          <w:szCs w:val="20"/>
        </w:rPr>
        <w:t>his anatomy fails under the burden of</w:t>
      </w:r>
      <w:r w:rsidR="000A7F42" w:rsidRPr="00043B7F">
        <w:rPr>
          <w:rFonts w:cstheme="minorHAnsi"/>
          <w:color w:val="373A3C"/>
          <w:sz w:val="20"/>
          <w:szCs w:val="20"/>
        </w:rPr>
        <w:t xml:space="preserve"> sickness h</w:t>
      </w:r>
      <w:r w:rsidR="00A30C86" w:rsidRPr="00043B7F">
        <w:rPr>
          <w:rFonts w:cstheme="minorHAnsi"/>
          <w:color w:val="373A3C"/>
          <w:sz w:val="20"/>
          <w:szCs w:val="20"/>
        </w:rPr>
        <w:t>is tone gradually slides to a morbid tone</w:t>
      </w:r>
      <w:r w:rsidR="000A7F42" w:rsidRPr="00043B7F">
        <w:rPr>
          <w:rFonts w:cstheme="minorHAnsi"/>
          <w:color w:val="373A3C"/>
          <w:sz w:val="20"/>
          <w:szCs w:val="20"/>
        </w:rPr>
        <w:t>, giving sustenance through the words of a potentially dying man</w:t>
      </w:r>
      <w:r w:rsidR="00A30C86" w:rsidRPr="00043B7F">
        <w:rPr>
          <w:rFonts w:cstheme="minorHAnsi"/>
          <w:color w:val="373A3C"/>
          <w:sz w:val="20"/>
          <w:szCs w:val="20"/>
        </w:rPr>
        <w:t xml:space="preserve"> as the disease ravages his body</w:t>
      </w:r>
      <w:r w:rsidR="000A7F42" w:rsidRPr="00043B7F">
        <w:rPr>
          <w:rFonts w:cstheme="minorHAnsi"/>
          <w:color w:val="373A3C"/>
          <w:sz w:val="20"/>
          <w:szCs w:val="20"/>
        </w:rPr>
        <w:t xml:space="preserve">. </w:t>
      </w:r>
      <w:r w:rsidR="00A30C86" w:rsidRPr="00043B7F">
        <w:rPr>
          <w:rFonts w:cstheme="minorHAnsi"/>
          <w:color w:val="373A3C"/>
          <w:sz w:val="20"/>
          <w:szCs w:val="20"/>
        </w:rPr>
        <w:t>Donne’s</w:t>
      </w:r>
      <w:r w:rsidR="000A7F42" w:rsidRPr="00043B7F">
        <w:rPr>
          <w:rFonts w:cstheme="minorHAnsi"/>
          <w:color w:val="373A3C"/>
          <w:sz w:val="20"/>
          <w:szCs w:val="20"/>
        </w:rPr>
        <w:t xml:space="preserve"> own </w:t>
      </w:r>
      <w:r w:rsidR="00A30C86" w:rsidRPr="00043B7F">
        <w:rPr>
          <w:rFonts w:cstheme="minorHAnsi"/>
          <w:color w:val="373A3C"/>
          <w:sz w:val="20"/>
          <w:szCs w:val="20"/>
        </w:rPr>
        <w:t>anatomy</w:t>
      </w:r>
      <w:r w:rsidR="000A7F42" w:rsidRPr="00043B7F">
        <w:rPr>
          <w:rFonts w:cstheme="minorHAnsi"/>
          <w:color w:val="373A3C"/>
          <w:sz w:val="20"/>
          <w:szCs w:val="20"/>
        </w:rPr>
        <w:t xml:space="preserve"> is </w:t>
      </w:r>
      <w:r w:rsidR="00A30C86" w:rsidRPr="00043B7F">
        <w:rPr>
          <w:rFonts w:cstheme="minorHAnsi"/>
          <w:color w:val="373A3C"/>
          <w:sz w:val="20"/>
          <w:szCs w:val="20"/>
        </w:rPr>
        <w:t>a reoccurring theme that is present in the subtext of his ‘Devotions’</w:t>
      </w:r>
      <w:r w:rsidR="000A7F42" w:rsidRPr="00043B7F">
        <w:rPr>
          <w:rFonts w:cstheme="minorHAnsi"/>
          <w:color w:val="373A3C"/>
          <w:sz w:val="20"/>
          <w:szCs w:val="20"/>
        </w:rPr>
        <w:t xml:space="preserve">, his divine anatomy although mostly metaphorical, is still a central </w:t>
      </w:r>
      <w:r w:rsidR="00A30C86" w:rsidRPr="00043B7F">
        <w:rPr>
          <w:rFonts w:cstheme="minorHAnsi"/>
          <w:color w:val="373A3C"/>
          <w:sz w:val="20"/>
          <w:szCs w:val="20"/>
        </w:rPr>
        <w:t>foundation of his work</w:t>
      </w:r>
      <w:r w:rsidR="000A7F42" w:rsidRPr="00043B7F">
        <w:rPr>
          <w:rFonts w:cstheme="minorHAnsi"/>
          <w:color w:val="373A3C"/>
          <w:sz w:val="20"/>
          <w:szCs w:val="20"/>
        </w:rPr>
        <w:t xml:space="preserve">.  </w:t>
      </w:r>
    </w:p>
    <w:p w14:paraId="503F8A4C" w14:textId="77777777" w:rsidR="00A30A7E" w:rsidRPr="00043B7F" w:rsidRDefault="00A30A7E" w:rsidP="00F91483">
      <w:pPr>
        <w:rPr>
          <w:sz w:val="20"/>
          <w:szCs w:val="20"/>
        </w:rPr>
      </w:pPr>
    </w:p>
    <w:p w14:paraId="6ADF860B" w14:textId="77777777" w:rsidR="00A30A7E" w:rsidRPr="00043B7F" w:rsidRDefault="00A30A7E" w:rsidP="00F91483">
      <w:pPr>
        <w:rPr>
          <w:sz w:val="20"/>
          <w:szCs w:val="20"/>
        </w:rPr>
      </w:pPr>
    </w:p>
    <w:p w14:paraId="050E9F23" w14:textId="77777777" w:rsidR="00A30A7E" w:rsidRDefault="00A30A7E" w:rsidP="00F91483"/>
    <w:p w14:paraId="152AF4F0" w14:textId="77777777" w:rsidR="00A30C86" w:rsidRDefault="00A30C86" w:rsidP="00F91483"/>
    <w:p w14:paraId="03CBAAAA" w14:textId="77777777" w:rsidR="00043B7F" w:rsidRDefault="00043B7F" w:rsidP="00F91483"/>
    <w:p w14:paraId="4D0A4521" w14:textId="77777777" w:rsidR="00043B7F" w:rsidRDefault="00043B7F" w:rsidP="00F91483"/>
    <w:p w14:paraId="207ED16F" w14:textId="77777777" w:rsidR="00043B7F" w:rsidRDefault="00043B7F" w:rsidP="00F91483"/>
    <w:p w14:paraId="63A974A0" w14:textId="77777777" w:rsidR="00043B7F" w:rsidRDefault="00043B7F" w:rsidP="00F91483"/>
    <w:p w14:paraId="562449EF" w14:textId="77777777" w:rsidR="00043B7F" w:rsidRDefault="00043B7F" w:rsidP="00F91483"/>
    <w:p w14:paraId="5F4D4F39" w14:textId="77777777" w:rsidR="00043B7F" w:rsidRDefault="00043B7F" w:rsidP="00F91483"/>
    <w:p w14:paraId="1AC4C3A1" w14:textId="77777777" w:rsidR="003C55C7" w:rsidRDefault="003C55C7" w:rsidP="00F91483"/>
    <w:p w14:paraId="1BCAA586" w14:textId="77777777" w:rsidR="005C602D" w:rsidRDefault="005C602D" w:rsidP="00F91483"/>
    <w:p w14:paraId="4DBD69D1" w14:textId="77777777" w:rsidR="0065542C" w:rsidRDefault="0065542C" w:rsidP="00F91483"/>
    <w:p w14:paraId="777120AA" w14:textId="0991C8A4" w:rsidR="00A30A7E" w:rsidRPr="003C55C7" w:rsidRDefault="00A30A7E" w:rsidP="003C55C7">
      <w:pPr>
        <w:jc w:val="center"/>
        <w:rPr>
          <w:sz w:val="52"/>
          <w:szCs w:val="52"/>
          <w:u w:val="single"/>
        </w:rPr>
      </w:pPr>
      <w:r w:rsidRPr="00DB4536">
        <w:rPr>
          <w:sz w:val="52"/>
          <w:szCs w:val="52"/>
          <w:u w:val="single"/>
        </w:rPr>
        <w:lastRenderedPageBreak/>
        <w:t>Bibliography</w:t>
      </w:r>
    </w:p>
    <w:p w14:paraId="58381F45" w14:textId="77777777" w:rsidR="00A30A7E" w:rsidRDefault="00A30A7E" w:rsidP="00F91483"/>
    <w:p w14:paraId="60E47130" w14:textId="49FF0A3A" w:rsidR="00A30A7E" w:rsidRPr="00DB4536" w:rsidRDefault="00A30A7E" w:rsidP="00F91483">
      <w:pPr>
        <w:rPr>
          <w:sz w:val="28"/>
          <w:szCs w:val="28"/>
          <w:u w:val="single"/>
        </w:rPr>
      </w:pPr>
      <w:r w:rsidRPr="00DB4536">
        <w:rPr>
          <w:sz w:val="28"/>
          <w:szCs w:val="28"/>
          <w:u w:val="single"/>
        </w:rPr>
        <w:t>Primary Sources</w:t>
      </w:r>
    </w:p>
    <w:p w14:paraId="4C00C2CD" w14:textId="77777777" w:rsidR="00DB4536" w:rsidRDefault="00DB4536" w:rsidP="00F91483"/>
    <w:p w14:paraId="6D7A9B7A" w14:textId="59937CCB" w:rsidR="00A30A7E" w:rsidRPr="00DB4536" w:rsidRDefault="00DB4536" w:rsidP="00F91483">
      <w:r>
        <w:t xml:space="preserve">John Donne, </w:t>
      </w:r>
      <w:r>
        <w:rPr>
          <w:i/>
          <w:iCs/>
        </w:rPr>
        <w:t>Devotions Upon Emergent Occasions Together With Death’s Duel</w:t>
      </w:r>
      <w:r>
        <w:t>, ed. B. Stacy, J.</w:t>
      </w:r>
      <w:r w:rsidR="00272D71">
        <w:t xml:space="preserve"> </w:t>
      </w:r>
      <w:proofErr w:type="spellStart"/>
      <w:r>
        <w:t>Hagerson</w:t>
      </w:r>
      <w:proofErr w:type="spellEnd"/>
      <w:r>
        <w:t xml:space="preserve">, J. Sutherland, (Online eBook, University of Michigan, 1959), Available at </w:t>
      </w:r>
      <w:hyperlink r:id="rId6" w:history="1">
        <w:r w:rsidRPr="001D497F">
          <w:rPr>
            <w:rStyle w:val="Hyperlink"/>
          </w:rPr>
          <w:t>https://www.gutenberg.org/files/23772/23772-h/23772-h.htm</w:t>
        </w:r>
      </w:hyperlink>
      <w:r>
        <w:t xml:space="preserve"> (accessed 05/05/23)</w:t>
      </w:r>
    </w:p>
    <w:p w14:paraId="35180D16" w14:textId="77777777" w:rsidR="00A30A7E" w:rsidRDefault="00A30A7E" w:rsidP="00F91483"/>
    <w:p w14:paraId="4EE5E767" w14:textId="64EB3933" w:rsidR="00A30A7E" w:rsidRPr="00DB4536" w:rsidRDefault="00A30A7E" w:rsidP="00F91483">
      <w:pPr>
        <w:rPr>
          <w:sz w:val="28"/>
          <w:szCs w:val="28"/>
          <w:u w:val="single"/>
        </w:rPr>
      </w:pPr>
      <w:r w:rsidRPr="00DB4536">
        <w:rPr>
          <w:sz w:val="28"/>
          <w:szCs w:val="28"/>
          <w:u w:val="single"/>
        </w:rPr>
        <w:t>Secondary Sources</w:t>
      </w:r>
    </w:p>
    <w:p w14:paraId="010129A9" w14:textId="77777777" w:rsidR="00043B7F" w:rsidRDefault="00043B7F" w:rsidP="00043B7F">
      <w:r>
        <w:t xml:space="preserve">Conti, B., Donne, Doubt and the Devotions Upon Emergent Occasions, </w:t>
      </w:r>
      <w:r>
        <w:rPr>
          <w:i/>
          <w:iCs/>
        </w:rPr>
        <w:t>English Faculty Publications</w:t>
      </w:r>
      <w:r>
        <w:t>, 81, (2003) 145-164</w:t>
      </w:r>
    </w:p>
    <w:p w14:paraId="36759346" w14:textId="3E65ECE7" w:rsidR="00272D71" w:rsidRPr="00272D71" w:rsidRDefault="00272D71" w:rsidP="00272D71">
      <w:pPr>
        <w:rPr>
          <w:sz w:val="32"/>
          <w:szCs w:val="32"/>
        </w:rPr>
      </w:pPr>
      <w:r w:rsidRPr="00272D71">
        <w:t xml:space="preserve">Frost, K., </w:t>
      </w:r>
      <w:r w:rsidRPr="00272D71">
        <w:rPr>
          <w:i/>
          <w:iCs/>
        </w:rPr>
        <w:t xml:space="preserve">Holy Delight: Typology, Numerology, and Autobiography in Donne’s Devotions upon Emergent Occasions, </w:t>
      </w:r>
      <w:r w:rsidRPr="00272D71">
        <w:t>(Princeton: Princeton University Press, 1990)</w:t>
      </w:r>
    </w:p>
    <w:p w14:paraId="1B1E1C55" w14:textId="77777777" w:rsidR="00043B7F" w:rsidRDefault="00043B7F" w:rsidP="00043B7F">
      <w:r>
        <w:t xml:space="preserve">Goldberg, J., The understanding of Sickness in Donne’s Devotions, </w:t>
      </w:r>
      <w:r>
        <w:rPr>
          <w:i/>
          <w:iCs/>
        </w:rPr>
        <w:t>Renaissance Quarterly</w:t>
      </w:r>
      <w:r>
        <w:t>, 24, 4, (1971) 507-517</w:t>
      </w:r>
    </w:p>
    <w:p w14:paraId="3BDF8CB7" w14:textId="1E9129CD" w:rsidR="00A30A7E" w:rsidRDefault="00A30A7E" w:rsidP="00F91483">
      <w:r>
        <w:t xml:space="preserve">Horn, M., John Donne, Godly Inscription and Permanency of Self in “Devotions Upon Emergent Occasions”, </w:t>
      </w:r>
      <w:r>
        <w:rPr>
          <w:i/>
          <w:iCs/>
        </w:rPr>
        <w:t>Renaissance Studies,</w:t>
      </w:r>
      <w:r>
        <w:t xml:space="preserve"> 24, 3, (2010), 365-380</w:t>
      </w:r>
    </w:p>
    <w:p w14:paraId="30740628" w14:textId="5ADA9FA8" w:rsidR="00043B7F" w:rsidRDefault="00043B7F" w:rsidP="00043B7F">
      <w:r>
        <w:t>Koenig,</w:t>
      </w:r>
      <w:r w:rsidRPr="006906DD">
        <w:t xml:space="preserve"> </w:t>
      </w:r>
      <w:r>
        <w:t xml:space="preserve">H., Religion and Medicine I: Historical Background and Reasons </w:t>
      </w:r>
      <w:r w:rsidR="00197029">
        <w:t>for</w:t>
      </w:r>
      <w:r>
        <w:t xml:space="preserve"> Separation, </w:t>
      </w:r>
      <w:r>
        <w:rPr>
          <w:i/>
          <w:iCs/>
        </w:rPr>
        <w:t xml:space="preserve">International Journal of Psychiatry in Medicine, </w:t>
      </w:r>
      <w:r>
        <w:t>30, 4, (2000), 385-398</w:t>
      </w:r>
    </w:p>
    <w:p w14:paraId="334654CD" w14:textId="77777777" w:rsidR="00043B7F" w:rsidRDefault="00043B7F" w:rsidP="00043B7F">
      <w:r>
        <w:t xml:space="preserve">Kuchar, G., Embodiment and Representation in John Donne’s Devotions Upon Emergent Occasions, </w:t>
      </w:r>
      <w:r>
        <w:rPr>
          <w:i/>
          <w:iCs/>
        </w:rPr>
        <w:t xml:space="preserve">Prose Studies: History, Theory, Criticism, </w:t>
      </w:r>
      <w:r>
        <w:t>24, 2, (2001), 15-40</w:t>
      </w:r>
    </w:p>
    <w:p w14:paraId="5FEB726C" w14:textId="77777777" w:rsidR="00043B7F" w:rsidRPr="00B43CB8" w:rsidRDefault="00043B7F" w:rsidP="00043B7F">
      <w:r>
        <w:t>McIntosh,</w:t>
      </w:r>
      <w:r w:rsidRPr="006906DD">
        <w:t xml:space="preserve"> </w:t>
      </w:r>
      <w:r>
        <w:t xml:space="preserve">M., Theology and Spirituality: Notes on the Mystical Christology of John Donne, </w:t>
      </w:r>
      <w:r>
        <w:rPr>
          <w:i/>
          <w:iCs/>
        </w:rPr>
        <w:t xml:space="preserve">Anglican Theological Review, </w:t>
      </w:r>
      <w:r>
        <w:t>77, 3, (1995), 58-65</w:t>
      </w:r>
    </w:p>
    <w:p w14:paraId="7D1964CC" w14:textId="77777777" w:rsidR="00043B7F" w:rsidRDefault="00043B7F" w:rsidP="00043B7F">
      <w:r>
        <w:t xml:space="preserve">Mueller, J., The Exegesis of Experience: Dean Donne’s “Devotions Upon Emergent Occasions”, </w:t>
      </w:r>
      <w:r>
        <w:rPr>
          <w:i/>
          <w:iCs/>
        </w:rPr>
        <w:t xml:space="preserve">The Journal of English and Germanic Philology, </w:t>
      </w:r>
      <w:r>
        <w:t>67, 1, (1968), 1-19</w:t>
      </w:r>
    </w:p>
    <w:p w14:paraId="25D2A391" w14:textId="5915A15B" w:rsidR="00A30A7E" w:rsidRDefault="00A30A7E" w:rsidP="00F91483">
      <w:r>
        <w:t xml:space="preserve">Papazian, M., Donne, Election, and the “Devotions Upon Emergent Occasions”, </w:t>
      </w:r>
      <w:r>
        <w:rPr>
          <w:i/>
          <w:iCs/>
        </w:rPr>
        <w:t>Huntington</w:t>
      </w:r>
      <w:r w:rsidR="00214A7A">
        <w:rPr>
          <w:i/>
          <w:iCs/>
        </w:rPr>
        <w:t xml:space="preserve"> Library Quarterly,</w:t>
      </w:r>
      <w:r w:rsidR="00214A7A">
        <w:t xml:space="preserve"> 55, 4, (1992), 603-619</w:t>
      </w:r>
    </w:p>
    <w:p w14:paraId="6AC9C154" w14:textId="4EA044CE" w:rsidR="00214A7A" w:rsidRDefault="00214A7A" w:rsidP="00F91483">
      <w:r>
        <w:t>Tucker, E., Donne’s Apocalyptic Style: A Contextual</w:t>
      </w:r>
      <w:r w:rsidR="00B43CB8">
        <w:t xml:space="preserve"> Analysis of “Devotions Upon Emergent Occasions”, </w:t>
      </w:r>
      <w:r w:rsidR="00B43CB8">
        <w:rPr>
          <w:i/>
          <w:iCs/>
        </w:rPr>
        <w:t xml:space="preserve">Interpretations, </w:t>
      </w:r>
      <w:r w:rsidR="00B43CB8">
        <w:t>12, 1, (1980), 92-99</w:t>
      </w:r>
    </w:p>
    <w:p w14:paraId="524B31F7" w14:textId="77777777" w:rsidR="00043B7F" w:rsidRDefault="00043B7F" w:rsidP="00043B7F">
      <w:r>
        <w:t xml:space="preserve">Vázquez-Espinosa, E., </w:t>
      </w:r>
      <w:proofErr w:type="spellStart"/>
      <w:r>
        <w:t>Laganà</w:t>
      </w:r>
      <w:proofErr w:type="spellEnd"/>
      <w:r>
        <w:t xml:space="preserve">, C., Vazquez, F., John Donne, Spanish Doctors and the epidemic typhus: fleas or </w:t>
      </w:r>
      <w:proofErr w:type="gramStart"/>
      <w:r>
        <w:t>lice?,</w:t>
      </w:r>
      <w:proofErr w:type="gramEnd"/>
      <w:r>
        <w:t xml:space="preserve"> </w:t>
      </w:r>
      <w:proofErr w:type="spellStart"/>
      <w:r w:rsidRPr="007312C9">
        <w:rPr>
          <w:i/>
          <w:iCs/>
        </w:rPr>
        <w:t>Revista</w:t>
      </w:r>
      <w:proofErr w:type="spellEnd"/>
      <w:r w:rsidRPr="007312C9">
        <w:rPr>
          <w:i/>
          <w:iCs/>
        </w:rPr>
        <w:t xml:space="preserve"> Española de </w:t>
      </w:r>
      <w:proofErr w:type="spellStart"/>
      <w:r w:rsidRPr="007312C9">
        <w:rPr>
          <w:i/>
          <w:iCs/>
        </w:rPr>
        <w:t>Quimioterapia</w:t>
      </w:r>
      <w:proofErr w:type="spellEnd"/>
      <w:r>
        <w:t xml:space="preserve">, 33, (2020), 87-93 </w:t>
      </w:r>
    </w:p>
    <w:p w14:paraId="0A384F96" w14:textId="2B30D636" w:rsidR="00B43CB8" w:rsidRDefault="00B43CB8" w:rsidP="00F91483">
      <w:pPr>
        <w:rPr>
          <w:i/>
          <w:iCs/>
        </w:rPr>
      </w:pPr>
      <w:r>
        <w:t xml:space="preserve">Webber, J., The Prose Styles of John Donne’s Devotions Upon Emergent Occasions, </w:t>
      </w:r>
      <w:proofErr w:type="spellStart"/>
      <w:r>
        <w:rPr>
          <w:i/>
          <w:iCs/>
        </w:rPr>
        <w:t>Anglica</w:t>
      </w:r>
      <w:proofErr w:type="spellEnd"/>
      <w:r>
        <w:rPr>
          <w:i/>
          <w:iCs/>
        </w:rPr>
        <w:t>: Journal of English Philology,</w:t>
      </w:r>
      <w:r>
        <w:t xml:space="preserve"> 79, (1961) 138-152</w:t>
      </w:r>
    </w:p>
    <w:p w14:paraId="21E1132A" w14:textId="77777777" w:rsidR="00272D71" w:rsidRPr="00272D71" w:rsidRDefault="00272D71">
      <w:pPr>
        <w:rPr>
          <w:sz w:val="32"/>
          <w:szCs w:val="32"/>
        </w:rPr>
      </w:pPr>
    </w:p>
    <w:sectPr w:rsidR="00272D71" w:rsidRPr="00272D71" w:rsidSect="00C33C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5EA99" w14:textId="77777777" w:rsidR="00DC2AC5" w:rsidRDefault="00DC2AC5" w:rsidP="00385348">
      <w:pPr>
        <w:spacing w:after="0" w:line="240" w:lineRule="auto"/>
      </w:pPr>
      <w:r>
        <w:separator/>
      </w:r>
    </w:p>
  </w:endnote>
  <w:endnote w:type="continuationSeparator" w:id="0">
    <w:p w14:paraId="630E70A3" w14:textId="77777777" w:rsidR="00DC2AC5" w:rsidRDefault="00DC2AC5" w:rsidP="00385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E5543" w14:textId="77777777" w:rsidR="00DC2AC5" w:rsidRDefault="00DC2AC5" w:rsidP="00385348">
      <w:pPr>
        <w:spacing w:after="0" w:line="240" w:lineRule="auto"/>
      </w:pPr>
      <w:r>
        <w:separator/>
      </w:r>
    </w:p>
  </w:footnote>
  <w:footnote w:type="continuationSeparator" w:id="0">
    <w:p w14:paraId="2575A1B2" w14:textId="77777777" w:rsidR="00DC2AC5" w:rsidRDefault="00DC2AC5" w:rsidP="00385348">
      <w:pPr>
        <w:spacing w:after="0" w:line="240" w:lineRule="auto"/>
      </w:pPr>
      <w:r>
        <w:continuationSeparator/>
      </w:r>
    </w:p>
  </w:footnote>
  <w:footnote w:id="1">
    <w:p w14:paraId="79048234" w14:textId="673E3C12" w:rsidR="007E0613" w:rsidRPr="00043B7F" w:rsidRDefault="007E0613" w:rsidP="00000EB6">
      <w:pPr>
        <w:pStyle w:val="NoSpacing"/>
        <w:rPr>
          <w:sz w:val="16"/>
          <w:szCs w:val="16"/>
        </w:rPr>
      </w:pPr>
      <w:r w:rsidRPr="00043B7F">
        <w:rPr>
          <w:rStyle w:val="FootnoteReference"/>
          <w:sz w:val="16"/>
          <w:szCs w:val="16"/>
        </w:rPr>
        <w:footnoteRef/>
      </w:r>
      <w:r w:rsidRPr="00043B7F">
        <w:rPr>
          <w:sz w:val="16"/>
          <w:szCs w:val="16"/>
        </w:rPr>
        <w:t xml:space="preserve"> </w:t>
      </w:r>
      <w:r w:rsidR="00000EB6" w:rsidRPr="00043B7F">
        <w:rPr>
          <w:sz w:val="16"/>
          <w:szCs w:val="16"/>
        </w:rPr>
        <w:t xml:space="preserve">John Donne, </w:t>
      </w:r>
      <w:r w:rsidR="00000EB6" w:rsidRPr="00043B7F">
        <w:rPr>
          <w:i/>
          <w:iCs/>
          <w:sz w:val="16"/>
          <w:szCs w:val="16"/>
        </w:rPr>
        <w:t>Devotions Upon Emergent Occasions Together With Death’s Duel</w:t>
      </w:r>
      <w:r w:rsidR="00000EB6" w:rsidRPr="00043B7F">
        <w:rPr>
          <w:sz w:val="16"/>
          <w:szCs w:val="16"/>
        </w:rPr>
        <w:t>, ed. B. Stacy, J.</w:t>
      </w:r>
      <w:r w:rsidR="00272D71">
        <w:rPr>
          <w:sz w:val="16"/>
          <w:szCs w:val="16"/>
        </w:rPr>
        <w:t xml:space="preserve"> </w:t>
      </w:r>
      <w:proofErr w:type="spellStart"/>
      <w:r w:rsidR="00000EB6" w:rsidRPr="00043B7F">
        <w:rPr>
          <w:sz w:val="16"/>
          <w:szCs w:val="16"/>
        </w:rPr>
        <w:t>Hagerson</w:t>
      </w:r>
      <w:proofErr w:type="spellEnd"/>
      <w:r w:rsidR="00000EB6" w:rsidRPr="00043B7F">
        <w:rPr>
          <w:sz w:val="16"/>
          <w:szCs w:val="16"/>
        </w:rPr>
        <w:t xml:space="preserve">, J. Sutherland, (Online eBook, University of Michigan, 1959), Available at </w:t>
      </w:r>
      <w:hyperlink r:id="rId1" w:history="1">
        <w:r w:rsidR="00000EB6" w:rsidRPr="00043B7F">
          <w:rPr>
            <w:rStyle w:val="Hyperlink"/>
            <w:sz w:val="16"/>
            <w:szCs w:val="16"/>
          </w:rPr>
          <w:t>https://www.gutenberg.org/files/23772/23772-h/23772-h.htm</w:t>
        </w:r>
      </w:hyperlink>
      <w:r w:rsidR="00000EB6" w:rsidRPr="00043B7F">
        <w:rPr>
          <w:sz w:val="16"/>
          <w:szCs w:val="16"/>
        </w:rPr>
        <w:t xml:space="preserve"> (accessed 05/05/23)</w:t>
      </w:r>
    </w:p>
  </w:footnote>
  <w:footnote w:id="2">
    <w:p w14:paraId="2A71E9AB" w14:textId="08C34D41" w:rsidR="007E0613" w:rsidRPr="00043B7F" w:rsidRDefault="007E0613">
      <w:pPr>
        <w:pStyle w:val="FootnoteText"/>
        <w:rPr>
          <w:sz w:val="16"/>
          <w:szCs w:val="16"/>
        </w:rPr>
      </w:pPr>
      <w:r w:rsidRPr="00043B7F">
        <w:rPr>
          <w:rStyle w:val="FootnoteReference"/>
          <w:sz w:val="16"/>
          <w:szCs w:val="16"/>
        </w:rPr>
        <w:footnoteRef/>
      </w:r>
      <w:r w:rsidRPr="00043B7F">
        <w:rPr>
          <w:sz w:val="16"/>
          <w:szCs w:val="16"/>
        </w:rPr>
        <w:t xml:space="preserve"> </w:t>
      </w:r>
      <w:r w:rsidR="006906DD" w:rsidRPr="00043B7F">
        <w:rPr>
          <w:sz w:val="16"/>
          <w:szCs w:val="16"/>
        </w:rPr>
        <w:t xml:space="preserve">M. McIntosh, Theology and Spirituality: Notes on the Mystical Christology of John Donne, </w:t>
      </w:r>
      <w:r w:rsidR="006906DD" w:rsidRPr="00043B7F">
        <w:rPr>
          <w:i/>
          <w:iCs/>
          <w:sz w:val="16"/>
          <w:szCs w:val="16"/>
        </w:rPr>
        <w:t xml:space="preserve">Anglican Theological Review, </w:t>
      </w:r>
      <w:r w:rsidR="006906DD" w:rsidRPr="00043B7F">
        <w:rPr>
          <w:sz w:val="16"/>
          <w:szCs w:val="16"/>
        </w:rPr>
        <w:t>77, 3, (1995), 58-65, pp. 58-65</w:t>
      </w:r>
      <w:r w:rsidR="00272D71">
        <w:rPr>
          <w:sz w:val="16"/>
          <w:szCs w:val="16"/>
        </w:rPr>
        <w:t xml:space="preserve">; K. Frost, </w:t>
      </w:r>
      <w:r w:rsidR="00272D71">
        <w:rPr>
          <w:i/>
          <w:iCs/>
          <w:sz w:val="16"/>
          <w:szCs w:val="16"/>
        </w:rPr>
        <w:t xml:space="preserve">Holy Delight: Typology, Numerology, and Autobiography in Donne’s Devotions upon Emergent Occasions, </w:t>
      </w:r>
      <w:r w:rsidR="00272D71">
        <w:rPr>
          <w:sz w:val="16"/>
          <w:szCs w:val="16"/>
        </w:rPr>
        <w:t>(Princeton: Princeton University Press, 1990) p.14</w:t>
      </w:r>
    </w:p>
  </w:footnote>
  <w:footnote w:id="3">
    <w:p w14:paraId="074D815A" w14:textId="5D4FFCED" w:rsidR="007E0613" w:rsidRPr="00043B7F" w:rsidRDefault="007E0613">
      <w:pPr>
        <w:pStyle w:val="FootnoteText"/>
        <w:rPr>
          <w:sz w:val="16"/>
          <w:szCs w:val="16"/>
        </w:rPr>
      </w:pPr>
      <w:r w:rsidRPr="00043B7F">
        <w:rPr>
          <w:rStyle w:val="FootnoteReference"/>
          <w:sz w:val="16"/>
          <w:szCs w:val="16"/>
        </w:rPr>
        <w:footnoteRef/>
      </w:r>
      <w:r w:rsidRPr="00043B7F">
        <w:rPr>
          <w:sz w:val="16"/>
          <w:szCs w:val="16"/>
        </w:rPr>
        <w:t xml:space="preserve"> </w:t>
      </w:r>
      <w:r w:rsidR="00AF4D95" w:rsidRPr="00043B7F">
        <w:rPr>
          <w:sz w:val="16"/>
          <w:szCs w:val="16"/>
        </w:rPr>
        <w:t xml:space="preserve">H. Koenig, Religion and Medicine I: Historical Background and Reasons </w:t>
      </w:r>
      <w:r w:rsidR="005C602D" w:rsidRPr="00043B7F">
        <w:rPr>
          <w:sz w:val="16"/>
          <w:szCs w:val="16"/>
        </w:rPr>
        <w:t>for</w:t>
      </w:r>
      <w:r w:rsidR="00AF4D95" w:rsidRPr="00043B7F">
        <w:rPr>
          <w:sz w:val="16"/>
          <w:szCs w:val="16"/>
        </w:rPr>
        <w:t xml:space="preserve"> Separation, </w:t>
      </w:r>
      <w:r w:rsidR="00AF4D95" w:rsidRPr="00043B7F">
        <w:rPr>
          <w:i/>
          <w:iCs/>
          <w:sz w:val="16"/>
          <w:szCs w:val="16"/>
        </w:rPr>
        <w:t xml:space="preserve">International Journal of Psychiatry in Medicine, </w:t>
      </w:r>
      <w:r w:rsidR="00AF4D95" w:rsidRPr="00043B7F">
        <w:rPr>
          <w:sz w:val="16"/>
          <w:szCs w:val="16"/>
        </w:rPr>
        <w:t>30, 4, (2000), 385-39</w:t>
      </w:r>
      <w:r w:rsidR="006906DD" w:rsidRPr="00043B7F">
        <w:rPr>
          <w:sz w:val="16"/>
          <w:szCs w:val="16"/>
        </w:rPr>
        <w:t>8,</w:t>
      </w:r>
      <w:r w:rsidR="00AF4D95" w:rsidRPr="00043B7F">
        <w:rPr>
          <w:sz w:val="16"/>
          <w:szCs w:val="16"/>
        </w:rPr>
        <w:t xml:space="preserve">  pp.</w:t>
      </w:r>
      <w:r w:rsidR="00185AA3" w:rsidRPr="00043B7F">
        <w:rPr>
          <w:sz w:val="16"/>
          <w:szCs w:val="16"/>
        </w:rPr>
        <w:t xml:space="preserve"> </w:t>
      </w:r>
      <w:r w:rsidR="00AF4D95" w:rsidRPr="00043B7F">
        <w:rPr>
          <w:sz w:val="16"/>
          <w:szCs w:val="16"/>
        </w:rPr>
        <w:t>387-388</w:t>
      </w:r>
    </w:p>
  </w:footnote>
  <w:footnote w:id="4">
    <w:p w14:paraId="6326CBF7" w14:textId="728E6A29" w:rsidR="00F91483" w:rsidRPr="00043B7F" w:rsidRDefault="00F91483" w:rsidP="006D6EFA">
      <w:pPr>
        <w:pStyle w:val="NoSpacing"/>
        <w:rPr>
          <w:sz w:val="16"/>
          <w:szCs w:val="16"/>
        </w:rPr>
      </w:pPr>
      <w:r w:rsidRPr="00043B7F">
        <w:rPr>
          <w:rStyle w:val="FootnoteReference"/>
          <w:sz w:val="16"/>
          <w:szCs w:val="16"/>
        </w:rPr>
        <w:footnoteRef/>
      </w:r>
      <w:r w:rsidRPr="00043B7F">
        <w:rPr>
          <w:sz w:val="16"/>
          <w:szCs w:val="16"/>
        </w:rPr>
        <w:t xml:space="preserve"> </w:t>
      </w:r>
      <w:r w:rsidR="006D6EFA" w:rsidRPr="00043B7F">
        <w:rPr>
          <w:sz w:val="16"/>
          <w:szCs w:val="16"/>
        </w:rPr>
        <w:t xml:space="preserve">B. Conti, Donne, Doubt and the Devotions Upon Emergent Occasions, </w:t>
      </w:r>
      <w:r w:rsidR="006D6EFA" w:rsidRPr="00043B7F">
        <w:rPr>
          <w:i/>
          <w:iCs/>
          <w:sz w:val="16"/>
          <w:szCs w:val="16"/>
        </w:rPr>
        <w:t>English Faculty Publications</w:t>
      </w:r>
      <w:r w:rsidR="006D6EFA" w:rsidRPr="00043B7F">
        <w:rPr>
          <w:sz w:val="16"/>
          <w:szCs w:val="16"/>
        </w:rPr>
        <w:t>, 81, (2003) 145-164</w:t>
      </w:r>
      <w:r w:rsidR="006D6EFA" w:rsidRPr="00043B7F">
        <w:rPr>
          <w:sz w:val="16"/>
          <w:szCs w:val="16"/>
        </w:rPr>
        <w:t>,</w:t>
      </w:r>
      <w:r w:rsidR="00A937EF" w:rsidRPr="00043B7F">
        <w:rPr>
          <w:sz w:val="16"/>
          <w:szCs w:val="16"/>
        </w:rPr>
        <w:t xml:space="preserve"> p.</w:t>
      </w:r>
      <w:r w:rsidR="006D6EFA" w:rsidRPr="00043B7F">
        <w:rPr>
          <w:sz w:val="16"/>
          <w:szCs w:val="16"/>
        </w:rPr>
        <w:t xml:space="preserve"> </w:t>
      </w:r>
      <w:r w:rsidR="00A937EF" w:rsidRPr="00043B7F">
        <w:rPr>
          <w:sz w:val="16"/>
          <w:szCs w:val="16"/>
        </w:rPr>
        <w:t xml:space="preserve">3 </w:t>
      </w:r>
      <w:r w:rsidR="00720548" w:rsidRPr="00043B7F">
        <w:rPr>
          <w:sz w:val="16"/>
          <w:szCs w:val="16"/>
        </w:rPr>
        <w:t xml:space="preserve">; </w:t>
      </w:r>
      <w:r w:rsidR="006D6EFA" w:rsidRPr="00043B7F">
        <w:rPr>
          <w:sz w:val="16"/>
          <w:szCs w:val="16"/>
        </w:rPr>
        <w:t xml:space="preserve">M. Papazian, Donne, Election, and the “Devotions Upon Emergent Occasions”, </w:t>
      </w:r>
      <w:r w:rsidR="006D6EFA" w:rsidRPr="00043B7F">
        <w:rPr>
          <w:i/>
          <w:iCs/>
          <w:sz w:val="16"/>
          <w:szCs w:val="16"/>
        </w:rPr>
        <w:t>Huntington Library Quarterly,</w:t>
      </w:r>
      <w:r w:rsidR="006D6EFA" w:rsidRPr="00043B7F">
        <w:rPr>
          <w:sz w:val="16"/>
          <w:szCs w:val="16"/>
        </w:rPr>
        <w:t xml:space="preserve"> 55, 4, (1992), 603-619</w:t>
      </w:r>
      <w:r w:rsidR="006D6EFA" w:rsidRPr="00043B7F">
        <w:rPr>
          <w:sz w:val="16"/>
          <w:szCs w:val="16"/>
        </w:rPr>
        <w:t>, p.</w:t>
      </w:r>
      <w:r w:rsidR="00720548" w:rsidRPr="00043B7F">
        <w:rPr>
          <w:sz w:val="16"/>
          <w:szCs w:val="16"/>
        </w:rPr>
        <w:t xml:space="preserve"> 604 </w:t>
      </w:r>
    </w:p>
  </w:footnote>
  <w:footnote w:id="5">
    <w:p w14:paraId="6901D71C" w14:textId="5048F5EC" w:rsidR="00720548" w:rsidRPr="00043B7F" w:rsidRDefault="00720548">
      <w:pPr>
        <w:pStyle w:val="FootnoteText"/>
        <w:rPr>
          <w:sz w:val="16"/>
          <w:szCs w:val="16"/>
        </w:rPr>
      </w:pPr>
      <w:r w:rsidRPr="00043B7F">
        <w:rPr>
          <w:rStyle w:val="FootnoteReference"/>
          <w:sz w:val="16"/>
          <w:szCs w:val="16"/>
        </w:rPr>
        <w:footnoteRef/>
      </w:r>
      <w:r w:rsidRPr="00043B7F">
        <w:rPr>
          <w:sz w:val="16"/>
          <w:szCs w:val="16"/>
        </w:rPr>
        <w:t xml:space="preserve"> Papazian</w:t>
      </w:r>
      <w:r w:rsidR="006D6EFA" w:rsidRPr="00043B7F">
        <w:rPr>
          <w:sz w:val="16"/>
          <w:szCs w:val="16"/>
        </w:rPr>
        <w:t>,</w:t>
      </w:r>
      <w:r w:rsidRPr="00043B7F">
        <w:rPr>
          <w:sz w:val="16"/>
          <w:szCs w:val="16"/>
        </w:rPr>
        <w:t xml:space="preserve"> p. 603</w:t>
      </w:r>
      <w:r w:rsidR="00A937EF" w:rsidRPr="00043B7F">
        <w:rPr>
          <w:sz w:val="16"/>
          <w:szCs w:val="16"/>
        </w:rPr>
        <w:t>; Conti</w:t>
      </w:r>
      <w:r w:rsidR="006D6EFA" w:rsidRPr="00043B7F">
        <w:rPr>
          <w:sz w:val="16"/>
          <w:szCs w:val="16"/>
        </w:rPr>
        <w:t>,</w:t>
      </w:r>
      <w:r w:rsidR="00A937EF" w:rsidRPr="00043B7F">
        <w:rPr>
          <w:sz w:val="16"/>
          <w:szCs w:val="16"/>
        </w:rPr>
        <w:t xml:space="preserve"> p. 1</w:t>
      </w:r>
    </w:p>
  </w:footnote>
  <w:footnote w:id="6">
    <w:p w14:paraId="255E18E8" w14:textId="7A63CCCB" w:rsidR="0065194A" w:rsidRPr="00043B7F" w:rsidRDefault="0065194A" w:rsidP="007312C9">
      <w:pPr>
        <w:pStyle w:val="NoSpacing"/>
        <w:rPr>
          <w:sz w:val="16"/>
          <w:szCs w:val="16"/>
        </w:rPr>
      </w:pPr>
      <w:r w:rsidRPr="00043B7F">
        <w:rPr>
          <w:rStyle w:val="FootnoteReference"/>
          <w:sz w:val="16"/>
          <w:szCs w:val="16"/>
        </w:rPr>
        <w:footnoteRef/>
      </w:r>
      <w:r w:rsidRPr="00043B7F">
        <w:rPr>
          <w:sz w:val="16"/>
          <w:szCs w:val="16"/>
        </w:rPr>
        <w:t xml:space="preserve"> </w:t>
      </w:r>
      <w:r w:rsidR="00E52D76" w:rsidRPr="00043B7F">
        <w:rPr>
          <w:sz w:val="16"/>
          <w:szCs w:val="16"/>
        </w:rPr>
        <w:t xml:space="preserve">E. </w:t>
      </w:r>
      <w:r w:rsidR="007312C9" w:rsidRPr="00043B7F">
        <w:rPr>
          <w:sz w:val="16"/>
          <w:szCs w:val="16"/>
        </w:rPr>
        <w:t xml:space="preserve">Vázquez-Espinosa, </w:t>
      </w:r>
      <w:r w:rsidR="00E52D76" w:rsidRPr="00043B7F">
        <w:rPr>
          <w:sz w:val="16"/>
          <w:szCs w:val="16"/>
        </w:rPr>
        <w:t>et al.,</w:t>
      </w:r>
      <w:r w:rsidR="007312C9" w:rsidRPr="00043B7F">
        <w:rPr>
          <w:sz w:val="16"/>
          <w:szCs w:val="16"/>
        </w:rPr>
        <w:t xml:space="preserve"> John Donne, Spanish Doctors and the epidemic typhus: fleas or </w:t>
      </w:r>
      <w:proofErr w:type="gramStart"/>
      <w:r w:rsidR="007312C9" w:rsidRPr="00043B7F">
        <w:rPr>
          <w:sz w:val="16"/>
          <w:szCs w:val="16"/>
        </w:rPr>
        <w:t>lice?,</w:t>
      </w:r>
      <w:proofErr w:type="gramEnd"/>
      <w:r w:rsidR="007312C9" w:rsidRPr="00043B7F">
        <w:rPr>
          <w:sz w:val="16"/>
          <w:szCs w:val="16"/>
        </w:rPr>
        <w:t xml:space="preserve"> </w:t>
      </w:r>
      <w:proofErr w:type="spellStart"/>
      <w:r w:rsidR="007312C9" w:rsidRPr="00043B7F">
        <w:rPr>
          <w:i/>
          <w:iCs/>
          <w:sz w:val="16"/>
          <w:szCs w:val="16"/>
        </w:rPr>
        <w:t>Revista</w:t>
      </w:r>
      <w:proofErr w:type="spellEnd"/>
      <w:r w:rsidR="007312C9" w:rsidRPr="00043B7F">
        <w:rPr>
          <w:i/>
          <w:iCs/>
          <w:sz w:val="16"/>
          <w:szCs w:val="16"/>
        </w:rPr>
        <w:t xml:space="preserve"> Española de </w:t>
      </w:r>
      <w:proofErr w:type="spellStart"/>
      <w:r w:rsidR="007312C9" w:rsidRPr="00043B7F">
        <w:rPr>
          <w:i/>
          <w:iCs/>
          <w:sz w:val="16"/>
          <w:szCs w:val="16"/>
        </w:rPr>
        <w:t>Quimioterapia</w:t>
      </w:r>
      <w:proofErr w:type="spellEnd"/>
      <w:r w:rsidR="007312C9" w:rsidRPr="00043B7F">
        <w:rPr>
          <w:sz w:val="16"/>
          <w:szCs w:val="16"/>
        </w:rPr>
        <w:t>, 33, (2020), 87-93</w:t>
      </w:r>
      <w:r w:rsidR="007312C9" w:rsidRPr="00043B7F">
        <w:rPr>
          <w:sz w:val="16"/>
          <w:szCs w:val="16"/>
        </w:rPr>
        <w:t>, pp. 87-93</w:t>
      </w:r>
    </w:p>
  </w:footnote>
  <w:footnote w:id="7">
    <w:p w14:paraId="4F5C732D" w14:textId="2B076549" w:rsidR="00BC02CF" w:rsidRDefault="00BC02CF">
      <w:pPr>
        <w:pStyle w:val="FootnoteText"/>
      </w:pPr>
      <w:r w:rsidRPr="00BC02CF">
        <w:rPr>
          <w:rStyle w:val="FootnoteReference"/>
          <w:sz w:val="16"/>
          <w:szCs w:val="16"/>
        </w:rPr>
        <w:footnoteRef/>
      </w:r>
      <w:r w:rsidRPr="00BC02CF">
        <w:rPr>
          <w:sz w:val="16"/>
          <w:szCs w:val="16"/>
        </w:rPr>
        <w:t xml:space="preserve"> Frost, p. 166</w:t>
      </w:r>
    </w:p>
  </w:footnote>
  <w:footnote w:id="8">
    <w:p w14:paraId="774DF0C5" w14:textId="4D265215" w:rsidR="005C0A39" w:rsidRPr="00043B7F" w:rsidRDefault="005C0A39" w:rsidP="00000EB6">
      <w:pPr>
        <w:pStyle w:val="NoSpacing"/>
        <w:rPr>
          <w:i/>
          <w:iCs/>
          <w:sz w:val="16"/>
          <w:szCs w:val="16"/>
        </w:rPr>
      </w:pPr>
      <w:r w:rsidRPr="00043B7F">
        <w:rPr>
          <w:rStyle w:val="FootnoteReference"/>
          <w:sz w:val="16"/>
          <w:szCs w:val="16"/>
        </w:rPr>
        <w:footnoteRef/>
      </w:r>
      <w:r w:rsidRPr="00043B7F">
        <w:rPr>
          <w:sz w:val="16"/>
          <w:szCs w:val="16"/>
        </w:rPr>
        <w:t xml:space="preserve"> </w:t>
      </w:r>
      <w:r w:rsidR="00000EB6" w:rsidRPr="00043B7F">
        <w:rPr>
          <w:sz w:val="16"/>
          <w:szCs w:val="16"/>
        </w:rPr>
        <w:t xml:space="preserve">J. Webber, The Prose Styles of John Donne’s Devotions Upon Emergent Occasions, </w:t>
      </w:r>
      <w:proofErr w:type="spellStart"/>
      <w:r w:rsidR="00000EB6" w:rsidRPr="00043B7F">
        <w:rPr>
          <w:i/>
          <w:iCs/>
          <w:sz w:val="16"/>
          <w:szCs w:val="16"/>
        </w:rPr>
        <w:t>Anglica</w:t>
      </w:r>
      <w:proofErr w:type="spellEnd"/>
      <w:r w:rsidR="00000EB6" w:rsidRPr="00043B7F">
        <w:rPr>
          <w:i/>
          <w:iCs/>
          <w:sz w:val="16"/>
          <w:szCs w:val="16"/>
        </w:rPr>
        <w:t>: Journal of English Philology,</w:t>
      </w:r>
      <w:r w:rsidR="00000EB6" w:rsidRPr="00043B7F">
        <w:rPr>
          <w:sz w:val="16"/>
          <w:szCs w:val="16"/>
        </w:rPr>
        <w:t xml:space="preserve"> 79, (1961)</w:t>
      </w:r>
      <w:r w:rsidR="00000EB6" w:rsidRPr="00043B7F">
        <w:rPr>
          <w:sz w:val="16"/>
          <w:szCs w:val="16"/>
        </w:rPr>
        <w:t>,</w:t>
      </w:r>
      <w:r w:rsidR="00000EB6" w:rsidRPr="00043B7F">
        <w:rPr>
          <w:sz w:val="16"/>
          <w:szCs w:val="16"/>
        </w:rPr>
        <w:t xml:space="preserve"> 138-152</w:t>
      </w:r>
      <w:r w:rsidR="00000EB6" w:rsidRPr="00043B7F">
        <w:rPr>
          <w:i/>
          <w:iCs/>
          <w:sz w:val="16"/>
          <w:szCs w:val="16"/>
        </w:rPr>
        <w:t xml:space="preserve">, </w:t>
      </w:r>
      <w:r w:rsidRPr="00043B7F">
        <w:rPr>
          <w:sz w:val="16"/>
          <w:szCs w:val="16"/>
        </w:rPr>
        <w:t>p</w:t>
      </w:r>
      <w:r w:rsidR="00000EB6" w:rsidRPr="00043B7F">
        <w:rPr>
          <w:sz w:val="16"/>
          <w:szCs w:val="16"/>
        </w:rPr>
        <w:t xml:space="preserve">. </w:t>
      </w:r>
      <w:r w:rsidRPr="00043B7F">
        <w:rPr>
          <w:sz w:val="16"/>
          <w:szCs w:val="16"/>
        </w:rPr>
        <w:t>143</w:t>
      </w:r>
    </w:p>
  </w:footnote>
  <w:footnote w:id="9">
    <w:p w14:paraId="727DFD9C" w14:textId="2EB73CFD" w:rsidR="00D43F7D" w:rsidRPr="00043B7F" w:rsidRDefault="00D43F7D">
      <w:pPr>
        <w:pStyle w:val="FootnoteText"/>
        <w:rPr>
          <w:sz w:val="16"/>
          <w:szCs w:val="16"/>
        </w:rPr>
      </w:pPr>
      <w:r w:rsidRPr="00043B7F">
        <w:rPr>
          <w:rStyle w:val="FootnoteReference"/>
          <w:sz w:val="16"/>
          <w:szCs w:val="16"/>
        </w:rPr>
        <w:footnoteRef/>
      </w:r>
      <w:r w:rsidRPr="00043B7F">
        <w:rPr>
          <w:sz w:val="16"/>
          <w:szCs w:val="16"/>
        </w:rPr>
        <w:t xml:space="preserve"> </w:t>
      </w:r>
      <w:r w:rsidR="007312C9" w:rsidRPr="00043B7F">
        <w:rPr>
          <w:sz w:val="16"/>
          <w:szCs w:val="16"/>
        </w:rPr>
        <w:t>Vázquez-Espinosa</w:t>
      </w:r>
      <w:r w:rsidR="007312C9" w:rsidRPr="00043B7F">
        <w:rPr>
          <w:sz w:val="16"/>
          <w:szCs w:val="16"/>
        </w:rPr>
        <w:t>, et al., pp. 87-93</w:t>
      </w:r>
    </w:p>
  </w:footnote>
  <w:footnote w:id="10">
    <w:p w14:paraId="14ED495F" w14:textId="22271935" w:rsidR="00885DCB" w:rsidRPr="00043B7F" w:rsidRDefault="00885DCB">
      <w:pPr>
        <w:pStyle w:val="FootnoteText"/>
        <w:rPr>
          <w:sz w:val="16"/>
          <w:szCs w:val="16"/>
        </w:rPr>
      </w:pPr>
      <w:r w:rsidRPr="00043B7F">
        <w:rPr>
          <w:rStyle w:val="FootnoteReference"/>
          <w:sz w:val="16"/>
          <w:szCs w:val="16"/>
        </w:rPr>
        <w:footnoteRef/>
      </w:r>
      <w:r w:rsidRPr="00043B7F">
        <w:rPr>
          <w:sz w:val="16"/>
          <w:szCs w:val="16"/>
        </w:rPr>
        <w:t xml:space="preserve"> Conti</w:t>
      </w:r>
      <w:r w:rsidR="006D6EFA" w:rsidRPr="00043B7F">
        <w:rPr>
          <w:sz w:val="16"/>
          <w:szCs w:val="16"/>
        </w:rPr>
        <w:t>,</w:t>
      </w:r>
      <w:r w:rsidRPr="00043B7F">
        <w:rPr>
          <w:sz w:val="16"/>
          <w:szCs w:val="16"/>
        </w:rPr>
        <w:t xml:space="preserve"> p.</w:t>
      </w:r>
      <w:r w:rsidR="006D6EFA" w:rsidRPr="00043B7F">
        <w:rPr>
          <w:sz w:val="16"/>
          <w:szCs w:val="16"/>
        </w:rPr>
        <w:t xml:space="preserve"> </w:t>
      </w:r>
      <w:r w:rsidRPr="00043B7F">
        <w:rPr>
          <w:sz w:val="16"/>
          <w:szCs w:val="16"/>
        </w:rPr>
        <w:t>6</w:t>
      </w:r>
    </w:p>
  </w:footnote>
  <w:footnote w:id="11">
    <w:p w14:paraId="150CA543" w14:textId="24B20697" w:rsidR="00FC774A" w:rsidRPr="00043B7F" w:rsidRDefault="00FC774A" w:rsidP="006D6EFA">
      <w:pPr>
        <w:pStyle w:val="NoSpacing"/>
        <w:rPr>
          <w:sz w:val="16"/>
          <w:szCs w:val="16"/>
        </w:rPr>
      </w:pPr>
      <w:r w:rsidRPr="00043B7F">
        <w:rPr>
          <w:rStyle w:val="FootnoteReference"/>
          <w:sz w:val="16"/>
          <w:szCs w:val="16"/>
        </w:rPr>
        <w:footnoteRef/>
      </w:r>
      <w:r w:rsidRPr="00043B7F">
        <w:rPr>
          <w:sz w:val="16"/>
          <w:szCs w:val="16"/>
        </w:rPr>
        <w:t xml:space="preserve"> </w:t>
      </w:r>
      <w:r w:rsidR="006D6EFA" w:rsidRPr="00043B7F">
        <w:rPr>
          <w:sz w:val="16"/>
          <w:szCs w:val="16"/>
        </w:rPr>
        <w:t xml:space="preserve">E. Tucker, Donne’s Apocalyptic Style: A Contextual Analysis of “Devotions Upon Emergent Occasions”, </w:t>
      </w:r>
      <w:r w:rsidR="006D6EFA" w:rsidRPr="00043B7F">
        <w:rPr>
          <w:i/>
          <w:iCs/>
          <w:sz w:val="16"/>
          <w:szCs w:val="16"/>
        </w:rPr>
        <w:t xml:space="preserve">Interpretations, </w:t>
      </w:r>
      <w:r w:rsidR="006D6EFA" w:rsidRPr="00043B7F">
        <w:rPr>
          <w:sz w:val="16"/>
          <w:szCs w:val="16"/>
        </w:rPr>
        <w:t>12, 1, (1980), 92-99</w:t>
      </w:r>
      <w:r w:rsidR="006D6EFA" w:rsidRPr="00043B7F">
        <w:rPr>
          <w:sz w:val="16"/>
          <w:szCs w:val="16"/>
        </w:rPr>
        <w:t>, p.</w:t>
      </w:r>
      <w:r w:rsidRPr="00043B7F">
        <w:rPr>
          <w:sz w:val="16"/>
          <w:szCs w:val="16"/>
        </w:rPr>
        <w:t xml:space="preserve"> 98</w:t>
      </w:r>
    </w:p>
  </w:footnote>
  <w:footnote w:id="12">
    <w:p w14:paraId="3679A469" w14:textId="2C114B87" w:rsidR="00B72904" w:rsidRPr="00043B7F" w:rsidRDefault="00B72904" w:rsidP="006D6EFA">
      <w:pPr>
        <w:pStyle w:val="NoSpacing"/>
        <w:rPr>
          <w:sz w:val="16"/>
          <w:szCs w:val="16"/>
        </w:rPr>
      </w:pPr>
      <w:r w:rsidRPr="00043B7F">
        <w:rPr>
          <w:rStyle w:val="FootnoteReference"/>
          <w:sz w:val="16"/>
          <w:szCs w:val="16"/>
        </w:rPr>
        <w:footnoteRef/>
      </w:r>
      <w:r w:rsidRPr="00043B7F">
        <w:rPr>
          <w:sz w:val="16"/>
          <w:szCs w:val="16"/>
        </w:rPr>
        <w:t xml:space="preserve"> </w:t>
      </w:r>
      <w:r w:rsidR="006D6EFA" w:rsidRPr="00043B7F">
        <w:rPr>
          <w:sz w:val="16"/>
          <w:szCs w:val="16"/>
        </w:rPr>
        <w:t xml:space="preserve">J. Mueller, The Exegesis of Experience: Dean Donne’s “Devotions Upon Emergent Occasions”, </w:t>
      </w:r>
      <w:r w:rsidR="006D6EFA" w:rsidRPr="00043B7F">
        <w:rPr>
          <w:i/>
          <w:iCs/>
          <w:sz w:val="16"/>
          <w:szCs w:val="16"/>
        </w:rPr>
        <w:t xml:space="preserve">The Journal of English and Germanic Philology, </w:t>
      </w:r>
      <w:r w:rsidR="006D6EFA" w:rsidRPr="00043B7F">
        <w:rPr>
          <w:sz w:val="16"/>
          <w:szCs w:val="16"/>
        </w:rPr>
        <w:t>67, 1, (1968), 1-19</w:t>
      </w:r>
      <w:r w:rsidR="006D6EFA" w:rsidRPr="00043B7F">
        <w:rPr>
          <w:sz w:val="16"/>
          <w:szCs w:val="16"/>
        </w:rPr>
        <w:t>, p.</w:t>
      </w:r>
      <w:r w:rsidRPr="00043B7F">
        <w:rPr>
          <w:sz w:val="16"/>
          <w:szCs w:val="16"/>
        </w:rPr>
        <w:t xml:space="preserve"> 3</w:t>
      </w:r>
    </w:p>
  </w:footnote>
  <w:footnote w:id="13">
    <w:p w14:paraId="7E134742" w14:textId="18F967D4" w:rsidR="005C0A39" w:rsidRPr="00043B7F" w:rsidRDefault="005C0A39" w:rsidP="00C339B5">
      <w:pPr>
        <w:pStyle w:val="NoSpacing"/>
        <w:rPr>
          <w:sz w:val="16"/>
          <w:szCs w:val="16"/>
        </w:rPr>
      </w:pPr>
      <w:r w:rsidRPr="00043B7F">
        <w:rPr>
          <w:rStyle w:val="FootnoteReference"/>
          <w:sz w:val="16"/>
          <w:szCs w:val="16"/>
        </w:rPr>
        <w:footnoteRef/>
      </w:r>
      <w:r w:rsidRPr="00043B7F">
        <w:rPr>
          <w:sz w:val="16"/>
          <w:szCs w:val="16"/>
        </w:rPr>
        <w:t xml:space="preserve"> </w:t>
      </w:r>
      <w:r w:rsidR="00000EB6" w:rsidRPr="00043B7F">
        <w:rPr>
          <w:sz w:val="16"/>
          <w:szCs w:val="16"/>
        </w:rPr>
        <w:t xml:space="preserve">M. Horn, John Donne, Godly Inscription and Permanency of Self in “Devotions Upon Emergent Occasions”, </w:t>
      </w:r>
      <w:r w:rsidR="00000EB6" w:rsidRPr="00043B7F">
        <w:rPr>
          <w:i/>
          <w:iCs/>
          <w:sz w:val="16"/>
          <w:szCs w:val="16"/>
        </w:rPr>
        <w:t>Renaissance Studies,</w:t>
      </w:r>
      <w:r w:rsidR="00000EB6" w:rsidRPr="00043B7F">
        <w:rPr>
          <w:sz w:val="16"/>
          <w:szCs w:val="16"/>
        </w:rPr>
        <w:t xml:space="preserve"> 24, 3, (2010), 365-380, p. 365</w:t>
      </w:r>
      <w:r w:rsidR="00000EB6" w:rsidRPr="00043B7F">
        <w:rPr>
          <w:sz w:val="16"/>
          <w:szCs w:val="16"/>
        </w:rPr>
        <w:t>; W</w:t>
      </w:r>
      <w:r w:rsidRPr="00043B7F">
        <w:rPr>
          <w:sz w:val="16"/>
          <w:szCs w:val="16"/>
        </w:rPr>
        <w:t>ebber</w:t>
      </w:r>
      <w:r w:rsidR="00000EB6" w:rsidRPr="00043B7F">
        <w:rPr>
          <w:sz w:val="16"/>
          <w:szCs w:val="16"/>
        </w:rPr>
        <w:t>,</w:t>
      </w:r>
      <w:r w:rsidRPr="00043B7F">
        <w:rPr>
          <w:sz w:val="16"/>
          <w:szCs w:val="16"/>
        </w:rPr>
        <w:t xml:space="preserve"> </w:t>
      </w:r>
      <w:r w:rsidR="00000EB6" w:rsidRPr="00043B7F">
        <w:rPr>
          <w:sz w:val="16"/>
          <w:szCs w:val="16"/>
        </w:rPr>
        <w:t>p</w:t>
      </w:r>
      <w:r w:rsidRPr="00043B7F">
        <w:rPr>
          <w:sz w:val="16"/>
          <w:szCs w:val="16"/>
        </w:rPr>
        <w:t>.</w:t>
      </w:r>
      <w:r w:rsidR="00000EB6" w:rsidRPr="00043B7F">
        <w:rPr>
          <w:sz w:val="16"/>
          <w:szCs w:val="16"/>
        </w:rPr>
        <w:t xml:space="preserve"> </w:t>
      </w:r>
      <w:r w:rsidRPr="00043B7F">
        <w:rPr>
          <w:sz w:val="16"/>
          <w:szCs w:val="16"/>
        </w:rPr>
        <w:t>141</w:t>
      </w:r>
      <w:r w:rsidR="00885DCB" w:rsidRPr="00043B7F">
        <w:rPr>
          <w:sz w:val="16"/>
          <w:szCs w:val="16"/>
        </w:rPr>
        <w:t>; Conti</w:t>
      </w:r>
      <w:r w:rsidR="00000EB6" w:rsidRPr="00043B7F">
        <w:rPr>
          <w:sz w:val="16"/>
          <w:szCs w:val="16"/>
        </w:rPr>
        <w:t>,</w:t>
      </w:r>
      <w:r w:rsidR="00885DCB" w:rsidRPr="00043B7F">
        <w:rPr>
          <w:sz w:val="16"/>
          <w:szCs w:val="16"/>
        </w:rPr>
        <w:t xml:space="preserve"> pp. 6-9</w:t>
      </w:r>
      <w:r w:rsidR="00FA7814" w:rsidRPr="00043B7F">
        <w:rPr>
          <w:sz w:val="16"/>
          <w:szCs w:val="16"/>
        </w:rPr>
        <w:t xml:space="preserve"> </w:t>
      </w:r>
    </w:p>
  </w:footnote>
  <w:footnote w:id="14">
    <w:p w14:paraId="041BC1A8" w14:textId="15868D26" w:rsidR="00A937EF" w:rsidRPr="00043B7F" w:rsidRDefault="00A937EF" w:rsidP="00A937EF">
      <w:pPr>
        <w:pStyle w:val="FootnoteText"/>
        <w:rPr>
          <w:sz w:val="16"/>
          <w:szCs w:val="16"/>
        </w:rPr>
      </w:pPr>
      <w:r w:rsidRPr="00043B7F">
        <w:rPr>
          <w:rStyle w:val="FootnoteReference"/>
          <w:sz w:val="16"/>
          <w:szCs w:val="16"/>
        </w:rPr>
        <w:footnoteRef/>
      </w:r>
      <w:r w:rsidRPr="00043B7F">
        <w:rPr>
          <w:sz w:val="16"/>
          <w:szCs w:val="16"/>
        </w:rPr>
        <w:t xml:space="preserve"> Webber</w:t>
      </w:r>
      <w:r w:rsidR="00000EB6" w:rsidRPr="00043B7F">
        <w:rPr>
          <w:sz w:val="16"/>
          <w:szCs w:val="16"/>
        </w:rPr>
        <w:t xml:space="preserve">, p. </w:t>
      </w:r>
      <w:r w:rsidRPr="00043B7F">
        <w:rPr>
          <w:sz w:val="16"/>
          <w:szCs w:val="16"/>
        </w:rPr>
        <w:t>152</w:t>
      </w:r>
    </w:p>
  </w:footnote>
  <w:footnote w:id="15">
    <w:p w14:paraId="4215F91C" w14:textId="605309F3" w:rsidR="007A6092" w:rsidRPr="00043B7F" w:rsidRDefault="007A6092">
      <w:pPr>
        <w:pStyle w:val="FootnoteText"/>
        <w:rPr>
          <w:sz w:val="16"/>
          <w:szCs w:val="16"/>
        </w:rPr>
      </w:pPr>
      <w:r w:rsidRPr="00043B7F">
        <w:rPr>
          <w:rStyle w:val="FootnoteReference"/>
          <w:sz w:val="16"/>
          <w:szCs w:val="16"/>
        </w:rPr>
        <w:footnoteRef/>
      </w:r>
      <w:r w:rsidRPr="00043B7F">
        <w:rPr>
          <w:sz w:val="16"/>
          <w:szCs w:val="16"/>
        </w:rPr>
        <w:t xml:space="preserve"> Horn</w:t>
      </w:r>
      <w:r w:rsidR="00C339B5" w:rsidRPr="00043B7F">
        <w:rPr>
          <w:sz w:val="16"/>
          <w:szCs w:val="16"/>
        </w:rPr>
        <w:t>,</w:t>
      </w:r>
      <w:r w:rsidRPr="00043B7F">
        <w:rPr>
          <w:sz w:val="16"/>
          <w:szCs w:val="16"/>
        </w:rPr>
        <w:t xml:space="preserve"> p.</w:t>
      </w:r>
      <w:r w:rsidR="00C339B5" w:rsidRPr="00043B7F">
        <w:rPr>
          <w:sz w:val="16"/>
          <w:szCs w:val="16"/>
        </w:rPr>
        <w:t xml:space="preserve"> </w:t>
      </w:r>
      <w:r w:rsidRPr="00043B7F">
        <w:rPr>
          <w:sz w:val="16"/>
          <w:szCs w:val="16"/>
        </w:rPr>
        <w:t>366</w:t>
      </w:r>
    </w:p>
  </w:footnote>
  <w:footnote w:id="16">
    <w:p w14:paraId="4C655F39" w14:textId="336261EA" w:rsidR="007A6092" w:rsidRPr="00043B7F" w:rsidRDefault="007A6092">
      <w:pPr>
        <w:pStyle w:val="FootnoteText"/>
        <w:rPr>
          <w:sz w:val="16"/>
          <w:szCs w:val="16"/>
        </w:rPr>
      </w:pPr>
      <w:r w:rsidRPr="00043B7F">
        <w:rPr>
          <w:rStyle w:val="FootnoteReference"/>
          <w:sz w:val="16"/>
          <w:szCs w:val="16"/>
        </w:rPr>
        <w:footnoteRef/>
      </w:r>
      <w:r w:rsidRPr="00043B7F">
        <w:rPr>
          <w:sz w:val="16"/>
          <w:szCs w:val="16"/>
        </w:rPr>
        <w:t xml:space="preserve"> Horn</w:t>
      </w:r>
      <w:r w:rsidR="00C339B5" w:rsidRPr="00043B7F">
        <w:rPr>
          <w:sz w:val="16"/>
          <w:szCs w:val="16"/>
        </w:rPr>
        <w:t>,</w:t>
      </w:r>
      <w:r w:rsidRPr="00043B7F">
        <w:rPr>
          <w:sz w:val="16"/>
          <w:szCs w:val="16"/>
        </w:rPr>
        <w:t xml:space="preserve"> p</w:t>
      </w:r>
      <w:r w:rsidR="00C339B5" w:rsidRPr="00043B7F">
        <w:rPr>
          <w:sz w:val="16"/>
          <w:szCs w:val="16"/>
        </w:rPr>
        <w:t>p</w:t>
      </w:r>
      <w:r w:rsidRPr="00043B7F">
        <w:rPr>
          <w:sz w:val="16"/>
          <w:szCs w:val="16"/>
        </w:rPr>
        <w:t>.</w:t>
      </w:r>
      <w:r w:rsidR="00C339B5" w:rsidRPr="00043B7F">
        <w:rPr>
          <w:sz w:val="16"/>
          <w:szCs w:val="16"/>
        </w:rPr>
        <w:t xml:space="preserve"> </w:t>
      </w:r>
      <w:r w:rsidRPr="00043B7F">
        <w:rPr>
          <w:sz w:val="16"/>
          <w:szCs w:val="16"/>
        </w:rPr>
        <w:t>366-367</w:t>
      </w:r>
    </w:p>
  </w:footnote>
  <w:footnote w:id="17">
    <w:p w14:paraId="47902F3D" w14:textId="290077D3" w:rsidR="00385348" w:rsidRPr="00043B7F" w:rsidRDefault="00385348">
      <w:pPr>
        <w:pStyle w:val="FootnoteText"/>
        <w:rPr>
          <w:sz w:val="16"/>
          <w:szCs w:val="16"/>
        </w:rPr>
      </w:pPr>
      <w:r w:rsidRPr="00043B7F">
        <w:rPr>
          <w:rStyle w:val="FootnoteReference"/>
          <w:sz w:val="16"/>
          <w:szCs w:val="16"/>
        </w:rPr>
        <w:footnoteRef/>
      </w:r>
      <w:r w:rsidRPr="00043B7F">
        <w:rPr>
          <w:sz w:val="16"/>
          <w:szCs w:val="16"/>
        </w:rPr>
        <w:t xml:space="preserve"> Donne</w:t>
      </w:r>
      <w:r w:rsidR="009558BB" w:rsidRPr="00043B7F">
        <w:rPr>
          <w:sz w:val="16"/>
          <w:szCs w:val="16"/>
        </w:rPr>
        <w:t xml:space="preserve">, p. 60 </w:t>
      </w:r>
    </w:p>
  </w:footnote>
  <w:footnote w:id="18">
    <w:p w14:paraId="11FCDB03" w14:textId="2F414D77" w:rsidR="005D4F77" w:rsidRPr="00043B7F" w:rsidRDefault="005D4F77">
      <w:pPr>
        <w:pStyle w:val="FootnoteText"/>
        <w:rPr>
          <w:sz w:val="16"/>
          <w:szCs w:val="16"/>
        </w:rPr>
      </w:pPr>
      <w:r w:rsidRPr="00043B7F">
        <w:rPr>
          <w:rStyle w:val="FootnoteReference"/>
          <w:sz w:val="16"/>
          <w:szCs w:val="16"/>
        </w:rPr>
        <w:footnoteRef/>
      </w:r>
      <w:r w:rsidRPr="00043B7F">
        <w:rPr>
          <w:sz w:val="16"/>
          <w:szCs w:val="16"/>
        </w:rPr>
        <w:t xml:space="preserve"> </w:t>
      </w:r>
      <w:r w:rsidR="009558BB" w:rsidRPr="00043B7F">
        <w:rPr>
          <w:sz w:val="16"/>
          <w:szCs w:val="16"/>
        </w:rPr>
        <w:t>Donne, p. 60</w:t>
      </w:r>
    </w:p>
  </w:footnote>
  <w:footnote w:id="19">
    <w:p w14:paraId="112A06DD" w14:textId="4B3BD8D5" w:rsidR="005D4F77" w:rsidRPr="00043B7F" w:rsidRDefault="005D4F77">
      <w:pPr>
        <w:pStyle w:val="FootnoteText"/>
        <w:rPr>
          <w:sz w:val="16"/>
          <w:szCs w:val="16"/>
        </w:rPr>
      </w:pPr>
      <w:r w:rsidRPr="00043B7F">
        <w:rPr>
          <w:rStyle w:val="FootnoteReference"/>
          <w:sz w:val="16"/>
          <w:szCs w:val="16"/>
        </w:rPr>
        <w:footnoteRef/>
      </w:r>
      <w:r w:rsidRPr="00043B7F">
        <w:rPr>
          <w:sz w:val="16"/>
          <w:szCs w:val="16"/>
        </w:rPr>
        <w:t xml:space="preserve"> </w:t>
      </w:r>
      <w:r w:rsidR="009558BB" w:rsidRPr="00043B7F">
        <w:rPr>
          <w:sz w:val="16"/>
          <w:szCs w:val="16"/>
        </w:rPr>
        <w:t>Donne, p. 66</w:t>
      </w:r>
    </w:p>
  </w:footnote>
  <w:footnote w:id="20">
    <w:p w14:paraId="1B13F80C" w14:textId="4FDB56BF" w:rsidR="00F45DBC" w:rsidRPr="00043B7F" w:rsidRDefault="00F45DBC">
      <w:pPr>
        <w:pStyle w:val="FootnoteText"/>
        <w:rPr>
          <w:sz w:val="16"/>
          <w:szCs w:val="16"/>
        </w:rPr>
      </w:pPr>
      <w:r w:rsidRPr="00043B7F">
        <w:rPr>
          <w:rStyle w:val="FootnoteReference"/>
          <w:sz w:val="16"/>
          <w:szCs w:val="16"/>
        </w:rPr>
        <w:footnoteRef/>
      </w:r>
      <w:r w:rsidRPr="00043B7F">
        <w:rPr>
          <w:sz w:val="16"/>
          <w:szCs w:val="16"/>
        </w:rPr>
        <w:t xml:space="preserve"> Tucker</w:t>
      </w:r>
      <w:r w:rsidR="006D6EFA" w:rsidRPr="00043B7F">
        <w:rPr>
          <w:sz w:val="16"/>
          <w:szCs w:val="16"/>
        </w:rPr>
        <w:t>, p.</w:t>
      </w:r>
      <w:r w:rsidRPr="00043B7F">
        <w:rPr>
          <w:sz w:val="16"/>
          <w:szCs w:val="16"/>
        </w:rPr>
        <w:t xml:space="preserve"> 94</w:t>
      </w:r>
    </w:p>
  </w:footnote>
  <w:footnote w:id="21">
    <w:p w14:paraId="174E53EA" w14:textId="33B656E9" w:rsidR="00064A60" w:rsidRPr="00043B7F" w:rsidRDefault="00064A60">
      <w:pPr>
        <w:pStyle w:val="FootnoteText"/>
        <w:rPr>
          <w:sz w:val="16"/>
          <w:szCs w:val="16"/>
        </w:rPr>
      </w:pPr>
      <w:r w:rsidRPr="00043B7F">
        <w:rPr>
          <w:rStyle w:val="FootnoteReference"/>
          <w:sz w:val="16"/>
          <w:szCs w:val="16"/>
        </w:rPr>
        <w:footnoteRef/>
      </w:r>
      <w:r w:rsidRPr="00043B7F">
        <w:rPr>
          <w:sz w:val="16"/>
          <w:szCs w:val="16"/>
        </w:rPr>
        <w:t xml:space="preserve"> </w:t>
      </w:r>
      <w:r w:rsidR="009558BB" w:rsidRPr="00043B7F">
        <w:rPr>
          <w:sz w:val="16"/>
          <w:szCs w:val="16"/>
        </w:rPr>
        <w:t>Donne, pp. 64-65</w:t>
      </w:r>
    </w:p>
  </w:footnote>
  <w:footnote w:id="22">
    <w:p w14:paraId="1F8B6033" w14:textId="575D35F4" w:rsidR="00575C5E" w:rsidRPr="00043B7F" w:rsidRDefault="00575C5E">
      <w:pPr>
        <w:pStyle w:val="FootnoteText"/>
        <w:rPr>
          <w:sz w:val="16"/>
          <w:szCs w:val="16"/>
        </w:rPr>
      </w:pPr>
      <w:r w:rsidRPr="00043B7F">
        <w:rPr>
          <w:rStyle w:val="FootnoteReference"/>
          <w:sz w:val="16"/>
          <w:szCs w:val="16"/>
        </w:rPr>
        <w:footnoteRef/>
      </w:r>
      <w:r w:rsidRPr="00043B7F">
        <w:rPr>
          <w:sz w:val="16"/>
          <w:szCs w:val="16"/>
        </w:rPr>
        <w:t xml:space="preserve"> </w:t>
      </w:r>
      <w:r w:rsidR="009558BB" w:rsidRPr="00043B7F">
        <w:rPr>
          <w:sz w:val="16"/>
          <w:szCs w:val="16"/>
        </w:rPr>
        <w:t>Donne, pp. 145-146</w:t>
      </w:r>
    </w:p>
  </w:footnote>
  <w:footnote w:id="23">
    <w:p w14:paraId="215FF3DE" w14:textId="2DEBC69B" w:rsidR="00575C5E" w:rsidRPr="00043B7F" w:rsidRDefault="00575C5E">
      <w:pPr>
        <w:pStyle w:val="FootnoteText"/>
        <w:rPr>
          <w:sz w:val="16"/>
          <w:szCs w:val="16"/>
        </w:rPr>
      </w:pPr>
      <w:r w:rsidRPr="00043B7F">
        <w:rPr>
          <w:rStyle w:val="FootnoteReference"/>
          <w:sz w:val="16"/>
          <w:szCs w:val="16"/>
        </w:rPr>
        <w:footnoteRef/>
      </w:r>
      <w:r w:rsidRPr="00043B7F">
        <w:rPr>
          <w:sz w:val="16"/>
          <w:szCs w:val="16"/>
        </w:rPr>
        <w:t xml:space="preserve"> </w:t>
      </w:r>
      <w:r w:rsidR="009558BB" w:rsidRPr="00043B7F">
        <w:rPr>
          <w:sz w:val="16"/>
          <w:szCs w:val="16"/>
        </w:rPr>
        <w:t>Donne, p. 146</w:t>
      </w:r>
    </w:p>
  </w:footnote>
  <w:footnote w:id="24">
    <w:p w14:paraId="4BF9B133" w14:textId="5F08C0F6" w:rsidR="00B42D74" w:rsidRPr="00043B7F" w:rsidRDefault="00B42D74" w:rsidP="00000EB6">
      <w:pPr>
        <w:pStyle w:val="NoSpacing"/>
        <w:rPr>
          <w:sz w:val="16"/>
          <w:szCs w:val="16"/>
        </w:rPr>
      </w:pPr>
      <w:r w:rsidRPr="00043B7F">
        <w:rPr>
          <w:rStyle w:val="FootnoteReference"/>
          <w:sz w:val="16"/>
          <w:szCs w:val="16"/>
        </w:rPr>
        <w:footnoteRef/>
      </w:r>
      <w:r w:rsidRPr="00043B7F">
        <w:rPr>
          <w:sz w:val="16"/>
          <w:szCs w:val="16"/>
        </w:rPr>
        <w:t xml:space="preserve"> </w:t>
      </w:r>
      <w:r w:rsidR="00000EB6" w:rsidRPr="00043B7F">
        <w:rPr>
          <w:sz w:val="16"/>
          <w:szCs w:val="16"/>
        </w:rPr>
        <w:t xml:space="preserve">J. Goldberg, The understanding of Sickness in Donne’s Devotions, </w:t>
      </w:r>
      <w:r w:rsidR="00000EB6" w:rsidRPr="00043B7F">
        <w:rPr>
          <w:i/>
          <w:iCs/>
          <w:sz w:val="16"/>
          <w:szCs w:val="16"/>
        </w:rPr>
        <w:t>Renaissance Quarterly</w:t>
      </w:r>
      <w:r w:rsidR="00000EB6" w:rsidRPr="00043B7F">
        <w:rPr>
          <w:sz w:val="16"/>
          <w:szCs w:val="16"/>
        </w:rPr>
        <w:t>, 24, 4, (1971) 507-517</w:t>
      </w:r>
      <w:r w:rsidR="00000EB6" w:rsidRPr="00043B7F">
        <w:rPr>
          <w:sz w:val="16"/>
          <w:szCs w:val="16"/>
        </w:rPr>
        <w:t>,</w:t>
      </w:r>
      <w:r w:rsidR="00FA7814" w:rsidRPr="00043B7F">
        <w:rPr>
          <w:sz w:val="16"/>
          <w:szCs w:val="16"/>
        </w:rPr>
        <w:t xml:space="preserve"> p.</w:t>
      </w:r>
      <w:r w:rsidR="00000EB6" w:rsidRPr="00043B7F">
        <w:rPr>
          <w:sz w:val="16"/>
          <w:szCs w:val="16"/>
        </w:rPr>
        <w:t xml:space="preserve"> </w:t>
      </w:r>
      <w:r w:rsidR="00FA7814" w:rsidRPr="00043B7F">
        <w:rPr>
          <w:sz w:val="16"/>
          <w:szCs w:val="16"/>
        </w:rPr>
        <w:t xml:space="preserve">516; </w:t>
      </w:r>
      <w:r w:rsidR="005F4E8F" w:rsidRPr="00043B7F">
        <w:rPr>
          <w:sz w:val="16"/>
          <w:szCs w:val="16"/>
        </w:rPr>
        <w:t>Tucker</w:t>
      </w:r>
      <w:r w:rsidR="006D6EFA" w:rsidRPr="00043B7F">
        <w:rPr>
          <w:sz w:val="16"/>
          <w:szCs w:val="16"/>
        </w:rPr>
        <w:t>,</w:t>
      </w:r>
      <w:r w:rsidR="005F4E8F" w:rsidRPr="00043B7F">
        <w:rPr>
          <w:sz w:val="16"/>
          <w:szCs w:val="16"/>
        </w:rPr>
        <w:t xml:space="preserve"> p.</w:t>
      </w:r>
      <w:r w:rsidR="006D6EFA" w:rsidRPr="00043B7F">
        <w:rPr>
          <w:sz w:val="16"/>
          <w:szCs w:val="16"/>
        </w:rPr>
        <w:t xml:space="preserve"> </w:t>
      </w:r>
      <w:r w:rsidR="005F4E8F" w:rsidRPr="00043B7F">
        <w:rPr>
          <w:sz w:val="16"/>
          <w:szCs w:val="16"/>
        </w:rPr>
        <w:t>96</w:t>
      </w:r>
    </w:p>
  </w:footnote>
  <w:footnote w:id="25">
    <w:p w14:paraId="34A35C50" w14:textId="1E3C8122" w:rsidR="00445C1E" w:rsidRPr="00043B7F" w:rsidRDefault="00445C1E">
      <w:pPr>
        <w:pStyle w:val="FootnoteText"/>
        <w:rPr>
          <w:sz w:val="16"/>
          <w:szCs w:val="16"/>
        </w:rPr>
      </w:pPr>
      <w:r w:rsidRPr="00043B7F">
        <w:rPr>
          <w:rStyle w:val="FootnoteReference"/>
          <w:sz w:val="16"/>
          <w:szCs w:val="16"/>
        </w:rPr>
        <w:footnoteRef/>
      </w:r>
      <w:r w:rsidRPr="00043B7F">
        <w:rPr>
          <w:sz w:val="16"/>
          <w:szCs w:val="16"/>
        </w:rPr>
        <w:t xml:space="preserve"> Tucker</w:t>
      </w:r>
      <w:r w:rsidR="006D6EFA" w:rsidRPr="00043B7F">
        <w:rPr>
          <w:sz w:val="16"/>
          <w:szCs w:val="16"/>
        </w:rPr>
        <w:t>, pp.</w:t>
      </w:r>
      <w:r w:rsidRPr="00043B7F">
        <w:rPr>
          <w:sz w:val="16"/>
          <w:szCs w:val="16"/>
        </w:rPr>
        <w:t xml:space="preserve"> 95-96</w:t>
      </w:r>
    </w:p>
  </w:footnote>
  <w:footnote w:id="26">
    <w:p w14:paraId="7D53FD1A" w14:textId="27147870" w:rsidR="00087923" w:rsidRPr="00043B7F" w:rsidRDefault="00087923">
      <w:pPr>
        <w:pStyle w:val="FootnoteText"/>
        <w:rPr>
          <w:sz w:val="16"/>
          <w:szCs w:val="16"/>
        </w:rPr>
      </w:pPr>
      <w:r w:rsidRPr="00043B7F">
        <w:rPr>
          <w:rStyle w:val="FootnoteReference"/>
          <w:sz w:val="16"/>
          <w:szCs w:val="16"/>
        </w:rPr>
        <w:footnoteRef/>
      </w:r>
      <w:r w:rsidRPr="00043B7F">
        <w:rPr>
          <w:sz w:val="16"/>
          <w:szCs w:val="16"/>
        </w:rPr>
        <w:t xml:space="preserve"> </w:t>
      </w:r>
      <w:r w:rsidR="009558BB" w:rsidRPr="00043B7F">
        <w:rPr>
          <w:sz w:val="16"/>
          <w:szCs w:val="16"/>
        </w:rPr>
        <w:t>Donne, p. 91</w:t>
      </w:r>
    </w:p>
  </w:footnote>
  <w:footnote w:id="27">
    <w:p w14:paraId="31229B37" w14:textId="31B4C53D" w:rsidR="002C762F" w:rsidRPr="00043B7F" w:rsidRDefault="002C762F">
      <w:pPr>
        <w:pStyle w:val="FootnoteText"/>
        <w:rPr>
          <w:sz w:val="16"/>
          <w:szCs w:val="16"/>
        </w:rPr>
      </w:pPr>
      <w:r w:rsidRPr="00043B7F">
        <w:rPr>
          <w:rStyle w:val="FootnoteReference"/>
          <w:sz w:val="16"/>
          <w:szCs w:val="16"/>
        </w:rPr>
        <w:footnoteRef/>
      </w:r>
      <w:r w:rsidRPr="00043B7F">
        <w:rPr>
          <w:sz w:val="16"/>
          <w:szCs w:val="16"/>
        </w:rPr>
        <w:t xml:space="preserve"> Mueller</w:t>
      </w:r>
      <w:r w:rsidR="006D6EFA" w:rsidRPr="00043B7F">
        <w:rPr>
          <w:sz w:val="16"/>
          <w:szCs w:val="16"/>
        </w:rPr>
        <w:t>,</w:t>
      </w:r>
      <w:r w:rsidRPr="00043B7F">
        <w:rPr>
          <w:sz w:val="16"/>
          <w:szCs w:val="16"/>
        </w:rPr>
        <w:t xml:space="preserve"> p</w:t>
      </w:r>
      <w:r w:rsidR="006D6EFA" w:rsidRPr="00043B7F">
        <w:rPr>
          <w:sz w:val="16"/>
          <w:szCs w:val="16"/>
        </w:rPr>
        <w:t xml:space="preserve"> </w:t>
      </w:r>
      <w:r w:rsidRPr="00043B7F">
        <w:rPr>
          <w:sz w:val="16"/>
          <w:szCs w:val="16"/>
        </w:rPr>
        <w:t>.5</w:t>
      </w:r>
    </w:p>
  </w:footnote>
  <w:footnote w:id="28">
    <w:p w14:paraId="6AB5123D" w14:textId="3AE6DAB6" w:rsidR="002C762F" w:rsidRPr="00043B7F" w:rsidRDefault="002C762F" w:rsidP="006D6EFA">
      <w:pPr>
        <w:pStyle w:val="NoSpacing"/>
        <w:rPr>
          <w:sz w:val="16"/>
          <w:szCs w:val="16"/>
        </w:rPr>
      </w:pPr>
      <w:r w:rsidRPr="00043B7F">
        <w:rPr>
          <w:rStyle w:val="FootnoteReference"/>
          <w:sz w:val="16"/>
          <w:szCs w:val="16"/>
        </w:rPr>
        <w:footnoteRef/>
      </w:r>
      <w:r w:rsidRPr="00043B7F">
        <w:rPr>
          <w:sz w:val="16"/>
          <w:szCs w:val="16"/>
        </w:rPr>
        <w:t xml:space="preserve"> </w:t>
      </w:r>
      <w:r w:rsidR="00185AA3" w:rsidRPr="00043B7F">
        <w:rPr>
          <w:sz w:val="16"/>
          <w:szCs w:val="16"/>
        </w:rPr>
        <w:t xml:space="preserve">G. Kuchar, Embodiment and Representation in John Donne’s Devotions Upon Emergent Occasions, </w:t>
      </w:r>
      <w:r w:rsidR="00185AA3" w:rsidRPr="00043B7F">
        <w:rPr>
          <w:i/>
          <w:iCs/>
          <w:sz w:val="16"/>
          <w:szCs w:val="16"/>
        </w:rPr>
        <w:t xml:space="preserve">Prose Studies: History, Theory, Criticism, </w:t>
      </w:r>
      <w:r w:rsidR="00185AA3" w:rsidRPr="00043B7F">
        <w:rPr>
          <w:sz w:val="16"/>
          <w:szCs w:val="16"/>
        </w:rPr>
        <w:t>24, 2, (2001), 15-40</w:t>
      </w:r>
      <w:r w:rsidR="007E4862" w:rsidRPr="00043B7F">
        <w:rPr>
          <w:sz w:val="16"/>
          <w:szCs w:val="16"/>
        </w:rPr>
        <w:t xml:space="preserve">, </w:t>
      </w:r>
      <w:r w:rsidRPr="00043B7F">
        <w:rPr>
          <w:sz w:val="16"/>
          <w:szCs w:val="16"/>
        </w:rPr>
        <w:t>p.</w:t>
      </w:r>
      <w:r w:rsidR="006D6EFA" w:rsidRPr="00043B7F">
        <w:rPr>
          <w:sz w:val="16"/>
          <w:szCs w:val="16"/>
        </w:rPr>
        <w:t xml:space="preserve"> </w:t>
      </w:r>
      <w:r w:rsidRPr="00043B7F">
        <w:rPr>
          <w:sz w:val="16"/>
          <w:szCs w:val="16"/>
        </w:rPr>
        <w:t>15</w:t>
      </w:r>
    </w:p>
  </w:footnote>
  <w:footnote w:id="29">
    <w:p w14:paraId="5E1F24FC" w14:textId="344061CB" w:rsidR="00F91483" w:rsidRPr="00043B7F" w:rsidRDefault="00F91483">
      <w:pPr>
        <w:pStyle w:val="FootnoteText"/>
        <w:rPr>
          <w:sz w:val="16"/>
          <w:szCs w:val="16"/>
        </w:rPr>
      </w:pPr>
      <w:r w:rsidRPr="00043B7F">
        <w:rPr>
          <w:rStyle w:val="FootnoteReference"/>
          <w:sz w:val="16"/>
          <w:szCs w:val="16"/>
        </w:rPr>
        <w:footnoteRef/>
      </w:r>
      <w:r w:rsidRPr="00043B7F">
        <w:rPr>
          <w:sz w:val="16"/>
          <w:szCs w:val="16"/>
        </w:rPr>
        <w:t xml:space="preserve"> </w:t>
      </w:r>
      <w:r w:rsidR="009558BB" w:rsidRPr="00043B7F">
        <w:rPr>
          <w:sz w:val="16"/>
          <w:szCs w:val="16"/>
        </w:rPr>
        <w:t>Donne, p. 147</w:t>
      </w:r>
    </w:p>
  </w:footnote>
  <w:footnote w:id="30">
    <w:p w14:paraId="783460EC" w14:textId="0F8F828F" w:rsidR="00AC74F1" w:rsidRPr="00043B7F" w:rsidRDefault="00AC74F1">
      <w:pPr>
        <w:pStyle w:val="FootnoteText"/>
        <w:rPr>
          <w:sz w:val="16"/>
          <w:szCs w:val="16"/>
        </w:rPr>
      </w:pPr>
      <w:r w:rsidRPr="00043B7F">
        <w:rPr>
          <w:rStyle w:val="FootnoteReference"/>
          <w:sz w:val="16"/>
          <w:szCs w:val="16"/>
        </w:rPr>
        <w:footnoteRef/>
      </w:r>
      <w:r w:rsidRPr="00043B7F">
        <w:rPr>
          <w:sz w:val="16"/>
          <w:szCs w:val="16"/>
        </w:rPr>
        <w:t xml:space="preserve"> Kuchar</w:t>
      </w:r>
      <w:r w:rsidR="00000EB6" w:rsidRPr="00043B7F">
        <w:rPr>
          <w:sz w:val="16"/>
          <w:szCs w:val="16"/>
        </w:rPr>
        <w:t>,</w:t>
      </w:r>
      <w:r w:rsidRPr="00043B7F">
        <w:rPr>
          <w:sz w:val="16"/>
          <w:szCs w:val="16"/>
        </w:rPr>
        <w:t xml:space="preserve"> p</w:t>
      </w:r>
      <w:r w:rsidR="00000EB6" w:rsidRPr="00043B7F">
        <w:rPr>
          <w:sz w:val="16"/>
          <w:szCs w:val="16"/>
        </w:rPr>
        <w:t>p</w:t>
      </w:r>
      <w:r w:rsidRPr="00043B7F">
        <w:rPr>
          <w:sz w:val="16"/>
          <w:szCs w:val="16"/>
        </w:rPr>
        <w:t>.</w:t>
      </w:r>
      <w:r w:rsidR="00000EB6" w:rsidRPr="00043B7F">
        <w:rPr>
          <w:sz w:val="16"/>
          <w:szCs w:val="16"/>
        </w:rPr>
        <w:t xml:space="preserve"> </w:t>
      </w:r>
      <w:r w:rsidRPr="00043B7F">
        <w:rPr>
          <w:sz w:val="16"/>
          <w:szCs w:val="16"/>
        </w:rPr>
        <w:t>16-17</w:t>
      </w:r>
    </w:p>
  </w:footnote>
  <w:footnote w:id="31">
    <w:p w14:paraId="14B44CBD" w14:textId="0C83B278" w:rsidR="00F91483" w:rsidRPr="00043B7F" w:rsidRDefault="00F91483">
      <w:pPr>
        <w:pStyle w:val="FootnoteText"/>
        <w:rPr>
          <w:sz w:val="16"/>
          <w:szCs w:val="16"/>
        </w:rPr>
      </w:pPr>
      <w:r w:rsidRPr="00043B7F">
        <w:rPr>
          <w:rStyle w:val="FootnoteReference"/>
          <w:sz w:val="16"/>
          <w:szCs w:val="16"/>
        </w:rPr>
        <w:footnoteRef/>
      </w:r>
      <w:r w:rsidRPr="00043B7F">
        <w:rPr>
          <w:sz w:val="16"/>
          <w:szCs w:val="16"/>
        </w:rPr>
        <w:t xml:space="preserve"> </w:t>
      </w:r>
      <w:r w:rsidR="007A6092" w:rsidRPr="00043B7F">
        <w:rPr>
          <w:sz w:val="16"/>
          <w:szCs w:val="16"/>
        </w:rPr>
        <w:t>Horn</w:t>
      </w:r>
      <w:r w:rsidR="00C339B5" w:rsidRPr="00043B7F">
        <w:rPr>
          <w:sz w:val="16"/>
          <w:szCs w:val="16"/>
        </w:rPr>
        <w:t>,</w:t>
      </w:r>
      <w:r w:rsidR="007A6092" w:rsidRPr="00043B7F">
        <w:rPr>
          <w:sz w:val="16"/>
          <w:szCs w:val="16"/>
        </w:rPr>
        <w:t xml:space="preserve"> </w:t>
      </w:r>
      <w:r w:rsidR="00C339B5" w:rsidRPr="00043B7F">
        <w:rPr>
          <w:sz w:val="16"/>
          <w:szCs w:val="16"/>
        </w:rPr>
        <w:t>pp</w:t>
      </w:r>
      <w:r w:rsidR="007A6092" w:rsidRPr="00043B7F">
        <w:rPr>
          <w:sz w:val="16"/>
          <w:szCs w:val="16"/>
        </w:rPr>
        <w:t>.</w:t>
      </w:r>
      <w:r w:rsidR="00C339B5" w:rsidRPr="00043B7F">
        <w:rPr>
          <w:sz w:val="16"/>
          <w:szCs w:val="16"/>
        </w:rPr>
        <w:t xml:space="preserve"> </w:t>
      </w:r>
      <w:r w:rsidR="007A6092" w:rsidRPr="00043B7F">
        <w:rPr>
          <w:sz w:val="16"/>
          <w:szCs w:val="16"/>
        </w:rPr>
        <w:t>368</w:t>
      </w:r>
      <w:r w:rsidR="00B32E15" w:rsidRPr="00043B7F">
        <w:rPr>
          <w:sz w:val="16"/>
          <w:szCs w:val="16"/>
        </w:rPr>
        <w:t>-370</w:t>
      </w:r>
    </w:p>
  </w:footnote>
  <w:footnote w:id="32">
    <w:p w14:paraId="043FF6DE" w14:textId="2D7A28FD" w:rsidR="00A91FCD" w:rsidRPr="00043B7F" w:rsidRDefault="00A91FCD">
      <w:pPr>
        <w:pStyle w:val="FootnoteText"/>
        <w:rPr>
          <w:sz w:val="16"/>
          <w:szCs w:val="16"/>
        </w:rPr>
      </w:pPr>
      <w:r w:rsidRPr="00043B7F">
        <w:rPr>
          <w:rStyle w:val="FootnoteReference"/>
          <w:sz w:val="16"/>
          <w:szCs w:val="16"/>
        </w:rPr>
        <w:footnoteRef/>
      </w:r>
      <w:r w:rsidRPr="00043B7F">
        <w:rPr>
          <w:sz w:val="16"/>
          <w:szCs w:val="16"/>
        </w:rPr>
        <w:t xml:space="preserve"> </w:t>
      </w:r>
      <w:r w:rsidR="009558BB" w:rsidRPr="00043B7F">
        <w:rPr>
          <w:sz w:val="16"/>
          <w:szCs w:val="16"/>
        </w:rPr>
        <w:t>Donne, p. 23</w:t>
      </w:r>
    </w:p>
  </w:footnote>
  <w:footnote w:id="33">
    <w:p w14:paraId="1EDFB210" w14:textId="4D38DBB2" w:rsidR="002C762F" w:rsidRPr="00043B7F" w:rsidRDefault="002C762F">
      <w:pPr>
        <w:pStyle w:val="FootnoteText"/>
        <w:rPr>
          <w:sz w:val="16"/>
          <w:szCs w:val="16"/>
        </w:rPr>
      </w:pPr>
      <w:r w:rsidRPr="00043B7F">
        <w:rPr>
          <w:rStyle w:val="FootnoteReference"/>
          <w:sz w:val="16"/>
          <w:szCs w:val="16"/>
        </w:rPr>
        <w:footnoteRef/>
      </w:r>
      <w:r w:rsidRPr="00043B7F">
        <w:rPr>
          <w:sz w:val="16"/>
          <w:szCs w:val="16"/>
        </w:rPr>
        <w:t xml:space="preserve"> Kuchar</w:t>
      </w:r>
      <w:r w:rsidR="00000EB6" w:rsidRPr="00043B7F">
        <w:rPr>
          <w:sz w:val="16"/>
          <w:szCs w:val="16"/>
        </w:rPr>
        <w:t>,</w:t>
      </w:r>
      <w:r w:rsidRPr="00043B7F">
        <w:rPr>
          <w:sz w:val="16"/>
          <w:szCs w:val="16"/>
        </w:rPr>
        <w:t xml:space="preserve"> p.</w:t>
      </w:r>
      <w:r w:rsidR="00000EB6" w:rsidRPr="00043B7F">
        <w:rPr>
          <w:sz w:val="16"/>
          <w:szCs w:val="16"/>
        </w:rPr>
        <w:t xml:space="preserve"> </w:t>
      </w:r>
      <w:r w:rsidRPr="00043B7F">
        <w:rPr>
          <w:sz w:val="16"/>
          <w:szCs w:val="16"/>
        </w:rPr>
        <w:t>15</w:t>
      </w:r>
    </w:p>
  </w:footnote>
  <w:footnote w:id="34">
    <w:p w14:paraId="067574C1" w14:textId="1A964C6F" w:rsidR="009E0DBC" w:rsidRPr="00043B7F" w:rsidRDefault="009E0DBC">
      <w:pPr>
        <w:pStyle w:val="FootnoteText"/>
        <w:rPr>
          <w:sz w:val="16"/>
          <w:szCs w:val="16"/>
        </w:rPr>
      </w:pPr>
      <w:r w:rsidRPr="00043B7F">
        <w:rPr>
          <w:rStyle w:val="FootnoteReference"/>
          <w:sz w:val="16"/>
          <w:szCs w:val="16"/>
        </w:rPr>
        <w:footnoteRef/>
      </w:r>
      <w:r w:rsidRPr="00043B7F">
        <w:rPr>
          <w:sz w:val="16"/>
          <w:szCs w:val="16"/>
        </w:rPr>
        <w:t xml:space="preserve"> </w:t>
      </w:r>
      <w:r w:rsidRPr="00043B7F">
        <w:rPr>
          <w:sz w:val="16"/>
          <w:szCs w:val="16"/>
        </w:rPr>
        <w:t>Webber</w:t>
      </w:r>
      <w:r w:rsidR="00000EB6" w:rsidRPr="00043B7F">
        <w:rPr>
          <w:sz w:val="16"/>
          <w:szCs w:val="16"/>
        </w:rPr>
        <w:t>,</w:t>
      </w:r>
      <w:r w:rsidRPr="00043B7F">
        <w:rPr>
          <w:sz w:val="16"/>
          <w:szCs w:val="16"/>
        </w:rPr>
        <w:t xml:space="preserve"> p.</w:t>
      </w:r>
      <w:r w:rsidR="00000EB6" w:rsidRPr="00043B7F">
        <w:rPr>
          <w:sz w:val="16"/>
          <w:szCs w:val="16"/>
        </w:rPr>
        <w:t xml:space="preserve"> </w:t>
      </w:r>
      <w:r w:rsidRPr="00043B7F">
        <w:rPr>
          <w:sz w:val="16"/>
          <w:szCs w:val="16"/>
        </w:rPr>
        <w:t>146</w:t>
      </w:r>
    </w:p>
  </w:footnote>
  <w:footnote w:id="35">
    <w:p w14:paraId="77F0576A" w14:textId="16A157A8" w:rsidR="006517C6" w:rsidRPr="00043B7F" w:rsidRDefault="006517C6" w:rsidP="006517C6">
      <w:pPr>
        <w:pStyle w:val="FootnoteText"/>
        <w:rPr>
          <w:sz w:val="16"/>
          <w:szCs w:val="16"/>
        </w:rPr>
      </w:pPr>
      <w:r w:rsidRPr="00043B7F">
        <w:rPr>
          <w:rStyle w:val="FootnoteReference"/>
          <w:sz w:val="16"/>
          <w:szCs w:val="16"/>
        </w:rPr>
        <w:footnoteRef/>
      </w:r>
      <w:r w:rsidRPr="00043B7F">
        <w:rPr>
          <w:sz w:val="16"/>
          <w:szCs w:val="16"/>
        </w:rPr>
        <w:t xml:space="preserve"> </w:t>
      </w:r>
      <w:r w:rsidR="00185AA3" w:rsidRPr="00043B7F">
        <w:rPr>
          <w:sz w:val="16"/>
          <w:szCs w:val="16"/>
        </w:rPr>
        <w:t xml:space="preserve">Kuchar, </w:t>
      </w:r>
      <w:r w:rsidRPr="00043B7F">
        <w:rPr>
          <w:sz w:val="16"/>
          <w:szCs w:val="16"/>
        </w:rPr>
        <w:t>p. 21</w:t>
      </w:r>
    </w:p>
  </w:footnote>
  <w:footnote w:id="36">
    <w:p w14:paraId="05720446" w14:textId="35C3E630" w:rsidR="009E0DBC" w:rsidRPr="00043B7F" w:rsidRDefault="009E0DBC">
      <w:pPr>
        <w:pStyle w:val="FootnoteText"/>
        <w:rPr>
          <w:sz w:val="16"/>
          <w:szCs w:val="16"/>
        </w:rPr>
      </w:pPr>
      <w:r w:rsidRPr="00043B7F">
        <w:rPr>
          <w:rStyle w:val="FootnoteReference"/>
          <w:sz w:val="16"/>
          <w:szCs w:val="16"/>
        </w:rPr>
        <w:footnoteRef/>
      </w:r>
      <w:r w:rsidRPr="00043B7F">
        <w:rPr>
          <w:sz w:val="16"/>
          <w:szCs w:val="16"/>
        </w:rPr>
        <w:t xml:space="preserve"> </w:t>
      </w:r>
      <w:r w:rsidRPr="00043B7F">
        <w:rPr>
          <w:sz w:val="16"/>
          <w:szCs w:val="16"/>
        </w:rPr>
        <w:t>Goldberg</w:t>
      </w:r>
      <w:r w:rsidR="00000EB6" w:rsidRPr="00043B7F">
        <w:rPr>
          <w:sz w:val="16"/>
          <w:szCs w:val="16"/>
        </w:rPr>
        <w:t>,</w:t>
      </w:r>
      <w:r w:rsidRPr="00043B7F">
        <w:rPr>
          <w:sz w:val="16"/>
          <w:szCs w:val="16"/>
        </w:rPr>
        <w:t xml:space="preserve"> p.</w:t>
      </w:r>
      <w:r w:rsidR="00000EB6" w:rsidRPr="00043B7F">
        <w:rPr>
          <w:sz w:val="16"/>
          <w:szCs w:val="16"/>
        </w:rPr>
        <w:t xml:space="preserve"> </w:t>
      </w:r>
      <w:r w:rsidRPr="00043B7F">
        <w:rPr>
          <w:sz w:val="16"/>
          <w:szCs w:val="16"/>
        </w:rPr>
        <w:t>51</w:t>
      </w:r>
      <w:r w:rsidRPr="00043B7F">
        <w:rPr>
          <w:sz w:val="16"/>
          <w:szCs w:val="16"/>
        </w:rPr>
        <w:t>5</w:t>
      </w:r>
    </w:p>
  </w:footnote>
  <w:footnote w:id="37">
    <w:p w14:paraId="15269045" w14:textId="5AD8DEE6" w:rsidR="009E0DBC" w:rsidRPr="00043B7F" w:rsidRDefault="009E0DBC">
      <w:pPr>
        <w:pStyle w:val="FootnoteText"/>
        <w:rPr>
          <w:sz w:val="16"/>
          <w:szCs w:val="16"/>
        </w:rPr>
      </w:pPr>
      <w:r w:rsidRPr="00043B7F">
        <w:rPr>
          <w:rStyle w:val="FootnoteReference"/>
          <w:sz w:val="16"/>
          <w:szCs w:val="16"/>
        </w:rPr>
        <w:footnoteRef/>
      </w:r>
      <w:r w:rsidRPr="00043B7F">
        <w:rPr>
          <w:sz w:val="16"/>
          <w:szCs w:val="16"/>
        </w:rPr>
        <w:t xml:space="preserve"> </w:t>
      </w:r>
      <w:r w:rsidRPr="00043B7F">
        <w:rPr>
          <w:sz w:val="16"/>
          <w:szCs w:val="16"/>
        </w:rPr>
        <w:t>Goldberg</w:t>
      </w:r>
      <w:r w:rsidR="00000EB6" w:rsidRPr="00043B7F">
        <w:rPr>
          <w:sz w:val="16"/>
          <w:szCs w:val="16"/>
        </w:rPr>
        <w:t>,</w:t>
      </w:r>
      <w:r w:rsidRPr="00043B7F">
        <w:rPr>
          <w:sz w:val="16"/>
          <w:szCs w:val="16"/>
        </w:rPr>
        <w:t xml:space="preserve"> p.</w:t>
      </w:r>
      <w:r w:rsidR="00000EB6" w:rsidRPr="00043B7F">
        <w:rPr>
          <w:sz w:val="16"/>
          <w:szCs w:val="16"/>
        </w:rPr>
        <w:t xml:space="preserve"> </w:t>
      </w:r>
      <w:r w:rsidRPr="00043B7F">
        <w:rPr>
          <w:sz w:val="16"/>
          <w:szCs w:val="16"/>
        </w:rPr>
        <w:t>514</w:t>
      </w:r>
    </w:p>
  </w:footnote>
  <w:footnote w:id="38">
    <w:p w14:paraId="2420E5FA" w14:textId="1258B485" w:rsidR="00B82079" w:rsidRPr="00043B7F" w:rsidRDefault="00B82079">
      <w:pPr>
        <w:pStyle w:val="FootnoteText"/>
        <w:rPr>
          <w:sz w:val="16"/>
          <w:szCs w:val="16"/>
        </w:rPr>
      </w:pPr>
      <w:r w:rsidRPr="00043B7F">
        <w:rPr>
          <w:rStyle w:val="FootnoteReference"/>
          <w:sz w:val="16"/>
          <w:szCs w:val="16"/>
        </w:rPr>
        <w:footnoteRef/>
      </w:r>
      <w:r w:rsidRPr="00043B7F">
        <w:rPr>
          <w:sz w:val="16"/>
          <w:szCs w:val="16"/>
        </w:rPr>
        <w:t xml:space="preserve"> </w:t>
      </w:r>
      <w:r w:rsidRPr="00043B7F">
        <w:rPr>
          <w:sz w:val="16"/>
          <w:szCs w:val="16"/>
        </w:rPr>
        <w:t>Goldberg</w:t>
      </w:r>
      <w:r w:rsidR="00000EB6" w:rsidRPr="00043B7F">
        <w:rPr>
          <w:sz w:val="16"/>
          <w:szCs w:val="16"/>
        </w:rPr>
        <w:t>,</w:t>
      </w:r>
      <w:r w:rsidRPr="00043B7F">
        <w:rPr>
          <w:sz w:val="16"/>
          <w:szCs w:val="16"/>
        </w:rPr>
        <w:t xml:space="preserve"> </w:t>
      </w:r>
      <w:r w:rsidR="00000EB6" w:rsidRPr="00043B7F">
        <w:rPr>
          <w:sz w:val="16"/>
          <w:szCs w:val="16"/>
        </w:rPr>
        <w:t>p</w:t>
      </w:r>
      <w:r w:rsidRPr="00043B7F">
        <w:rPr>
          <w:sz w:val="16"/>
          <w:szCs w:val="16"/>
        </w:rPr>
        <w:t>.</w:t>
      </w:r>
      <w:r w:rsidR="00000EB6" w:rsidRPr="00043B7F">
        <w:rPr>
          <w:sz w:val="16"/>
          <w:szCs w:val="16"/>
        </w:rPr>
        <w:t xml:space="preserve"> </w:t>
      </w:r>
      <w:r w:rsidRPr="00043B7F">
        <w:rPr>
          <w:sz w:val="16"/>
          <w:szCs w:val="16"/>
        </w:rPr>
        <w:t>511</w:t>
      </w:r>
    </w:p>
  </w:footnote>
  <w:footnote w:id="39">
    <w:p w14:paraId="467E64F9" w14:textId="58ACB0C6" w:rsidR="00B82079" w:rsidRPr="00043B7F" w:rsidRDefault="00B82079">
      <w:pPr>
        <w:pStyle w:val="FootnoteText"/>
        <w:rPr>
          <w:sz w:val="16"/>
          <w:szCs w:val="16"/>
        </w:rPr>
      </w:pPr>
      <w:r w:rsidRPr="00043B7F">
        <w:rPr>
          <w:rStyle w:val="FootnoteReference"/>
          <w:sz w:val="16"/>
          <w:szCs w:val="16"/>
        </w:rPr>
        <w:footnoteRef/>
      </w:r>
      <w:r w:rsidRPr="00043B7F">
        <w:rPr>
          <w:sz w:val="16"/>
          <w:szCs w:val="16"/>
        </w:rPr>
        <w:t xml:space="preserve"> </w:t>
      </w:r>
      <w:r w:rsidRPr="00043B7F">
        <w:rPr>
          <w:sz w:val="16"/>
          <w:szCs w:val="16"/>
        </w:rPr>
        <w:t>Kuchar</w:t>
      </w:r>
      <w:r w:rsidR="00000EB6" w:rsidRPr="00043B7F">
        <w:rPr>
          <w:sz w:val="16"/>
          <w:szCs w:val="16"/>
        </w:rPr>
        <w:t>,</w:t>
      </w:r>
      <w:r w:rsidRPr="00043B7F">
        <w:rPr>
          <w:sz w:val="16"/>
          <w:szCs w:val="16"/>
        </w:rPr>
        <w:t xml:space="preserve"> p.</w:t>
      </w:r>
      <w:r w:rsidR="00000EB6" w:rsidRPr="00043B7F">
        <w:rPr>
          <w:sz w:val="16"/>
          <w:szCs w:val="16"/>
        </w:rPr>
        <w:t xml:space="preserve"> </w:t>
      </w:r>
      <w:r w:rsidRPr="00043B7F">
        <w:rPr>
          <w:sz w:val="16"/>
          <w:szCs w:val="16"/>
        </w:rPr>
        <w:t>30</w:t>
      </w:r>
    </w:p>
  </w:footnote>
  <w:footnote w:id="40">
    <w:p w14:paraId="71907203" w14:textId="5A072A10" w:rsidR="005A166C" w:rsidRDefault="005A166C">
      <w:pPr>
        <w:pStyle w:val="FootnoteText"/>
      </w:pPr>
      <w:r w:rsidRPr="005A166C">
        <w:rPr>
          <w:rStyle w:val="FootnoteReference"/>
          <w:sz w:val="16"/>
          <w:szCs w:val="16"/>
        </w:rPr>
        <w:footnoteRef/>
      </w:r>
      <w:r w:rsidRPr="005A166C">
        <w:rPr>
          <w:sz w:val="16"/>
          <w:szCs w:val="16"/>
        </w:rPr>
        <w:t xml:space="preserve"> Frost, p. 157</w:t>
      </w:r>
    </w:p>
  </w:footnote>
  <w:footnote w:id="41">
    <w:p w14:paraId="0FFE396E" w14:textId="7E17AFC6" w:rsidR="00BC02CF" w:rsidRDefault="00BC02CF">
      <w:pPr>
        <w:pStyle w:val="FootnoteText"/>
      </w:pPr>
      <w:r w:rsidRPr="00BC02CF">
        <w:rPr>
          <w:rStyle w:val="FootnoteReference"/>
          <w:sz w:val="16"/>
          <w:szCs w:val="16"/>
        </w:rPr>
        <w:footnoteRef/>
      </w:r>
      <w:r w:rsidRPr="00BC02CF">
        <w:rPr>
          <w:sz w:val="16"/>
          <w:szCs w:val="16"/>
        </w:rPr>
        <w:t xml:space="preserve"> Frost, p. 60</w:t>
      </w:r>
    </w:p>
  </w:footnote>
  <w:footnote w:id="42">
    <w:p w14:paraId="26484E8E" w14:textId="01095E7D" w:rsidR="00F90CAA" w:rsidRPr="00043B7F" w:rsidRDefault="00F90CAA">
      <w:pPr>
        <w:pStyle w:val="FootnoteText"/>
        <w:rPr>
          <w:sz w:val="16"/>
          <w:szCs w:val="16"/>
        </w:rPr>
      </w:pPr>
      <w:r w:rsidRPr="00043B7F">
        <w:rPr>
          <w:rStyle w:val="FootnoteReference"/>
          <w:sz w:val="16"/>
          <w:szCs w:val="16"/>
        </w:rPr>
        <w:footnoteRef/>
      </w:r>
      <w:r w:rsidRPr="00043B7F">
        <w:rPr>
          <w:sz w:val="16"/>
          <w:szCs w:val="16"/>
        </w:rPr>
        <w:t xml:space="preserve"> </w:t>
      </w:r>
      <w:r w:rsidR="00885DCB" w:rsidRPr="00043B7F">
        <w:rPr>
          <w:sz w:val="16"/>
          <w:szCs w:val="16"/>
        </w:rPr>
        <w:t>Conti</w:t>
      </w:r>
      <w:r w:rsidR="006D6EFA" w:rsidRPr="00043B7F">
        <w:rPr>
          <w:sz w:val="16"/>
          <w:szCs w:val="16"/>
        </w:rPr>
        <w:t>,</w:t>
      </w:r>
      <w:r w:rsidR="00885DCB" w:rsidRPr="00043B7F">
        <w:rPr>
          <w:sz w:val="16"/>
          <w:szCs w:val="16"/>
        </w:rPr>
        <w:t xml:space="preserve"> </w:t>
      </w:r>
      <w:r w:rsidR="006D6EFA" w:rsidRPr="00043B7F">
        <w:rPr>
          <w:sz w:val="16"/>
          <w:szCs w:val="16"/>
        </w:rPr>
        <w:t>p</w:t>
      </w:r>
      <w:r w:rsidR="00885DCB" w:rsidRPr="00043B7F">
        <w:rPr>
          <w:sz w:val="16"/>
          <w:szCs w:val="16"/>
        </w:rPr>
        <w:t>p.</w:t>
      </w:r>
      <w:r w:rsidR="006D6EFA" w:rsidRPr="00043B7F">
        <w:rPr>
          <w:sz w:val="16"/>
          <w:szCs w:val="16"/>
        </w:rPr>
        <w:t xml:space="preserve"> </w:t>
      </w:r>
      <w:r w:rsidR="00885DCB" w:rsidRPr="00043B7F">
        <w:rPr>
          <w:sz w:val="16"/>
          <w:szCs w:val="16"/>
        </w:rPr>
        <w:t>14-15</w:t>
      </w:r>
    </w:p>
  </w:footnote>
  <w:footnote w:id="43">
    <w:p w14:paraId="0FF97191" w14:textId="72CEB860" w:rsidR="00445C1E" w:rsidRPr="00043B7F" w:rsidRDefault="00445C1E">
      <w:pPr>
        <w:pStyle w:val="FootnoteText"/>
        <w:rPr>
          <w:sz w:val="16"/>
          <w:szCs w:val="16"/>
        </w:rPr>
      </w:pPr>
      <w:r w:rsidRPr="00043B7F">
        <w:rPr>
          <w:rStyle w:val="FootnoteReference"/>
          <w:sz w:val="16"/>
          <w:szCs w:val="16"/>
        </w:rPr>
        <w:footnoteRef/>
      </w:r>
      <w:r w:rsidRPr="00043B7F">
        <w:rPr>
          <w:sz w:val="16"/>
          <w:szCs w:val="16"/>
        </w:rPr>
        <w:t xml:space="preserve"> Tucker</w:t>
      </w:r>
      <w:r w:rsidR="006D6EFA" w:rsidRPr="00043B7F">
        <w:rPr>
          <w:sz w:val="16"/>
          <w:szCs w:val="16"/>
        </w:rPr>
        <w:t>, p.</w:t>
      </w:r>
      <w:r w:rsidRPr="00043B7F">
        <w:rPr>
          <w:sz w:val="16"/>
          <w:szCs w:val="16"/>
        </w:rPr>
        <w:t xml:space="preserve"> 97</w:t>
      </w:r>
    </w:p>
  </w:footnote>
  <w:footnote w:id="44">
    <w:p w14:paraId="542257F1" w14:textId="0ED88A16" w:rsidR="00B32E15" w:rsidRPr="00043B7F" w:rsidRDefault="00B32E15">
      <w:pPr>
        <w:pStyle w:val="FootnoteText"/>
        <w:rPr>
          <w:sz w:val="16"/>
          <w:szCs w:val="16"/>
        </w:rPr>
      </w:pPr>
      <w:r w:rsidRPr="00043B7F">
        <w:rPr>
          <w:rStyle w:val="FootnoteReference"/>
          <w:sz w:val="16"/>
          <w:szCs w:val="16"/>
        </w:rPr>
        <w:footnoteRef/>
      </w:r>
      <w:r w:rsidRPr="00043B7F">
        <w:rPr>
          <w:sz w:val="16"/>
          <w:szCs w:val="16"/>
        </w:rPr>
        <w:t xml:space="preserve"> Horn</w:t>
      </w:r>
      <w:r w:rsidR="00C339B5" w:rsidRPr="00043B7F">
        <w:rPr>
          <w:sz w:val="16"/>
          <w:szCs w:val="16"/>
        </w:rPr>
        <w:t>,</w:t>
      </w:r>
      <w:r w:rsidRPr="00043B7F">
        <w:rPr>
          <w:sz w:val="16"/>
          <w:szCs w:val="16"/>
        </w:rPr>
        <w:t xml:space="preserve"> p.</w:t>
      </w:r>
      <w:r w:rsidR="00C339B5" w:rsidRPr="00043B7F">
        <w:rPr>
          <w:sz w:val="16"/>
          <w:szCs w:val="16"/>
        </w:rPr>
        <w:t xml:space="preserve"> </w:t>
      </w:r>
      <w:r w:rsidRPr="00043B7F">
        <w:rPr>
          <w:sz w:val="16"/>
          <w:szCs w:val="16"/>
        </w:rPr>
        <w:t>370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348"/>
    <w:rsid w:val="00000EB6"/>
    <w:rsid w:val="00043B7F"/>
    <w:rsid w:val="00064A60"/>
    <w:rsid w:val="00087923"/>
    <w:rsid w:val="000A7F42"/>
    <w:rsid w:val="00123DBD"/>
    <w:rsid w:val="00136F57"/>
    <w:rsid w:val="00147F04"/>
    <w:rsid w:val="00185AA3"/>
    <w:rsid w:val="00197029"/>
    <w:rsid w:val="001B12B9"/>
    <w:rsid w:val="00210045"/>
    <w:rsid w:val="00214A7A"/>
    <w:rsid w:val="00272D71"/>
    <w:rsid w:val="002C1513"/>
    <w:rsid w:val="002C762F"/>
    <w:rsid w:val="002E17B5"/>
    <w:rsid w:val="00385348"/>
    <w:rsid w:val="003C55C7"/>
    <w:rsid w:val="00405374"/>
    <w:rsid w:val="0042168F"/>
    <w:rsid w:val="00445C1E"/>
    <w:rsid w:val="0053355A"/>
    <w:rsid w:val="00575C5E"/>
    <w:rsid w:val="005A166C"/>
    <w:rsid w:val="005C0A39"/>
    <w:rsid w:val="005C602D"/>
    <w:rsid w:val="005D4F77"/>
    <w:rsid w:val="005F4E8F"/>
    <w:rsid w:val="005F79AF"/>
    <w:rsid w:val="006362E4"/>
    <w:rsid w:val="00636F7B"/>
    <w:rsid w:val="006517C6"/>
    <w:rsid w:val="0065194A"/>
    <w:rsid w:val="00653975"/>
    <w:rsid w:val="0065542C"/>
    <w:rsid w:val="006733A2"/>
    <w:rsid w:val="006906DD"/>
    <w:rsid w:val="006B7554"/>
    <w:rsid w:val="006D6EFA"/>
    <w:rsid w:val="006F0CAA"/>
    <w:rsid w:val="00720548"/>
    <w:rsid w:val="007312C9"/>
    <w:rsid w:val="0078034F"/>
    <w:rsid w:val="007A6092"/>
    <w:rsid w:val="007C6D83"/>
    <w:rsid w:val="007E0613"/>
    <w:rsid w:val="007E4862"/>
    <w:rsid w:val="008012C5"/>
    <w:rsid w:val="00885DCB"/>
    <w:rsid w:val="00935FFB"/>
    <w:rsid w:val="009558BB"/>
    <w:rsid w:val="009E0DBC"/>
    <w:rsid w:val="00A30A7E"/>
    <w:rsid w:val="00A30C86"/>
    <w:rsid w:val="00A91FCD"/>
    <w:rsid w:val="00A937EF"/>
    <w:rsid w:val="00AC74F1"/>
    <w:rsid w:val="00AF4D95"/>
    <w:rsid w:val="00B32E15"/>
    <w:rsid w:val="00B42D74"/>
    <w:rsid w:val="00B43CB8"/>
    <w:rsid w:val="00B521CC"/>
    <w:rsid w:val="00B72904"/>
    <w:rsid w:val="00B82079"/>
    <w:rsid w:val="00BC02CF"/>
    <w:rsid w:val="00C02E58"/>
    <w:rsid w:val="00C339B5"/>
    <w:rsid w:val="00C33C58"/>
    <w:rsid w:val="00C407D9"/>
    <w:rsid w:val="00C46A59"/>
    <w:rsid w:val="00C571E3"/>
    <w:rsid w:val="00C917C8"/>
    <w:rsid w:val="00D43F7D"/>
    <w:rsid w:val="00DB4536"/>
    <w:rsid w:val="00DC2AC5"/>
    <w:rsid w:val="00E1781C"/>
    <w:rsid w:val="00E52D76"/>
    <w:rsid w:val="00EB2866"/>
    <w:rsid w:val="00F45DBC"/>
    <w:rsid w:val="00F90CAA"/>
    <w:rsid w:val="00F91483"/>
    <w:rsid w:val="00FA7814"/>
    <w:rsid w:val="00FC77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A0F90B"/>
  <w15:chartTrackingRefBased/>
  <w15:docId w15:val="{32C38544-466D-4A37-9B47-10C72E3CC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85348"/>
    <w:pPr>
      <w:spacing w:after="0" w:line="240" w:lineRule="auto"/>
    </w:pPr>
  </w:style>
  <w:style w:type="paragraph" w:styleId="FootnoteText">
    <w:name w:val="footnote text"/>
    <w:basedOn w:val="Normal"/>
    <w:link w:val="FootnoteTextChar"/>
    <w:uiPriority w:val="99"/>
    <w:semiHidden/>
    <w:unhideWhenUsed/>
    <w:rsid w:val="003853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5348"/>
    <w:rPr>
      <w:sz w:val="20"/>
      <w:szCs w:val="20"/>
    </w:rPr>
  </w:style>
  <w:style w:type="character" w:styleId="FootnoteReference">
    <w:name w:val="footnote reference"/>
    <w:basedOn w:val="DefaultParagraphFont"/>
    <w:uiPriority w:val="99"/>
    <w:semiHidden/>
    <w:unhideWhenUsed/>
    <w:rsid w:val="00385348"/>
    <w:rPr>
      <w:vertAlign w:val="superscript"/>
    </w:rPr>
  </w:style>
  <w:style w:type="character" w:customStyle="1" w:styleId="markedcontent">
    <w:name w:val="markedcontent"/>
    <w:basedOn w:val="DefaultParagraphFont"/>
    <w:rsid w:val="00F45DBC"/>
  </w:style>
  <w:style w:type="character" w:customStyle="1" w:styleId="highlight">
    <w:name w:val="highlight"/>
    <w:basedOn w:val="DefaultParagraphFont"/>
    <w:rsid w:val="00F45DBC"/>
  </w:style>
  <w:style w:type="character" w:styleId="Hyperlink">
    <w:name w:val="Hyperlink"/>
    <w:basedOn w:val="DefaultParagraphFont"/>
    <w:uiPriority w:val="99"/>
    <w:unhideWhenUsed/>
    <w:rsid w:val="00DB4536"/>
    <w:rPr>
      <w:color w:val="0563C1" w:themeColor="hyperlink"/>
      <w:u w:val="single"/>
    </w:rPr>
  </w:style>
  <w:style w:type="character" w:styleId="UnresolvedMention">
    <w:name w:val="Unresolved Mention"/>
    <w:basedOn w:val="DefaultParagraphFont"/>
    <w:uiPriority w:val="99"/>
    <w:semiHidden/>
    <w:unhideWhenUsed/>
    <w:rsid w:val="00DB45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3354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utenberg.org/files/23772/23772-h/23772-h.htm"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gutenberg.org/files/23772/23772-h/23772-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5</Pages>
  <Words>2585</Words>
  <Characters>12205</Characters>
  <Application>Microsoft Office Word</Application>
  <DocSecurity>0</DocSecurity>
  <Lines>171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17</cp:revision>
  <dcterms:created xsi:type="dcterms:W3CDTF">2023-05-14T18:03:00Z</dcterms:created>
  <dcterms:modified xsi:type="dcterms:W3CDTF">2023-05-14T19:56:00Z</dcterms:modified>
</cp:coreProperties>
</file>