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81014" w14:textId="135B8B9C" w:rsidR="008D5747" w:rsidRPr="00E72310" w:rsidRDefault="008D5747">
      <w:pPr>
        <w:rPr>
          <w:rFonts w:ascii="Arial" w:hAnsi="Arial" w:cs="Arial"/>
          <w:sz w:val="22"/>
          <w:szCs w:val="22"/>
        </w:rPr>
      </w:pPr>
      <w:r w:rsidRPr="00E72310">
        <w:rPr>
          <w:rFonts w:ascii="Arial" w:hAnsi="Arial" w:cs="Arial"/>
          <w:sz w:val="22"/>
          <w:szCs w:val="22"/>
        </w:rPr>
        <w:t>DECLARATION</w:t>
      </w:r>
    </w:p>
    <w:p w14:paraId="12A4A2DF" w14:textId="5D8C7548" w:rsidR="008D5747" w:rsidRPr="00E72310" w:rsidRDefault="008D5747">
      <w:pPr>
        <w:rPr>
          <w:rFonts w:ascii="Arial" w:hAnsi="Arial" w:cs="Arial"/>
          <w:sz w:val="22"/>
          <w:szCs w:val="22"/>
        </w:rPr>
      </w:pPr>
      <w:r w:rsidRPr="00E72310">
        <w:rPr>
          <w:rFonts w:ascii="Arial" w:hAnsi="Arial" w:cs="Arial"/>
          <w:sz w:val="22"/>
          <w:szCs w:val="22"/>
        </w:rPr>
        <w:t>This work has not previously been accepted in substance for any degree and is not being concurrently submitted in candidature for any degree</w:t>
      </w:r>
    </w:p>
    <w:p w14:paraId="61FAB084" w14:textId="16A84601" w:rsidR="008D5747" w:rsidRPr="00E72310" w:rsidRDefault="008D5747">
      <w:pPr>
        <w:rPr>
          <w:rFonts w:ascii="Arial" w:hAnsi="Arial" w:cs="Arial"/>
          <w:sz w:val="22"/>
          <w:szCs w:val="22"/>
        </w:rPr>
      </w:pPr>
      <w:r w:rsidRPr="00E72310">
        <w:rPr>
          <w:rFonts w:ascii="Arial" w:hAnsi="Arial" w:cs="Arial"/>
          <w:sz w:val="22"/>
          <w:szCs w:val="22"/>
        </w:rPr>
        <w:t>Signed……………………………………………</w:t>
      </w:r>
    </w:p>
    <w:p w14:paraId="24E88E49" w14:textId="2E0AF20C" w:rsidR="008D5747" w:rsidRPr="00E72310" w:rsidRDefault="008D5747">
      <w:pPr>
        <w:rPr>
          <w:rFonts w:ascii="Arial" w:hAnsi="Arial" w:cs="Arial"/>
          <w:sz w:val="22"/>
          <w:szCs w:val="22"/>
        </w:rPr>
      </w:pPr>
      <w:r w:rsidRPr="00E72310">
        <w:rPr>
          <w:rFonts w:ascii="Arial" w:hAnsi="Arial" w:cs="Arial"/>
          <w:sz w:val="22"/>
          <w:szCs w:val="22"/>
        </w:rPr>
        <w:t>Date………………………………………………</w:t>
      </w:r>
    </w:p>
    <w:p w14:paraId="129F5ADB" w14:textId="2C435246" w:rsidR="008D5747" w:rsidRPr="00E72310" w:rsidRDefault="008D5747">
      <w:pPr>
        <w:rPr>
          <w:rFonts w:ascii="Arial" w:hAnsi="Arial" w:cs="Arial"/>
          <w:sz w:val="22"/>
          <w:szCs w:val="22"/>
        </w:rPr>
      </w:pPr>
      <w:r w:rsidRPr="00E72310">
        <w:rPr>
          <w:rFonts w:ascii="Arial" w:hAnsi="Arial" w:cs="Arial"/>
          <w:sz w:val="22"/>
          <w:szCs w:val="22"/>
        </w:rPr>
        <w:t xml:space="preserve">STATEMENT 1 </w:t>
      </w:r>
    </w:p>
    <w:p w14:paraId="2697896F" w14:textId="584B68CC" w:rsidR="008D5747" w:rsidRPr="00E72310" w:rsidRDefault="008D5747">
      <w:pPr>
        <w:rPr>
          <w:rFonts w:ascii="Arial" w:hAnsi="Arial" w:cs="Arial"/>
          <w:sz w:val="22"/>
          <w:szCs w:val="22"/>
        </w:rPr>
      </w:pPr>
      <w:r w:rsidRPr="00E72310">
        <w:rPr>
          <w:rFonts w:ascii="Arial" w:hAnsi="Arial" w:cs="Arial"/>
          <w:sz w:val="22"/>
          <w:szCs w:val="22"/>
        </w:rPr>
        <w:t>This dissertation is being submitted in partial fulfilment of the requirements for the degree of BSc.</w:t>
      </w:r>
    </w:p>
    <w:p w14:paraId="38ACE14D" w14:textId="5D668374" w:rsidR="008D5747" w:rsidRPr="00E72310" w:rsidRDefault="008D5747">
      <w:pPr>
        <w:rPr>
          <w:rFonts w:ascii="Arial" w:hAnsi="Arial" w:cs="Arial"/>
          <w:sz w:val="22"/>
          <w:szCs w:val="22"/>
        </w:rPr>
      </w:pPr>
      <w:r w:rsidRPr="00E72310">
        <w:rPr>
          <w:rFonts w:ascii="Arial" w:hAnsi="Arial" w:cs="Arial"/>
          <w:sz w:val="22"/>
          <w:szCs w:val="22"/>
        </w:rPr>
        <w:t xml:space="preserve">Signed……………………………………………. </w:t>
      </w:r>
    </w:p>
    <w:p w14:paraId="5B4C2515" w14:textId="77777777" w:rsidR="008D5747" w:rsidRPr="00E72310" w:rsidRDefault="008D5747">
      <w:pPr>
        <w:rPr>
          <w:rFonts w:ascii="Arial" w:hAnsi="Arial" w:cs="Arial"/>
          <w:sz w:val="22"/>
          <w:szCs w:val="22"/>
        </w:rPr>
      </w:pPr>
      <w:r w:rsidRPr="00E72310">
        <w:rPr>
          <w:rFonts w:ascii="Arial" w:hAnsi="Arial" w:cs="Arial"/>
          <w:sz w:val="22"/>
          <w:szCs w:val="22"/>
        </w:rPr>
        <w:t>Date………………………………………………</w:t>
      </w:r>
    </w:p>
    <w:p w14:paraId="1FBA3B39" w14:textId="4C723D58" w:rsidR="008D5747" w:rsidRPr="00E72310" w:rsidRDefault="008D5747">
      <w:pPr>
        <w:rPr>
          <w:rFonts w:ascii="Arial" w:hAnsi="Arial" w:cs="Arial"/>
          <w:sz w:val="22"/>
          <w:szCs w:val="22"/>
        </w:rPr>
      </w:pPr>
      <w:r w:rsidRPr="00E72310">
        <w:rPr>
          <w:rFonts w:ascii="Arial" w:hAnsi="Arial" w:cs="Arial"/>
          <w:sz w:val="22"/>
          <w:szCs w:val="22"/>
        </w:rPr>
        <w:t>STATEMENT 2</w:t>
      </w:r>
    </w:p>
    <w:p w14:paraId="0713FB3D" w14:textId="6363754D" w:rsidR="008D5747" w:rsidRPr="00E72310" w:rsidRDefault="008D5747">
      <w:pPr>
        <w:rPr>
          <w:rFonts w:ascii="Arial" w:hAnsi="Arial" w:cs="Arial"/>
          <w:sz w:val="22"/>
          <w:szCs w:val="22"/>
        </w:rPr>
      </w:pPr>
      <w:r w:rsidRPr="00E72310">
        <w:rPr>
          <w:rFonts w:ascii="Arial" w:hAnsi="Arial" w:cs="Arial"/>
          <w:sz w:val="22"/>
          <w:szCs w:val="22"/>
        </w:rPr>
        <w:t>This dissertation is the result of my own independent work/investigation, except where otherwise stated. Other sources are acknowledged by footnotes giving explicit references.  A bibliography is appended.</w:t>
      </w:r>
    </w:p>
    <w:p w14:paraId="43CC8F16" w14:textId="67F22BC1" w:rsidR="008D5747" w:rsidRPr="00E72310" w:rsidRDefault="008D5747">
      <w:pPr>
        <w:rPr>
          <w:rFonts w:ascii="Arial" w:hAnsi="Arial" w:cs="Arial"/>
          <w:sz w:val="22"/>
          <w:szCs w:val="22"/>
        </w:rPr>
      </w:pPr>
      <w:r w:rsidRPr="00E72310">
        <w:rPr>
          <w:rFonts w:ascii="Arial" w:hAnsi="Arial" w:cs="Arial"/>
          <w:sz w:val="22"/>
          <w:szCs w:val="22"/>
        </w:rPr>
        <w:t>Signed……………………………………………</w:t>
      </w:r>
    </w:p>
    <w:p w14:paraId="46A66156" w14:textId="3B22C4AB" w:rsidR="008D5747" w:rsidRPr="00E72310" w:rsidRDefault="008D5747">
      <w:pPr>
        <w:rPr>
          <w:rFonts w:ascii="Arial" w:hAnsi="Arial" w:cs="Arial"/>
          <w:sz w:val="22"/>
          <w:szCs w:val="22"/>
        </w:rPr>
      </w:pPr>
      <w:r w:rsidRPr="00E72310">
        <w:rPr>
          <w:rFonts w:ascii="Arial" w:hAnsi="Arial" w:cs="Arial"/>
          <w:sz w:val="22"/>
          <w:szCs w:val="22"/>
        </w:rPr>
        <w:t xml:space="preserve">Date……………………………………………… </w:t>
      </w:r>
    </w:p>
    <w:p w14:paraId="73D35C7F" w14:textId="54445CFC" w:rsidR="008D5747" w:rsidRPr="00E72310" w:rsidRDefault="008D5747">
      <w:pPr>
        <w:rPr>
          <w:rFonts w:ascii="Arial" w:hAnsi="Arial" w:cs="Arial"/>
          <w:sz w:val="22"/>
          <w:szCs w:val="22"/>
        </w:rPr>
      </w:pPr>
      <w:r w:rsidRPr="00E72310">
        <w:rPr>
          <w:rFonts w:ascii="Arial" w:hAnsi="Arial" w:cs="Arial"/>
          <w:sz w:val="22"/>
          <w:szCs w:val="22"/>
        </w:rPr>
        <w:t>STATEMENT 3</w:t>
      </w:r>
    </w:p>
    <w:p w14:paraId="53176A07" w14:textId="2DCA4D9F" w:rsidR="008D5747" w:rsidRPr="00E72310" w:rsidRDefault="008D5747">
      <w:pPr>
        <w:rPr>
          <w:rFonts w:ascii="Arial" w:hAnsi="Arial" w:cs="Arial"/>
          <w:sz w:val="22"/>
          <w:szCs w:val="22"/>
        </w:rPr>
      </w:pPr>
      <w:r w:rsidRPr="00E72310">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1F7F8048" w14:textId="2A2A651C" w:rsidR="008D5747" w:rsidRPr="00E72310" w:rsidRDefault="008D5747">
      <w:pPr>
        <w:rPr>
          <w:rFonts w:ascii="Arial" w:hAnsi="Arial" w:cs="Arial"/>
          <w:sz w:val="22"/>
          <w:szCs w:val="22"/>
        </w:rPr>
      </w:pPr>
      <w:r w:rsidRPr="00E72310">
        <w:rPr>
          <w:rFonts w:ascii="Arial" w:hAnsi="Arial" w:cs="Arial"/>
          <w:sz w:val="22"/>
          <w:szCs w:val="22"/>
        </w:rPr>
        <w:t>Signed………………………………………………</w:t>
      </w:r>
    </w:p>
    <w:p w14:paraId="4B7825CA" w14:textId="12384BA4" w:rsidR="008D5747" w:rsidRPr="00E72310" w:rsidRDefault="008D5747">
      <w:pPr>
        <w:rPr>
          <w:rFonts w:ascii="Arial" w:hAnsi="Arial" w:cs="Arial"/>
          <w:sz w:val="22"/>
          <w:szCs w:val="22"/>
        </w:rPr>
      </w:pPr>
      <w:r w:rsidRPr="00E72310">
        <w:rPr>
          <w:rFonts w:ascii="Arial" w:hAnsi="Arial" w:cs="Arial"/>
          <w:sz w:val="22"/>
          <w:szCs w:val="22"/>
        </w:rPr>
        <w:t>Date…………………………………………………</w:t>
      </w:r>
    </w:p>
    <w:p w14:paraId="731348F1" w14:textId="543039E5" w:rsidR="008D5747" w:rsidRPr="00E72310" w:rsidRDefault="008D5747">
      <w:pPr>
        <w:rPr>
          <w:rFonts w:ascii="Arial" w:hAnsi="Arial" w:cs="Arial"/>
          <w:sz w:val="22"/>
          <w:szCs w:val="22"/>
        </w:rPr>
      </w:pPr>
      <w:r w:rsidRPr="00E72310">
        <w:rPr>
          <w:rFonts w:ascii="Arial" w:hAnsi="Arial" w:cs="Arial"/>
          <w:sz w:val="22"/>
          <w:szCs w:val="22"/>
        </w:rPr>
        <w:t>STATEMENT 4</w:t>
      </w:r>
    </w:p>
    <w:p w14:paraId="120B6C59" w14:textId="3F6C542F" w:rsidR="008D5747" w:rsidRPr="00E72310" w:rsidRDefault="008D5747">
      <w:pPr>
        <w:rPr>
          <w:rFonts w:ascii="Arial" w:hAnsi="Arial" w:cs="Arial"/>
          <w:sz w:val="22"/>
          <w:szCs w:val="22"/>
        </w:rPr>
      </w:pPr>
      <w:r w:rsidRPr="00E72310">
        <w:rPr>
          <w:rFonts w:ascii="Arial" w:hAnsi="Arial" w:cs="Arial"/>
          <w:sz w:val="22"/>
          <w:szCs w:val="22"/>
        </w:rPr>
        <w:t>I hereby give consent for my dissertation, if accepted, to be available on the university’s IT system to those who have consent to use the system.</w:t>
      </w:r>
    </w:p>
    <w:p w14:paraId="02795C09" w14:textId="74B636B6" w:rsidR="008D5747" w:rsidRPr="00E72310" w:rsidRDefault="008D5747">
      <w:pPr>
        <w:rPr>
          <w:rFonts w:ascii="Arial" w:hAnsi="Arial" w:cs="Arial"/>
          <w:sz w:val="22"/>
          <w:szCs w:val="22"/>
        </w:rPr>
      </w:pPr>
      <w:r w:rsidRPr="00E72310">
        <w:rPr>
          <w:rFonts w:ascii="Arial" w:hAnsi="Arial" w:cs="Arial"/>
          <w:sz w:val="22"/>
          <w:szCs w:val="22"/>
        </w:rPr>
        <w:t>Signed………………………………………………</w:t>
      </w:r>
    </w:p>
    <w:p w14:paraId="04CC6857" w14:textId="77777777" w:rsidR="008D5747" w:rsidRPr="00E72310" w:rsidRDefault="008D5747">
      <w:pPr>
        <w:rPr>
          <w:rFonts w:ascii="Arial" w:hAnsi="Arial" w:cs="Arial"/>
          <w:sz w:val="22"/>
          <w:szCs w:val="22"/>
        </w:rPr>
      </w:pPr>
      <w:r w:rsidRPr="00E72310">
        <w:rPr>
          <w:rFonts w:ascii="Arial" w:hAnsi="Arial" w:cs="Arial"/>
          <w:sz w:val="22"/>
          <w:szCs w:val="22"/>
        </w:rPr>
        <w:t>Date…………………………………………………</w:t>
      </w:r>
    </w:p>
    <w:p w14:paraId="30CB8562" w14:textId="77777777" w:rsidR="008D5747" w:rsidRPr="00E72310" w:rsidRDefault="008D5747">
      <w:pPr>
        <w:rPr>
          <w:rFonts w:ascii="Arial" w:hAnsi="Arial" w:cs="Arial"/>
          <w:sz w:val="22"/>
          <w:szCs w:val="22"/>
        </w:rPr>
      </w:pPr>
    </w:p>
    <w:p w14:paraId="0AC8DEC9" w14:textId="77777777" w:rsidR="008D5747" w:rsidRPr="00E72310" w:rsidRDefault="008D5747">
      <w:pPr>
        <w:rPr>
          <w:rFonts w:ascii="Arial" w:hAnsi="Arial" w:cs="Arial"/>
          <w:sz w:val="22"/>
          <w:szCs w:val="22"/>
        </w:rPr>
      </w:pPr>
    </w:p>
    <w:p w14:paraId="57177D37" w14:textId="77777777" w:rsidR="008D5747" w:rsidRDefault="008D5747"/>
    <w:p w14:paraId="3B2B89A9" w14:textId="77777777" w:rsidR="008D5747" w:rsidRDefault="008D5747"/>
    <w:p w14:paraId="104CFAB4" w14:textId="77777777" w:rsidR="008D5747" w:rsidRDefault="008D5747"/>
    <w:p w14:paraId="5CA152BB" w14:textId="77777777" w:rsidR="005C7288" w:rsidRDefault="005C7288"/>
    <w:p w14:paraId="0CE37C02" w14:textId="77777777" w:rsidR="005C7288" w:rsidRDefault="005C7288"/>
    <w:p w14:paraId="74E436CE" w14:textId="77777777" w:rsidR="005C7288" w:rsidRDefault="005C7288"/>
    <w:p w14:paraId="1F1F8799" w14:textId="77777777" w:rsidR="005C7288" w:rsidRDefault="005C7288"/>
    <w:p w14:paraId="3509D6CE" w14:textId="77777777" w:rsidR="005C7288" w:rsidRDefault="005C7288"/>
    <w:p w14:paraId="0851E50F" w14:textId="77777777" w:rsidR="005C7288" w:rsidRDefault="005C7288"/>
    <w:p w14:paraId="09DCDD8B" w14:textId="77777777" w:rsidR="005C7288" w:rsidRDefault="005C7288"/>
    <w:p w14:paraId="71298601" w14:textId="77777777" w:rsidR="00AD0E9E" w:rsidRDefault="00AD0E9E" w:rsidP="00A43832">
      <w:pPr>
        <w:jc w:val="center"/>
        <w:rPr>
          <w:rFonts w:ascii="Arial" w:hAnsi="Arial" w:cs="Arial"/>
          <w:b/>
          <w:bCs/>
          <w:i/>
          <w:iCs/>
          <w:sz w:val="56"/>
          <w:szCs w:val="56"/>
        </w:rPr>
      </w:pPr>
    </w:p>
    <w:p w14:paraId="743A8ADA" w14:textId="6E4F3ECF" w:rsidR="008D5747" w:rsidRPr="00C66BF4" w:rsidRDefault="008D5747" w:rsidP="00A43832">
      <w:pPr>
        <w:jc w:val="center"/>
        <w:rPr>
          <w:rFonts w:ascii="Arial" w:hAnsi="Arial" w:cs="Arial"/>
          <w:b/>
          <w:bCs/>
          <w:i/>
          <w:iCs/>
          <w:sz w:val="56"/>
          <w:szCs w:val="56"/>
        </w:rPr>
      </w:pPr>
      <w:r w:rsidRPr="00C66BF4">
        <w:rPr>
          <w:rFonts w:ascii="Arial" w:hAnsi="Arial" w:cs="Arial"/>
          <w:b/>
          <w:bCs/>
          <w:i/>
          <w:iCs/>
          <w:sz w:val="56"/>
          <w:szCs w:val="56"/>
        </w:rPr>
        <w:t>“Invisible Struggles: Addressing Burnout and Mental Health Among Healthcare Workers.”</w:t>
      </w:r>
    </w:p>
    <w:p w14:paraId="04EDC7A2" w14:textId="77777777" w:rsidR="008D5747" w:rsidRPr="00C66BF4" w:rsidRDefault="008D5747" w:rsidP="00A43832">
      <w:pPr>
        <w:jc w:val="center"/>
        <w:rPr>
          <w:rFonts w:ascii="Arial" w:hAnsi="Arial" w:cs="Arial"/>
          <w:b/>
          <w:bCs/>
          <w:i/>
          <w:iCs/>
          <w:sz w:val="56"/>
          <w:szCs w:val="56"/>
        </w:rPr>
      </w:pPr>
    </w:p>
    <w:p w14:paraId="31103DB0" w14:textId="77777777" w:rsidR="008D5747" w:rsidRDefault="008D5747"/>
    <w:p w14:paraId="571B4661" w14:textId="77777777" w:rsidR="008D5747" w:rsidRDefault="008D5747"/>
    <w:p w14:paraId="4C67CEFB" w14:textId="77777777" w:rsidR="008D5747" w:rsidRDefault="008D5747"/>
    <w:p w14:paraId="457C418F" w14:textId="77777777" w:rsidR="008D5747" w:rsidRDefault="008D5747"/>
    <w:p w14:paraId="4AEBE4A3" w14:textId="77777777" w:rsidR="008D5747" w:rsidRPr="00EE4F02" w:rsidRDefault="008D5747" w:rsidP="00A43832">
      <w:pPr>
        <w:jc w:val="center"/>
        <w:rPr>
          <w:rFonts w:ascii="Arial" w:hAnsi="Arial" w:cs="Arial"/>
          <w:sz w:val="48"/>
          <w:szCs w:val="48"/>
        </w:rPr>
      </w:pPr>
      <w:r w:rsidRPr="00EE4F02">
        <w:rPr>
          <w:rFonts w:ascii="Arial" w:hAnsi="Arial" w:cs="Arial"/>
          <w:sz w:val="48"/>
          <w:szCs w:val="48"/>
        </w:rPr>
        <w:t>Nazmin Malik</w:t>
      </w:r>
    </w:p>
    <w:p w14:paraId="56AF2B50" w14:textId="77777777" w:rsidR="008D5747" w:rsidRPr="00EE4F02" w:rsidRDefault="008D5747" w:rsidP="00A43832">
      <w:pPr>
        <w:jc w:val="center"/>
        <w:rPr>
          <w:rFonts w:ascii="Arial" w:hAnsi="Arial" w:cs="Arial"/>
          <w:sz w:val="48"/>
          <w:szCs w:val="48"/>
        </w:rPr>
      </w:pPr>
    </w:p>
    <w:p w14:paraId="191D7DB2" w14:textId="77777777" w:rsidR="008D5747" w:rsidRPr="00EE4F02" w:rsidRDefault="008D5747" w:rsidP="00A43832">
      <w:pPr>
        <w:jc w:val="center"/>
        <w:rPr>
          <w:rFonts w:ascii="Arial" w:hAnsi="Arial" w:cs="Arial"/>
          <w:sz w:val="48"/>
          <w:szCs w:val="48"/>
        </w:rPr>
      </w:pPr>
      <w:r w:rsidRPr="00EE4F02">
        <w:rPr>
          <w:rFonts w:ascii="Arial" w:hAnsi="Arial" w:cs="Arial"/>
          <w:sz w:val="48"/>
          <w:szCs w:val="48"/>
        </w:rPr>
        <w:t>2242813</w:t>
      </w:r>
    </w:p>
    <w:p w14:paraId="30429633" w14:textId="77777777" w:rsidR="008D5747" w:rsidRDefault="008D5747"/>
    <w:p w14:paraId="0588FFAB" w14:textId="77777777" w:rsidR="008D5747" w:rsidRDefault="008D5747"/>
    <w:p w14:paraId="73C4EE21" w14:textId="77777777" w:rsidR="008D5747" w:rsidRDefault="008D5747"/>
    <w:p w14:paraId="0372F772" w14:textId="77777777" w:rsidR="008D5747" w:rsidRDefault="008D5747"/>
    <w:p w14:paraId="6C8B93D9" w14:textId="77777777" w:rsidR="008D5747" w:rsidRPr="00002B42" w:rsidRDefault="008D5747">
      <w:pPr>
        <w:rPr>
          <w:rFonts w:ascii="Arial" w:hAnsi="Arial" w:cs="Arial"/>
        </w:rPr>
      </w:pPr>
    </w:p>
    <w:p w14:paraId="19817478" w14:textId="77777777" w:rsidR="00DA0626" w:rsidRPr="00AA0417" w:rsidRDefault="008D5747" w:rsidP="00C66BF4">
      <w:pPr>
        <w:jc w:val="center"/>
        <w:rPr>
          <w:rFonts w:ascii="Arial" w:hAnsi="Arial" w:cs="Arial"/>
          <w:sz w:val="32"/>
          <w:szCs w:val="32"/>
        </w:rPr>
      </w:pPr>
      <w:r w:rsidRPr="00AA0417">
        <w:rPr>
          <w:rFonts w:ascii="Arial" w:hAnsi="Arial" w:cs="Arial"/>
          <w:sz w:val="32"/>
          <w:szCs w:val="32"/>
        </w:rPr>
        <w:t>Dissertation submitted as part of the requirements for the award BSc (Hons) Health and Social Car</w:t>
      </w:r>
      <w:r w:rsidR="00DA0626" w:rsidRPr="00AA0417">
        <w:rPr>
          <w:rFonts w:ascii="Arial" w:hAnsi="Arial" w:cs="Arial"/>
          <w:sz w:val="32"/>
          <w:szCs w:val="32"/>
        </w:rPr>
        <w:t>e.</w:t>
      </w:r>
    </w:p>
    <w:p w14:paraId="15DB80C4" w14:textId="77777777" w:rsidR="00C66BF4" w:rsidRDefault="00C66BF4">
      <w:pPr>
        <w:rPr>
          <w:rFonts w:ascii="Arial" w:hAnsi="Arial" w:cs="Arial"/>
        </w:rPr>
      </w:pPr>
    </w:p>
    <w:p w14:paraId="711DB5EC" w14:textId="77777777" w:rsidR="00C66BF4" w:rsidRDefault="00C66BF4">
      <w:pPr>
        <w:rPr>
          <w:rFonts w:ascii="Arial" w:hAnsi="Arial" w:cs="Arial"/>
        </w:rPr>
      </w:pPr>
    </w:p>
    <w:p w14:paraId="6F3D8021" w14:textId="77777777" w:rsidR="00C66BF4" w:rsidRDefault="00C66BF4">
      <w:pPr>
        <w:rPr>
          <w:rFonts w:ascii="Arial" w:hAnsi="Arial" w:cs="Arial"/>
        </w:rPr>
      </w:pPr>
    </w:p>
    <w:p w14:paraId="600A1E94" w14:textId="77777777" w:rsidR="00AA0417" w:rsidRDefault="00AA0417">
      <w:pPr>
        <w:rPr>
          <w:rFonts w:ascii="Arial" w:hAnsi="Arial" w:cs="Arial"/>
        </w:rPr>
      </w:pPr>
    </w:p>
    <w:p w14:paraId="55E38CCA" w14:textId="77777777" w:rsidR="00AA0417" w:rsidRDefault="00AA0417">
      <w:pPr>
        <w:rPr>
          <w:rFonts w:ascii="Arial" w:hAnsi="Arial" w:cs="Arial"/>
        </w:rPr>
      </w:pPr>
    </w:p>
    <w:p w14:paraId="6D2A1787" w14:textId="77777777" w:rsidR="00AA0417" w:rsidRDefault="00AA0417">
      <w:pPr>
        <w:rPr>
          <w:rFonts w:ascii="Arial" w:hAnsi="Arial" w:cs="Arial"/>
        </w:rPr>
      </w:pPr>
    </w:p>
    <w:p w14:paraId="5CF851E9" w14:textId="1854F097" w:rsidR="008D5747" w:rsidRPr="00DA0626" w:rsidRDefault="008D5747">
      <w:pPr>
        <w:rPr>
          <w:rFonts w:ascii="Arial" w:hAnsi="Arial" w:cs="Arial"/>
          <w:b/>
          <w:bCs/>
          <w:sz w:val="22"/>
          <w:szCs w:val="22"/>
        </w:rPr>
      </w:pPr>
      <w:r w:rsidRPr="00DA0626">
        <w:rPr>
          <w:rFonts w:ascii="Arial" w:hAnsi="Arial" w:cs="Arial"/>
          <w:b/>
          <w:bCs/>
          <w:sz w:val="22"/>
          <w:szCs w:val="22"/>
        </w:rPr>
        <w:t>Acknowledgements</w:t>
      </w:r>
    </w:p>
    <w:p w14:paraId="55C6232A" w14:textId="42279FB0"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 xml:space="preserve">I would like to express my sincere gratitude to my dissertation </w:t>
      </w:r>
      <w:r w:rsidR="00783CFF">
        <w:rPr>
          <w:rFonts w:ascii="Arial" w:hAnsi="Arial" w:cs="Arial"/>
          <w:sz w:val="22"/>
          <w:szCs w:val="22"/>
        </w:rPr>
        <w:t>lecturer</w:t>
      </w:r>
      <w:r w:rsidRPr="00DA0626">
        <w:rPr>
          <w:rFonts w:ascii="Arial" w:hAnsi="Arial" w:cs="Arial"/>
          <w:sz w:val="22"/>
          <w:szCs w:val="22"/>
        </w:rPr>
        <w:t xml:space="preserve">, </w:t>
      </w:r>
      <w:r w:rsidR="00783CFF">
        <w:rPr>
          <w:rFonts w:ascii="Arial" w:hAnsi="Arial" w:cs="Arial"/>
          <w:sz w:val="22"/>
          <w:szCs w:val="22"/>
        </w:rPr>
        <w:t xml:space="preserve">( Chole </w:t>
      </w:r>
      <w:r w:rsidR="004F5B9A">
        <w:rPr>
          <w:rFonts w:ascii="Arial" w:hAnsi="Arial" w:cs="Arial"/>
          <w:sz w:val="22"/>
          <w:szCs w:val="22"/>
        </w:rPr>
        <w:t>Ha</w:t>
      </w:r>
      <w:r w:rsidR="00C54513">
        <w:rPr>
          <w:rFonts w:ascii="Arial" w:hAnsi="Arial" w:cs="Arial"/>
          <w:sz w:val="22"/>
          <w:szCs w:val="22"/>
        </w:rPr>
        <w:t>r</w:t>
      </w:r>
      <w:r w:rsidR="00C43E61">
        <w:rPr>
          <w:rFonts w:ascii="Arial" w:hAnsi="Arial" w:cs="Arial"/>
          <w:sz w:val="22"/>
          <w:szCs w:val="22"/>
        </w:rPr>
        <w:t xml:space="preserve">ries </w:t>
      </w:r>
      <w:r w:rsidR="00FA0716">
        <w:rPr>
          <w:rFonts w:ascii="Arial" w:hAnsi="Arial" w:cs="Arial"/>
          <w:sz w:val="22"/>
          <w:szCs w:val="22"/>
        </w:rPr>
        <w:t xml:space="preserve">) </w:t>
      </w:r>
      <w:r w:rsidRPr="00DA0626">
        <w:rPr>
          <w:rFonts w:ascii="Arial" w:hAnsi="Arial" w:cs="Arial"/>
          <w:sz w:val="22"/>
          <w:szCs w:val="22"/>
        </w:rPr>
        <w:t xml:space="preserve"> for </w:t>
      </w:r>
      <w:r w:rsidR="00FA0716">
        <w:rPr>
          <w:rFonts w:ascii="Arial" w:hAnsi="Arial" w:cs="Arial"/>
          <w:sz w:val="22"/>
          <w:szCs w:val="22"/>
        </w:rPr>
        <w:t>her</w:t>
      </w:r>
      <w:r w:rsidRPr="00DA0626">
        <w:rPr>
          <w:rFonts w:ascii="Arial" w:hAnsi="Arial" w:cs="Arial"/>
          <w:sz w:val="22"/>
          <w:szCs w:val="22"/>
        </w:rPr>
        <w:t xml:space="preserve"> guidance, patience, and invaluable feedback throughout this project. Your support has helped me stay focused and develop a clear, structured approach to my research.</w:t>
      </w:r>
    </w:p>
    <w:p w14:paraId="074A2CFB" w14:textId="751D5E1D"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I am also grateful to the librarians and academic staff at the University of Wales Trinity Saint David, whose assistance in navigating research resources and accessing academic literature made this study possible.</w:t>
      </w:r>
    </w:p>
    <w:p w14:paraId="435948D3" w14:textId="7A4ACBF2"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This research is particularly meaningful to me because of my own experiences with depression, anxiety, and burnout while working as a healthcare assistant. These experiences motivated me to explore burnout and mental health in healthcare professionals more deeply. I also wish to thank my family and  friends, whose encouragement and understanding supported me through the challenges of writing this dissertation.</w:t>
      </w:r>
    </w:p>
    <w:p w14:paraId="534BB120" w14:textId="77777777"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This project is a reflection of both professional inquiry and personal experience, and I am thankful to everyone who contributed to making it possible.</w:t>
      </w:r>
    </w:p>
    <w:p w14:paraId="19D6F6BD" w14:textId="77777777" w:rsidR="008D5747" w:rsidRPr="00DA0626" w:rsidRDefault="008D5747" w:rsidP="004973F5">
      <w:pPr>
        <w:spacing w:line="360" w:lineRule="auto"/>
        <w:rPr>
          <w:rFonts w:ascii="Arial" w:hAnsi="Arial" w:cs="Arial"/>
          <w:sz w:val="22"/>
          <w:szCs w:val="22"/>
        </w:rPr>
      </w:pPr>
    </w:p>
    <w:p w14:paraId="66C46987" w14:textId="77777777" w:rsidR="008D5747" w:rsidRPr="00DA0626" w:rsidRDefault="008D5747" w:rsidP="004973F5">
      <w:pPr>
        <w:spacing w:line="360" w:lineRule="auto"/>
        <w:rPr>
          <w:rFonts w:ascii="Arial" w:hAnsi="Arial" w:cs="Arial"/>
          <w:sz w:val="22"/>
          <w:szCs w:val="22"/>
        </w:rPr>
      </w:pPr>
    </w:p>
    <w:p w14:paraId="1AB1D9C3" w14:textId="77777777" w:rsidR="008D5747" w:rsidRDefault="008D5747"/>
    <w:p w14:paraId="044229A2" w14:textId="77777777" w:rsidR="00A3772C" w:rsidRDefault="00A3772C"/>
    <w:p w14:paraId="1FD1E663" w14:textId="77777777" w:rsidR="004973F5" w:rsidRDefault="004973F5"/>
    <w:p w14:paraId="11E85DD5" w14:textId="77777777" w:rsidR="008D5747" w:rsidRDefault="008D5747"/>
    <w:p w14:paraId="4D42996F" w14:textId="77777777" w:rsidR="008D5747" w:rsidRDefault="008D5747"/>
    <w:p w14:paraId="6BB4C5F0" w14:textId="77777777" w:rsidR="00646FB4" w:rsidRDefault="00646FB4" w:rsidP="00210F62">
      <w:pPr>
        <w:spacing w:line="360" w:lineRule="auto"/>
        <w:rPr>
          <w:rFonts w:ascii="Arial" w:hAnsi="Arial" w:cs="Arial"/>
          <w:b/>
          <w:bCs/>
          <w:sz w:val="22"/>
          <w:szCs w:val="22"/>
        </w:rPr>
      </w:pPr>
    </w:p>
    <w:p w14:paraId="507049EE" w14:textId="210F86D8" w:rsidR="008D5747" w:rsidRPr="00210F62" w:rsidRDefault="008D5747" w:rsidP="00210F62">
      <w:pPr>
        <w:spacing w:line="360" w:lineRule="auto"/>
        <w:rPr>
          <w:rFonts w:ascii="Arial" w:hAnsi="Arial" w:cs="Arial"/>
          <w:b/>
          <w:bCs/>
          <w:sz w:val="22"/>
          <w:szCs w:val="22"/>
        </w:rPr>
      </w:pPr>
      <w:r w:rsidRPr="00210F62">
        <w:rPr>
          <w:rFonts w:ascii="Arial" w:hAnsi="Arial" w:cs="Arial"/>
          <w:b/>
          <w:bCs/>
          <w:sz w:val="22"/>
          <w:szCs w:val="22"/>
        </w:rPr>
        <w:t xml:space="preserve">Abstract </w:t>
      </w:r>
    </w:p>
    <w:p w14:paraId="344D616C" w14:textId="39E6D5D2"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Burnout and mental health challenges among healthcare workers have emerged as critical issues in contemporary health and social care. The purpose of this dissertation was to investigate the prevalence, causes, and consequences of burnout, and to explore strategies to support staff wellbeing. The research aimed to address three key objectives: to identify organisational and individual factors contributing to burnout, to examine the emotional and psychological impact on healthcare professionals, and to evaluate evidence-based interventions to mitigate these challenges. This research is particularly important given the growing workforce pressures within healthcare settings and the link between staff wellbeing, patient safety, and quality of care.</w:t>
      </w:r>
    </w:p>
    <w:p w14:paraId="5233B0E3" w14:textId="1DF12170"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A desk-based, secondary research approach was employed, focusing on peer-reviewed journal articles, policy reports, and academic literature published within the last ten years. Thematic analysis was used to systematically code and analyse the literature, identifying recurring patterns and synthesising evidence across studies. Source tracking and summary tables were utilised to ensure transparency, credibility, and reliability of the findings.</w:t>
      </w:r>
    </w:p>
    <w:p w14:paraId="74A68BD9" w14:textId="3D360118"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The analysis revealed three overarching themes: (1) organisational drivers of burnout, including workload, staffing pressures, and leadership practices; (2) the emotional and psychological impact on healthcare workers, such as stress, anxiety, and reduced wellbeing; and (3) the role of organisational and individual interventions, including wellbeing initiatives, support programmes, and evidence-based coping strategies. Key insights highlighted the importance of supportive leadership, structured wellbeing policies, and early identification of burnout risk factors.</w:t>
      </w:r>
    </w:p>
    <w:p w14:paraId="7C16A641" w14:textId="713CFB44"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Limitations of the study included reliance on secondary data and variation in measurement tools across studies, which may impact generalisability. Despite these limitations, the findings provide valuable guidance for health and social care practice.</w:t>
      </w:r>
    </w:p>
    <w:p w14:paraId="0BF512F0" w14:textId="77777777"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Recommendations include implementing comprehensive staff wellbeing programmes, embedding mental health support within organisational policy, promoting resilience training, and conducting further research to evaluate intervention effectiveness. This study contributes to understanding burnout in healthcare settings and informs practical strategies to enhance workforce wellbeing, patient safety, and organisational sustainability.</w:t>
      </w:r>
    </w:p>
    <w:p w14:paraId="3AE9B838" w14:textId="77777777" w:rsidR="008D5747" w:rsidRDefault="008D5747">
      <w:pPr>
        <w:rPr>
          <w:rFonts w:ascii="Arial" w:hAnsi="Arial" w:cs="Arial"/>
          <w:sz w:val="22"/>
          <w:szCs w:val="22"/>
        </w:rPr>
      </w:pPr>
    </w:p>
    <w:p w14:paraId="61F02D3F" w14:textId="77777777" w:rsidR="00A3772C" w:rsidRDefault="00A3772C"/>
    <w:p w14:paraId="334D2073" w14:textId="77777777" w:rsidR="008D5747" w:rsidRDefault="008D5747"/>
    <w:p w14:paraId="30E2A908" w14:textId="77777777" w:rsidR="008D5747" w:rsidRPr="00A3772C" w:rsidRDefault="008D5747">
      <w:pPr>
        <w:rPr>
          <w:rFonts w:ascii="Arial" w:hAnsi="Arial" w:cs="Arial"/>
          <w:b/>
          <w:bCs/>
          <w:sz w:val="22"/>
          <w:szCs w:val="22"/>
        </w:rPr>
      </w:pPr>
      <w:r w:rsidRPr="00A3772C">
        <w:rPr>
          <w:rFonts w:ascii="Arial" w:hAnsi="Arial" w:cs="Arial"/>
          <w:b/>
          <w:bCs/>
          <w:sz w:val="22"/>
          <w:szCs w:val="22"/>
        </w:rPr>
        <w:t>Content page:</w:t>
      </w:r>
    </w:p>
    <w:p w14:paraId="027B55CD" w14:textId="77777777" w:rsidR="008D5747" w:rsidRPr="003F449B" w:rsidRDefault="008D5747">
      <w:pPr>
        <w:rPr>
          <w:rFonts w:ascii="Arial" w:hAnsi="Arial" w:cs="Arial"/>
          <w:sz w:val="22"/>
          <w:szCs w:val="22"/>
        </w:rPr>
      </w:pPr>
    </w:p>
    <w:p w14:paraId="50974E4C" w14:textId="77777777" w:rsidR="008D5747" w:rsidRPr="003F449B" w:rsidRDefault="008D5747">
      <w:pPr>
        <w:rPr>
          <w:rFonts w:ascii="Arial" w:hAnsi="Arial" w:cs="Arial"/>
          <w:sz w:val="22"/>
          <w:szCs w:val="22"/>
        </w:rPr>
      </w:pPr>
    </w:p>
    <w:p w14:paraId="57A3959F" w14:textId="77777777" w:rsidR="008D5747" w:rsidRPr="003F449B" w:rsidRDefault="008D5747">
      <w:pPr>
        <w:rPr>
          <w:rFonts w:ascii="Arial" w:hAnsi="Arial" w:cs="Arial"/>
          <w:sz w:val="22"/>
          <w:szCs w:val="22"/>
        </w:rPr>
      </w:pPr>
    </w:p>
    <w:p w14:paraId="39AFE7B4" w14:textId="77777777" w:rsidR="008D5747" w:rsidRPr="003F449B" w:rsidRDefault="008D5747">
      <w:pPr>
        <w:rPr>
          <w:rFonts w:ascii="Arial" w:hAnsi="Arial" w:cs="Arial"/>
          <w:sz w:val="22"/>
          <w:szCs w:val="22"/>
        </w:rPr>
      </w:pPr>
    </w:p>
    <w:p w14:paraId="2C58B04B" w14:textId="77777777" w:rsidR="008D5747" w:rsidRPr="003F449B" w:rsidRDefault="008D5747">
      <w:pPr>
        <w:rPr>
          <w:rFonts w:ascii="Arial" w:hAnsi="Arial" w:cs="Arial"/>
          <w:sz w:val="22"/>
          <w:szCs w:val="22"/>
        </w:rPr>
      </w:pPr>
    </w:p>
    <w:p w14:paraId="61700729" w14:textId="77777777" w:rsidR="008D5747" w:rsidRPr="003F449B" w:rsidRDefault="008D5747">
      <w:pPr>
        <w:rPr>
          <w:rFonts w:ascii="Arial" w:hAnsi="Arial" w:cs="Arial"/>
          <w:sz w:val="22"/>
          <w:szCs w:val="22"/>
        </w:rPr>
      </w:pPr>
    </w:p>
    <w:p w14:paraId="21CF8889" w14:textId="77777777" w:rsidR="008D5747" w:rsidRPr="003F449B" w:rsidRDefault="008D5747">
      <w:pPr>
        <w:rPr>
          <w:rFonts w:ascii="Arial" w:hAnsi="Arial" w:cs="Arial"/>
          <w:sz w:val="22"/>
          <w:szCs w:val="22"/>
        </w:rPr>
      </w:pPr>
    </w:p>
    <w:p w14:paraId="31B5C50A" w14:textId="77777777" w:rsidR="008D5747" w:rsidRPr="003F449B" w:rsidRDefault="008D5747">
      <w:pPr>
        <w:rPr>
          <w:rFonts w:ascii="Arial" w:hAnsi="Arial" w:cs="Arial"/>
          <w:sz w:val="22"/>
          <w:szCs w:val="22"/>
        </w:rPr>
      </w:pPr>
    </w:p>
    <w:p w14:paraId="2554DF3C" w14:textId="77777777" w:rsidR="008D5747" w:rsidRPr="003F449B" w:rsidRDefault="008D5747">
      <w:pPr>
        <w:rPr>
          <w:rFonts w:ascii="Arial" w:hAnsi="Arial" w:cs="Arial"/>
          <w:sz w:val="22"/>
          <w:szCs w:val="22"/>
        </w:rPr>
      </w:pPr>
    </w:p>
    <w:p w14:paraId="4404C907" w14:textId="77777777" w:rsidR="008D5747" w:rsidRPr="003F449B" w:rsidRDefault="008D5747">
      <w:pPr>
        <w:rPr>
          <w:rFonts w:ascii="Arial" w:hAnsi="Arial" w:cs="Arial"/>
          <w:sz w:val="22"/>
          <w:szCs w:val="22"/>
        </w:rPr>
      </w:pPr>
    </w:p>
    <w:p w14:paraId="06A0EF48" w14:textId="77777777" w:rsidR="008D5747" w:rsidRPr="003F449B" w:rsidRDefault="008D5747">
      <w:pPr>
        <w:rPr>
          <w:rFonts w:ascii="Arial" w:hAnsi="Arial" w:cs="Arial"/>
          <w:sz w:val="22"/>
          <w:szCs w:val="22"/>
        </w:rPr>
      </w:pPr>
    </w:p>
    <w:p w14:paraId="6708598C" w14:textId="77777777" w:rsidR="008D5747" w:rsidRPr="003F449B" w:rsidRDefault="008D5747">
      <w:pPr>
        <w:rPr>
          <w:rFonts w:ascii="Arial" w:hAnsi="Arial" w:cs="Arial"/>
          <w:sz w:val="22"/>
          <w:szCs w:val="22"/>
        </w:rPr>
      </w:pPr>
    </w:p>
    <w:p w14:paraId="46603922" w14:textId="77777777" w:rsidR="008D5747" w:rsidRPr="003F449B" w:rsidRDefault="008D5747">
      <w:pPr>
        <w:rPr>
          <w:rFonts w:ascii="Arial" w:hAnsi="Arial" w:cs="Arial"/>
          <w:sz w:val="22"/>
          <w:szCs w:val="22"/>
        </w:rPr>
      </w:pPr>
    </w:p>
    <w:p w14:paraId="747CAF0E" w14:textId="77777777" w:rsidR="008D5747" w:rsidRPr="003F449B" w:rsidRDefault="008D5747">
      <w:pPr>
        <w:rPr>
          <w:rFonts w:ascii="Arial" w:hAnsi="Arial" w:cs="Arial"/>
          <w:sz w:val="22"/>
          <w:szCs w:val="22"/>
        </w:rPr>
      </w:pPr>
    </w:p>
    <w:p w14:paraId="6E54A6E4" w14:textId="77777777" w:rsidR="008D5747" w:rsidRPr="003F449B" w:rsidRDefault="008D5747">
      <w:pPr>
        <w:rPr>
          <w:rFonts w:ascii="Arial" w:hAnsi="Arial" w:cs="Arial"/>
          <w:sz w:val="22"/>
          <w:szCs w:val="22"/>
        </w:rPr>
      </w:pPr>
    </w:p>
    <w:p w14:paraId="40936DF1" w14:textId="77777777" w:rsidR="008D5747" w:rsidRPr="003F449B" w:rsidRDefault="008D5747">
      <w:pPr>
        <w:rPr>
          <w:rFonts w:ascii="Arial" w:hAnsi="Arial" w:cs="Arial"/>
          <w:sz w:val="22"/>
          <w:szCs w:val="22"/>
        </w:rPr>
      </w:pPr>
    </w:p>
    <w:p w14:paraId="72ED8CCA" w14:textId="77777777" w:rsidR="008D5747" w:rsidRPr="003F449B" w:rsidRDefault="008D5747">
      <w:pPr>
        <w:rPr>
          <w:rFonts w:ascii="Arial" w:hAnsi="Arial" w:cs="Arial"/>
          <w:sz w:val="22"/>
          <w:szCs w:val="22"/>
        </w:rPr>
      </w:pPr>
    </w:p>
    <w:p w14:paraId="1E3F2436" w14:textId="77777777" w:rsidR="008D5747" w:rsidRPr="003F449B" w:rsidRDefault="008D5747">
      <w:pPr>
        <w:rPr>
          <w:rFonts w:ascii="Arial" w:hAnsi="Arial" w:cs="Arial"/>
          <w:sz w:val="22"/>
          <w:szCs w:val="22"/>
        </w:rPr>
      </w:pPr>
    </w:p>
    <w:p w14:paraId="775CE4A2" w14:textId="77777777" w:rsidR="008D5747" w:rsidRPr="003F449B" w:rsidRDefault="008D5747">
      <w:pPr>
        <w:rPr>
          <w:rFonts w:ascii="Arial" w:hAnsi="Arial" w:cs="Arial"/>
          <w:sz w:val="22"/>
          <w:szCs w:val="22"/>
        </w:rPr>
      </w:pPr>
    </w:p>
    <w:p w14:paraId="41BC23D2" w14:textId="77777777" w:rsidR="008D5747" w:rsidRPr="003F449B" w:rsidRDefault="008D5747">
      <w:pPr>
        <w:rPr>
          <w:rFonts w:ascii="Arial" w:hAnsi="Arial" w:cs="Arial"/>
          <w:sz w:val="22"/>
          <w:szCs w:val="22"/>
        </w:rPr>
      </w:pPr>
    </w:p>
    <w:p w14:paraId="69B70AA0" w14:textId="77777777" w:rsidR="008D5747" w:rsidRPr="003F449B" w:rsidRDefault="008D5747">
      <w:pPr>
        <w:rPr>
          <w:rFonts w:ascii="Arial" w:hAnsi="Arial" w:cs="Arial"/>
          <w:sz w:val="22"/>
          <w:szCs w:val="22"/>
        </w:rPr>
      </w:pPr>
    </w:p>
    <w:p w14:paraId="2E1F8613" w14:textId="77777777" w:rsidR="008D5747" w:rsidRPr="003F449B" w:rsidRDefault="008D5747">
      <w:pPr>
        <w:rPr>
          <w:rFonts w:ascii="Arial" w:hAnsi="Arial" w:cs="Arial"/>
          <w:sz w:val="22"/>
          <w:szCs w:val="22"/>
        </w:rPr>
      </w:pPr>
    </w:p>
    <w:p w14:paraId="0A675A9A" w14:textId="77777777" w:rsidR="008D5747" w:rsidRPr="003F449B" w:rsidRDefault="008D5747">
      <w:pPr>
        <w:rPr>
          <w:rFonts w:ascii="Arial" w:hAnsi="Arial" w:cs="Arial"/>
          <w:sz w:val="22"/>
          <w:szCs w:val="22"/>
        </w:rPr>
      </w:pPr>
    </w:p>
    <w:p w14:paraId="555220CF" w14:textId="77777777" w:rsidR="008D5747" w:rsidRPr="003F449B" w:rsidRDefault="008D5747">
      <w:pPr>
        <w:rPr>
          <w:rFonts w:ascii="Arial" w:hAnsi="Arial" w:cs="Arial"/>
          <w:sz w:val="22"/>
          <w:szCs w:val="22"/>
        </w:rPr>
      </w:pPr>
    </w:p>
    <w:p w14:paraId="4AC19A3D" w14:textId="77777777" w:rsidR="008D5747" w:rsidRPr="003F449B" w:rsidRDefault="008D5747">
      <w:pPr>
        <w:rPr>
          <w:rFonts w:ascii="Arial" w:hAnsi="Arial" w:cs="Arial"/>
          <w:sz w:val="22"/>
          <w:szCs w:val="22"/>
        </w:rPr>
      </w:pPr>
    </w:p>
    <w:p w14:paraId="0F84D4A5" w14:textId="77777777" w:rsidR="00A3772C" w:rsidRDefault="00A3772C" w:rsidP="009714F1">
      <w:pPr>
        <w:spacing w:line="360" w:lineRule="auto"/>
        <w:rPr>
          <w:rFonts w:ascii="Arial" w:hAnsi="Arial" w:cs="Arial"/>
          <w:b/>
          <w:bCs/>
          <w:sz w:val="22"/>
          <w:szCs w:val="22"/>
        </w:rPr>
      </w:pPr>
    </w:p>
    <w:p w14:paraId="726CBF22" w14:textId="77777777" w:rsidR="00A3772C" w:rsidRDefault="00A3772C" w:rsidP="009714F1">
      <w:pPr>
        <w:spacing w:line="360" w:lineRule="auto"/>
        <w:rPr>
          <w:rFonts w:ascii="Arial" w:hAnsi="Arial" w:cs="Arial"/>
          <w:b/>
          <w:bCs/>
          <w:sz w:val="22"/>
          <w:szCs w:val="22"/>
        </w:rPr>
      </w:pPr>
    </w:p>
    <w:p w14:paraId="41B547D1" w14:textId="77777777" w:rsidR="00A3772C" w:rsidRDefault="00A3772C" w:rsidP="009714F1">
      <w:pPr>
        <w:spacing w:line="360" w:lineRule="auto"/>
        <w:rPr>
          <w:rFonts w:ascii="Arial" w:hAnsi="Arial" w:cs="Arial"/>
          <w:b/>
          <w:bCs/>
          <w:sz w:val="22"/>
          <w:szCs w:val="22"/>
        </w:rPr>
      </w:pPr>
    </w:p>
    <w:p w14:paraId="6CD94013" w14:textId="77777777" w:rsidR="00A3772C" w:rsidRDefault="00A3772C" w:rsidP="009714F1">
      <w:pPr>
        <w:spacing w:line="360" w:lineRule="auto"/>
        <w:rPr>
          <w:rFonts w:ascii="Arial" w:hAnsi="Arial" w:cs="Arial"/>
          <w:b/>
          <w:bCs/>
          <w:sz w:val="22"/>
          <w:szCs w:val="22"/>
        </w:rPr>
      </w:pPr>
    </w:p>
    <w:p w14:paraId="3AD9D409" w14:textId="6290ECCC"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 xml:space="preserve">Chapter 4: Findings and Discussions </w:t>
      </w:r>
    </w:p>
    <w:p w14:paraId="3EBB7D32" w14:textId="26B9E7C6"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4.1:  Introduction</w:t>
      </w:r>
    </w:p>
    <w:p w14:paraId="635E734C" w14:textId="1D44A2E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This chapter presents and discusses the key </w:t>
      </w:r>
      <w:r w:rsidR="00CD50DC" w:rsidRPr="003F449B">
        <w:rPr>
          <w:rFonts w:ascii="Arial" w:hAnsi="Arial" w:cs="Arial"/>
          <w:sz w:val="22"/>
          <w:szCs w:val="22"/>
        </w:rPr>
        <w:t>f</w:t>
      </w:r>
      <w:r w:rsidR="00CD50DC">
        <w:rPr>
          <w:rFonts w:ascii="Arial" w:hAnsi="Arial" w:cs="Arial"/>
          <w:sz w:val="22"/>
          <w:szCs w:val="22"/>
        </w:rPr>
        <w:t xml:space="preserve">indings </w:t>
      </w:r>
      <w:r w:rsidR="00080B4B">
        <w:rPr>
          <w:rFonts w:ascii="Arial" w:hAnsi="Arial" w:cs="Arial"/>
          <w:sz w:val="22"/>
          <w:szCs w:val="22"/>
        </w:rPr>
        <w:t xml:space="preserve">obtained </w:t>
      </w:r>
      <w:r w:rsidRPr="003F449B">
        <w:rPr>
          <w:rFonts w:ascii="Arial" w:hAnsi="Arial" w:cs="Arial"/>
          <w:sz w:val="22"/>
          <w:szCs w:val="22"/>
        </w:rPr>
        <w:t>from the secondary literature reviewed in this study. The purpose of this chapter is to synthesise the evidence relating to burnout and mental health among healthcare workers and to interpret these findings in relation to the research aim and objectives outlined in Chapter 1. Using a thematic analysis approach  the chapter identifies recurring patterns and themes within the literature, including contributing factors to burnout, the impact on healthcare staff, and potential organisational and individual interventions. The discussion critically evaluates the evidence base, highlighting areas of agreement, gaps in knowledge, and implications for healthcare practice and policy.</w:t>
      </w:r>
    </w:p>
    <w:p w14:paraId="19C1792D" w14:textId="434E3289"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4.2: Thematic Analysis</w:t>
      </w:r>
    </w:p>
    <w:p w14:paraId="2AE636D3" w14:textId="0576CE9D"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Thematic analysis is a qualitative method used to identify, analyse and report patterns (themes) within data. It is widely used in secondary research because it provides a structured but flexible way of interpreting existing literature. Braun and Clarke (2019) explain that thematic analysis involves familiarisation with the data, generating codes, searching for themes, reviewing themes and clearly defining them. Similarly, Castleberry and Nolen (2018) emphasise that this approach improves transparency and depth when analysing healthcare research.</w:t>
      </w:r>
    </w:p>
    <w:p w14:paraId="0151417C" w14:textId="14AE7A6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In this study, thematic analysis was applied to the selected peer-reviewed literature to identify repeated patterns relating to burnout and mental health among healthcare workers. Following the process outlined in Chapter 3, key findings from each article were carefully reviewed and coded. These codes were then grouped into broader categories and refined into overarching themes (Braun and Clarke, 2019). The detailed coding process is presented in </w:t>
      </w:r>
      <w:r w:rsidRPr="00171992">
        <w:rPr>
          <w:rFonts w:ascii="Arial" w:hAnsi="Arial" w:cs="Arial"/>
          <w:b/>
          <w:bCs/>
          <w:sz w:val="22"/>
          <w:szCs w:val="22"/>
        </w:rPr>
        <w:t>Appendix 2</w:t>
      </w:r>
      <w:r w:rsidRPr="003F449B">
        <w:rPr>
          <w:rFonts w:ascii="Arial" w:hAnsi="Arial" w:cs="Arial"/>
          <w:sz w:val="22"/>
          <w:szCs w:val="22"/>
        </w:rPr>
        <w:t xml:space="preserve"> (Results Summary Table), which shows how data were systematically compared across sources.</w:t>
      </w:r>
    </w:p>
    <w:p w14:paraId="20BD42EC" w14:textId="377B6EB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From this process, several key themes emerged. These include organisational drivers of burnout (for example workload and staffing pressures), the emotional and psychological impact on healthcare workers, and the importance of organisational and individual support strategies. These themes form the structure for the following sections, where the findings are discussed in relation to the research objectives and current literature (Castleberry and Nolen, 2018).</w:t>
      </w:r>
    </w:p>
    <w:p w14:paraId="4C342367" w14:textId="2E9780FA"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4.3: Theme 1: Workplace Stress and Burnout</w:t>
      </w:r>
    </w:p>
    <w:p w14:paraId="17C73C71" w14:textId="111E5289"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Definition</w:t>
      </w:r>
    </w:p>
    <w:p w14:paraId="63F56855" w14:textId="1FA84F0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Workplace stress and burnout represent significant occupational health concerns within healthcare settings. Burnout is commonly defined as a psychological syndrome resulting from prolonged exposure to chronic workplace stressors that have not been successfully managed (Christina Maslach et al, 2016). It is typically characterised by three core dimensions: emotional exhaustion, depersonalisation, and reduced personal accomplishment. Emotional exhaustion refers to feelings of being emotionally overextended, while depersonalisation involves a detached or negative response toward patients or colleagues. </w:t>
      </w:r>
    </w:p>
    <w:p w14:paraId="019BC59B" w14:textId="416F94F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Burnout has been formally recognised by the World Health Organization as an occupational phenomenon in the International Classification of Diseases (ICD-11). The organisation defines burnout as a syndrome resulting from chronic workplace stress that has not been successfully managed. According to the WHO, burnout is characterised by three key dimensions: feelings of energy depletion or exhaustion, increased mental distance or cynicism towards one’s job, and reduced professional efficacy. Importantly, the WHO emphasises that burnout specifically relates to occupational contexts rather than other areas of life (WHO, 2019).</w:t>
      </w:r>
    </w:p>
    <w:p w14:paraId="0A9ABCE7" w14:textId="71B53F7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Within healthcare environments, workplace stress often arises from high job demands, time pressures, staff shortages, and emotional labour associated with patient care. These stressors can accumulate over time and contribute to burnout, negatively affecting both staff wellbeing and the quality of patient care.</w:t>
      </w:r>
    </w:p>
    <w:p w14:paraId="58288001" w14:textId="09C97C13" w:rsidR="008D5747" w:rsidRPr="00855695" w:rsidRDefault="008D5747" w:rsidP="009714F1">
      <w:pPr>
        <w:spacing w:line="360" w:lineRule="auto"/>
        <w:rPr>
          <w:rFonts w:ascii="Arial" w:hAnsi="Arial" w:cs="Arial"/>
          <w:b/>
          <w:bCs/>
          <w:sz w:val="22"/>
          <w:szCs w:val="22"/>
        </w:rPr>
      </w:pPr>
      <w:r w:rsidRPr="00855695">
        <w:rPr>
          <w:rFonts w:ascii="Arial" w:hAnsi="Arial" w:cs="Arial"/>
          <w:b/>
          <w:bCs/>
          <w:sz w:val="22"/>
          <w:szCs w:val="22"/>
        </w:rPr>
        <w:t>Background Information</w:t>
      </w:r>
    </w:p>
    <w:p w14:paraId="7E953478" w14:textId="3C7EA93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Historically, burnout has been recognised as a growing issue in high-pressure professions such as healthcare, education, and social services. Early research into burnout emerged in the 1970s; however, the topic has gained increasing attention in recent decades due to rising workloads, workforce shortages, and organisational pressures within healthcare systems.</w:t>
      </w:r>
    </w:p>
    <w:p w14:paraId="636C7B8C" w14:textId="58B3066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In the United Kingdom, the issue has become particularly prominent within the NHS and other healthcare sectors where increasing demand for healthcare services has placed significant pressure on healthcare professionals. Reports from organisations such as The King’s Fund highlight how workforce challenges and resource constraints contribute to high levels of occupational stress among NHS staff (The King’s Fund, 2022). These developments have intensified academic and policy discussions surrounding burnout and staff wellbeing.</w:t>
      </w:r>
    </w:p>
    <w:p w14:paraId="69F34408" w14:textId="0975AAB2"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Impact on Research Question</w:t>
      </w:r>
    </w:p>
    <w:p w14:paraId="0C25FB35" w14:textId="1EE5E54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research question, as workplace stress and burnout represent the core issue explored within this dissertation. Understanding the factors that contribute to burnout among healthcare workers is essential for identifying potential strategies to improve staff wellbeing and organisational performance.</w:t>
      </w:r>
    </w:p>
    <w:p w14:paraId="5A2D2999" w14:textId="542FFE6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prevalence of workplace stress within healthcare settings highlights the importance of examining how organisational environments influence mental health outcomes. By analysing the causes and consequences of burnout, this theme contributes to answering the research question by identifying key workplace stressors and highlighting areas where interventions may be required.</w:t>
      </w:r>
    </w:p>
    <w:p w14:paraId="030FD505" w14:textId="46CC8398"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Statistical Information</w:t>
      </w:r>
    </w:p>
    <w:p w14:paraId="733D1614" w14:textId="2F6F2CF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Empirical evidence demonstrates that burnout is highly prevalent among healthcare professionals. A large systematic review conducted by Rotenstein et al. (2018) examined 182 studies assessing physician burnout and reported prevalence estimates ranging from 0% to 80.5%, highlighting the widespread nature of burnout across healthcare settings. Although the reported rates vary depending on measurement methods and healthcare contexts, the review consistently found substantial levels of emotional exhaustion and depersonalisation among healthcare professionals.</w:t>
      </w:r>
      <w:r w:rsidRPr="00A408AE">
        <w:rPr>
          <w:rFonts w:ascii="Arial" w:hAnsi="Arial" w:cs="Arial"/>
          <w:b/>
          <w:bCs/>
          <w:sz w:val="22"/>
          <w:szCs w:val="22"/>
        </w:rPr>
        <w:t>(figure 4.1 see appendix 3)</w:t>
      </w:r>
      <w:r w:rsidRPr="003F449B">
        <w:rPr>
          <w:rFonts w:ascii="Arial" w:hAnsi="Arial" w:cs="Arial"/>
          <w:sz w:val="22"/>
          <w:szCs w:val="22"/>
        </w:rPr>
        <w:t>.Further research has supported these findings. Dyrbye et al. (2020) reported that burnout remains a significant concern within healthcare workforces, with high levels of emotional exhaustion and reduced professional satisfaction observed among physicians. Similarly, Hall et al. (2016) identified strong associations between healthcare worker burnout and negative outcomes such as decreased staff wellbeing and reduced patient safety. These findings demonstrate that burnout represents a major occupational health issue affecting healthcare professionals globally.</w:t>
      </w:r>
    </w:p>
    <w:p w14:paraId="4BE04EA7" w14:textId="06AAFF7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Overall, these statistics highlight the substantial prevalence of burnout within healthcare environments and emphasise the importance of identifying organisational and systemic factors that contribute to this issue.</w:t>
      </w:r>
    </w:p>
    <w:p w14:paraId="77EF72B6" w14:textId="51D3B71C"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Theories, Policies, and Legislation</w:t>
      </w:r>
    </w:p>
    <w:p w14:paraId="72B95200" w14:textId="16D5E266" w:rsidR="008D5747" w:rsidRPr="00002A40"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 xml:space="preserve">Theoretical Framework: JD-R Model </w:t>
      </w:r>
    </w:p>
    <w:p w14:paraId="6D357CF4" w14:textId="452CE19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One of the most relevant theoretical models explaining burnout in the workplace is the Job Demands–Resources (JD-R) model,</w:t>
      </w:r>
      <w:r w:rsidRPr="00891AB8">
        <w:rPr>
          <w:rFonts w:ascii="Arial" w:hAnsi="Arial" w:cs="Arial"/>
          <w:b/>
          <w:bCs/>
          <w:sz w:val="22"/>
          <w:szCs w:val="22"/>
        </w:rPr>
        <w:t>(see Appendix figure 4.2</w:t>
      </w:r>
      <w:r w:rsidRPr="003F449B">
        <w:rPr>
          <w:rFonts w:ascii="Arial" w:hAnsi="Arial" w:cs="Arial"/>
          <w:sz w:val="22"/>
          <w:szCs w:val="22"/>
        </w:rPr>
        <w:t>)developed by Arnold B. Bakker and Evangelia Demerouti (2017). The JD-R model proposes that burnout develops when job demands such as workload, emotional pressure, and time constraints exceed the resources available to employees, including managerial support, autonomy, and adequate staffing levels.</w:t>
      </w:r>
    </w:p>
    <w:p w14:paraId="12AF2EF8" w14:textId="1BC98343"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However, while the JD-R model effectively explains the structural causes of burnout, some researchers argue that it may overlook individual coping differences and psychological resilience among healthcare professionals.</w:t>
      </w:r>
    </w:p>
    <w:p w14:paraId="36BCEC22" w14:textId="1FF3ED8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Within healthcare environments, high job demands combined with limited organisational resources can significantly increase the risk of burnout. The JD-R model therefore provides a useful framework for understanding how organisational conditions influence staff wellbeing.</w:t>
      </w:r>
    </w:p>
    <w:p w14:paraId="216A12BF" w14:textId="70F4923B"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Policy and Legislation</w:t>
      </w:r>
    </w:p>
    <w:p w14:paraId="14E63C59" w14:textId="0ABC183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UK policies emphasise the importance of protecting employee health and wellbeing. For example, the Health and Safety at Work Act 1974 places a legal responsibility on employers to ensure the health, safety, and welfare of employees within the workplace. This includes addressing risks associated with occupational stress.</w:t>
      </w:r>
    </w:p>
    <w:p w14:paraId="79D4232D" w14:textId="61515A6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Additionally, NHS workforce strategies developed by organisations such as NHS England have increasingly focused on improving staff wellbeing through initiatives such as mental health support services, wellbeing hubs, and flexible working arrangements.</w:t>
      </w:r>
    </w:p>
    <w:p w14:paraId="40C34129" w14:textId="19AD704C"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Implications</w:t>
      </w:r>
    </w:p>
    <w:p w14:paraId="42C92490" w14:textId="5CC5D55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implications of workplace stress and burnout for healthcare organisations are significant. On a negative level, burnout can lead to reduced job satisfaction, increased absenteeism, and higher staff turnover. These outcomes not only affect healthcare professionals themselves but may also compromise patient safety and the quality of care delivered.</w:t>
      </w:r>
    </w:p>
    <w:p w14:paraId="5E728373" w14:textId="494E9B8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However, recognising burnout as a systemic organisational issue also presents opportunities for positive change. Increased awareness of the problem has led to the development of wellbeing programmes, improved mental health support services, and policy initiatives aimed at protecting healthcare workers. Addressing workplace stress effectively may therefore contribute to improved staff retention, enhanced job satisfaction, and better patient outcomes.</w:t>
      </w:r>
    </w:p>
    <w:p w14:paraId="5FA42EF8" w14:textId="30AEE01F"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Examples from Reviewed Articles</w:t>
      </w:r>
    </w:p>
    <w:p w14:paraId="38AAC7A5" w14:textId="7777777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articles included in the results summary table provide evidence supporting this theme for example, a study by West et al. (2016) examined burnout among physicians and found that excessive workload and lack of organisational support were key contributors to emotional exhaustion. The authors emphasised that addressing these factors through organisational interventions could significantly reduce burnout levels.</w:t>
      </w:r>
    </w:p>
    <w:p w14:paraId="224FEA60" w14:textId="0E7D2CA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Similarly, research by Kinman and Teoh (2018) highlighted how workplace stressors such as emotional labour and long working hours contribute to psychological strain among healthcare professionals. Their findings reinforce the importance of supportive organisational environments in protecting staff wellbeing.</w:t>
      </w:r>
    </w:p>
    <w:p w14:paraId="271D209A" w14:textId="72BADC33" w:rsidR="00002A40" w:rsidRPr="003F449B" w:rsidRDefault="008D5747" w:rsidP="009714F1">
      <w:pPr>
        <w:spacing w:line="360" w:lineRule="auto"/>
        <w:rPr>
          <w:rFonts w:ascii="Arial" w:hAnsi="Arial" w:cs="Arial"/>
          <w:sz w:val="22"/>
          <w:szCs w:val="22"/>
        </w:rPr>
      </w:pPr>
      <w:r w:rsidRPr="003F449B">
        <w:rPr>
          <w:rFonts w:ascii="Arial" w:hAnsi="Arial" w:cs="Arial"/>
          <w:sz w:val="22"/>
          <w:szCs w:val="22"/>
        </w:rPr>
        <w:t>In contrast, Moss et al. (202</w:t>
      </w:r>
      <w:r w:rsidR="00787C2C">
        <w:rPr>
          <w:rFonts w:ascii="Arial" w:hAnsi="Arial" w:cs="Arial"/>
          <w:sz w:val="22"/>
          <w:szCs w:val="22"/>
        </w:rPr>
        <w:t>5</w:t>
      </w:r>
      <w:r w:rsidRPr="003F449B">
        <w:rPr>
          <w:rFonts w:ascii="Arial" w:hAnsi="Arial" w:cs="Arial"/>
          <w:sz w:val="22"/>
          <w:szCs w:val="22"/>
        </w:rPr>
        <w:t>) emphasised the role of leadership and workplace culture in reducing burnout, suggesting that organisational change may be more effective than individual coping strategies alone. Although these studies differ slightly in focus, they collectively demonstrate that workplace conditions play a critical role in influencing burnout outcomes.</w:t>
      </w:r>
    </w:p>
    <w:p w14:paraId="7491BCEC" w14:textId="77777777"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Connections to Other Themes</w:t>
      </w:r>
    </w:p>
    <w:p w14:paraId="0C110AA1" w14:textId="7777777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closely connected to other themes identified within the thematic analysis. For example, the issue of workplace stress directly overlaps with Theme 2: Emotional and Psychological Impact on Healthcare Workers, as prolonged exposure to workplace stress can contribute to emotional exhaustion and mental health difficulties.</w:t>
      </w:r>
    </w:p>
    <w:p w14:paraId="7703954E" w14:textId="0EE9ACC4"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Additionally, Theme 1 links to discussions surrounding organisational support and intervention strategies explored later in the dissertation. These interconnections highlight how workplace stress is not an isolated issue but forms part of a broader system of organisational and psychological factors affecting healthcare worker wellbeing.</w:t>
      </w:r>
    </w:p>
    <w:p w14:paraId="5D6C7F80" w14:textId="2C90D3C7"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 xml:space="preserve">Evaluation </w:t>
      </w:r>
    </w:p>
    <w:p w14:paraId="6F8B6FFC" w14:textId="0E47373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Overall, the literature demonstrates that burnout is a widespread issue within healthcare professions and is strongly influenced by workplace conditions. Studies consistently highlight that excessive workloads, time pressures, and organisational challenges contribute significantly to burnout among healthcare workers. The Job Demands–Resources model further supports this by illustrating how an imbalance between job demands and available resources can lead to emotional exhaustion (Bakker &amp; Demerouti, 2017). However, while the literature clearly identifies workplace stressors as major contributors, there is some variation in reported burnout prevalence, suggesting that contextual factors such as healthcare systems and organisational cultures may influence the severity of burnout experienced by staff.</w:t>
      </w:r>
    </w:p>
    <w:p w14:paraId="5B2D7E9A" w14:textId="34C0F5F5"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4.4: Theme 2: Emotional and Psychological Impact on Healthcare Workers</w:t>
      </w:r>
    </w:p>
    <w:p w14:paraId="7EAD6EF3" w14:textId="5664F0DA" w:rsidR="008D5747" w:rsidRPr="001775C2" w:rsidRDefault="00002A40" w:rsidP="009714F1">
      <w:pPr>
        <w:spacing w:line="360" w:lineRule="auto"/>
        <w:rPr>
          <w:rFonts w:ascii="Arial" w:hAnsi="Arial" w:cs="Arial"/>
          <w:b/>
          <w:bCs/>
          <w:sz w:val="22"/>
          <w:szCs w:val="22"/>
        </w:rPr>
      </w:pPr>
      <w:r w:rsidRPr="001775C2">
        <w:rPr>
          <w:rFonts w:ascii="Arial" w:hAnsi="Arial" w:cs="Arial"/>
          <w:b/>
          <w:bCs/>
          <w:sz w:val="22"/>
          <w:szCs w:val="22"/>
        </w:rPr>
        <w:t>D</w:t>
      </w:r>
      <w:r w:rsidR="008D5747" w:rsidRPr="001775C2">
        <w:rPr>
          <w:rFonts w:ascii="Arial" w:hAnsi="Arial" w:cs="Arial"/>
          <w:b/>
          <w:bCs/>
          <w:sz w:val="22"/>
          <w:szCs w:val="22"/>
        </w:rPr>
        <w:t>efinition</w:t>
      </w:r>
    </w:p>
    <w:p w14:paraId="65105657" w14:textId="24970DC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emotional and psychological impact on healthcare workers refers to the mental and emotional strain experienced as a result of working in demanding healthcare environments. Healthcare professionals are frequently exposed to high workloads, emotional interactions with patients, and stressful clinical situations, all of which can contribute to psychological distress. Emotional and psychological impacts may include stress, anxiety, depression, emotional exhaustion, and reduced job satisfaction.</w:t>
      </w:r>
    </w:p>
    <w:p w14:paraId="63150FB5" w14:textId="64F8A35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Burnout is widely recognised as a major consequence of prolonged occupational stress and is commonly characterised by emotional exhaustion, depersonalisation, and a reduced sense of professional accomplishment (Rotenstein et al., 2018). Emotional exhaustion in particular is considered a key indicator of burnout, reflecting feelings of being overwhelmed and emotionally drained due to ongoing work pressures (Dyrbye et al., 2020). These psychological effects can significantly influence both the wellbeing of healthcare professionals and the quality of care delivered to patients.</w:t>
      </w:r>
    </w:p>
    <w:p w14:paraId="7300D4F2" w14:textId="504B837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Background Information</w:t>
      </w:r>
    </w:p>
    <w:p w14:paraId="5D177CA7" w14:textId="620ECF7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psychological wellbeing of healthcare workers has become an increasingly important topic within healthcare research and policy discussions. Healthcare professionals often work in high-pressure environments where they are responsible for managing complex patient needs, making critical decisions, and coping with emotionally demanding situations. Over time, these pressures can lead to chronic stress and psychological fatigue.</w:t>
      </w:r>
    </w:p>
    <w:p w14:paraId="08E2C29F" w14:textId="668C74F3"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Research has consistently shown that healthcare professionals experience higher levels of stress compared to many other occupational groups (Dyrbye et al., 2020). In recent years, concerns about the mental health of healthcare workers have intensified due to increasing healthcare demands, staff shortages, and organisational pressures within healthcare systems. Reports from The King’s Fund highlight that workforce shortages and rising patient demand within the NHS have placed considerable pressure on healthcare staff, contributing to increased levels of stress and burnout (The King’s Fund, 2025).</w:t>
      </w:r>
    </w:p>
    <w:p w14:paraId="04B4D252" w14:textId="7F5C4CA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psychological impact of healthcare work became particularly visible during the COVID-19 pandemic, which exposed healthcare workers to unprecedented workloads and emotional challenges. Evidence from global studies has demonstrated significantly increased levels of anxiety, depression, and insomnia among healthcare workers during this period (Pappa et al., 2020). These findings highlight the importance of understanding and addressing the psychological consequences of working in healthcare environments.</w:t>
      </w:r>
    </w:p>
    <w:p w14:paraId="05322A9B" w14:textId="75863FEA"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Impact on Research Question</w:t>
      </w:r>
    </w:p>
    <w:p w14:paraId="4151F21A" w14:textId="16F1618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research question as it explores the emotional and psychological consequences of burnout among healthcare workers. While workplace stress represents a major contributing factor, the psychological outcomes associated with burnout are equally important in understanding its overall impact.</w:t>
      </w:r>
    </w:p>
    <w:p w14:paraId="45B5CE1A" w14:textId="69DB891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presence of psychological distress among healthcare workers can have significant implications for both individuals and healthcare organisations. Emotional exhaustion, stress, and reduced wellbeing may affect professional performance, job satisfaction, and workforce retention. As highlighted by Hall et al. (2016), burnout and poor staff wellbeing can also negatively influence patient safety and healthcare outcomes. Therefore, examining the emotional and psychological effects of burnout is essential for understanding the broader implications of this issue within healthcare systems.</w:t>
      </w:r>
    </w:p>
    <w:p w14:paraId="1436595E" w14:textId="2B2C6D5A"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Statistical Information</w:t>
      </w:r>
    </w:p>
    <w:p w14:paraId="5213FD6F" w14:textId="0D54271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Statistical evidence highlights the significant psychological burden experienced by healthcare workers. Research has consistently shown that healthcare professionals report high levels of stress, anxiety, and other mental health difficulties due to demanding working conditions. A large meta-analysis conducted by Pappa et al. (2020) examined the mental health outcomes of healthcare workers and found that approximately 23.2% experienced symptoms of anxiety, 22.8% experienced depression, and 38.9% reported insomnia. These findings demonstrate the considerable psychological strain associated with working in healthcare environments.</w:t>
      </w:r>
    </w:p>
    <w:p w14:paraId="4F71A27A" w14:textId="78E19D7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Within the United Kingdom, workforce data further emphasises the scale of the issue. According to the NHS Staff Survey, </w:t>
      </w:r>
      <w:r w:rsidRPr="00C278D5">
        <w:rPr>
          <w:rFonts w:ascii="Arial" w:hAnsi="Arial" w:cs="Arial"/>
          <w:b/>
          <w:bCs/>
          <w:sz w:val="22"/>
          <w:szCs w:val="22"/>
        </w:rPr>
        <w:t>(figure 4.3)</w:t>
      </w:r>
      <w:r w:rsidRPr="003F449B">
        <w:rPr>
          <w:rFonts w:ascii="Arial" w:hAnsi="Arial" w:cs="Arial"/>
          <w:sz w:val="22"/>
          <w:szCs w:val="22"/>
        </w:rPr>
        <w:t xml:space="preserve"> approximately 44.8% of NHS staff reported feeling unwell due to work-related stress during the previous 12 months (NHS Employers, 2022). These findings highlight the widespread nature of occupational stress among healthcare workers and indicate that a substantial proportion of staff experience psychological strain linked to their work environment.</w:t>
      </w:r>
    </w:p>
    <w:p w14:paraId="36A5498D" w14:textId="33609A6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Global evidence also supports these concerns. The World Health Organization (WHO, 2024) has identified workplace stress as a significant occupational health risk and emphasises that poor working conditions, excessive workload, and limited organisational support can contribute to mental health difficulties among employees. In the healthcare sector, these risks are often intensified due to the emotional demands and responsibilities associated with patient care.</w:t>
      </w:r>
    </w:p>
    <w:p w14:paraId="661E4573" w14:textId="708B1D1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In addition, reports from The King’s Fund (2025) highlight that increasing patient demand and ongoing workforce shortages within the NHS have placed considerable pressure on healthcare staff. These pressures contribute to higher levels of stress, emotional fatigue, and psychological distress among healthcare workers. Collectively, these statistics demonstrate that the emotional and psychological impact of healthcare work represents a significant challenge for healthcare systems and emphasise the need for effective support strategies.</w:t>
      </w:r>
    </w:p>
    <w:p w14:paraId="71496603" w14:textId="6AD1F1C8"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Theories, Policies, and Legislation</w:t>
      </w:r>
    </w:p>
    <w:p w14:paraId="28610A00" w14:textId="190DC1A4" w:rsidR="008D5747" w:rsidRPr="00A32CBA"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Theoretical Framework: Maslach Burnout Theory:</w:t>
      </w:r>
    </w:p>
    <w:p w14:paraId="206814EB" w14:textId="7E827DC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Maslach’s Burnout Theory provides a framework for understanding the psychological effects of burnout among healthcare professionals. The theory identifies three primary dimensions of burnout: emotional exhaustion, depersonalisation, and reduced personal accomplishment (Maslach &amp; Leiter, 2016). Emotional exhaustion refers to feelings of emotional depletion caused by prolonged work stress, while depersonalisation involves a detached or cynical attitude towards patients and colleagues. Reduced personal accomplishment reflects feelings of reduced professional effectiveness and achievement. These psychological outcomes are frequently reported among healthcare workers experiencing prolonged exposure to stressful working conditions.</w:t>
      </w:r>
    </w:p>
    <w:p w14:paraId="4C73F083" w14:textId="49544D8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Although Maslach’s framework remains widely used in burnout research, some scholars suggest that the model focuses primarily on individual psychological outcomes and may not fully capture organisational factors contributing to burnout. This theoretical perspective is important for this research as it helps explain how workplace conditions contribute to burnout among healthcare professionals.</w:t>
      </w:r>
    </w:p>
    <w:p w14:paraId="7937F78D" w14:textId="0270D86E"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Policy and Legislation</w:t>
      </w:r>
    </w:p>
    <w:p w14:paraId="4BB595CD" w14:textId="2BEF250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international and national policies emphasise the importance of protecting employee mental health. The World Health Organization has highlighted workplace stress as a major occupational health concern and recommends that organisations implement strategies to promote positive mental health in the workplace (WHO, 2024).</w:t>
      </w:r>
    </w:p>
    <w:p w14:paraId="1B48EB77" w14:textId="6BD757B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Within the United Kingdom, a number of policies and legislative frameworks aim to protect the wellbeing of healthcare staff. The Health and Safety at Work etc. Act (1974) places a legal duty on employers to ensure, as far as reasonably practicable, the health, safety, and welfare of employees, including protection from work-related stress. In addition, the Management of Health and Safety at Work Regulations (1999) require organisations to assess and manage workplace risks, including psychosocial risks that may affect employees’ mental health. </w:t>
      </w:r>
    </w:p>
    <w:p w14:paraId="14629A1A" w14:textId="3A7EDAB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Within the healthcare sector, increasing attention has also been given to staff wellbeing through workforce strategies and organisational initiatives. For example, NHS organisations have introduced wellbeing programmes and support services designed to help healthcare professionals manage stress and maintain psychological health (Ravalier, 2022). These initiatives reflect growing recognition of the importance of supporting staff wellbeing within healthcare environments.</w:t>
      </w:r>
    </w:p>
    <w:p w14:paraId="1A34CDCA" w14:textId="190B30F5"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Implications</w:t>
      </w:r>
    </w:p>
    <w:p w14:paraId="5C4B17E3" w14:textId="4211C7CD"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emotional and psychological impact of burnout can have significant consequences for both healthcare workers and healthcare organisations. At an individual level, healthcare professionals experiencing psychological distress may develop symptoms such as anxiety, depression, and emotional exhaustion. These effects can reduce job satisfaction and increase the risk of burnout.</w:t>
      </w:r>
    </w:p>
    <w:p w14:paraId="005F32E0" w14:textId="038B970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At an organisational level, poor staff wellbeing may contribute to increased absenteeism, staff turnover, and reduced workforce productivity. Research has also shown that burnout can negatively affect patient safety and the quality of healthcare services (Hall et al., 2016). However, recognising these challenges has also encouraged healthcare organisations to implement mental health support programmes and wellbeing initiatives designed to improve working conditions and support healthcare workers.</w:t>
      </w:r>
    </w:p>
    <w:p w14:paraId="3727509D" w14:textId="78945859"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Examples from Reviewed Articles</w:t>
      </w:r>
    </w:p>
    <w:p w14:paraId="61FA8E64" w14:textId="636F23E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studies included in the results summary table provide evidence supporting the emotional and psychological impact of burnout among healthcare workers. For example, Rotenstein et al. (2018) conducted a systematic review examining burnout prevalence among physicians and found substantial levels of emotional exhaustion and psychological distress across multiple healthcare settings.</w:t>
      </w:r>
    </w:p>
    <w:p w14:paraId="7135B746" w14:textId="6F1117D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Similarly, Pappa et al. (2020) conducted a meta-analysis investigating mental health outcomes among healthcare workers and reported high levels of anxiety, depression, and sleep disturbances. Their findings demonstrate the significant psychological burden associated with working in high-pressure healthcare environments.</w:t>
      </w:r>
    </w:p>
    <w:p w14:paraId="7FA65D15" w14:textId="59F32CC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In addition, Ravalier (2022) examined staff wellbeing initiatives within NHS organisations and identified that many healthcare workers experience high levels of work-related stress and emotional exhaustion. The study highlighted the importance of organisational wellbeing strategies in supporting the mental health of healthcare professionals.</w:t>
      </w:r>
    </w:p>
    <w:p w14:paraId="45854AE7" w14:textId="7A08954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Global evidence from the World Health Organization (2024) also emphasises that workplace stress represents a major occupational health risk. The organisation highlights that excessive workload, poor work–life balance, and lack of organisational support are key contributors to mental health difficulties in the workplace.</w:t>
      </w:r>
    </w:p>
    <w:p w14:paraId="3BA00A89" w14:textId="77B7117A"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Connections to Other Themes</w:t>
      </w:r>
    </w:p>
    <w:p w14:paraId="57D6F34D" w14:textId="773EAD5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closely connected to Theme 1: Workplace Stress and Burnout, as workplace stress is a key factor contributing to emotional and psychological strain among healthcare workers. High workloads, staffing shortages, and demanding working conditions can lead to both burnout and mental health difficulties.</w:t>
      </w:r>
    </w:p>
    <w:p w14:paraId="09640E0A" w14:textId="65D1F77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Furthermore, this theme also relates to discussions surrounding organisational support and leadership, as effective workplace interventions may help reduce psychological strain and improve staff wellbeing. These connections demonstrate that burnout and mental health issues are influenced by a combination of organisational, psychological, and systemic factors within healthcare environments.</w:t>
      </w:r>
    </w:p>
    <w:p w14:paraId="38FB9C81" w14:textId="3A3DB6E1"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Evaluation</w:t>
      </w:r>
    </w:p>
    <w:p w14:paraId="1C77EA54" w14:textId="0984586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literature consistently indicates that workplace stress and burnout can have significant emotional and psychological consequences for healthcare workers. Evidence shows increased rates of anxiety, depression, and sleep disturbances among healthcare professionals working in demanding clinical environments (Pappa et al., 2020). In addition, research within the NHS context highlights the growing concern surrounding staff wellbeing and mental health (Ravalier, 2022; The King’s Fund, 2025). Maslach’s burnout framework helps explain these psychological effects by identifying emotional exhaustion as a central component of burnout. Nevertheless, while the research provides strong evidence of psychological impact, some studies suggest that organisational support and workplace interventions may help mitigate these negative outcomes.</w:t>
      </w:r>
    </w:p>
    <w:p w14:paraId="2F7F7A26" w14:textId="78EC8A13"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4.5: Theme 3: Organisational Support, Leadership, and Interventions</w:t>
      </w:r>
    </w:p>
    <w:p w14:paraId="1E4E2465" w14:textId="694C96A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Definition</w:t>
      </w:r>
    </w:p>
    <w:p w14:paraId="6E6C3F15" w14:textId="4BE0A3E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Organisational support refers to the strategies, policies, and resources provided by healthcare institutions to maintain staff wellbeing, reduce burnout, and foster resilience (Shanafelt &amp; Noseworthy, 2017). Leadership in this context is defined as the role of managers, supervisors, and executives in promoting a culture of psychological safety, recognition, and support. Interventions are structured programmes or initiatives aimed at improving mental health outcomes and reducing occupational stress (West et al., 2018).</w:t>
      </w:r>
    </w:p>
    <w:p w14:paraId="7311703F" w14:textId="11A45B3B"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Background Information</w:t>
      </w:r>
    </w:p>
    <w:p w14:paraId="0BF74837" w14:textId="5A44406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Historically, healthcare organisations have focused primarily on clinical outcomes rather than staff wellbeing. However, recent research emphasises that effective organisational support and leadership are crucial in mitigating burnout and improving patient care (West et al., 2018). Organisational interventions, including wellbeing programmes, workload management, mentorship, and leadership development, have been implemented in both UK and international healthcare settings, reflecting a growing recognition of their importance (The King’s Fund, 2025).</w:t>
      </w:r>
    </w:p>
    <w:p w14:paraId="3DE8CB7B" w14:textId="2B84685C"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Impact on Research Question</w:t>
      </w:r>
    </w:p>
    <w:p w14:paraId="0AC89ADA" w14:textId="4CD3F69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dissertation title, “Invisible Struggles: Addressing Burnout and Mental Health Among Healthcare Workers”, because it explores the organisational and systemic factors that can alleviate burnout. Understanding leadership and support mechanisms helps answer how healthcare institutions can improve staff wellbeing and reduce occupational stress, complementing the individual-focused insights from Themes 1 and 2.</w:t>
      </w:r>
    </w:p>
    <w:p w14:paraId="0AB4D341" w14:textId="6E256444" w:rsidR="00A32CBA"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Statistical Information</w:t>
      </w:r>
    </w:p>
    <w:p w14:paraId="20D5CDC8" w14:textId="443A46A4"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Evidence shows that organisational interventions can significantly reduce burnout. West et al. (2018) found that structured programs including workload adjustment, peer support, and leadership engagement lowered burnout scores among physicians by 15–20% in controlled studies. Shanafelt and Noseworthy (2017) highlight that hospitals with executive commitment to staff wellbeing had higher staff retention and lower rates of emotional exhaustion. These statistics underline the measurable benefits of organisational and leadership interventions.</w:t>
      </w:r>
    </w:p>
    <w:p w14:paraId="6639AE04" w14:textId="2E1B735C"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Theories, Policies, and Legislation</w:t>
      </w:r>
    </w:p>
    <w:p w14:paraId="1C478BD4" w14:textId="32FAD32B" w:rsidR="008D5747" w:rsidRPr="00A32CBA"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Theoretical Framework: Perceived Organisational Support</w:t>
      </w:r>
    </w:p>
    <w:p w14:paraId="52D640EC" w14:textId="783F3B7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Perceived Organisational Support (POS) theory </w:t>
      </w:r>
      <w:r w:rsidRPr="000A33E8">
        <w:rPr>
          <w:rFonts w:ascii="Arial" w:hAnsi="Arial" w:cs="Arial"/>
          <w:b/>
          <w:bCs/>
          <w:sz w:val="22"/>
          <w:szCs w:val="22"/>
        </w:rPr>
        <w:t>(figure 4.4)</w:t>
      </w:r>
      <w:r w:rsidRPr="003F449B">
        <w:rPr>
          <w:rFonts w:ascii="Arial" w:hAnsi="Arial" w:cs="Arial"/>
          <w:sz w:val="22"/>
          <w:szCs w:val="22"/>
        </w:rPr>
        <w:t xml:space="preserve"> developed by Eisenberger et al. In (1986) explains how employees’ perceptions of support from their organisation influence their wellbeing and work engagement. When healthcare workers feel that their organisation values their contributions and cares about their wellbeing, they are more likely to experience increased job satisfaction and lower levels of burnout (Kurtessis et al., 2017). In healthcare settings, organisational support may include effective leadership, access to mental health resources, manageable workloads, and supportive workplace cultures. Research suggests that organisations that actively promote staff wellbeing can reduce burnout and improve workforce retention.</w:t>
      </w:r>
    </w:p>
    <w:p w14:paraId="1C4BC870" w14:textId="6368EDF4"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Nevertheless, organisational support initiatives may have limited impact if structural issues such as staff shortages and excessive workloads are not simultaneously addressed.</w:t>
      </w:r>
    </w:p>
    <w:p w14:paraId="3930A739" w14:textId="6026085B"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Policy and Legislation</w:t>
      </w:r>
    </w:p>
    <w:p w14:paraId="08D19FEF" w14:textId="14FFAB0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In the UK, the NHS Health and Wellbeing Framework (2019) provides guidelines for staff wellbeing initiatives. The Health and Safety at Work Act (1974) and Management of Health and Safety at Work Regulations (1999) require employers to safeguard both physical and mental health, emphasising the legal responsibility of organisations to address occupational stress.</w:t>
      </w:r>
    </w:p>
    <w:p w14:paraId="7D607CA0" w14:textId="4D2B0DDD"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Implications</w:t>
      </w:r>
    </w:p>
    <w:p w14:paraId="266185B6" w14:textId="5D0A17C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Positive implications include improved staff resilience, lower turnover, better patient outcomes, and enhanced organisational culture (West et al., 2018). Negative implications may arise if interventions are poorly implemented or leadership commitment is inconsistent, potentially causing staff disengagement or cynicism (Shanafelt &amp; Noseworthy, 2017).</w:t>
      </w:r>
    </w:p>
    <w:p w14:paraId="46CE5EF5" w14:textId="3D67AB7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Examples from Articles</w:t>
      </w:r>
    </w:p>
    <w:p w14:paraId="6BC01C5D" w14:textId="4A63BB98"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West et al. (2018): Examined organisational interventions for reducing physician burnout; found mentorship, resilience training, and workload adjustments were effective.</w:t>
      </w:r>
    </w:p>
    <w:p w14:paraId="44D81797" w14:textId="4663352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Shanafelt &amp; Noseworthy (2017): Highlighted the importance of executive leadership in promoting staff wellbeing and psychological safety.</w:t>
      </w:r>
    </w:p>
    <w:p w14:paraId="7A4A8527" w14:textId="469A859D"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King’s Fund (2025): Reported that NHS-wide wellbeing strategies improve staff retention and reduce work-related stress when implemented consistently.</w:t>
      </w:r>
    </w:p>
    <w:p w14:paraId="7FB15EF3" w14:textId="4D88DFE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These examples demonstrate the central role of organisational and systemic support in addressing burnout, complementing the individual and psychological factors identified in Themes 1 and 2.</w:t>
      </w:r>
    </w:p>
    <w:p w14:paraId="271BC001" w14:textId="58F970F9"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Connections to Other Themes</w:t>
      </w:r>
    </w:p>
    <w:p w14:paraId="4E433D78" w14:textId="7ED696F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Theme 3 overlaps with Theme 1 and Theme 2. Organisational support directly influences burnout rates (Theme 1) and mitigates psychological stress (Theme 2). Strong leadership and effective interventions provide the structural environment needed for individual coping strategies and emotional wellbeing to be effective.</w:t>
      </w:r>
    </w:p>
    <w:p w14:paraId="21474B12" w14:textId="6C9DA084"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Evaluation</w:t>
      </w:r>
    </w:p>
    <w:p w14:paraId="72199100" w14:textId="28BA0B2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literature suggests that organisational support and effective leadership play a crucial role in reducing burnout and improving staff wellbeing within healthcare settings. Evidence indicates that leadership engagement, wellbeing initiatives, and organisational interventions can significantly reduce burnout levels and improve workforce resilience. The concept of perceived organisational support further emphasises the importance of employees feeling valued and supported by their organisation. However, some researchers argue that interventions alone may not be sufficient if underlying structural issues, such as staffing shortages and excessive workloads, are not addressed simultaneously.</w:t>
      </w:r>
    </w:p>
    <w:p w14:paraId="007D8632" w14:textId="7809F68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4.6: Conclusion</w:t>
      </w:r>
    </w:p>
    <w:p w14:paraId="78C78D8D" w14:textId="4A45577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chapter has presented the key findings from the thematic analysis of literature concerning burnout and mental health among healthcare workers. Three main themes were identified: burnout prevalence and workplace stress, emotional and psychological impacts, and organisational support and leadership interventions. Theme 1 emphasised the high prevalence of burnout, with studies reporting rates up to 80.5% in certain healthcare settings, illustrating the widespread nature of occupational stress (Rotenstein et al., 2018). Theme 2 explored the emotional and psychological consequences of sustained workplace pressures, including anxiety, depression, and insomnia, highlighting the personal impact on healthcare professionals (Pappa et al., 2020). Theme 3 examined the role of organisational interventions and leadership, showing that supportive policies, wellbeing programmes, and proactive leadership can significantly reduce burnout and enhance resilience among staff (West et al., 2018; Shanafelt &amp; Noseworthy, 2017).</w:t>
      </w:r>
    </w:p>
    <w:p w14:paraId="6069ADC7" w14:textId="43860BD8"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Overall, these findings demonstrate that burnout is a multidimensional issue influenced by individual, organisational, and systemic factors. Addressing it effectively requires a combination of personal coping strategies and robust institutional support. The themes collectively reinforce the dissertation’s aim to understand invisible struggles in healthcare, providing evidence-based insights that will inform practical recommendations in Chapter 5 to improve staff wellbeing, reduce burnout, and strengthen sustainable workforce management.</w:t>
      </w:r>
    </w:p>
    <w:p w14:paraId="1A9E1196" w14:textId="4E64D916"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 xml:space="preserve">Chapter 5 : Conclusion and Recommendations </w:t>
      </w:r>
    </w:p>
    <w:p w14:paraId="3D156097" w14:textId="77777777" w:rsidR="008D5747" w:rsidRDefault="008D5747" w:rsidP="009714F1">
      <w:pPr>
        <w:spacing w:line="360" w:lineRule="auto"/>
        <w:rPr>
          <w:rFonts w:ascii="Arial" w:hAnsi="Arial" w:cs="Arial"/>
          <w:sz w:val="22"/>
          <w:szCs w:val="22"/>
        </w:rPr>
      </w:pPr>
      <w:r w:rsidRPr="001775C2">
        <w:rPr>
          <w:rFonts w:ascii="Arial" w:hAnsi="Arial" w:cs="Arial"/>
          <w:b/>
          <w:bCs/>
          <w:sz w:val="22"/>
          <w:szCs w:val="22"/>
        </w:rPr>
        <w:t>5.1: Conclusion</w:t>
      </w:r>
      <w:r w:rsidRPr="003F449B">
        <w:rPr>
          <w:rFonts w:ascii="Arial" w:hAnsi="Arial" w:cs="Arial"/>
          <w:sz w:val="22"/>
          <w:szCs w:val="22"/>
        </w:rPr>
        <w:t xml:space="preserve"> </w:t>
      </w:r>
    </w:p>
    <w:p w14:paraId="25EB8A0C" w14:textId="111800DF"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 xml:space="preserve">This dissertation examined the issue of burnout and mental health among healthcare workers. In Chapter 1, the study introduced the background to the research by highlighting the growing concern surrounding burnout within healthcare environments. The chapter outlined the </w:t>
      </w:r>
    </w:p>
    <w:p w14:paraId="6732B88A" w14:textId="4C075686" w:rsidR="001D0E72" w:rsidRPr="007B7D7B" w:rsidRDefault="001D0E72" w:rsidP="007B7D7B">
      <w:pPr>
        <w:pStyle w:val="ListParagraph"/>
        <w:numPr>
          <w:ilvl w:val="0"/>
          <w:numId w:val="1"/>
        </w:numPr>
        <w:spacing w:line="360" w:lineRule="auto"/>
        <w:rPr>
          <w:rFonts w:ascii="Arial" w:hAnsi="Arial" w:cs="Arial"/>
          <w:sz w:val="22"/>
          <w:szCs w:val="22"/>
        </w:rPr>
      </w:pPr>
      <w:r w:rsidRPr="007B7D7B">
        <w:rPr>
          <w:rFonts w:ascii="Arial" w:hAnsi="Arial" w:cs="Arial"/>
          <w:sz w:val="22"/>
          <w:szCs w:val="22"/>
        </w:rPr>
        <w:t>Research aim, which was to explore the factors contributing to burnout among healthcare professionals and to examine the impact this has on their mental health and wellbeing.</w:t>
      </w:r>
    </w:p>
    <w:p w14:paraId="0E45D421" w14:textId="0BCA30F1" w:rsidR="001D0E72" w:rsidRPr="007B7D7B" w:rsidRDefault="001D0E72" w:rsidP="007B7D7B">
      <w:pPr>
        <w:pStyle w:val="ListParagraph"/>
        <w:numPr>
          <w:ilvl w:val="0"/>
          <w:numId w:val="1"/>
        </w:numPr>
        <w:spacing w:line="360" w:lineRule="auto"/>
        <w:rPr>
          <w:rFonts w:ascii="Arial" w:hAnsi="Arial" w:cs="Arial"/>
          <w:sz w:val="22"/>
          <w:szCs w:val="22"/>
        </w:rPr>
      </w:pPr>
      <w:r w:rsidRPr="007B7D7B">
        <w:rPr>
          <w:rFonts w:ascii="Arial" w:hAnsi="Arial" w:cs="Arial"/>
          <w:sz w:val="22"/>
          <w:szCs w:val="22"/>
        </w:rPr>
        <w:t xml:space="preserve"> The research objectives focused on identifying key causes of burnout, understanding its effects on healthcare staff, and exploring potential organisational strategies to support employee wellbeing.</w:t>
      </w:r>
    </w:p>
    <w:p w14:paraId="52FE0160" w14:textId="2F97133E"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Chapter 2 reviewed existing academic literature and theoretical frameworks related to burnout. The literature highlighted that factors such as excessive workload, staffing shortages, and emotional demands are major contributors to burnout within healthcare settings.</w:t>
      </w:r>
    </w:p>
    <w:p w14:paraId="27FE25A1" w14:textId="64CFFDA2"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Chapter 3 described the research methodology, explaining the use of secondary research and thematic analysis to systematically review relevant literature.</w:t>
      </w:r>
    </w:p>
    <w:p w14:paraId="7A54F368" w14:textId="31D2EC87"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In Chapter 4, the findings were presented through key themes, including organisational drivers of burnout, the psychological impact on healthcare workers, and the importance of organisational support and intervention strategies. These findings demonstrate that burnout is a significant and complex issue affecting healthcare professionals. Overall, the research aim and objectives outlined in Chapter 1 were successfully addressed, highlighting the importance of organisational support and effective workplace strategies to promote the wellbeing of healthcare staff.</w:t>
      </w:r>
    </w:p>
    <w:p w14:paraId="280AE6BA" w14:textId="77777777"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This research therefore contributes to a deeper understanding of burnout within healthcare settings and highlights the importance of prioritising staff wellbeing in order to support both healthcare professionals and the quality of patient care.</w:t>
      </w:r>
    </w:p>
    <w:p w14:paraId="638A6B82" w14:textId="3FBC0CC9" w:rsidR="001D0E72" w:rsidRPr="001775C2" w:rsidRDefault="001D0E72" w:rsidP="007B7D7B">
      <w:pPr>
        <w:spacing w:line="360" w:lineRule="auto"/>
        <w:rPr>
          <w:rFonts w:ascii="Arial" w:hAnsi="Arial" w:cs="Arial"/>
          <w:b/>
          <w:bCs/>
          <w:sz w:val="22"/>
          <w:szCs w:val="22"/>
        </w:rPr>
      </w:pPr>
      <w:r w:rsidRPr="001775C2">
        <w:rPr>
          <w:rFonts w:ascii="Arial" w:hAnsi="Arial" w:cs="Arial"/>
          <w:b/>
          <w:bCs/>
          <w:sz w:val="22"/>
          <w:szCs w:val="22"/>
        </w:rPr>
        <w:t>5.2 Recommendations</w:t>
      </w:r>
    </w:p>
    <w:p w14:paraId="54709753" w14:textId="38D0147B"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Based on the findings presented in this study, several recommendations can be made to help address burnout and support the mental health and wellbeing of healthcare workers. The literature reviewed throughout this dissertation highlighted that burnout is influenced by a combination of organisational pressures, psychological demands, and limited workplace support. Research consistently demonstrates that workplace conditions such as workload pressure, staffing shortages and organisational culture play a major role in the development of burnout among healthcare professionals ( Bakker and Demerouti, 2017). Therefore, effective strategies to reduce burnout must focus on both organisational change and individual support mechanisms. The following recommendations provide practical strategies that healthcare organisations may implement in order to reduce burnout and improve staff wellbeing.</w:t>
      </w:r>
    </w:p>
    <w:p w14:paraId="05808AE8" w14:textId="435738DC" w:rsidR="001D0E72" w:rsidRPr="007B7D7B" w:rsidRDefault="001D0E72" w:rsidP="007B7D7B">
      <w:pPr>
        <w:spacing w:line="360" w:lineRule="auto"/>
        <w:rPr>
          <w:rFonts w:ascii="Arial" w:hAnsi="Arial" w:cs="Arial"/>
          <w:sz w:val="22"/>
          <w:szCs w:val="22"/>
        </w:rPr>
      </w:pPr>
      <w:r w:rsidRPr="001775C2">
        <w:rPr>
          <w:rFonts w:ascii="Arial" w:hAnsi="Arial" w:cs="Arial"/>
          <w:b/>
          <w:bCs/>
          <w:sz w:val="22"/>
          <w:szCs w:val="22"/>
        </w:rPr>
        <w:t xml:space="preserve">5.2.1 Recommendation 1: </w:t>
      </w:r>
      <w:r w:rsidRPr="007B7D7B">
        <w:rPr>
          <w:rFonts w:ascii="Arial" w:hAnsi="Arial" w:cs="Arial"/>
          <w:sz w:val="22"/>
          <w:szCs w:val="22"/>
        </w:rPr>
        <w:t>Improve Staffing Levels and Workload Management</w:t>
      </w:r>
    </w:p>
    <w:p w14:paraId="27951BC4" w14:textId="1B28CF54"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One of the most consistent findings within the literature reviewed in this study was that excessive workload and staffing shortages are major contributors to burnout among healthcare professionals. High patient demand, long working hours and insufficient staffing levels place significant pressure on healthcare workers, which can lead to emotional exhaustion, reduced job satisfaction and increased turnover intentions (Dyrbye et al., 2020; West et al., 2018). Healthcare organisations should therefore prioritise improving staffing levels and implementing effective workload management strategies.</w:t>
      </w:r>
    </w:p>
    <w:p w14:paraId="070B44A1" w14:textId="1DDA9D54"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This may involve recruiting additional staff, improving workforce planning and ensuring that work schedules are designed to reduce excessive working hours and allow adequate rest periods. Flexible working arrangements may also help healthcare workers maintain a better work–life balance and reduce work-related stress. Research suggests that improving workload management and ensuring adequate staffing can significantly reduce burnout and improve staff wellbeing within healthcare settings (Shanafelt and Noseworthy, 2017).</w:t>
      </w:r>
    </w:p>
    <w:p w14:paraId="56548C02" w14:textId="77777777"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However, a key barrier to this recommendation is the ongoing shortage of healthcare professionals and financial constraints within healthcare systems. Workforce shortages have been widely reported across healthcare systems and can limit the ability of organisations to increase staffing levels quickly (Aiken et al., 2018). To overcome these barriers, healthcare organisations should focus on long-term workforce planning, investment in staff retention strategies and improving working conditions in order to encourage employees to remain within the profession. National workforce strategies and policy support may also be necessary to address systemic staffing shortages.</w:t>
      </w:r>
    </w:p>
    <w:p w14:paraId="64A30783" w14:textId="047B8DEC" w:rsidR="001D0E72" w:rsidRPr="007B7D7B" w:rsidRDefault="001D0E72" w:rsidP="007B7D7B">
      <w:pPr>
        <w:spacing w:line="360" w:lineRule="auto"/>
        <w:rPr>
          <w:rFonts w:ascii="Arial" w:hAnsi="Arial" w:cs="Arial"/>
          <w:sz w:val="22"/>
          <w:szCs w:val="22"/>
        </w:rPr>
      </w:pPr>
      <w:r w:rsidRPr="00357646">
        <w:rPr>
          <w:rFonts w:ascii="Arial" w:hAnsi="Arial" w:cs="Arial"/>
          <w:b/>
          <w:bCs/>
          <w:sz w:val="22"/>
          <w:szCs w:val="22"/>
        </w:rPr>
        <w:t>5.2.2 Recommendation 2:</w:t>
      </w:r>
      <w:r w:rsidRPr="007B7D7B">
        <w:rPr>
          <w:rFonts w:ascii="Arial" w:hAnsi="Arial" w:cs="Arial"/>
          <w:sz w:val="22"/>
          <w:szCs w:val="22"/>
        </w:rPr>
        <w:t xml:space="preserve"> Strengthen Organisational Support and Leadership</w:t>
      </w:r>
    </w:p>
    <w:p w14:paraId="01C50630" w14:textId="029761D9"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Another important finding from the literature is that organisational culture and leadership play a significant role in influencing employee wellbeing. Healthcare workers who perceive strong organisational support are more likely to experience higher job satisfaction and lower levels of burnout ( Eisenberger et al., 2020). Supportive leadership can help create a positive working environment where employees feel valued and supported in managing workplace pressures.</w:t>
      </w:r>
    </w:p>
    <w:p w14:paraId="7EDF828E" w14:textId="01CA017E"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Healthcare organisations should therefore focus on strengthening organisational support structures and promoting supportive leadership practices. Practical strategies may include providing regular supervision and feedback, encouraging open communication between staff and management and creating a workplace culture where employees feel comfortable discussing mental health concerns. Leadership training programmes may also help managers recognise early signs of burnout and provide appropriate support for staff experiencing stress or emotional exhaustion (Montgomery et al., 2019).</w:t>
      </w:r>
    </w:p>
    <w:p w14:paraId="3A049A03" w14:textId="3014083F"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Despite the benefits of organisational support initiatives, barriers may arise due to time constraints, limited resources and varying levels of management engagement. In addition, some healthcare workers may feel reluctant to access support services due to stigma associated with mental health concerns. To overcome these challenges, organisations should promote awareness of available wellbeing services and ensure that support initiatives are accessible to all staff. Leadership commitment is also essential in ensuring that staff wellbeing remains a priority within healthcare organisations</w:t>
      </w:r>
      <w:r w:rsidR="007B7D7B" w:rsidRPr="007B7D7B">
        <w:rPr>
          <w:rFonts w:ascii="Arial" w:hAnsi="Arial" w:cs="Arial"/>
          <w:sz w:val="22"/>
          <w:szCs w:val="22"/>
        </w:rPr>
        <w:t>.</w:t>
      </w:r>
    </w:p>
    <w:p w14:paraId="5490C6AC" w14:textId="3D58D121" w:rsidR="001D0E72" w:rsidRPr="00357646" w:rsidRDefault="001D0E72" w:rsidP="007B7D7B">
      <w:pPr>
        <w:spacing w:line="360" w:lineRule="auto"/>
        <w:rPr>
          <w:rFonts w:ascii="Arial" w:hAnsi="Arial" w:cs="Arial"/>
          <w:b/>
          <w:bCs/>
          <w:sz w:val="22"/>
          <w:szCs w:val="22"/>
        </w:rPr>
      </w:pPr>
      <w:r w:rsidRPr="000D0DE6">
        <w:rPr>
          <w:rFonts w:ascii="Arial" w:hAnsi="Arial" w:cs="Arial"/>
          <w:b/>
          <w:bCs/>
          <w:sz w:val="22"/>
          <w:szCs w:val="22"/>
        </w:rPr>
        <w:t>5.2.3 Recommendation 3:</w:t>
      </w:r>
      <w:r w:rsidR="00357646">
        <w:rPr>
          <w:rFonts w:ascii="Arial" w:hAnsi="Arial" w:cs="Arial"/>
          <w:b/>
          <w:bCs/>
          <w:sz w:val="22"/>
          <w:szCs w:val="22"/>
        </w:rPr>
        <w:t xml:space="preserve"> </w:t>
      </w:r>
      <w:r w:rsidRPr="007B7D7B">
        <w:rPr>
          <w:rFonts w:ascii="Arial" w:hAnsi="Arial" w:cs="Arial"/>
          <w:sz w:val="22"/>
          <w:szCs w:val="22"/>
        </w:rPr>
        <w:t xml:space="preserve"> Promote Mental Health Awareness and Resilience Training</w:t>
      </w:r>
    </w:p>
    <w:p w14:paraId="6DDBCFE7" w14:textId="0B1CDC51"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 further recommendation is to increase mental health awareness and provide resilience training programmes for healthcare workers. Healthcare professionals are frequently exposed to emotionally demanding situations, including high patient mortality, complex clinical decision-making and emotionally challenging patient interactions. These experiences can negatively affect psychological wellbeing if adequate coping strategies are not available (Pappa et al., 2020).</w:t>
      </w:r>
    </w:p>
    <w:p w14:paraId="76B6C743" w14:textId="49F7A27A"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Resilience training programmes can include stress management techniques, mindfulness practices and workshops designed to help employees develop coping strategies for managing challenging work environments. Evidence suggests that resilience-focused interventions can improve psychological wellbeing and reduce symptoms of burnout among healthcare professionals (West et al., 2018). Educational initiatives may also help healthcare workers recognise early signs of burnout and seek support before symptoms become more severe.</w:t>
      </w:r>
    </w:p>
    <w:p w14:paraId="07019D02" w14:textId="65786A25"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However, implementing resilience and mental health programmes may present certain challenges. Healthcare workers often face demanding schedules and may have limited time to participate in training sessions. In addition, financial and organisational constraints may limit the availability of wellbeing programmes. To overcome these barriers, healthcare organisations should integrate wellbeing training into existing professional development programmes and provide flexible learning options such as online training or short workshops. Embedding wellbeing initiatives within routine training programmes may also help ensure that staff are able to access these resources more easily.</w:t>
      </w:r>
    </w:p>
    <w:p w14:paraId="63F0FC03" w14:textId="77777777" w:rsidR="001D0E72" w:rsidRPr="0002697B" w:rsidRDefault="001D0E72" w:rsidP="007B7D7B">
      <w:pPr>
        <w:spacing w:line="360" w:lineRule="auto"/>
        <w:rPr>
          <w:rFonts w:ascii="Arial" w:hAnsi="Arial" w:cs="Arial"/>
          <w:b/>
          <w:bCs/>
          <w:sz w:val="22"/>
          <w:szCs w:val="22"/>
        </w:rPr>
      </w:pPr>
      <w:r w:rsidRPr="0002697B">
        <w:rPr>
          <w:rFonts w:ascii="Arial" w:hAnsi="Arial" w:cs="Arial"/>
          <w:b/>
          <w:bCs/>
          <w:sz w:val="22"/>
          <w:szCs w:val="22"/>
        </w:rPr>
        <w:t>5.3 Limitations and Future Research</w:t>
      </w:r>
    </w:p>
    <w:p w14:paraId="41C61835" w14:textId="380E6C51"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Although this study provides valuable insights into burnout and mental health among healthcare workers, several limitations should be acknowledged. Firstly, the research was based on a secondary literature review rather than primary data collection. This means that the findings rely on previously published studies and existing evidence rather than direct experiences from healthcare professionals. As a result, the study may not fully capture the most recent workplace experiences or organisational practices within specific healthcare settings.</w:t>
      </w:r>
    </w:p>
    <w:p w14:paraId="0A40DC08" w14:textId="1AF899A3"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Another limitation is that the studies reviewed were conducted in different countries and healthcare systems. While many of the challenges associated with burnout appear to be consistent across healthcare environments, differences in organisational structures, policies and resources may influence how burnout is experienced and managed. This may limit the ability to generalise the findings to all healthcare settings.</w:t>
      </w:r>
    </w:p>
    <w:p w14:paraId="34F1A037" w14:textId="1F8F7678"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In addition, the thematic analysis approach used in this research involved interpreting findings from multiple studies. Although this method allows for the identification of common themes within the literature, the interpretation of themes may involve a degree of researcher subjectivity.</w:t>
      </w:r>
    </w:p>
    <w:p w14:paraId="349C356C" w14:textId="77777777" w:rsidR="001D0E72" w:rsidRDefault="001D0E72" w:rsidP="007B7D7B">
      <w:pPr>
        <w:spacing w:line="360" w:lineRule="auto"/>
        <w:rPr>
          <w:rFonts w:ascii="Arial" w:hAnsi="Arial" w:cs="Arial"/>
          <w:sz w:val="22"/>
          <w:szCs w:val="22"/>
        </w:rPr>
      </w:pPr>
      <w:r w:rsidRPr="007B7D7B">
        <w:rPr>
          <w:rFonts w:ascii="Arial" w:hAnsi="Arial" w:cs="Arial"/>
          <w:sz w:val="22"/>
          <w:szCs w:val="22"/>
        </w:rPr>
        <w:t>Future research could address these limitations by conducting primary research with healthcare professionals to gain deeper insights into their personal experiences of burnout and mental health in the workplace. Qualitative methods such as interviews or focus groups may provide more detailed perspectives on the challenges faced by healthcare workers. Further research may also explore the effectiveness of organisational interventions designed to reduce burnout and improve employee wellbeing within healthcare organisations.</w:t>
      </w:r>
    </w:p>
    <w:p w14:paraId="64AB3B93" w14:textId="77777777" w:rsidR="008A1FBC" w:rsidRPr="007B7D7B" w:rsidRDefault="008A1FBC" w:rsidP="007B7D7B">
      <w:pPr>
        <w:spacing w:line="360" w:lineRule="auto"/>
        <w:rPr>
          <w:rFonts w:ascii="Arial" w:hAnsi="Arial" w:cs="Arial"/>
          <w:sz w:val="22"/>
          <w:szCs w:val="22"/>
        </w:rPr>
      </w:pPr>
    </w:p>
    <w:p w14:paraId="67BA4919" w14:textId="77777777" w:rsidR="001D0E72" w:rsidRDefault="001D0E72" w:rsidP="007B7D7B">
      <w:pPr>
        <w:spacing w:line="360" w:lineRule="auto"/>
        <w:rPr>
          <w:rFonts w:ascii="Arial" w:hAnsi="Arial" w:cs="Arial"/>
          <w:sz w:val="22"/>
          <w:szCs w:val="22"/>
        </w:rPr>
      </w:pPr>
    </w:p>
    <w:p w14:paraId="7373A0EB" w14:textId="77777777" w:rsidR="009A6445" w:rsidRDefault="009A6445" w:rsidP="007B7D7B">
      <w:pPr>
        <w:spacing w:line="360" w:lineRule="auto"/>
        <w:rPr>
          <w:rFonts w:ascii="Arial" w:hAnsi="Arial" w:cs="Arial"/>
          <w:sz w:val="22"/>
          <w:szCs w:val="22"/>
        </w:rPr>
      </w:pPr>
    </w:p>
    <w:p w14:paraId="19AA5F35" w14:textId="77777777" w:rsidR="009A6445" w:rsidRDefault="009A6445" w:rsidP="007B7D7B">
      <w:pPr>
        <w:spacing w:line="360" w:lineRule="auto"/>
        <w:rPr>
          <w:rFonts w:ascii="Arial" w:hAnsi="Arial" w:cs="Arial"/>
          <w:sz w:val="22"/>
          <w:szCs w:val="22"/>
        </w:rPr>
      </w:pPr>
    </w:p>
    <w:p w14:paraId="55E474B2" w14:textId="77777777" w:rsidR="009A6445" w:rsidRDefault="009A6445" w:rsidP="007B7D7B">
      <w:pPr>
        <w:spacing w:line="360" w:lineRule="auto"/>
        <w:rPr>
          <w:rFonts w:ascii="Arial" w:hAnsi="Arial" w:cs="Arial"/>
          <w:sz w:val="22"/>
          <w:szCs w:val="22"/>
        </w:rPr>
      </w:pPr>
    </w:p>
    <w:p w14:paraId="7B8B523B" w14:textId="77777777" w:rsidR="009A6445" w:rsidRDefault="009A6445" w:rsidP="007B7D7B">
      <w:pPr>
        <w:spacing w:line="360" w:lineRule="auto"/>
        <w:rPr>
          <w:rFonts w:ascii="Arial" w:hAnsi="Arial" w:cs="Arial"/>
          <w:sz w:val="22"/>
          <w:szCs w:val="22"/>
        </w:rPr>
      </w:pPr>
    </w:p>
    <w:p w14:paraId="3A2DD8EA" w14:textId="77777777" w:rsidR="009A6445" w:rsidRDefault="009A6445" w:rsidP="007B7D7B">
      <w:pPr>
        <w:spacing w:line="360" w:lineRule="auto"/>
        <w:rPr>
          <w:rFonts w:ascii="Arial" w:hAnsi="Arial" w:cs="Arial"/>
          <w:sz w:val="22"/>
          <w:szCs w:val="22"/>
        </w:rPr>
      </w:pPr>
    </w:p>
    <w:p w14:paraId="4401F073" w14:textId="77777777" w:rsidR="009A6445" w:rsidRDefault="009A6445" w:rsidP="007B7D7B">
      <w:pPr>
        <w:spacing w:line="360" w:lineRule="auto"/>
        <w:rPr>
          <w:rFonts w:ascii="Arial" w:hAnsi="Arial" w:cs="Arial"/>
          <w:sz w:val="22"/>
          <w:szCs w:val="22"/>
        </w:rPr>
      </w:pPr>
    </w:p>
    <w:p w14:paraId="3CFD4602" w14:textId="77777777" w:rsidR="009A6445" w:rsidRDefault="009A6445" w:rsidP="007B7D7B">
      <w:pPr>
        <w:spacing w:line="360" w:lineRule="auto"/>
        <w:rPr>
          <w:rFonts w:ascii="Arial" w:hAnsi="Arial" w:cs="Arial"/>
          <w:sz w:val="22"/>
          <w:szCs w:val="22"/>
        </w:rPr>
      </w:pPr>
    </w:p>
    <w:p w14:paraId="7CCC6832" w14:textId="77777777" w:rsidR="009A6445" w:rsidRDefault="009A6445" w:rsidP="007B7D7B">
      <w:pPr>
        <w:spacing w:line="360" w:lineRule="auto"/>
        <w:rPr>
          <w:rFonts w:ascii="Arial" w:hAnsi="Arial" w:cs="Arial"/>
          <w:sz w:val="22"/>
          <w:szCs w:val="22"/>
        </w:rPr>
      </w:pPr>
    </w:p>
    <w:p w14:paraId="20C02E53" w14:textId="77777777" w:rsidR="008A1FBC" w:rsidRDefault="008A1FBC" w:rsidP="007B7D7B">
      <w:pPr>
        <w:spacing w:line="360" w:lineRule="auto"/>
        <w:rPr>
          <w:rFonts w:ascii="Arial" w:hAnsi="Arial" w:cs="Arial"/>
          <w:sz w:val="22"/>
          <w:szCs w:val="22"/>
        </w:rPr>
      </w:pPr>
    </w:p>
    <w:p w14:paraId="219CCA81" w14:textId="60E1CDE5" w:rsidR="00557BC7" w:rsidRDefault="00557BC7" w:rsidP="007B7D7B">
      <w:pPr>
        <w:spacing w:line="360" w:lineRule="auto"/>
        <w:rPr>
          <w:rFonts w:ascii="Arial" w:hAnsi="Arial" w:cs="Arial"/>
          <w:b/>
          <w:bCs/>
          <w:sz w:val="22"/>
          <w:szCs w:val="22"/>
        </w:rPr>
      </w:pPr>
      <w:r>
        <w:rPr>
          <w:rFonts w:ascii="Arial" w:hAnsi="Arial" w:cs="Arial"/>
          <w:b/>
          <w:bCs/>
          <w:sz w:val="22"/>
          <w:szCs w:val="22"/>
        </w:rPr>
        <w:t xml:space="preserve">References </w:t>
      </w:r>
    </w:p>
    <w:p w14:paraId="227DF69D" w14:textId="77777777" w:rsidR="00C66BF4" w:rsidRPr="002214CD" w:rsidRDefault="00C66BF4" w:rsidP="00D111B6">
      <w:pPr>
        <w:spacing w:line="360" w:lineRule="auto"/>
        <w:rPr>
          <w:rFonts w:ascii="Arial" w:hAnsi="Arial" w:cs="Arial"/>
          <w:sz w:val="22"/>
          <w:szCs w:val="22"/>
        </w:rPr>
      </w:pPr>
      <w:r w:rsidRPr="002214CD">
        <w:rPr>
          <w:rFonts w:ascii="Arial" w:hAnsi="Arial" w:cs="Arial"/>
          <w:sz w:val="22"/>
          <w:szCs w:val="22"/>
        </w:rPr>
        <w:t>Aiken, L.H</w:t>
      </w:r>
      <w:r>
        <w:rPr>
          <w:rFonts w:ascii="Arial" w:hAnsi="Arial" w:cs="Arial"/>
          <w:sz w:val="22"/>
          <w:szCs w:val="22"/>
        </w:rPr>
        <w:t xml:space="preserve"> et al, (</w:t>
      </w:r>
      <w:r w:rsidRPr="002214CD">
        <w:rPr>
          <w:rFonts w:ascii="Arial" w:hAnsi="Arial" w:cs="Arial"/>
          <w:sz w:val="22"/>
          <w:szCs w:val="22"/>
        </w:rPr>
        <w:t>2018</w:t>
      </w:r>
      <w:r>
        <w:rPr>
          <w:rFonts w:ascii="Arial" w:hAnsi="Arial" w:cs="Arial"/>
          <w:sz w:val="22"/>
          <w:szCs w:val="22"/>
        </w:rPr>
        <w:t>)</w:t>
      </w:r>
      <w:r w:rsidRPr="002214CD">
        <w:rPr>
          <w:rFonts w:ascii="Arial" w:hAnsi="Arial" w:cs="Arial"/>
          <w:sz w:val="22"/>
          <w:szCs w:val="22"/>
        </w:rPr>
        <w:t>.</w:t>
      </w:r>
      <w:r w:rsidRPr="00F749C6">
        <w:rPr>
          <w:rFonts w:ascii="Arial" w:hAnsi="Arial" w:cs="Arial"/>
          <w:i/>
          <w:iCs/>
          <w:sz w:val="22"/>
          <w:szCs w:val="22"/>
        </w:rPr>
        <w:t xml:space="preserve"> Nursing skill mix in European hospitals: cross-sectional study of the association with mortality, patient ratings and quality of care</w:t>
      </w:r>
      <w:r w:rsidRPr="002214CD">
        <w:rPr>
          <w:rFonts w:ascii="Arial" w:hAnsi="Arial" w:cs="Arial"/>
          <w:sz w:val="22"/>
          <w:szCs w:val="22"/>
        </w:rPr>
        <w:t>. BMJ Quality &amp; Safety, 26(7), pp.559–568.</w:t>
      </w:r>
    </w:p>
    <w:p w14:paraId="556AA001" w14:textId="77777777" w:rsidR="00C66BF4" w:rsidRPr="00AE4242" w:rsidRDefault="00C66BF4" w:rsidP="00D111B6">
      <w:pPr>
        <w:spacing w:line="360" w:lineRule="auto"/>
        <w:rPr>
          <w:rFonts w:ascii="Arial" w:hAnsi="Arial" w:cs="Arial"/>
          <w:sz w:val="22"/>
          <w:szCs w:val="22"/>
        </w:rPr>
      </w:pPr>
      <w:r w:rsidRPr="00AE4242">
        <w:rPr>
          <w:rFonts w:ascii="Arial" w:hAnsi="Arial" w:cs="Arial"/>
          <w:sz w:val="22"/>
          <w:szCs w:val="22"/>
        </w:rPr>
        <w:t>Ahmed, S.K. (2021) ‘</w:t>
      </w:r>
      <w:r w:rsidRPr="007C1498">
        <w:rPr>
          <w:rFonts w:ascii="Arial" w:hAnsi="Arial" w:cs="Arial"/>
          <w:i/>
          <w:iCs/>
          <w:sz w:val="22"/>
          <w:szCs w:val="22"/>
        </w:rPr>
        <w:t>Using thematic analysis in qualitative research’,</w:t>
      </w:r>
      <w:r w:rsidRPr="00AE4242">
        <w:rPr>
          <w:rFonts w:ascii="Arial" w:hAnsi="Arial" w:cs="Arial"/>
          <w:sz w:val="22"/>
          <w:szCs w:val="22"/>
        </w:rPr>
        <w:t xml:space="preserve"> Journal of Education and Learning, 10(3), pp. 107–115. </w:t>
      </w:r>
      <w:hyperlink r:id="rId7" w:history="1">
        <w:r w:rsidRPr="00AE4242">
          <w:rPr>
            <w:rStyle w:val="Hyperlink"/>
            <w:rFonts w:ascii="Arial" w:hAnsi="Arial" w:cs="Arial"/>
            <w:sz w:val="22"/>
            <w:szCs w:val="22"/>
          </w:rPr>
          <w:t>https://doi.org/10.5539/jel.v10n3p107</w:t>
        </w:r>
      </w:hyperlink>
      <w:r w:rsidRPr="00AE4242">
        <w:rPr>
          <w:rFonts w:ascii="Arial" w:hAnsi="Arial" w:cs="Arial"/>
          <w:sz w:val="22"/>
          <w:szCs w:val="22"/>
        </w:rPr>
        <w:t xml:space="preserve"> </w:t>
      </w:r>
    </w:p>
    <w:p w14:paraId="76891E53"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Bakker, A.B. and Demerouti, E. (2017) ‘Job demands–resources theory: </w:t>
      </w:r>
      <w:r w:rsidRPr="009317D7">
        <w:rPr>
          <w:rFonts w:ascii="Arial" w:hAnsi="Arial" w:cs="Arial"/>
          <w:i/>
          <w:iCs/>
          <w:sz w:val="22"/>
          <w:szCs w:val="22"/>
        </w:rPr>
        <w:t>Taking stock and looking forward’</w:t>
      </w:r>
      <w:r>
        <w:rPr>
          <w:rFonts w:ascii="Arial" w:hAnsi="Arial" w:cs="Arial"/>
          <w:sz w:val="22"/>
          <w:szCs w:val="22"/>
        </w:rPr>
        <w:t xml:space="preserve">, Journal of Occupational Health Psychology, 22(3), pp. 273–285. </w:t>
      </w:r>
      <w:hyperlink r:id="rId8" w:history="1">
        <w:r w:rsidRPr="003C7D1A">
          <w:rPr>
            <w:rStyle w:val="Hyperlink"/>
            <w:rFonts w:ascii="Arial" w:hAnsi="Arial" w:cs="Arial"/>
            <w:sz w:val="22"/>
            <w:szCs w:val="22"/>
          </w:rPr>
          <w:t>https://doi.org/10.1037/ocp0000056</w:t>
        </w:r>
      </w:hyperlink>
    </w:p>
    <w:p w14:paraId="055D5FCD"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Braun, V. And Clarke, V. (2019) </w:t>
      </w:r>
      <w:r w:rsidRPr="009317D7">
        <w:rPr>
          <w:rFonts w:ascii="Arial" w:hAnsi="Arial" w:cs="Arial"/>
          <w:i/>
          <w:iCs/>
          <w:sz w:val="22"/>
          <w:szCs w:val="22"/>
        </w:rPr>
        <w:t xml:space="preserve">Reflecting on reflexive thematic analysis, </w:t>
      </w:r>
      <w:r>
        <w:rPr>
          <w:rFonts w:ascii="Arial" w:hAnsi="Arial" w:cs="Arial"/>
          <w:sz w:val="22"/>
          <w:szCs w:val="22"/>
        </w:rPr>
        <w:t xml:space="preserve">Qualitative Research in Sport, Exercise and Health, 11(4), pp. 589–597. </w:t>
      </w:r>
      <w:hyperlink r:id="rId9" w:history="1">
        <w:r w:rsidRPr="003C7D1A">
          <w:rPr>
            <w:rStyle w:val="Hyperlink"/>
            <w:rFonts w:ascii="Arial" w:hAnsi="Arial" w:cs="Arial"/>
            <w:sz w:val="22"/>
            <w:szCs w:val="22"/>
          </w:rPr>
          <w:t>https://doi.org/10.1080/2159676X.2019.1628806</w:t>
        </w:r>
      </w:hyperlink>
      <w:r>
        <w:rPr>
          <w:rFonts w:ascii="Arial" w:hAnsi="Arial" w:cs="Arial"/>
          <w:sz w:val="22"/>
          <w:szCs w:val="22"/>
        </w:rPr>
        <w:t xml:space="preserve"> </w:t>
      </w:r>
    </w:p>
    <w:p w14:paraId="6A30E282" w14:textId="77777777" w:rsidR="00C66BF4" w:rsidRDefault="00C66BF4" w:rsidP="00D111B6">
      <w:pPr>
        <w:spacing w:line="360" w:lineRule="auto"/>
        <w:rPr>
          <w:rFonts w:ascii="Arial" w:hAnsi="Arial" w:cs="Arial"/>
          <w:sz w:val="22"/>
          <w:szCs w:val="22"/>
        </w:rPr>
      </w:pPr>
      <w:r>
        <w:rPr>
          <w:rFonts w:ascii="Arial" w:hAnsi="Arial" w:cs="Arial"/>
          <w:sz w:val="22"/>
          <w:szCs w:val="22"/>
        </w:rPr>
        <w:t>Castleberry, A. And Nolen, A. (2018) ‘</w:t>
      </w:r>
      <w:r w:rsidRPr="00E838F7">
        <w:rPr>
          <w:rFonts w:ascii="Arial" w:hAnsi="Arial" w:cs="Arial"/>
          <w:i/>
          <w:iCs/>
          <w:sz w:val="22"/>
          <w:szCs w:val="22"/>
        </w:rPr>
        <w:t>Thematic analysis of qualitative research data: Is it as easy as it sounds?</w:t>
      </w:r>
      <w:r>
        <w:rPr>
          <w:rFonts w:ascii="Arial" w:hAnsi="Arial" w:cs="Arial"/>
          <w:sz w:val="22"/>
          <w:szCs w:val="22"/>
        </w:rPr>
        <w:t xml:space="preserve">’, Currents in Pharmacy Teaching and Learning, 10(6), pp. 807–815. </w:t>
      </w:r>
      <w:hyperlink r:id="rId10" w:history="1">
        <w:r w:rsidRPr="003C7D1A">
          <w:rPr>
            <w:rStyle w:val="Hyperlink"/>
            <w:rFonts w:ascii="Arial" w:hAnsi="Arial" w:cs="Arial"/>
            <w:sz w:val="22"/>
            <w:szCs w:val="22"/>
          </w:rPr>
          <w:t>https://doi.org/10.1016/j.cptl.2018.03.019</w:t>
        </w:r>
      </w:hyperlink>
      <w:r>
        <w:rPr>
          <w:rFonts w:ascii="Arial" w:hAnsi="Arial" w:cs="Arial"/>
          <w:sz w:val="22"/>
          <w:szCs w:val="22"/>
        </w:rPr>
        <w:t xml:space="preserve"> </w:t>
      </w:r>
    </w:p>
    <w:p w14:paraId="706E876A" w14:textId="77777777" w:rsidR="00C66BF4" w:rsidRDefault="00C66BF4" w:rsidP="00D111B6">
      <w:pPr>
        <w:spacing w:line="360" w:lineRule="auto"/>
      </w:pPr>
      <w:r>
        <w:rPr>
          <w:rFonts w:ascii="Arial" w:hAnsi="Arial" w:cs="Arial"/>
          <w:sz w:val="22"/>
          <w:szCs w:val="22"/>
        </w:rPr>
        <w:t xml:space="preserve">Dyrbye, L.N., West, C.P., </w:t>
      </w:r>
      <w:proofErr w:type="spellStart"/>
      <w:r>
        <w:rPr>
          <w:rFonts w:ascii="Arial" w:hAnsi="Arial" w:cs="Arial"/>
          <w:sz w:val="22"/>
          <w:szCs w:val="22"/>
        </w:rPr>
        <w:t>Satele</w:t>
      </w:r>
      <w:proofErr w:type="spellEnd"/>
      <w:r>
        <w:rPr>
          <w:rFonts w:ascii="Arial" w:hAnsi="Arial" w:cs="Arial"/>
          <w:sz w:val="22"/>
          <w:szCs w:val="22"/>
        </w:rPr>
        <w:t>, D., Boone, S., Tan, L., Sloan, J. And Shanafelt, T. (2020) ‘Burnout among healthcare professionals:</w:t>
      </w:r>
      <w:r w:rsidRPr="00E838F7">
        <w:rPr>
          <w:rFonts w:ascii="Arial" w:hAnsi="Arial" w:cs="Arial"/>
          <w:i/>
          <w:iCs/>
          <w:sz w:val="22"/>
          <w:szCs w:val="22"/>
        </w:rPr>
        <w:t xml:space="preserve"> A systematic review’,</w:t>
      </w:r>
      <w:r>
        <w:rPr>
          <w:rFonts w:ascii="Arial" w:hAnsi="Arial" w:cs="Arial"/>
          <w:sz w:val="22"/>
          <w:szCs w:val="22"/>
        </w:rPr>
        <w:t xml:space="preserve"> Journal of General Internal Medicine, 35(2), pp. 421–429. </w:t>
      </w:r>
      <w:hyperlink r:id="rId11" w:history="1">
        <w:r w:rsidRPr="003C7D1A">
          <w:rPr>
            <w:rStyle w:val="Hyperlink"/>
            <w:rFonts w:ascii="Arial" w:hAnsi="Arial" w:cs="Arial"/>
            <w:sz w:val="22"/>
            <w:szCs w:val="22"/>
          </w:rPr>
          <w:t>https://doi.org/10.1007/s11606-019-05376-x</w:t>
        </w:r>
      </w:hyperlink>
    </w:p>
    <w:p w14:paraId="5B4DE6D1" w14:textId="77777777" w:rsidR="00C66BF4" w:rsidRPr="00C4331F" w:rsidRDefault="00C66BF4" w:rsidP="00D111B6">
      <w:pPr>
        <w:spacing w:line="360" w:lineRule="auto"/>
        <w:rPr>
          <w:rFonts w:ascii="Arial" w:hAnsi="Arial" w:cs="Arial"/>
          <w:sz w:val="22"/>
          <w:szCs w:val="22"/>
        </w:rPr>
      </w:pPr>
      <w:r w:rsidRPr="00C4331F">
        <w:rPr>
          <w:rFonts w:ascii="Arial" w:hAnsi="Arial" w:cs="Arial"/>
          <w:sz w:val="22"/>
          <w:szCs w:val="22"/>
        </w:rPr>
        <w:t xml:space="preserve">Eisenberger, R, et al.(2020). </w:t>
      </w:r>
      <w:r w:rsidRPr="00AC0830">
        <w:rPr>
          <w:rFonts w:ascii="Arial" w:hAnsi="Arial" w:cs="Arial"/>
          <w:i/>
          <w:iCs/>
          <w:sz w:val="22"/>
          <w:szCs w:val="22"/>
        </w:rPr>
        <w:t>Perceived organisational support: contributions to perceived organisational support and employee retention</w:t>
      </w:r>
      <w:r w:rsidRPr="00C4331F">
        <w:rPr>
          <w:rFonts w:ascii="Arial" w:hAnsi="Arial" w:cs="Arial"/>
          <w:sz w:val="22"/>
          <w:szCs w:val="22"/>
        </w:rPr>
        <w:t>. Journal of Applied Psychology, 105(3), pp.263–279.</w:t>
      </w:r>
    </w:p>
    <w:p w14:paraId="569CBCC3"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Hall, L.H., Johnson, J., Watt, I., </w:t>
      </w:r>
      <w:proofErr w:type="spellStart"/>
      <w:r>
        <w:rPr>
          <w:rFonts w:ascii="Arial" w:hAnsi="Arial" w:cs="Arial"/>
          <w:sz w:val="22"/>
          <w:szCs w:val="22"/>
        </w:rPr>
        <w:t>Tsipa</w:t>
      </w:r>
      <w:proofErr w:type="spellEnd"/>
      <w:r>
        <w:rPr>
          <w:rFonts w:ascii="Arial" w:hAnsi="Arial" w:cs="Arial"/>
          <w:sz w:val="22"/>
          <w:szCs w:val="22"/>
        </w:rPr>
        <w:t>, A. And O’Connor, D.B. (2016) ‘</w:t>
      </w:r>
      <w:r w:rsidRPr="00AC0830">
        <w:rPr>
          <w:rFonts w:ascii="Arial" w:hAnsi="Arial" w:cs="Arial"/>
          <w:i/>
          <w:iCs/>
          <w:sz w:val="22"/>
          <w:szCs w:val="22"/>
        </w:rPr>
        <w:t>Healthcare staff wellbeing, burnout, and patient safety:</w:t>
      </w:r>
      <w:r>
        <w:rPr>
          <w:rFonts w:ascii="Arial" w:hAnsi="Arial" w:cs="Arial"/>
          <w:sz w:val="22"/>
          <w:szCs w:val="22"/>
        </w:rPr>
        <w:t xml:space="preserve"> A systematic review’, PLOS ONE, 11(7), e0159015. </w:t>
      </w:r>
      <w:hyperlink r:id="rId12" w:history="1">
        <w:r w:rsidRPr="003C7D1A">
          <w:rPr>
            <w:rStyle w:val="Hyperlink"/>
            <w:rFonts w:ascii="Arial" w:hAnsi="Arial" w:cs="Arial"/>
            <w:sz w:val="22"/>
            <w:szCs w:val="22"/>
          </w:rPr>
          <w:t>https://doi.org/10.1371/journal.pone.0159015</w:t>
        </w:r>
      </w:hyperlink>
    </w:p>
    <w:p w14:paraId="560260B3" w14:textId="77777777" w:rsidR="00C66BF4" w:rsidRDefault="00C66BF4" w:rsidP="00D111B6">
      <w:pPr>
        <w:spacing w:line="360" w:lineRule="auto"/>
        <w:rPr>
          <w:rFonts w:ascii="Arial" w:hAnsi="Arial" w:cs="Arial"/>
          <w:sz w:val="22"/>
          <w:szCs w:val="22"/>
        </w:rPr>
      </w:pPr>
      <w:r>
        <w:rPr>
          <w:rFonts w:ascii="Arial" w:hAnsi="Arial" w:cs="Arial"/>
          <w:sz w:val="22"/>
          <w:szCs w:val="22"/>
        </w:rPr>
        <w:t>Health and Safety at Work etc. Act 1974. London: HMSO.</w:t>
      </w:r>
    </w:p>
    <w:p w14:paraId="049E79AF" w14:textId="77777777" w:rsidR="00437DCA" w:rsidRDefault="00D80F7D" w:rsidP="00D111B6">
      <w:pPr>
        <w:spacing w:line="360" w:lineRule="auto"/>
        <w:rPr>
          <w:rFonts w:ascii="Arial" w:hAnsi="Arial" w:cs="Arial"/>
          <w:sz w:val="22"/>
          <w:szCs w:val="22"/>
        </w:rPr>
      </w:pPr>
      <w:r w:rsidRPr="00D80F7D">
        <w:rPr>
          <w:rStyle w:val="Strong"/>
          <w:rFonts w:ascii="Arial" w:eastAsia="Times New Roman" w:hAnsi="Arial" w:cs="Arial"/>
          <w:b w:val="0"/>
          <w:bCs w:val="0"/>
          <w:sz w:val="22"/>
          <w:szCs w:val="22"/>
        </w:rPr>
        <w:t>Kinman, G. and Teoh, K. (2018)</w:t>
      </w:r>
      <w:r w:rsidRPr="00D80F7D">
        <w:rPr>
          <w:rFonts w:ascii="Arial" w:eastAsia="Times New Roman" w:hAnsi="Arial" w:cs="Arial"/>
          <w:sz w:val="22"/>
          <w:szCs w:val="22"/>
        </w:rPr>
        <w:t xml:space="preserve"> </w:t>
      </w:r>
      <w:r w:rsidRPr="00D80F7D">
        <w:rPr>
          <w:rStyle w:val="Emphasis"/>
          <w:rFonts w:ascii="Arial" w:eastAsia="Times New Roman" w:hAnsi="Arial" w:cs="Arial"/>
          <w:sz w:val="22"/>
          <w:szCs w:val="22"/>
        </w:rPr>
        <w:t>What could make a difference to the mental health of UK doctors? A review of the research evidence</w:t>
      </w:r>
      <w:r w:rsidRPr="00D80F7D">
        <w:rPr>
          <w:rFonts w:ascii="Arial" w:eastAsia="Times New Roman" w:hAnsi="Arial" w:cs="Arial"/>
          <w:sz w:val="22"/>
          <w:szCs w:val="22"/>
        </w:rPr>
        <w:t>. London: Society of Occupational Medicine. Available at:</w:t>
      </w:r>
      <w:r w:rsidR="000D0A2C">
        <w:rPr>
          <w:rFonts w:ascii="Arial" w:eastAsia="Times New Roman" w:hAnsi="Arial" w:cs="Arial"/>
          <w:sz w:val="22"/>
          <w:szCs w:val="22"/>
        </w:rPr>
        <w:t xml:space="preserve"> </w:t>
      </w:r>
      <w:r w:rsidR="00171677">
        <w:rPr>
          <w:rFonts w:ascii="Arial" w:eastAsia="Times New Roman" w:hAnsi="Arial" w:cs="Arial"/>
          <w:sz w:val="22"/>
          <w:szCs w:val="22"/>
        </w:rPr>
        <w:t xml:space="preserve"> </w:t>
      </w:r>
      <w:hyperlink r:id="rId13" w:history="1">
        <w:r w:rsidR="00171677" w:rsidRPr="00744BF9">
          <w:rPr>
            <w:rStyle w:val="Hyperlink"/>
            <w:rFonts w:ascii="Arial" w:eastAsia="Times New Roman" w:hAnsi="Arial" w:cs="Arial"/>
            <w:sz w:val="22"/>
            <w:szCs w:val="22"/>
          </w:rPr>
          <w:t>https://eprints.bbk.ac.uk/id/eprint/24540/</w:t>
        </w:r>
      </w:hyperlink>
      <w:r w:rsidR="00171677">
        <w:rPr>
          <w:rFonts w:ascii="Arial" w:eastAsia="Times New Roman" w:hAnsi="Arial" w:cs="Arial"/>
          <w:sz w:val="22"/>
          <w:szCs w:val="22"/>
        </w:rPr>
        <w:t xml:space="preserve"> </w:t>
      </w:r>
      <w:r w:rsidR="00437DCA">
        <w:rPr>
          <w:rFonts w:ascii="Arial" w:eastAsia="Times New Roman" w:hAnsi="Arial" w:cs="Arial"/>
          <w:sz w:val="22"/>
          <w:szCs w:val="22"/>
        </w:rPr>
        <w:t>( Accessed</w:t>
      </w:r>
      <w:r w:rsidR="00437DCA">
        <w:rPr>
          <w:rFonts w:ascii="Arial" w:hAnsi="Arial" w:cs="Arial"/>
          <w:sz w:val="22"/>
          <w:szCs w:val="22"/>
        </w:rPr>
        <w:t xml:space="preserve">: 5 March 2026). </w:t>
      </w:r>
    </w:p>
    <w:p w14:paraId="3444A764" w14:textId="18E78322" w:rsidR="00C66BF4" w:rsidRDefault="00C66BF4" w:rsidP="00D111B6">
      <w:pPr>
        <w:spacing w:line="360" w:lineRule="auto"/>
        <w:rPr>
          <w:rFonts w:ascii="Arial" w:hAnsi="Arial" w:cs="Arial"/>
          <w:sz w:val="22"/>
          <w:szCs w:val="22"/>
        </w:rPr>
      </w:pPr>
      <w:r>
        <w:rPr>
          <w:rFonts w:ascii="Arial" w:hAnsi="Arial" w:cs="Arial"/>
          <w:sz w:val="22"/>
          <w:szCs w:val="22"/>
        </w:rPr>
        <w:t>Kurtessis, J.N., et al. (2017) ‘</w:t>
      </w:r>
      <w:r w:rsidRPr="00AC0830">
        <w:rPr>
          <w:rFonts w:ascii="Arial" w:hAnsi="Arial" w:cs="Arial"/>
          <w:i/>
          <w:iCs/>
          <w:sz w:val="22"/>
          <w:szCs w:val="22"/>
        </w:rPr>
        <w:t>Perceived organisational support: A meta-analytic evaluation of organisational support theory’</w:t>
      </w:r>
      <w:r>
        <w:rPr>
          <w:rFonts w:ascii="Arial" w:hAnsi="Arial" w:cs="Arial"/>
          <w:sz w:val="22"/>
          <w:szCs w:val="22"/>
        </w:rPr>
        <w:t>, Journal of Management, 43(6), pp. 1854–1884.</w:t>
      </w:r>
    </w:p>
    <w:p w14:paraId="48D6848A" w14:textId="77777777" w:rsidR="00C66BF4" w:rsidRPr="000D192D" w:rsidRDefault="00C66BF4" w:rsidP="00D111B6">
      <w:pPr>
        <w:spacing w:line="360" w:lineRule="auto"/>
        <w:rPr>
          <w:rFonts w:ascii="Arial" w:hAnsi="Arial" w:cs="Arial"/>
          <w:sz w:val="22"/>
          <w:szCs w:val="22"/>
        </w:rPr>
      </w:pPr>
      <w:r>
        <w:rPr>
          <w:rFonts w:ascii="Arial" w:hAnsi="Arial" w:cs="Arial"/>
          <w:sz w:val="22"/>
          <w:szCs w:val="22"/>
        </w:rPr>
        <w:t>Maslach, C. And Leiter, M.P. (2016) ‘</w:t>
      </w:r>
      <w:r w:rsidRPr="00761FD3">
        <w:rPr>
          <w:rFonts w:ascii="Arial" w:hAnsi="Arial" w:cs="Arial"/>
          <w:i/>
          <w:iCs/>
          <w:sz w:val="22"/>
          <w:szCs w:val="22"/>
        </w:rPr>
        <w:t>Understanding the burnout experience: Recent research and its implications for psychiatry’</w:t>
      </w:r>
      <w:r>
        <w:rPr>
          <w:rFonts w:ascii="Arial" w:hAnsi="Arial" w:cs="Arial"/>
          <w:sz w:val="22"/>
          <w:szCs w:val="22"/>
        </w:rPr>
        <w:t>, World Psychiatry, 15(2), pp. 103–111.</w:t>
      </w:r>
    </w:p>
    <w:p w14:paraId="68A77A79" w14:textId="77777777" w:rsidR="00C66BF4" w:rsidRDefault="00C66BF4" w:rsidP="00D111B6">
      <w:pPr>
        <w:spacing w:line="360" w:lineRule="auto"/>
        <w:rPr>
          <w:rFonts w:ascii="Arial" w:hAnsi="Arial" w:cs="Arial"/>
          <w:sz w:val="22"/>
          <w:szCs w:val="22"/>
        </w:rPr>
      </w:pPr>
      <w:r>
        <w:rPr>
          <w:rFonts w:ascii="Arial" w:hAnsi="Arial" w:cs="Arial"/>
          <w:sz w:val="22"/>
          <w:szCs w:val="22"/>
        </w:rPr>
        <w:t>Management of Health and Safety at Work Regulations 1999. London: HMSO.</w:t>
      </w:r>
    </w:p>
    <w:p w14:paraId="7C1253B6"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Montgomery, A., Panagopoulou, E., Esmail, A., Richards, T. And Maslach, C., 2019. </w:t>
      </w:r>
      <w:r w:rsidRPr="00761FD3">
        <w:rPr>
          <w:rFonts w:ascii="Arial" w:hAnsi="Arial" w:cs="Arial"/>
          <w:i/>
          <w:iCs/>
          <w:sz w:val="22"/>
          <w:szCs w:val="22"/>
        </w:rPr>
        <w:t>Burnout in healthcare: the case for organisational change.</w:t>
      </w:r>
      <w:r>
        <w:rPr>
          <w:rFonts w:ascii="Arial" w:hAnsi="Arial" w:cs="Arial"/>
          <w:sz w:val="22"/>
          <w:szCs w:val="22"/>
        </w:rPr>
        <w:t xml:space="preserve"> BMJ, 366, p.l4774. </w:t>
      </w:r>
    </w:p>
    <w:p w14:paraId="2A14E13B" w14:textId="78F13DC8" w:rsidR="00BA356A" w:rsidRPr="00F10295" w:rsidRDefault="00BA356A" w:rsidP="00D111B6">
      <w:pPr>
        <w:spacing w:line="360" w:lineRule="auto"/>
        <w:rPr>
          <w:rFonts w:ascii="Arial" w:hAnsi="Arial" w:cs="Arial"/>
          <w:sz w:val="22"/>
          <w:szCs w:val="22"/>
        </w:rPr>
      </w:pPr>
      <w:r w:rsidRPr="00F10295">
        <w:rPr>
          <w:rStyle w:val="Strong"/>
          <w:rFonts w:ascii="Arial" w:eastAsia="Times New Roman" w:hAnsi="Arial" w:cs="Arial"/>
          <w:b w:val="0"/>
          <w:bCs w:val="0"/>
          <w:sz w:val="22"/>
          <w:szCs w:val="22"/>
        </w:rPr>
        <w:t>Moss, M. (2025)</w:t>
      </w:r>
      <w:r w:rsidRPr="00F10295">
        <w:rPr>
          <w:rFonts w:ascii="Arial" w:eastAsia="Times New Roman" w:hAnsi="Arial" w:cs="Arial"/>
          <w:b/>
          <w:bCs/>
          <w:sz w:val="22"/>
          <w:szCs w:val="22"/>
        </w:rPr>
        <w:t xml:space="preserve"> </w:t>
      </w:r>
      <w:r w:rsidRPr="00F10295">
        <w:rPr>
          <w:rFonts w:ascii="Arial" w:eastAsia="Times New Roman" w:hAnsi="Arial" w:cs="Arial"/>
          <w:sz w:val="22"/>
          <w:szCs w:val="22"/>
        </w:rPr>
        <w:t xml:space="preserve">‘Mitigating burnout: The role of healthcare organizations’, </w:t>
      </w:r>
      <w:r w:rsidRPr="00F10295">
        <w:rPr>
          <w:rStyle w:val="Emphasis"/>
          <w:rFonts w:ascii="Arial" w:eastAsia="Times New Roman" w:hAnsi="Arial" w:cs="Arial"/>
          <w:sz w:val="22"/>
          <w:szCs w:val="22"/>
        </w:rPr>
        <w:t>ATS Scholar</w:t>
      </w:r>
      <w:r w:rsidRPr="00F10295">
        <w:rPr>
          <w:rFonts w:ascii="Arial" w:eastAsia="Times New Roman" w:hAnsi="Arial" w:cs="Arial"/>
          <w:sz w:val="22"/>
          <w:szCs w:val="22"/>
        </w:rPr>
        <w:t xml:space="preserve">, 6(3), pp. 267–279. Available at: </w:t>
      </w:r>
      <w:hyperlink r:id="rId14" w:tgtFrame="_new" w:history="1">
        <w:r w:rsidRPr="00F10295">
          <w:rPr>
            <w:rStyle w:val="Hyperlink"/>
            <w:rFonts w:ascii="Arial" w:eastAsia="Times New Roman" w:hAnsi="Arial" w:cs="Arial"/>
            <w:sz w:val="22"/>
            <w:szCs w:val="22"/>
          </w:rPr>
          <w:t>https://doi.org/10.34197/ats-scholar.2024-0153PS</w:t>
        </w:r>
      </w:hyperlink>
    </w:p>
    <w:p w14:paraId="66227290"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NHS Employers (2022) NHS Staff Survey Results: </w:t>
      </w:r>
      <w:r w:rsidRPr="00761FD3">
        <w:rPr>
          <w:rFonts w:ascii="Arial" w:hAnsi="Arial" w:cs="Arial"/>
          <w:i/>
          <w:iCs/>
          <w:sz w:val="22"/>
          <w:szCs w:val="22"/>
        </w:rPr>
        <w:t>Work-related Stress</w:t>
      </w:r>
      <w:r>
        <w:rPr>
          <w:rFonts w:ascii="Arial" w:hAnsi="Arial" w:cs="Arial"/>
          <w:sz w:val="22"/>
          <w:szCs w:val="22"/>
        </w:rPr>
        <w:t xml:space="preserve">. Available at: </w:t>
      </w:r>
      <w:hyperlink r:id="rId15" w:history="1">
        <w:r w:rsidRPr="003C7D1A">
          <w:rPr>
            <w:rStyle w:val="Hyperlink"/>
            <w:rFonts w:ascii="Arial" w:hAnsi="Arial" w:cs="Arial"/>
            <w:sz w:val="22"/>
            <w:szCs w:val="22"/>
          </w:rPr>
          <w:t>https://www.nhsemployers.org</w:t>
        </w:r>
      </w:hyperlink>
      <w:r>
        <w:rPr>
          <w:rFonts w:ascii="Arial" w:hAnsi="Arial" w:cs="Arial"/>
          <w:sz w:val="22"/>
          <w:szCs w:val="22"/>
        </w:rPr>
        <w:t xml:space="preserve"> (Accessed: 8 March 2026).</w:t>
      </w:r>
    </w:p>
    <w:p w14:paraId="5291EB7B" w14:textId="0848F1A5" w:rsidR="00C66BF4" w:rsidRDefault="00C66BF4" w:rsidP="00D111B6">
      <w:pPr>
        <w:spacing w:line="360" w:lineRule="auto"/>
        <w:rPr>
          <w:rFonts w:ascii="Arial" w:hAnsi="Arial" w:cs="Arial"/>
          <w:sz w:val="22"/>
          <w:szCs w:val="22"/>
        </w:rPr>
      </w:pPr>
      <w:r>
        <w:rPr>
          <w:rFonts w:ascii="Arial" w:hAnsi="Arial" w:cs="Arial"/>
          <w:sz w:val="22"/>
          <w:szCs w:val="22"/>
        </w:rPr>
        <w:t>Pappa, S</w:t>
      </w:r>
      <w:r w:rsidR="00843272">
        <w:rPr>
          <w:rFonts w:ascii="Arial" w:hAnsi="Arial" w:cs="Arial"/>
          <w:sz w:val="22"/>
          <w:szCs w:val="22"/>
        </w:rPr>
        <w:t>. et al</w:t>
      </w:r>
      <w:r>
        <w:rPr>
          <w:rFonts w:ascii="Arial" w:hAnsi="Arial" w:cs="Arial"/>
          <w:sz w:val="22"/>
          <w:szCs w:val="22"/>
        </w:rPr>
        <w:t>. (2020) ‘</w:t>
      </w:r>
      <w:r w:rsidRPr="00761FD3">
        <w:rPr>
          <w:rFonts w:ascii="Arial" w:hAnsi="Arial" w:cs="Arial"/>
          <w:i/>
          <w:iCs/>
          <w:sz w:val="22"/>
          <w:szCs w:val="22"/>
        </w:rPr>
        <w:t>Prevalence of depression, anxiety and insomnia among healthcare workers during the COVID-19 pandemic</w:t>
      </w:r>
      <w:r>
        <w:rPr>
          <w:rFonts w:ascii="Arial" w:hAnsi="Arial" w:cs="Arial"/>
          <w:sz w:val="22"/>
          <w:szCs w:val="22"/>
        </w:rPr>
        <w:t xml:space="preserve">: A systematic review and meta-analysis’, Brain, </w:t>
      </w:r>
      <w:r w:rsidR="00484AF5">
        <w:rPr>
          <w:rFonts w:ascii="Arial" w:hAnsi="Arial" w:cs="Arial"/>
          <w:sz w:val="22"/>
          <w:szCs w:val="22"/>
        </w:rPr>
        <w:t>Behaviour</w:t>
      </w:r>
      <w:r>
        <w:rPr>
          <w:rFonts w:ascii="Arial" w:hAnsi="Arial" w:cs="Arial"/>
          <w:sz w:val="22"/>
          <w:szCs w:val="22"/>
        </w:rPr>
        <w:t xml:space="preserve">, and Immunity, 88, pp. 901–907. </w:t>
      </w:r>
      <w:hyperlink r:id="rId16" w:history="1">
        <w:r w:rsidRPr="003C7D1A">
          <w:rPr>
            <w:rStyle w:val="Hyperlink"/>
            <w:rFonts w:ascii="Arial" w:hAnsi="Arial" w:cs="Arial"/>
            <w:sz w:val="22"/>
            <w:szCs w:val="22"/>
          </w:rPr>
          <w:t>https://doi.org/10.1016/j.bbi.2020.05.026</w:t>
        </w:r>
      </w:hyperlink>
    </w:p>
    <w:p w14:paraId="4303C079" w14:textId="77777777" w:rsidR="00C66BF4" w:rsidRDefault="00C66BF4" w:rsidP="00D111B6">
      <w:pPr>
        <w:spacing w:line="360" w:lineRule="auto"/>
      </w:pPr>
      <w:r>
        <w:rPr>
          <w:rFonts w:ascii="Arial" w:hAnsi="Arial" w:cs="Arial"/>
          <w:sz w:val="22"/>
          <w:szCs w:val="22"/>
        </w:rPr>
        <w:t>Ravalier, J.M. (2022) ‘</w:t>
      </w:r>
      <w:r w:rsidRPr="003A6FA1">
        <w:rPr>
          <w:rFonts w:ascii="Arial" w:hAnsi="Arial" w:cs="Arial"/>
          <w:i/>
          <w:iCs/>
          <w:sz w:val="22"/>
          <w:szCs w:val="22"/>
        </w:rPr>
        <w:t>Staff wellbeing in the NHS: The role of organisational support and wellbeing initiatives’</w:t>
      </w:r>
      <w:r>
        <w:rPr>
          <w:rFonts w:ascii="Arial" w:hAnsi="Arial" w:cs="Arial"/>
          <w:sz w:val="22"/>
          <w:szCs w:val="22"/>
        </w:rPr>
        <w:t xml:space="preserve">, International Journal of Environmental Research and Public Health, 19(8), 4646. </w:t>
      </w:r>
      <w:hyperlink r:id="rId17" w:history="1">
        <w:r w:rsidRPr="003C7D1A">
          <w:rPr>
            <w:rStyle w:val="Hyperlink"/>
            <w:rFonts w:ascii="Arial" w:hAnsi="Arial" w:cs="Arial"/>
            <w:sz w:val="22"/>
            <w:szCs w:val="22"/>
          </w:rPr>
          <w:t>https://doi.org/10.3390/ijerph19084646</w:t>
        </w:r>
      </w:hyperlink>
    </w:p>
    <w:p w14:paraId="01FBC64A" w14:textId="77777777" w:rsidR="00C66BF4" w:rsidRPr="003A6FA1" w:rsidRDefault="00C66BF4" w:rsidP="00D111B6">
      <w:pPr>
        <w:spacing w:line="360" w:lineRule="auto"/>
        <w:rPr>
          <w:rFonts w:ascii="Arial" w:hAnsi="Arial" w:cs="Arial"/>
          <w:sz w:val="22"/>
          <w:szCs w:val="22"/>
        </w:rPr>
      </w:pPr>
      <w:r w:rsidRPr="003A6FA1">
        <w:rPr>
          <w:rFonts w:ascii="Arial" w:hAnsi="Arial" w:cs="Arial"/>
          <w:sz w:val="22"/>
          <w:szCs w:val="22"/>
        </w:rPr>
        <w:t>Ravalier, J., 2022.</w:t>
      </w:r>
      <w:r w:rsidRPr="003A6FA1">
        <w:rPr>
          <w:rFonts w:ascii="Arial" w:hAnsi="Arial" w:cs="Arial"/>
          <w:i/>
          <w:iCs/>
          <w:sz w:val="22"/>
          <w:szCs w:val="22"/>
        </w:rPr>
        <w:t xml:space="preserve"> Managing Stress in Health and Social Care.</w:t>
      </w:r>
      <w:r w:rsidRPr="003A6FA1">
        <w:rPr>
          <w:rFonts w:ascii="Arial" w:hAnsi="Arial" w:cs="Arial"/>
          <w:sz w:val="22"/>
          <w:szCs w:val="22"/>
        </w:rPr>
        <w:t xml:space="preserve"> London: Routledge.</w:t>
      </w:r>
    </w:p>
    <w:p w14:paraId="32F2C0AD" w14:textId="77777777" w:rsidR="00C66BF4" w:rsidRDefault="00C66BF4" w:rsidP="00D111B6">
      <w:pPr>
        <w:spacing w:line="360" w:lineRule="auto"/>
        <w:rPr>
          <w:rFonts w:ascii="Arial" w:hAnsi="Arial" w:cs="Arial"/>
          <w:sz w:val="22"/>
          <w:szCs w:val="22"/>
        </w:rPr>
      </w:pPr>
      <w:r>
        <w:rPr>
          <w:rFonts w:ascii="Arial" w:hAnsi="Arial" w:cs="Arial"/>
          <w:sz w:val="22"/>
          <w:szCs w:val="22"/>
        </w:rPr>
        <w:t>Rotenstein, L.S., Torre, M., Ramos, M.A., Rosales, R.C., Guille, C., Sen, S. And Mata, D.A. (2018) ‘</w:t>
      </w:r>
      <w:r w:rsidRPr="0075426F">
        <w:rPr>
          <w:rFonts w:ascii="Arial" w:hAnsi="Arial" w:cs="Arial"/>
          <w:i/>
          <w:iCs/>
          <w:sz w:val="22"/>
          <w:szCs w:val="22"/>
        </w:rPr>
        <w:t>Prevalence of burnout among physicians</w:t>
      </w:r>
      <w:r>
        <w:rPr>
          <w:rFonts w:ascii="Arial" w:hAnsi="Arial" w:cs="Arial"/>
          <w:sz w:val="22"/>
          <w:szCs w:val="22"/>
        </w:rPr>
        <w:t xml:space="preserve">: A systematic review’, JAMA, 320(11), pp. 1131–1150. </w:t>
      </w:r>
      <w:hyperlink r:id="rId18" w:history="1">
        <w:r w:rsidRPr="003C7D1A">
          <w:rPr>
            <w:rStyle w:val="Hyperlink"/>
            <w:rFonts w:ascii="Arial" w:hAnsi="Arial" w:cs="Arial"/>
            <w:sz w:val="22"/>
            <w:szCs w:val="22"/>
          </w:rPr>
          <w:t>https://pubmed.ncbi.nlm.nih.gov/30326495/</w:t>
        </w:r>
      </w:hyperlink>
    </w:p>
    <w:p w14:paraId="25D684BE" w14:textId="77777777" w:rsidR="00C66BF4" w:rsidRDefault="00C66BF4" w:rsidP="00D111B6">
      <w:pPr>
        <w:spacing w:line="360" w:lineRule="auto"/>
        <w:rPr>
          <w:rFonts w:ascii="Arial" w:hAnsi="Arial" w:cs="Arial"/>
          <w:sz w:val="22"/>
          <w:szCs w:val="22"/>
        </w:rPr>
      </w:pPr>
      <w:r>
        <w:rPr>
          <w:rFonts w:ascii="Arial" w:hAnsi="Arial" w:cs="Arial"/>
          <w:sz w:val="22"/>
          <w:szCs w:val="22"/>
        </w:rPr>
        <w:t>Shanafelt, T.D. and Noseworthy, J.H. (2017)</w:t>
      </w:r>
      <w:r w:rsidRPr="0075426F">
        <w:rPr>
          <w:rFonts w:ascii="Arial" w:hAnsi="Arial" w:cs="Arial"/>
          <w:i/>
          <w:iCs/>
          <w:sz w:val="22"/>
          <w:szCs w:val="22"/>
        </w:rPr>
        <w:t xml:space="preserve"> ‘Executive leadership and physician well-being: Nine organisational strategies to promote engagement and reduce burnout</w:t>
      </w:r>
      <w:r>
        <w:rPr>
          <w:rFonts w:ascii="Arial" w:hAnsi="Arial" w:cs="Arial"/>
          <w:sz w:val="22"/>
          <w:szCs w:val="22"/>
        </w:rPr>
        <w:t xml:space="preserve">’, Mayo Clinic Proceedings, 92(1), pp. 129–146. </w:t>
      </w:r>
      <w:hyperlink r:id="rId19" w:history="1">
        <w:r w:rsidRPr="003C7D1A">
          <w:rPr>
            <w:rStyle w:val="Hyperlink"/>
            <w:rFonts w:ascii="Arial" w:hAnsi="Arial" w:cs="Arial"/>
            <w:sz w:val="22"/>
            <w:szCs w:val="22"/>
          </w:rPr>
          <w:t>https://doi.org/10.1016/j.mayocp.2016.10.004</w:t>
        </w:r>
      </w:hyperlink>
    </w:p>
    <w:p w14:paraId="31AF39FA"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The King’s Fund (2025) </w:t>
      </w:r>
      <w:r w:rsidRPr="00693FB2">
        <w:rPr>
          <w:rFonts w:ascii="Arial" w:hAnsi="Arial" w:cs="Arial"/>
          <w:i/>
          <w:iCs/>
          <w:sz w:val="22"/>
          <w:szCs w:val="22"/>
        </w:rPr>
        <w:t>Burnout</w:t>
      </w:r>
      <w:r>
        <w:rPr>
          <w:rFonts w:ascii="Arial" w:hAnsi="Arial" w:cs="Arial"/>
          <w:sz w:val="22"/>
          <w:szCs w:val="22"/>
        </w:rPr>
        <w:t xml:space="preserve">, </w:t>
      </w:r>
      <w:r w:rsidRPr="00693FB2">
        <w:rPr>
          <w:rFonts w:ascii="Arial" w:hAnsi="Arial" w:cs="Arial"/>
          <w:i/>
          <w:iCs/>
          <w:sz w:val="22"/>
          <w:szCs w:val="22"/>
        </w:rPr>
        <w:t>belief</w:t>
      </w:r>
      <w:r>
        <w:rPr>
          <w:rFonts w:ascii="Arial" w:hAnsi="Arial" w:cs="Arial"/>
          <w:sz w:val="22"/>
          <w:szCs w:val="22"/>
        </w:rPr>
        <w:t xml:space="preserve"> </w:t>
      </w:r>
      <w:r w:rsidRPr="00693FB2">
        <w:rPr>
          <w:rFonts w:ascii="Arial" w:hAnsi="Arial" w:cs="Arial"/>
          <w:i/>
          <w:iCs/>
          <w:sz w:val="22"/>
          <w:szCs w:val="22"/>
        </w:rPr>
        <w:t>and</w:t>
      </w:r>
      <w:r>
        <w:rPr>
          <w:rFonts w:ascii="Arial" w:hAnsi="Arial" w:cs="Arial"/>
          <w:sz w:val="22"/>
          <w:szCs w:val="22"/>
        </w:rPr>
        <w:t xml:space="preserve"> </w:t>
      </w:r>
      <w:r w:rsidRPr="00693FB2">
        <w:rPr>
          <w:rFonts w:ascii="Arial" w:hAnsi="Arial" w:cs="Arial"/>
          <w:i/>
          <w:iCs/>
          <w:sz w:val="22"/>
          <w:szCs w:val="22"/>
        </w:rPr>
        <w:t>reforming</w:t>
      </w:r>
      <w:r>
        <w:rPr>
          <w:rFonts w:ascii="Arial" w:hAnsi="Arial" w:cs="Arial"/>
          <w:sz w:val="22"/>
          <w:szCs w:val="22"/>
        </w:rPr>
        <w:t xml:space="preserve"> </w:t>
      </w:r>
      <w:r w:rsidRPr="00693FB2">
        <w:rPr>
          <w:rFonts w:ascii="Arial" w:hAnsi="Arial" w:cs="Arial"/>
          <w:i/>
          <w:iCs/>
          <w:sz w:val="22"/>
          <w:szCs w:val="22"/>
        </w:rPr>
        <w:t>the</w:t>
      </w:r>
      <w:r>
        <w:rPr>
          <w:rFonts w:ascii="Arial" w:hAnsi="Arial" w:cs="Arial"/>
          <w:sz w:val="22"/>
          <w:szCs w:val="22"/>
        </w:rPr>
        <w:t xml:space="preserve"> </w:t>
      </w:r>
      <w:r w:rsidRPr="00693FB2">
        <w:rPr>
          <w:rFonts w:ascii="Arial" w:hAnsi="Arial" w:cs="Arial"/>
          <w:i/>
          <w:iCs/>
          <w:sz w:val="22"/>
          <w:szCs w:val="22"/>
        </w:rPr>
        <w:t>NHS</w:t>
      </w:r>
      <w:r>
        <w:rPr>
          <w:rFonts w:ascii="Arial" w:hAnsi="Arial" w:cs="Arial"/>
          <w:sz w:val="22"/>
          <w:szCs w:val="22"/>
        </w:rPr>
        <w:t xml:space="preserve"> </w:t>
      </w:r>
      <w:r w:rsidRPr="00693FB2">
        <w:rPr>
          <w:rFonts w:ascii="Arial" w:hAnsi="Arial" w:cs="Arial"/>
          <w:i/>
          <w:iCs/>
          <w:sz w:val="22"/>
          <w:szCs w:val="22"/>
        </w:rPr>
        <w:t>workforce</w:t>
      </w:r>
      <w:r>
        <w:rPr>
          <w:rFonts w:ascii="Arial" w:hAnsi="Arial" w:cs="Arial"/>
          <w:sz w:val="22"/>
          <w:szCs w:val="22"/>
        </w:rPr>
        <w:t xml:space="preserve">. Available at: </w:t>
      </w:r>
      <w:hyperlink r:id="rId20" w:history="1">
        <w:r w:rsidRPr="003C7D1A">
          <w:rPr>
            <w:rStyle w:val="Hyperlink"/>
            <w:rFonts w:ascii="Arial" w:hAnsi="Arial" w:cs="Arial"/>
            <w:sz w:val="22"/>
            <w:szCs w:val="22"/>
          </w:rPr>
          <w:t>https://www.kingsfund.org.uk/insight-and-analysis/long-reads/burnout-belief-reforming-the-nhs</w:t>
        </w:r>
      </w:hyperlink>
      <w:r>
        <w:rPr>
          <w:rFonts w:ascii="Arial" w:hAnsi="Arial" w:cs="Arial"/>
          <w:sz w:val="22"/>
          <w:szCs w:val="22"/>
        </w:rPr>
        <w:t xml:space="preserve"> (Accessed: 9 March 2026).</w:t>
      </w:r>
    </w:p>
    <w:p w14:paraId="05417546" w14:textId="35347CC1" w:rsidR="00E142EA" w:rsidRPr="00E142EA" w:rsidRDefault="00E142EA" w:rsidP="00D111B6">
      <w:pPr>
        <w:spacing w:line="360" w:lineRule="auto"/>
        <w:rPr>
          <w:rFonts w:ascii="Arial" w:hAnsi="Arial" w:cs="Arial"/>
          <w:sz w:val="22"/>
          <w:szCs w:val="22"/>
        </w:rPr>
      </w:pPr>
      <w:r w:rsidRPr="00BF0B60">
        <w:rPr>
          <w:rStyle w:val="Strong"/>
          <w:rFonts w:ascii="Arial" w:eastAsia="Times New Roman" w:hAnsi="Arial" w:cs="Arial"/>
          <w:b w:val="0"/>
          <w:bCs w:val="0"/>
          <w:sz w:val="22"/>
          <w:szCs w:val="22"/>
        </w:rPr>
        <w:t>Walton, M., Murray, E. and Christian, M.D. (2020)</w:t>
      </w:r>
      <w:r w:rsidRPr="00E142EA">
        <w:rPr>
          <w:rFonts w:ascii="Arial" w:eastAsia="Times New Roman" w:hAnsi="Arial" w:cs="Arial"/>
          <w:sz w:val="22"/>
          <w:szCs w:val="22"/>
        </w:rPr>
        <w:t xml:space="preserve"> ‘Mental health care for medical staff and affiliated healthcare workers during the COVID-19 pandemic’, </w:t>
      </w:r>
      <w:r w:rsidRPr="00E142EA">
        <w:rPr>
          <w:rStyle w:val="Emphasis"/>
          <w:rFonts w:ascii="Arial" w:eastAsia="Times New Roman" w:hAnsi="Arial" w:cs="Arial"/>
          <w:sz w:val="22"/>
          <w:szCs w:val="22"/>
        </w:rPr>
        <w:t>European Heart Journal: Acute Cardiovascular Care</w:t>
      </w:r>
      <w:r w:rsidRPr="00E142EA">
        <w:rPr>
          <w:rFonts w:ascii="Arial" w:eastAsia="Times New Roman" w:hAnsi="Arial" w:cs="Arial"/>
          <w:sz w:val="22"/>
          <w:szCs w:val="22"/>
        </w:rPr>
        <w:t xml:space="preserve">, 9(3), pp. 241–247. Available at: </w:t>
      </w:r>
      <w:hyperlink r:id="rId21" w:tgtFrame="_new" w:history="1">
        <w:r w:rsidRPr="00E142EA">
          <w:rPr>
            <w:rStyle w:val="Hyperlink"/>
            <w:rFonts w:ascii="Arial" w:eastAsia="Times New Roman" w:hAnsi="Arial" w:cs="Arial"/>
            <w:sz w:val="22"/>
            <w:szCs w:val="22"/>
          </w:rPr>
          <w:t>https://doi.org/10.1177/2048872620922795</w:t>
        </w:r>
      </w:hyperlink>
      <w:r w:rsidRPr="00E142EA">
        <w:rPr>
          <w:rFonts w:ascii="Arial" w:eastAsia="Times New Roman" w:hAnsi="Arial" w:cs="Arial"/>
          <w:sz w:val="22"/>
          <w:szCs w:val="22"/>
        </w:rPr>
        <w:t xml:space="preserve"> </w:t>
      </w:r>
    </w:p>
    <w:p w14:paraId="2A4FF434" w14:textId="77777777" w:rsidR="00C66BF4" w:rsidRDefault="00C66BF4" w:rsidP="00D111B6">
      <w:pPr>
        <w:spacing w:line="360" w:lineRule="auto"/>
        <w:rPr>
          <w:rFonts w:ascii="Arial" w:hAnsi="Arial" w:cs="Arial"/>
          <w:sz w:val="22"/>
          <w:szCs w:val="22"/>
        </w:rPr>
      </w:pPr>
      <w:r>
        <w:rPr>
          <w:rFonts w:ascii="Arial" w:hAnsi="Arial" w:cs="Arial"/>
          <w:sz w:val="22"/>
          <w:szCs w:val="22"/>
        </w:rPr>
        <w:t>West, C.P., Dyrbye, L.N., Erwin, P.J. and Shanafelt, T.D. (2018) ‘</w:t>
      </w:r>
      <w:r w:rsidRPr="00693FB2">
        <w:rPr>
          <w:rFonts w:ascii="Arial" w:hAnsi="Arial" w:cs="Arial"/>
          <w:i/>
          <w:iCs/>
          <w:sz w:val="22"/>
          <w:szCs w:val="22"/>
        </w:rPr>
        <w:t xml:space="preserve">Interventions to prevent and reduce physician burnout: </w:t>
      </w:r>
      <w:r>
        <w:rPr>
          <w:rFonts w:ascii="Arial" w:hAnsi="Arial" w:cs="Arial"/>
          <w:sz w:val="22"/>
          <w:szCs w:val="22"/>
        </w:rPr>
        <w:t xml:space="preserve">A systematic review and meta-analysis’, The Lancet, 388(10057), pp. 2272–2281. </w:t>
      </w:r>
      <w:hyperlink r:id="rId22" w:history="1">
        <w:r w:rsidRPr="003C7D1A">
          <w:rPr>
            <w:rStyle w:val="Hyperlink"/>
            <w:rFonts w:ascii="Arial" w:hAnsi="Arial" w:cs="Arial"/>
            <w:sz w:val="22"/>
            <w:szCs w:val="22"/>
          </w:rPr>
          <w:t>https://pubmed.ncbi.nlm.nih.gov/29505159/</w:t>
        </w:r>
      </w:hyperlink>
    </w:p>
    <w:p w14:paraId="58583433" w14:textId="77777777" w:rsidR="00C66BF4" w:rsidRDefault="00C66BF4" w:rsidP="00D111B6">
      <w:pPr>
        <w:spacing w:line="360" w:lineRule="auto"/>
        <w:rPr>
          <w:rFonts w:ascii="Arial" w:hAnsi="Arial" w:cs="Arial"/>
          <w:sz w:val="22"/>
          <w:szCs w:val="22"/>
        </w:rPr>
      </w:pPr>
      <w:r>
        <w:rPr>
          <w:rFonts w:ascii="Arial" w:hAnsi="Arial" w:cs="Arial"/>
          <w:sz w:val="22"/>
          <w:szCs w:val="22"/>
        </w:rPr>
        <w:t xml:space="preserve">World Health Organization (2019) </w:t>
      </w:r>
      <w:r w:rsidRPr="00273141">
        <w:rPr>
          <w:rFonts w:ascii="Arial" w:hAnsi="Arial" w:cs="Arial"/>
          <w:i/>
          <w:iCs/>
          <w:sz w:val="22"/>
          <w:szCs w:val="22"/>
        </w:rPr>
        <w:t>Burn-out an occupational phenomenon: International classification of diseases</w:t>
      </w:r>
      <w:r>
        <w:rPr>
          <w:rFonts w:ascii="Arial" w:hAnsi="Arial" w:cs="Arial"/>
          <w:sz w:val="22"/>
          <w:szCs w:val="22"/>
        </w:rPr>
        <w:t xml:space="preserve">. Available at: </w:t>
      </w:r>
      <w:hyperlink r:id="rId23" w:history="1">
        <w:r w:rsidRPr="003C7D1A">
          <w:rPr>
            <w:rStyle w:val="Hyperlink"/>
            <w:rFonts w:ascii="Arial" w:hAnsi="Arial" w:cs="Arial"/>
            <w:sz w:val="22"/>
            <w:szCs w:val="22"/>
          </w:rPr>
          <w:t>https://www.who.int/news/item/28-05-2019-burn-out-an-occupational-phenomenon-international-classification-of-diseases</w:t>
        </w:r>
      </w:hyperlink>
      <w:r>
        <w:rPr>
          <w:rFonts w:ascii="Arial" w:hAnsi="Arial" w:cs="Arial"/>
          <w:sz w:val="22"/>
          <w:szCs w:val="22"/>
        </w:rPr>
        <w:t xml:space="preserve"> (Accessed: 6 March 2026).</w:t>
      </w:r>
    </w:p>
    <w:p w14:paraId="4AD7630A" w14:textId="77777777" w:rsidR="00C66BF4" w:rsidRPr="00703314" w:rsidRDefault="00C66BF4" w:rsidP="00D111B6">
      <w:pPr>
        <w:spacing w:line="360" w:lineRule="auto"/>
        <w:rPr>
          <w:rFonts w:ascii="Arial" w:hAnsi="Arial" w:cs="Arial"/>
          <w:sz w:val="22"/>
          <w:szCs w:val="22"/>
        </w:rPr>
      </w:pPr>
      <w:r>
        <w:rPr>
          <w:rFonts w:ascii="Arial" w:hAnsi="Arial" w:cs="Arial"/>
          <w:sz w:val="22"/>
          <w:szCs w:val="22"/>
        </w:rPr>
        <w:t xml:space="preserve">World Health Organization (2024) </w:t>
      </w:r>
      <w:r w:rsidRPr="00273141">
        <w:rPr>
          <w:rFonts w:ascii="Arial" w:hAnsi="Arial" w:cs="Arial"/>
          <w:i/>
          <w:iCs/>
          <w:sz w:val="22"/>
          <w:szCs w:val="22"/>
        </w:rPr>
        <w:t xml:space="preserve">Mental health at work. </w:t>
      </w:r>
      <w:r>
        <w:rPr>
          <w:rFonts w:ascii="Arial" w:hAnsi="Arial" w:cs="Arial"/>
          <w:sz w:val="22"/>
          <w:szCs w:val="22"/>
        </w:rPr>
        <w:t xml:space="preserve">Available at: </w:t>
      </w:r>
      <w:hyperlink r:id="rId24" w:history="1">
        <w:r w:rsidRPr="003C7D1A">
          <w:rPr>
            <w:rStyle w:val="Hyperlink"/>
            <w:rFonts w:ascii="Arial" w:hAnsi="Arial" w:cs="Arial"/>
            <w:sz w:val="22"/>
            <w:szCs w:val="22"/>
          </w:rPr>
          <w:t>https://www.who.int/news-room/fact-sheets/detail/mental-health-at-work</w:t>
        </w:r>
      </w:hyperlink>
      <w:r>
        <w:rPr>
          <w:rFonts w:ascii="Arial" w:hAnsi="Arial" w:cs="Arial"/>
          <w:sz w:val="22"/>
          <w:szCs w:val="22"/>
        </w:rPr>
        <w:t xml:space="preserve"> (Accessed: 4 March 2026).</w:t>
      </w:r>
    </w:p>
    <w:p w14:paraId="0D80D706" w14:textId="77777777" w:rsidR="00C66BF4" w:rsidRDefault="00C66BF4" w:rsidP="007B7D7B">
      <w:pPr>
        <w:spacing w:line="360" w:lineRule="auto"/>
        <w:rPr>
          <w:rFonts w:ascii="Arial" w:hAnsi="Arial" w:cs="Arial"/>
          <w:sz w:val="22"/>
          <w:szCs w:val="22"/>
        </w:rPr>
      </w:pPr>
    </w:p>
    <w:p w14:paraId="6D31C113" w14:textId="2250B6C8" w:rsidR="008A1FBC" w:rsidRPr="00CD7B45" w:rsidRDefault="008A1FBC" w:rsidP="007B7D7B">
      <w:pPr>
        <w:spacing w:line="360" w:lineRule="auto"/>
        <w:rPr>
          <w:rFonts w:ascii="Arial" w:hAnsi="Arial" w:cs="Arial"/>
          <w:b/>
          <w:bCs/>
          <w:sz w:val="22"/>
          <w:szCs w:val="22"/>
        </w:rPr>
      </w:pPr>
      <w:r w:rsidRPr="00CD7B45">
        <w:rPr>
          <w:rFonts w:ascii="Arial" w:hAnsi="Arial" w:cs="Arial"/>
          <w:b/>
          <w:bCs/>
          <w:sz w:val="22"/>
          <w:szCs w:val="22"/>
        </w:rPr>
        <w:t>Appendix 3 – Statistical Visuals</w:t>
      </w:r>
    </w:p>
    <w:p w14:paraId="415A93C7" w14:textId="7B12B9B5" w:rsidR="00B91294" w:rsidRPr="00540677" w:rsidRDefault="008A1FBC" w:rsidP="007B7D7B">
      <w:pPr>
        <w:spacing w:line="360" w:lineRule="auto"/>
        <w:rPr>
          <w:rFonts w:ascii="Arial" w:hAnsi="Arial" w:cs="Arial"/>
          <w:sz w:val="22"/>
          <w:szCs w:val="22"/>
        </w:rPr>
      </w:pPr>
      <w:r w:rsidRPr="004C5E86">
        <w:rPr>
          <w:rFonts w:ascii="Arial" w:hAnsi="Arial" w:cs="Arial"/>
          <w:b/>
          <w:bCs/>
          <w:sz w:val="22"/>
          <w:szCs w:val="22"/>
        </w:rPr>
        <w:t>Figure 4.1:</w:t>
      </w:r>
      <w:r>
        <w:rPr>
          <w:rFonts w:ascii="Arial" w:hAnsi="Arial" w:cs="Arial"/>
          <w:sz w:val="22"/>
          <w:szCs w:val="22"/>
        </w:rPr>
        <w:t xml:space="preserve"> Estimated burnout prevalence among physicians</w:t>
      </w:r>
    </w:p>
    <w:p w14:paraId="1425408C" w14:textId="186B4A8B" w:rsidR="00B91294" w:rsidRDefault="001D73AF" w:rsidP="007B7D7B">
      <w:pPr>
        <w:spacing w:line="360" w:lineRule="auto"/>
        <w:rPr>
          <w:rFonts w:ascii="Arial" w:hAnsi="Arial" w:cs="Arial"/>
          <w:i/>
          <w:iCs/>
          <w:sz w:val="22"/>
          <w:szCs w:val="22"/>
        </w:rPr>
      </w:pPr>
      <w:r w:rsidRPr="004C5E86">
        <w:rPr>
          <w:rFonts w:ascii="Arial" w:hAnsi="Arial" w:cs="Arial"/>
          <w:b/>
          <w:bCs/>
          <w:noProof/>
          <w:sz w:val="22"/>
          <w:szCs w:val="22"/>
        </w:rPr>
        <w:drawing>
          <wp:anchor distT="0" distB="0" distL="114300" distR="114300" simplePos="0" relativeHeight="251659264" behindDoc="0" locked="0" layoutInCell="1" allowOverlap="1" wp14:anchorId="77873E31" wp14:editId="0B62A370">
            <wp:simplePos x="0" y="0"/>
            <wp:positionH relativeFrom="column">
              <wp:posOffset>69850</wp:posOffset>
            </wp:positionH>
            <wp:positionV relativeFrom="paragraph">
              <wp:posOffset>130175</wp:posOffset>
            </wp:positionV>
            <wp:extent cx="1897380" cy="1470025"/>
            <wp:effectExtent l="0" t="0" r="7620" b="0"/>
            <wp:wrapTopAndBottom/>
            <wp:docPr id="137797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71118" name="Picture 137797111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7380" cy="1470025"/>
                    </a:xfrm>
                    <a:prstGeom prst="rect">
                      <a:avLst/>
                    </a:prstGeom>
                  </pic:spPr>
                </pic:pic>
              </a:graphicData>
            </a:graphic>
            <wp14:sizeRelH relativeFrom="margin">
              <wp14:pctWidth>0</wp14:pctWidth>
            </wp14:sizeRelH>
            <wp14:sizeRelV relativeFrom="margin">
              <wp14:pctHeight>0</wp14:pctHeight>
            </wp14:sizeRelV>
          </wp:anchor>
        </w:drawing>
      </w:r>
    </w:p>
    <w:p w14:paraId="485BFA56" w14:textId="4C167221" w:rsidR="008A1FBC" w:rsidRPr="00973C3B" w:rsidRDefault="008A1FBC" w:rsidP="007B7D7B">
      <w:pPr>
        <w:spacing w:line="360" w:lineRule="auto"/>
        <w:rPr>
          <w:rFonts w:ascii="Arial" w:hAnsi="Arial" w:cs="Arial"/>
          <w:i/>
          <w:iCs/>
          <w:sz w:val="22"/>
          <w:szCs w:val="22"/>
        </w:rPr>
      </w:pPr>
      <w:r w:rsidRPr="009A6445">
        <w:rPr>
          <w:rFonts w:ascii="Arial" w:hAnsi="Arial" w:cs="Arial"/>
          <w:i/>
          <w:iCs/>
          <w:sz w:val="22"/>
          <w:szCs w:val="22"/>
        </w:rPr>
        <w:t>As shown in Figure 4.1, burnout affects a substantial proportion of healthcare professionals. This highlights the importance of understanding the workplace factors contributing to stress and emotional exhaustion among healthcare workers.</w:t>
      </w:r>
    </w:p>
    <w:p w14:paraId="0CCEF234" w14:textId="6A1CEAF5" w:rsidR="00AA3250" w:rsidRDefault="00AA3250" w:rsidP="007B7D7B">
      <w:pPr>
        <w:spacing w:line="360" w:lineRule="auto"/>
        <w:rPr>
          <w:rFonts w:ascii="Arial" w:hAnsi="Arial" w:cs="Arial"/>
          <w:sz w:val="22"/>
          <w:szCs w:val="22"/>
        </w:rPr>
      </w:pPr>
    </w:p>
    <w:p w14:paraId="778B648D" w14:textId="70D8F601" w:rsidR="003232B1" w:rsidRDefault="008A1FBC" w:rsidP="007B7D7B">
      <w:pPr>
        <w:spacing w:line="360" w:lineRule="auto"/>
        <w:rPr>
          <w:rFonts w:ascii="Arial" w:hAnsi="Arial" w:cs="Arial"/>
          <w:sz w:val="22"/>
          <w:szCs w:val="22"/>
        </w:rPr>
      </w:pPr>
      <w:r w:rsidRPr="00973C3B">
        <w:rPr>
          <w:rFonts w:ascii="Arial" w:hAnsi="Arial" w:cs="Arial"/>
          <w:b/>
          <w:bCs/>
          <w:sz w:val="22"/>
          <w:szCs w:val="22"/>
        </w:rPr>
        <w:t xml:space="preserve">Figure 4.2: </w:t>
      </w:r>
      <w:r>
        <w:rPr>
          <w:rFonts w:ascii="Arial" w:hAnsi="Arial" w:cs="Arial"/>
          <w:sz w:val="22"/>
          <w:szCs w:val="22"/>
        </w:rPr>
        <w:t>Job Demands–Resources (JD-R) Model</w:t>
      </w:r>
    </w:p>
    <w:p w14:paraId="7CC16F17" w14:textId="4E628B4F" w:rsidR="00A01002" w:rsidRDefault="006E397F" w:rsidP="007B7D7B">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36EA6263" wp14:editId="605B2A3A">
            <wp:simplePos x="0" y="0"/>
            <wp:positionH relativeFrom="column">
              <wp:posOffset>147711</wp:posOffset>
            </wp:positionH>
            <wp:positionV relativeFrom="paragraph">
              <wp:posOffset>38100</wp:posOffset>
            </wp:positionV>
            <wp:extent cx="2576768" cy="1385179"/>
            <wp:effectExtent l="0" t="0" r="0" b="5715"/>
            <wp:wrapTopAndBottom/>
            <wp:docPr id="1665922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22349" name="Picture 166592234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76768" cy="1385179"/>
                    </a:xfrm>
                    <a:prstGeom prst="rect">
                      <a:avLst/>
                    </a:prstGeom>
                  </pic:spPr>
                </pic:pic>
              </a:graphicData>
            </a:graphic>
            <wp14:sizeRelH relativeFrom="margin">
              <wp14:pctWidth>0</wp14:pctWidth>
            </wp14:sizeRelH>
            <wp14:sizeRelV relativeFrom="margin">
              <wp14:pctHeight>0</wp14:pctHeight>
            </wp14:sizeRelV>
          </wp:anchor>
        </w:drawing>
      </w:r>
    </w:p>
    <w:p w14:paraId="418FAE68" w14:textId="0150C9A3" w:rsidR="008A1FBC" w:rsidRDefault="008A1FBC" w:rsidP="007B7D7B">
      <w:pPr>
        <w:spacing w:line="360" w:lineRule="auto"/>
        <w:rPr>
          <w:rFonts w:ascii="Arial" w:hAnsi="Arial" w:cs="Arial"/>
          <w:sz w:val="22"/>
          <w:szCs w:val="22"/>
        </w:rPr>
      </w:pPr>
      <w:r>
        <w:rPr>
          <w:rFonts w:ascii="Arial" w:hAnsi="Arial" w:cs="Arial"/>
          <w:sz w:val="22"/>
          <w:szCs w:val="22"/>
        </w:rPr>
        <w:t>Source: Bakker &amp; Demerouti (2017)</w:t>
      </w:r>
    </w:p>
    <w:p w14:paraId="5EACEA9A" w14:textId="630D7B9D" w:rsidR="008A1FBC" w:rsidRPr="008276E1" w:rsidRDefault="008A1FBC" w:rsidP="007B7D7B">
      <w:pPr>
        <w:spacing w:line="360" w:lineRule="auto"/>
        <w:rPr>
          <w:rFonts w:ascii="Arial" w:hAnsi="Arial" w:cs="Arial"/>
          <w:i/>
          <w:iCs/>
          <w:sz w:val="22"/>
          <w:szCs w:val="22"/>
        </w:rPr>
      </w:pPr>
      <w:r w:rsidRPr="003232B1">
        <w:rPr>
          <w:rFonts w:ascii="Arial" w:hAnsi="Arial" w:cs="Arial"/>
          <w:i/>
          <w:iCs/>
          <w:sz w:val="22"/>
          <w:szCs w:val="22"/>
        </w:rPr>
        <w:t>As illustrated in Figure 4.2, high job demands combined with insufficient organisational resources can lead to emotional exhaustion and burnout among healthcare workers.</w:t>
      </w:r>
    </w:p>
    <w:p w14:paraId="2AB0F315" w14:textId="32F2886A" w:rsidR="008A1FBC" w:rsidRDefault="008A1FBC" w:rsidP="007B7D7B">
      <w:pPr>
        <w:spacing w:line="360" w:lineRule="auto"/>
        <w:rPr>
          <w:rFonts w:ascii="Arial" w:hAnsi="Arial" w:cs="Arial"/>
          <w:sz w:val="22"/>
          <w:szCs w:val="22"/>
        </w:rPr>
      </w:pPr>
    </w:p>
    <w:p w14:paraId="472C6188" w14:textId="29B54CEC" w:rsidR="008276E1" w:rsidRDefault="008A1FBC" w:rsidP="007B7D7B">
      <w:pPr>
        <w:spacing w:line="360" w:lineRule="auto"/>
        <w:rPr>
          <w:rFonts w:ascii="Arial" w:hAnsi="Arial" w:cs="Arial"/>
          <w:sz w:val="22"/>
          <w:szCs w:val="22"/>
        </w:rPr>
      </w:pPr>
      <w:r w:rsidRPr="00973C3B">
        <w:rPr>
          <w:rFonts w:ascii="Arial" w:hAnsi="Arial" w:cs="Arial"/>
          <w:b/>
          <w:bCs/>
          <w:sz w:val="22"/>
          <w:szCs w:val="22"/>
        </w:rPr>
        <w:t xml:space="preserve">Figure 4.3: </w:t>
      </w:r>
      <w:r>
        <w:rPr>
          <w:rFonts w:ascii="Arial" w:hAnsi="Arial" w:cs="Arial"/>
          <w:sz w:val="22"/>
          <w:szCs w:val="22"/>
        </w:rPr>
        <w:t>Reported work-related stress among NHS staff Source: NHS Staff Survey</w:t>
      </w:r>
      <w:r w:rsidR="00086B5E">
        <w:rPr>
          <w:rFonts w:ascii="Arial" w:hAnsi="Arial" w:cs="Arial"/>
          <w:sz w:val="22"/>
          <w:szCs w:val="22"/>
        </w:rPr>
        <w:t xml:space="preserve"> </w:t>
      </w:r>
      <w:r>
        <w:rPr>
          <w:rFonts w:ascii="Arial" w:hAnsi="Arial" w:cs="Arial"/>
          <w:sz w:val="22"/>
          <w:szCs w:val="22"/>
        </w:rPr>
        <w:t>(2022)</w:t>
      </w:r>
      <w:r w:rsidR="00086B5E">
        <w:rPr>
          <w:rFonts w:ascii="Arial" w:hAnsi="Arial" w:cs="Arial"/>
          <w:sz w:val="22"/>
          <w:szCs w:val="22"/>
        </w:rPr>
        <w:t>.</w:t>
      </w:r>
    </w:p>
    <w:p w14:paraId="17C73FFA" w14:textId="2B54CB8F" w:rsidR="00022D2E" w:rsidRDefault="00DE5F6A" w:rsidP="007B7D7B">
      <w:pPr>
        <w:spacing w:line="360" w:lineRule="auto"/>
        <w:rPr>
          <w:rFonts w:ascii="Arial" w:hAnsi="Arial" w:cs="Arial"/>
          <w:i/>
          <w:iCs/>
          <w:sz w:val="22"/>
          <w:szCs w:val="22"/>
        </w:rPr>
      </w:pPr>
      <w:r w:rsidRPr="00973C3B">
        <w:rPr>
          <w:rFonts w:ascii="Arial" w:hAnsi="Arial" w:cs="Arial"/>
          <w:b/>
          <w:bCs/>
          <w:noProof/>
          <w:sz w:val="22"/>
          <w:szCs w:val="22"/>
        </w:rPr>
        <w:drawing>
          <wp:anchor distT="0" distB="0" distL="114300" distR="114300" simplePos="0" relativeHeight="251661312" behindDoc="0" locked="0" layoutInCell="1" allowOverlap="1" wp14:anchorId="1C22B341" wp14:editId="7623CC6E">
            <wp:simplePos x="0" y="0"/>
            <wp:positionH relativeFrom="column">
              <wp:posOffset>105410</wp:posOffset>
            </wp:positionH>
            <wp:positionV relativeFrom="paragraph">
              <wp:posOffset>-635</wp:posOffset>
            </wp:positionV>
            <wp:extent cx="2131695" cy="1645920"/>
            <wp:effectExtent l="0" t="0" r="1905" b="0"/>
            <wp:wrapTopAndBottom/>
            <wp:docPr id="1127350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50975" name="Picture 112735097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31695" cy="1645920"/>
                    </a:xfrm>
                    <a:prstGeom prst="rect">
                      <a:avLst/>
                    </a:prstGeom>
                  </pic:spPr>
                </pic:pic>
              </a:graphicData>
            </a:graphic>
            <wp14:sizeRelH relativeFrom="margin">
              <wp14:pctWidth>0</wp14:pctWidth>
            </wp14:sizeRelH>
            <wp14:sizeRelV relativeFrom="margin">
              <wp14:pctHeight>0</wp14:pctHeight>
            </wp14:sizeRelV>
          </wp:anchor>
        </w:drawing>
      </w:r>
    </w:p>
    <w:p w14:paraId="303C7B77" w14:textId="017244D5" w:rsidR="0007722E" w:rsidRDefault="008A1FBC" w:rsidP="007B7D7B">
      <w:pPr>
        <w:spacing w:line="360" w:lineRule="auto"/>
        <w:rPr>
          <w:rFonts w:ascii="Arial" w:hAnsi="Arial" w:cs="Arial"/>
          <w:i/>
          <w:iCs/>
          <w:sz w:val="22"/>
          <w:szCs w:val="22"/>
        </w:rPr>
      </w:pPr>
      <w:r w:rsidRPr="00F83868">
        <w:rPr>
          <w:rFonts w:ascii="Arial" w:hAnsi="Arial" w:cs="Arial"/>
          <w:i/>
          <w:iCs/>
          <w:sz w:val="22"/>
          <w:szCs w:val="22"/>
        </w:rPr>
        <w:t>As illustrated in Figure 4.3, a significant proportion of NHS staff report experiencing work-related stress. This reinforces the evidence that healthcare professionals face considerable psychological pressures in their roles.</w:t>
      </w:r>
    </w:p>
    <w:p w14:paraId="623C3B62" w14:textId="77777777" w:rsidR="00973A69" w:rsidRPr="00973C3B" w:rsidRDefault="00973A69" w:rsidP="007B7D7B">
      <w:pPr>
        <w:spacing w:line="360" w:lineRule="auto"/>
        <w:rPr>
          <w:rFonts w:ascii="Arial" w:hAnsi="Arial" w:cs="Arial"/>
          <w:i/>
          <w:iCs/>
          <w:sz w:val="22"/>
          <w:szCs w:val="22"/>
        </w:rPr>
      </w:pPr>
    </w:p>
    <w:p w14:paraId="70A49882" w14:textId="4158182A" w:rsidR="008A1FBC" w:rsidRDefault="008A1FBC" w:rsidP="007B7D7B">
      <w:pPr>
        <w:spacing w:line="360" w:lineRule="auto"/>
        <w:rPr>
          <w:rFonts w:ascii="Arial" w:hAnsi="Arial" w:cs="Arial"/>
          <w:sz w:val="22"/>
          <w:szCs w:val="22"/>
        </w:rPr>
      </w:pPr>
      <w:r w:rsidRPr="00973C3B">
        <w:rPr>
          <w:rFonts w:ascii="Arial" w:hAnsi="Arial" w:cs="Arial"/>
          <w:b/>
          <w:bCs/>
          <w:sz w:val="22"/>
          <w:szCs w:val="22"/>
        </w:rPr>
        <w:t>Figure 4.4</w:t>
      </w:r>
      <w:r>
        <w:rPr>
          <w:rFonts w:ascii="Arial" w:hAnsi="Arial" w:cs="Arial"/>
          <w:sz w:val="22"/>
          <w:szCs w:val="22"/>
        </w:rPr>
        <w:t xml:space="preserve"> Perceived Organisational Support (POS) theory developed by Eisenberger et al. In (1986)</w:t>
      </w:r>
    </w:p>
    <w:p w14:paraId="1C8278EE" w14:textId="1D4F9143" w:rsidR="00025A80" w:rsidRDefault="0007722E" w:rsidP="007B7D7B">
      <w:pPr>
        <w:spacing w:line="360" w:lineRule="auto"/>
        <w:rPr>
          <w:rFonts w:ascii="Arial" w:hAnsi="Arial" w:cs="Arial"/>
          <w:i/>
          <w:iCs/>
          <w:sz w:val="22"/>
          <w:szCs w:val="22"/>
        </w:rPr>
      </w:pPr>
      <w:r w:rsidRPr="00973C3B">
        <w:rPr>
          <w:rFonts w:ascii="Arial" w:hAnsi="Arial" w:cs="Arial"/>
          <w:b/>
          <w:bCs/>
          <w:noProof/>
          <w:sz w:val="22"/>
          <w:szCs w:val="22"/>
        </w:rPr>
        <w:drawing>
          <wp:anchor distT="0" distB="0" distL="114300" distR="114300" simplePos="0" relativeHeight="251662336" behindDoc="0" locked="0" layoutInCell="1" allowOverlap="1" wp14:anchorId="1F178847" wp14:editId="2A73FE53">
            <wp:simplePos x="0" y="0"/>
            <wp:positionH relativeFrom="column">
              <wp:posOffset>141605</wp:posOffset>
            </wp:positionH>
            <wp:positionV relativeFrom="paragraph">
              <wp:posOffset>113665</wp:posOffset>
            </wp:positionV>
            <wp:extent cx="2734310" cy="1618615"/>
            <wp:effectExtent l="0" t="0" r="8890" b="635"/>
            <wp:wrapTopAndBottom/>
            <wp:docPr id="1303386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8625" name="Picture 130338625"/>
                    <pic:cNvPicPr/>
                  </pic:nvPicPr>
                  <pic:blipFill>
                    <a:blip r:embed="rId28">
                      <a:extLst>
                        <a:ext uri="{28A0092B-C50C-407E-A947-70E740481C1C}">
                          <a14:useLocalDpi xmlns:a14="http://schemas.microsoft.com/office/drawing/2010/main" val="0"/>
                        </a:ext>
                      </a:extLst>
                    </a:blip>
                    <a:stretch>
                      <a:fillRect/>
                    </a:stretch>
                  </pic:blipFill>
                  <pic:spPr>
                    <a:xfrm>
                      <a:off x="0" y="0"/>
                      <a:ext cx="2734310" cy="1618615"/>
                    </a:xfrm>
                    <a:prstGeom prst="rect">
                      <a:avLst/>
                    </a:prstGeom>
                  </pic:spPr>
                </pic:pic>
              </a:graphicData>
            </a:graphic>
            <wp14:sizeRelH relativeFrom="margin">
              <wp14:pctWidth>0</wp14:pctWidth>
            </wp14:sizeRelH>
            <wp14:sizeRelV relativeFrom="margin">
              <wp14:pctHeight>0</wp14:pctHeight>
            </wp14:sizeRelV>
          </wp:anchor>
        </w:drawing>
      </w:r>
    </w:p>
    <w:p w14:paraId="6BCBF980" w14:textId="33DF6716" w:rsidR="008A1FBC" w:rsidRPr="00973C3B" w:rsidRDefault="008A1FBC" w:rsidP="007B7D7B">
      <w:pPr>
        <w:spacing w:line="360" w:lineRule="auto"/>
        <w:rPr>
          <w:rFonts w:ascii="Arial" w:hAnsi="Arial" w:cs="Arial"/>
          <w:i/>
          <w:iCs/>
          <w:sz w:val="22"/>
          <w:szCs w:val="22"/>
        </w:rPr>
      </w:pPr>
      <w:r w:rsidRPr="00973C3B">
        <w:rPr>
          <w:rFonts w:ascii="Arial" w:hAnsi="Arial" w:cs="Arial"/>
          <w:i/>
          <w:iCs/>
          <w:sz w:val="22"/>
          <w:szCs w:val="22"/>
        </w:rPr>
        <w:t>Figure 4.4 illustrates the concept of Perceived Organisational Support, demonstrating how employees’ perceptions of organisational care, recognition, and support can positively influence wellbeing, job satisfaction, and reduce burnout among healthcare professionals (Kurtessis et al., 2017).</w:t>
      </w:r>
    </w:p>
    <w:p w14:paraId="0B2F9EC3" w14:textId="77777777" w:rsidR="008A1FBC" w:rsidRDefault="008A1FBC" w:rsidP="007B7D7B">
      <w:pPr>
        <w:spacing w:line="360" w:lineRule="auto"/>
        <w:rPr>
          <w:rFonts w:ascii="Arial" w:hAnsi="Arial" w:cs="Arial"/>
          <w:sz w:val="22"/>
          <w:szCs w:val="22"/>
        </w:rPr>
      </w:pPr>
    </w:p>
    <w:p w14:paraId="3CEA4AAC" w14:textId="77777777" w:rsidR="008A1FBC" w:rsidRDefault="008A1FBC" w:rsidP="007B7D7B">
      <w:pPr>
        <w:spacing w:line="360" w:lineRule="auto"/>
        <w:rPr>
          <w:rFonts w:ascii="Arial" w:hAnsi="Arial" w:cs="Arial"/>
          <w:sz w:val="22"/>
          <w:szCs w:val="22"/>
        </w:rPr>
      </w:pPr>
    </w:p>
    <w:p w14:paraId="033F8C4B" w14:textId="77777777" w:rsidR="008A1FBC" w:rsidRDefault="008A1FBC" w:rsidP="007B7D7B">
      <w:pPr>
        <w:spacing w:line="360" w:lineRule="auto"/>
        <w:rPr>
          <w:rFonts w:ascii="Arial" w:hAnsi="Arial" w:cs="Arial"/>
          <w:sz w:val="22"/>
          <w:szCs w:val="22"/>
        </w:rPr>
      </w:pPr>
    </w:p>
    <w:p w14:paraId="37F5CAA0" w14:textId="77777777" w:rsidR="008A1FBC" w:rsidRPr="007B7D7B" w:rsidRDefault="008A1FBC" w:rsidP="007B7D7B">
      <w:pPr>
        <w:spacing w:line="360" w:lineRule="auto"/>
        <w:rPr>
          <w:rFonts w:ascii="Arial" w:hAnsi="Arial" w:cs="Arial"/>
          <w:sz w:val="22"/>
          <w:szCs w:val="22"/>
        </w:rPr>
      </w:pPr>
    </w:p>
    <w:p w14:paraId="70932E41" w14:textId="77777777" w:rsidR="001D0E72" w:rsidRPr="007B7D7B" w:rsidRDefault="001D0E72" w:rsidP="007B7D7B">
      <w:pPr>
        <w:spacing w:line="360" w:lineRule="auto"/>
        <w:rPr>
          <w:rFonts w:ascii="Arial" w:hAnsi="Arial" w:cs="Arial"/>
          <w:sz w:val="22"/>
          <w:szCs w:val="22"/>
        </w:rPr>
      </w:pPr>
    </w:p>
    <w:p w14:paraId="78274410" w14:textId="77777777" w:rsidR="008D5747" w:rsidRPr="007B7D7B" w:rsidRDefault="008D5747" w:rsidP="007B7D7B">
      <w:pPr>
        <w:spacing w:line="360" w:lineRule="auto"/>
        <w:rPr>
          <w:rFonts w:ascii="Arial" w:hAnsi="Arial" w:cs="Arial"/>
          <w:sz w:val="22"/>
          <w:szCs w:val="22"/>
        </w:rPr>
      </w:pPr>
    </w:p>
    <w:p w14:paraId="156B1765" w14:textId="77777777" w:rsidR="008D5747" w:rsidRPr="007B7D7B" w:rsidRDefault="008D5747" w:rsidP="007B7D7B">
      <w:pPr>
        <w:spacing w:line="360" w:lineRule="auto"/>
        <w:rPr>
          <w:rFonts w:ascii="Arial" w:hAnsi="Arial" w:cs="Arial"/>
          <w:sz w:val="22"/>
          <w:szCs w:val="22"/>
        </w:rPr>
      </w:pPr>
    </w:p>
    <w:p w14:paraId="064D1AEA" w14:textId="77777777" w:rsidR="008D5747" w:rsidRPr="007B7D7B" w:rsidRDefault="008D5747" w:rsidP="007B7D7B">
      <w:pPr>
        <w:spacing w:line="360" w:lineRule="auto"/>
        <w:rPr>
          <w:rFonts w:ascii="Arial" w:hAnsi="Arial" w:cs="Arial"/>
          <w:sz w:val="22"/>
          <w:szCs w:val="22"/>
        </w:rPr>
      </w:pPr>
    </w:p>
    <w:sectPr w:rsidR="008D5747" w:rsidRPr="007B7D7B">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809B4" w14:textId="77777777" w:rsidR="00E60DE4" w:rsidRDefault="00E60DE4" w:rsidP="00646FB4">
      <w:pPr>
        <w:spacing w:after="0" w:line="240" w:lineRule="auto"/>
      </w:pPr>
      <w:r>
        <w:separator/>
      </w:r>
    </w:p>
  </w:endnote>
  <w:endnote w:type="continuationSeparator" w:id="0">
    <w:p w14:paraId="5DC975F7" w14:textId="77777777" w:rsidR="00E60DE4" w:rsidRDefault="00E60DE4" w:rsidP="0064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9348912"/>
      <w:docPartObj>
        <w:docPartGallery w:val="Page Numbers (Bottom of Page)"/>
        <w:docPartUnique/>
      </w:docPartObj>
    </w:sdtPr>
    <w:sdtEndPr>
      <w:rPr>
        <w:rStyle w:val="PageNumber"/>
      </w:rPr>
    </w:sdtEndPr>
    <w:sdtContent>
      <w:p w14:paraId="590E04CC" w14:textId="2CBCFFBA" w:rsidR="00646FB4" w:rsidRDefault="00646FB4" w:rsidP="00473A5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6E258" w14:textId="77777777" w:rsidR="00646FB4" w:rsidRDefault="00646F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9565183"/>
      <w:docPartObj>
        <w:docPartGallery w:val="Page Numbers (Bottom of Page)"/>
        <w:docPartUnique/>
      </w:docPartObj>
    </w:sdtPr>
    <w:sdtEndPr>
      <w:rPr>
        <w:rStyle w:val="PageNumber"/>
      </w:rPr>
    </w:sdtEndPr>
    <w:sdtContent>
      <w:p w14:paraId="543ADCDF" w14:textId="3476FB60" w:rsidR="00646FB4" w:rsidRDefault="00646FB4" w:rsidP="00473A5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EBBC0D0" w14:textId="77777777" w:rsidR="00646FB4" w:rsidRDefault="00646F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F222" w14:textId="77777777" w:rsidR="00646FB4" w:rsidRDefault="00646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912AA" w14:textId="77777777" w:rsidR="00E60DE4" w:rsidRDefault="00E60DE4" w:rsidP="00646FB4">
      <w:pPr>
        <w:spacing w:after="0" w:line="240" w:lineRule="auto"/>
      </w:pPr>
      <w:r>
        <w:separator/>
      </w:r>
    </w:p>
  </w:footnote>
  <w:footnote w:type="continuationSeparator" w:id="0">
    <w:p w14:paraId="7F982421" w14:textId="77777777" w:rsidR="00E60DE4" w:rsidRDefault="00E60DE4" w:rsidP="00646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4C42B" w14:textId="77777777" w:rsidR="00646FB4" w:rsidRDefault="00646F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C508C" w14:textId="77777777" w:rsidR="00646FB4" w:rsidRDefault="00646F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FF747" w14:textId="77777777" w:rsidR="00646FB4" w:rsidRDefault="00646F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BD255A"/>
    <w:multiLevelType w:val="hybridMultilevel"/>
    <w:tmpl w:val="CA9EB88E"/>
    <w:lvl w:ilvl="0" w:tplc="FFFFFFFF">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2167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747"/>
    <w:rsid w:val="00002A40"/>
    <w:rsid w:val="00002B42"/>
    <w:rsid w:val="00022D2E"/>
    <w:rsid w:val="00022DD5"/>
    <w:rsid w:val="00025A80"/>
    <w:rsid w:val="0002697B"/>
    <w:rsid w:val="000429E8"/>
    <w:rsid w:val="0007722E"/>
    <w:rsid w:val="00080B4B"/>
    <w:rsid w:val="00086B5E"/>
    <w:rsid w:val="000A33E8"/>
    <w:rsid w:val="000D0A2C"/>
    <w:rsid w:val="000D0DE6"/>
    <w:rsid w:val="00171677"/>
    <w:rsid w:val="00171992"/>
    <w:rsid w:val="001775C2"/>
    <w:rsid w:val="001C6D6F"/>
    <w:rsid w:val="001D0E72"/>
    <w:rsid w:val="001D73AF"/>
    <w:rsid w:val="00203D72"/>
    <w:rsid w:val="00210F62"/>
    <w:rsid w:val="002906FF"/>
    <w:rsid w:val="003232B1"/>
    <w:rsid w:val="00357646"/>
    <w:rsid w:val="003745CA"/>
    <w:rsid w:val="003F449B"/>
    <w:rsid w:val="00437DCA"/>
    <w:rsid w:val="00441AA6"/>
    <w:rsid w:val="004556F1"/>
    <w:rsid w:val="00467675"/>
    <w:rsid w:val="00484AF5"/>
    <w:rsid w:val="004973F5"/>
    <w:rsid w:val="004C5E86"/>
    <w:rsid w:val="004D1310"/>
    <w:rsid w:val="004E47FA"/>
    <w:rsid w:val="004F5B9A"/>
    <w:rsid w:val="00540677"/>
    <w:rsid w:val="00557BC7"/>
    <w:rsid w:val="005B4D31"/>
    <w:rsid w:val="005C7288"/>
    <w:rsid w:val="00601BAB"/>
    <w:rsid w:val="00646FB4"/>
    <w:rsid w:val="006A256A"/>
    <w:rsid w:val="006C29CD"/>
    <w:rsid w:val="006E397F"/>
    <w:rsid w:val="006E7795"/>
    <w:rsid w:val="0074088F"/>
    <w:rsid w:val="00756C90"/>
    <w:rsid w:val="0078225A"/>
    <w:rsid w:val="00783CFF"/>
    <w:rsid w:val="00787C2C"/>
    <w:rsid w:val="007B7D7B"/>
    <w:rsid w:val="008276E1"/>
    <w:rsid w:val="00843272"/>
    <w:rsid w:val="00855695"/>
    <w:rsid w:val="00860D55"/>
    <w:rsid w:val="00891AB8"/>
    <w:rsid w:val="00897AF4"/>
    <w:rsid w:val="008A1FBC"/>
    <w:rsid w:val="008B1BD7"/>
    <w:rsid w:val="008B70FF"/>
    <w:rsid w:val="008D5747"/>
    <w:rsid w:val="009037DF"/>
    <w:rsid w:val="0091718D"/>
    <w:rsid w:val="009714F1"/>
    <w:rsid w:val="00973A69"/>
    <w:rsid w:val="00973C3B"/>
    <w:rsid w:val="009A12E6"/>
    <w:rsid w:val="009A6445"/>
    <w:rsid w:val="00A01002"/>
    <w:rsid w:val="00A32CBA"/>
    <w:rsid w:val="00A3772C"/>
    <w:rsid w:val="00A408AE"/>
    <w:rsid w:val="00A4366D"/>
    <w:rsid w:val="00A43832"/>
    <w:rsid w:val="00A67C72"/>
    <w:rsid w:val="00AA0417"/>
    <w:rsid w:val="00AA3250"/>
    <w:rsid w:val="00AD0E9E"/>
    <w:rsid w:val="00AE1BEA"/>
    <w:rsid w:val="00AE3183"/>
    <w:rsid w:val="00B818FB"/>
    <w:rsid w:val="00B91294"/>
    <w:rsid w:val="00BA356A"/>
    <w:rsid w:val="00BF0B60"/>
    <w:rsid w:val="00C0399E"/>
    <w:rsid w:val="00C278D5"/>
    <w:rsid w:val="00C374E6"/>
    <w:rsid w:val="00C43E61"/>
    <w:rsid w:val="00C52F9D"/>
    <w:rsid w:val="00C54513"/>
    <w:rsid w:val="00C66BF4"/>
    <w:rsid w:val="00C7572D"/>
    <w:rsid w:val="00CD50DC"/>
    <w:rsid w:val="00CD7B45"/>
    <w:rsid w:val="00D16439"/>
    <w:rsid w:val="00D55707"/>
    <w:rsid w:val="00D80F7D"/>
    <w:rsid w:val="00D9784E"/>
    <w:rsid w:val="00DA0626"/>
    <w:rsid w:val="00DE5F6A"/>
    <w:rsid w:val="00E02AFD"/>
    <w:rsid w:val="00E120BA"/>
    <w:rsid w:val="00E142EA"/>
    <w:rsid w:val="00E60DE4"/>
    <w:rsid w:val="00E72310"/>
    <w:rsid w:val="00E95053"/>
    <w:rsid w:val="00EB2C74"/>
    <w:rsid w:val="00EC47F6"/>
    <w:rsid w:val="00EE4F02"/>
    <w:rsid w:val="00F10295"/>
    <w:rsid w:val="00F3380F"/>
    <w:rsid w:val="00F813B6"/>
    <w:rsid w:val="00F83868"/>
    <w:rsid w:val="00FA0716"/>
    <w:rsid w:val="00FB46C4"/>
    <w:rsid w:val="00FC6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F50869"/>
  <w15:chartTrackingRefBased/>
  <w15:docId w15:val="{E98A7516-32D6-564D-B257-BFF42015D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7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7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7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7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7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7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7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7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7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7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7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7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7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7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7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7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7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747"/>
    <w:rPr>
      <w:rFonts w:eastAsiaTheme="majorEastAsia" w:cstheme="majorBidi"/>
      <w:color w:val="272727" w:themeColor="text1" w:themeTint="D8"/>
    </w:rPr>
  </w:style>
  <w:style w:type="paragraph" w:styleId="Title">
    <w:name w:val="Title"/>
    <w:basedOn w:val="Normal"/>
    <w:next w:val="Normal"/>
    <w:link w:val="TitleChar"/>
    <w:uiPriority w:val="10"/>
    <w:qFormat/>
    <w:rsid w:val="008D57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7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7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7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747"/>
    <w:pPr>
      <w:spacing w:before="160"/>
      <w:jc w:val="center"/>
    </w:pPr>
    <w:rPr>
      <w:i/>
      <w:iCs/>
      <w:color w:val="404040" w:themeColor="text1" w:themeTint="BF"/>
    </w:rPr>
  </w:style>
  <w:style w:type="character" w:customStyle="1" w:styleId="QuoteChar">
    <w:name w:val="Quote Char"/>
    <w:basedOn w:val="DefaultParagraphFont"/>
    <w:link w:val="Quote"/>
    <w:uiPriority w:val="29"/>
    <w:rsid w:val="008D5747"/>
    <w:rPr>
      <w:i/>
      <w:iCs/>
      <w:color w:val="404040" w:themeColor="text1" w:themeTint="BF"/>
    </w:rPr>
  </w:style>
  <w:style w:type="paragraph" w:styleId="ListParagraph">
    <w:name w:val="List Paragraph"/>
    <w:basedOn w:val="Normal"/>
    <w:uiPriority w:val="34"/>
    <w:qFormat/>
    <w:rsid w:val="008D5747"/>
    <w:pPr>
      <w:ind w:left="720"/>
      <w:contextualSpacing/>
    </w:pPr>
  </w:style>
  <w:style w:type="character" w:styleId="IntenseEmphasis">
    <w:name w:val="Intense Emphasis"/>
    <w:basedOn w:val="DefaultParagraphFont"/>
    <w:uiPriority w:val="21"/>
    <w:qFormat/>
    <w:rsid w:val="008D5747"/>
    <w:rPr>
      <w:i/>
      <w:iCs/>
      <w:color w:val="0F4761" w:themeColor="accent1" w:themeShade="BF"/>
    </w:rPr>
  </w:style>
  <w:style w:type="paragraph" w:styleId="IntenseQuote">
    <w:name w:val="Intense Quote"/>
    <w:basedOn w:val="Normal"/>
    <w:next w:val="Normal"/>
    <w:link w:val="IntenseQuoteChar"/>
    <w:uiPriority w:val="30"/>
    <w:qFormat/>
    <w:rsid w:val="008D57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747"/>
    <w:rPr>
      <w:i/>
      <w:iCs/>
      <w:color w:val="0F4761" w:themeColor="accent1" w:themeShade="BF"/>
    </w:rPr>
  </w:style>
  <w:style w:type="character" w:styleId="IntenseReference">
    <w:name w:val="Intense Reference"/>
    <w:basedOn w:val="DefaultParagraphFont"/>
    <w:uiPriority w:val="32"/>
    <w:qFormat/>
    <w:rsid w:val="008D5747"/>
    <w:rPr>
      <w:b/>
      <w:bCs/>
      <w:smallCaps/>
      <w:color w:val="0F4761" w:themeColor="accent1" w:themeShade="BF"/>
      <w:spacing w:val="5"/>
    </w:rPr>
  </w:style>
  <w:style w:type="paragraph" w:styleId="Header">
    <w:name w:val="header"/>
    <w:basedOn w:val="Normal"/>
    <w:link w:val="HeaderChar"/>
    <w:uiPriority w:val="99"/>
    <w:unhideWhenUsed/>
    <w:rsid w:val="0064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FB4"/>
  </w:style>
  <w:style w:type="paragraph" w:styleId="Footer">
    <w:name w:val="footer"/>
    <w:basedOn w:val="Normal"/>
    <w:link w:val="FooterChar"/>
    <w:uiPriority w:val="99"/>
    <w:unhideWhenUsed/>
    <w:rsid w:val="0064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FB4"/>
  </w:style>
  <w:style w:type="character" w:styleId="PageNumber">
    <w:name w:val="page number"/>
    <w:basedOn w:val="DefaultParagraphFont"/>
    <w:uiPriority w:val="99"/>
    <w:semiHidden/>
    <w:unhideWhenUsed/>
    <w:rsid w:val="00646FB4"/>
  </w:style>
  <w:style w:type="character" w:styleId="Hyperlink">
    <w:name w:val="Hyperlink"/>
    <w:basedOn w:val="DefaultParagraphFont"/>
    <w:uiPriority w:val="99"/>
    <w:unhideWhenUsed/>
    <w:rsid w:val="00C66BF4"/>
    <w:rPr>
      <w:color w:val="467886" w:themeColor="hyperlink"/>
      <w:u w:val="single"/>
    </w:rPr>
  </w:style>
  <w:style w:type="character" w:styleId="Strong">
    <w:name w:val="Strong"/>
    <w:basedOn w:val="DefaultParagraphFont"/>
    <w:uiPriority w:val="22"/>
    <w:qFormat/>
    <w:rsid w:val="00BA356A"/>
    <w:rPr>
      <w:b/>
      <w:bCs/>
    </w:rPr>
  </w:style>
  <w:style w:type="character" w:styleId="Emphasis">
    <w:name w:val="Emphasis"/>
    <w:basedOn w:val="DefaultParagraphFont"/>
    <w:uiPriority w:val="20"/>
    <w:qFormat/>
    <w:rsid w:val="00BA356A"/>
    <w:rPr>
      <w:i/>
      <w:iCs/>
    </w:rPr>
  </w:style>
  <w:style w:type="character" w:styleId="UnresolvedMention">
    <w:name w:val="Unresolved Mention"/>
    <w:basedOn w:val="DefaultParagraphFont"/>
    <w:uiPriority w:val="99"/>
    <w:semiHidden/>
    <w:unhideWhenUsed/>
    <w:rsid w:val="000D0A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ocp0000056" TargetMode="External" /><Relationship Id="rId13" Type="http://schemas.openxmlformats.org/officeDocument/2006/relationships/hyperlink" Target="https://eprints.bbk.ac.uk/id/eprint/24540/" TargetMode="External" /><Relationship Id="rId18" Type="http://schemas.openxmlformats.org/officeDocument/2006/relationships/hyperlink" Target="https://pubmed.ncbi.nlm.nih.gov/30326495/" TargetMode="External" /><Relationship Id="rId26" Type="http://schemas.openxmlformats.org/officeDocument/2006/relationships/image" Target="media/image2.jpeg" /><Relationship Id="rId3" Type="http://schemas.openxmlformats.org/officeDocument/2006/relationships/settings" Target="settings.xml" /><Relationship Id="rId21" Type="http://schemas.openxmlformats.org/officeDocument/2006/relationships/hyperlink" Target="https://doi.org/10.1177/2048872620922795" TargetMode="External" /><Relationship Id="rId34" Type="http://schemas.openxmlformats.org/officeDocument/2006/relationships/footer" Target="footer3.xml" /><Relationship Id="rId7" Type="http://schemas.openxmlformats.org/officeDocument/2006/relationships/hyperlink" Target="https://doi.org/10.5539/jel.v10n3p107" TargetMode="External" /><Relationship Id="rId12" Type="http://schemas.openxmlformats.org/officeDocument/2006/relationships/hyperlink" Target="https://doi.org/10.1371/journal.pone.0159015" TargetMode="External" /><Relationship Id="rId17" Type="http://schemas.openxmlformats.org/officeDocument/2006/relationships/hyperlink" Target="https://doi.org/10.3390/ijerph19084646" TargetMode="External" /><Relationship Id="rId25" Type="http://schemas.openxmlformats.org/officeDocument/2006/relationships/image" Target="media/image1.jpeg" /><Relationship Id="rId33" Type="http://schemas.openxmlformats.org/officeDocument/2006/relationships/header" Target="header3.xml" /><Relationship Id="rId2" Type="http://schemas.openxmlformats.org/officeDocument/2006/relationships/styles" Target="styles.xml" /><Relationship Id="rId16" Type="http://schemas.openxmlformats.org/officeDocument/2006/relationships/hyperlink" Target="https://doi.org/10.1016/j.bbi.2020.05.026" TargetMode="External" /><Relationship Id="rId20" Type="http://schemas.openxmlformats.org/officeDocument/2006/relationships/hyperlink" Target="https://www.kingsfund.org.uk/insight-and-analysis/long-reads/burnout-belief-reforming-the-nhs" TargetMode="External" /><Relationship Id="rId29" Type="http://schemas.openxmlformats.org/officeDocument/2006/relationships/header" Target="head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07/s11606-019-05376-x" TargetMode="External" /><Relationship Id="rId24" Type="http://schemas.openxmlformats.org/officeDocument/2006/relationships/hyperlink" Target="https://www.who.int/news-room/fact-sheets/detail/mental-health-at-work" TargetMode="External" /><Relationship Id="rId32"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hyperlink" Target="https://www.nhsemployers.org" TargetMode="External" /><Relationship Id="rId23" Type="http://schemas.openxmlformats.org/officeDocument/2006/relationships/hyperlink" Target="https://www.who.int/news/item/28-05-2019-burn-out-an-occupational-phenomenon-international-classification-of-diseases" TargetMode="External" /><Relationship Id="rId28" Type="http://schemas.openxmlformats.org/officeDocument/2006/relationships/image" Target="media/image4.jpeg" /><Relationship Id="rId36" Type="http://schemas.openxmlformats.org/officeDocument/2006/relationships/theme" Target="theme/theme1.xml" /><Relationship Id="rId10" Type="http://schemas.openxmlformats.org/officeDocument/2006/relationships/hyperlink" Target="https://doi.org/10.1016/j.cptl.2018.03.019" TargetMode="External" /><Relationship Id="rId19" Type="http://schemas.openxmlformats.org/officeDocument/2006/relationships/hyperlink" Target="https://doi.org/10.1016/j.mayocp.2016.10.004"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doi.org/10.1080/2159676X.2019.1628806" TargetMode="External" /><Relationship Id="rId14" Type="http://schemas.openxmlformats.org/officeDocument/2006/relationships/hyperlink" Target="https://doi.org/10.34197/ats-scholar.2024-0153PS" TargetMode="External" /><Relationship Id="rId22" Type="http://schemas.openxmlformats.org/officeDocument/2006/relationships/hyperlink" Target="https://pubmed.ncbi.nlm.nih.gov/29505159/" TargetMode="External" /><Relationship Id="rId27" Type="http://schemas.openxmlformats.org/officeDocument/2006/relationships/image" Target="media/image3.jpeg" /><Relationship Id="rId30" Type="http://schemas.openxmlformats.org/officeDocument/2006/relationships/header" Target="header2.xm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8101</Words>
  <Characters>46176</Characters>
  <Application>Microsoft Office Word</Application>
  <DocSecurity>0</DocSecurity>
  <Lines>384</Lines>
  <Paragraphs>108</Paragraphs>
  <ScaleCrop>false</ScaleCrop>
  <Company/>
  <LinksUpToDate>false</LinksUpToDate>
  <CharactersWithSpaces>54169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3</cp:revision>
  <dcterms:created xsi:type="dcterms:W3CDTF">2026-03-15T20:39:00Z</dcterms:created>
  <dcterms:modified xsi:type="dcterms:W3CDTF">2026-03-15T20:41:00Z</dcterms:modified>
</cp:coreProperties>
</file>