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803A4">
      <w:pPr>
        <w:widowControl/>
        <w:autoSpaceDE/>
        <w:autoSpaceDN/>
        <w:spacing w:line="276" w:lineRule="auto"/>
        <w:jc w:val="center"/>
        <w:rPr>
          <w:b/>
        </w:rPr>
      </w:pPr>
      <w:r>
        <w:drawing>
          <wp:inline distT="0" distB="0" distL="0" distR="0">
            <wp:extent cx="2889885" cy="1206500"/>
            <wp:effectExtent l="0" t="0" r="5715" b="0"/>
            <wp:docPr id="1521621837"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21837"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906321" cy="1213822"/>
                    </a:xfrm>
                    <a:prstGeom prst="rect">
                      <a:avLst/>
                    </a:prstGeom>
                    <a:noFill/>
                    <a:ln>
                      <a:noFill/>
                    </a:ln>
                  </pic:spPr>
                </pic:pic>
              </a:graphicData>
            </a:graphic>
          </wp:inline>
        </w:drawing>
      </w:r>
    </w:p>
    <w:p w14:paraId="2090561F">
      <w:pPr>
        <w:pStyle w:val="20"/>
        <w:spacing w:line="480" w:lineRule="auto"/>
        <w:jc w:val="center"/>
        <w:rPr>
          <w:b/>
          <w:bCs/>
          <w:sz w:val="32"/>
          <w:szCs w:val="32"/>
        </w:rPr>
      </w:pPr>
      <w:r>
        <w:rPr>
          <w:b/>
          <w:bCs/>
          <w:sz w:val="32"/>
          <w:szCs w:val="32"/>
        </w:rPr>
        <w:t>Programme: MSc Public Health and Social Care in Practice</w:t>
      </w:r>
    </w:p>
    <w:p w14:paraId="4E74610A">
      <w:pPr>
        <w:pStyle w:val="20"/>
        <w:spacing w:line="480" w:lineRule="auto"/>
        <w:jc w:val="center"/>
        <w:rPr>
          <w:b/>
          <w:bCs/>
          <w:sz w:val="32"/>
          <w:szCs w:val="32"/>
        </w:rPr>
      </w:pPr>
      <w:r>
        <w:rPr>
          <w:b/>
          <w:bCs/>
          <w:sz w:val="32"/>
          <w:szCs w:val="32"/>
        </w:rPr>
        <w:t>Module: Social Epidemiology and Public Health Development</w:t>
      </w:r>
    </w:p>
    <w:p w14:paraId="14B38355">
      <w:pPr>
        <w:pStyle w:val="20"/>
        <w:spacing w:line="480" w:lineRule="auto"/>
        <w:jc w:val="center"/>
        <w:rPr>
          <w:rStyle w:val="21"/>
          <w:rFonts w:eastAsiaTheme="majorEastAsia"/>
          <w:sz w:val="32"/>
          <w:szCs w:val="32"/>
        </w:rPr>
      </w:pPr>
      <w:r>
        <w:rPr>
          <w:b/>
          <w:bCs/>
          <w:sz w:val="32"/>
          <w:szCs w:val="32"/>
        </w:rPr>
        <w:t>Module code: LCHS7000</w:t>
      </w:r>
      <w:r>
        <w:rPr>
          <w:sz w:val="32"/>
          <w:szCs w:val="32"/>
        </w:rPr>
        <w:br w:type="textWrapping"/>
      </w:r>
      <w:r>
        <w:rPr>
          <w:rStyle w:val="21"/>
          <w:rFonts w:eastAsiaTheme="majorEastAsia"/>
          <w:sz w:val="32"/>
          <w:szCs w:val="32"/>
        </w:rPr>
        <w:t xml:space="preserve">Student name - Shruti Patel </w:t>
      </w:r>
    </w:p>
    <w:p w14:paraId="178B8B13">
      <w:pPr>
        <w:pStyle w:val="20"/>
        <w:spacing w:line="480" w:lineRule="auto"/>
        <w:jc w:val="center"/>
        <w:rPr>
          <w:rStyle w:val="21"/>
          <w:rFonts w:eastAsiaTheme="majorEastAsia"/>
          <w:sz w:val="32"/>
          <w:szCs w:val="32"/>
        </w:rPr>
      </w:pPr>
      <w:r>
        <w:rPr>
          <w:rStyle w:val="21"/>
          <w:rFonts w:eastAsiaTheme="majorEastAsia"/>
          <w:sz w:val="32"/>
          <w:szCs w:val="32"/>
        </w:rPr>
        <w:t>Student I'd – 2436893</w:t>
      </w:r>
    </w:p>
    <w:p w14:paraId="637EF6B2">
      <w:pPr>
        <w:pStyle w:val="20"/>
        <w:spacing w:line="480" w:lineRule="auto"/>
        <w:jc w:val="center"/>
        <w:rPr>
          <w:rStyle w:val="21"/>
          <w:rFonts w:eastAsiaTheme="majorEastAsia"/>
          <w:sz w:val="32"/>
          <w:szCs w:val="32"/>
        </w:rPr>
      </w:pPr>
      <w:r>
        <w:rPr>
          <w:rStyle w:val="21"/>
          <w:rFonts w:eastAsiaTheme="majorEastAsia"/>
          <w:sz w:val="32"/>
          <w:szCs w:val="32"/>
        </w:rPr>
        <w:t>Professor name -</w:t>
      </w:r>
      <w:r>
        <w:rPr>
          <w:rStyle w:val="21"/>
          <w:rFonts w:hint="default" w:eastAsiaTheme="majorEastAsia"/>
          <w:sz w:val="32"/>
          <w:szCs w:val="32"/>
          <w:lang w:val="en-US"/>
        </w:rPr>
        <w:t xml:space="preserve"> </w:t>
      </w:r>
      <w:r>
        <w:rPr>
          <w:rStyle w:val="21"/>
          <w:rFonts w:hint="default" w:eastAsiaTheme="majorEastAsia"/>
          <w:sz w:val="32"/>
          <w:szCs w:val="32"/>
        </w:rPr>
        <w:t>Jolly Nwankwo</w:t>
      </w:r>
    </w:p>
    <w:p w14:paraId="188CCF0A">
      <w:pPr>
        <w:tabs>
          <w:tab w:val="left" w:pos="2700"/>
        </w:tabs>
      </w:pPr>
    </w:p>
    <w:p w14:paraId="60D31364">
      <w:pPr>
        <w:tabs>
          <w:tab w:val="left" w:pos="2700"/>
        </w:tabs>
      </w:pPr>
    </w:p>
    <w:p w14:paraId="3E7C5CF5">
      <w:pPr>
        <w:tabs>
          <w:tab w:val="left" w:pos="2700"/>
        </w:tabs>
        <w:spacing w:line="360" w:lineRule="auto"/>
        <w:jc w:val="center"/>
        <w:rPr>
          <w:rFonts w:ascii="Times New Roman" w:hAnsi="Times New Roman" w:cs="Times New Roman"/>
          <w:b/>
          <w:bCs/>
          <w:sz w:val="28"/>
          <w:szCs w:val="28"/>
        </w:rPr>
        <w:sectPr>
          <w:pgSz w:w="11910" w:h="16840"/>
          <w:pgMar w:top="1460" w:right="708" w:bottom="280" w:left="1275" w:header="708" w:footer="0" w:gutter="0"/>
          <w:pgBorders w:offsetFrom="page">
            <w:top w:val="single" w:color="auto" w:sz="4" w:space="24"/>
            <w:left w:val="single" w:color="auto" w:sz="4" w:space="24"/>
            <w:bottom w:val="single" w:color="auto" w:sz="4" w:space="24"/>
            <w:right w:val="single" w:color="auto" w:sz="4" w:space="24"/>
          </w:pgBorders>
          <w:pgNumType w:start="1"/>
          <w:cols w:space="720" w:num="1"/>
        </w:sectPr>
      </w:pPr>
      <w:r>
        <w:rPr>
          <w:rFonts w:ascii="Times New Roman" w:hAnsi="Times New Roman" w:cs="Times New Roman"/>
          <w:b/>
          <w:bCs/>
          <w:sz w:val="28"/>
          <w:szCs w:val="28"/>
        </w:rPr>
        <w:t>An Analysis of Gender Health Inequality and the Epidemiology of Type 2 Diabetes in the UK: A Social Epidemiological Perspective</w:t>
      </w:r>
    </w:p>
    <w:sdt>
      <w:sdtPr>
        <w:rPr>
          <w:rFonts w:ascii="Arial" w:hAnsi="Arial" w:eastAsia="Arial" w:cs="Arial"/>
          <w:color w:val="auto"/>
          <w:sz w:val="22"/>
          <w:szCs w:val="22"/>
          <w:lang w:val="en-IN" w:eastAsia="en-IN"/>
        </w:rPr>
        <w:id w:val="1539317059"/>
        <w:docPartObj>
          <w:docPartGallery w:val="Table of Contents"/>
          <w:docPartUnique/>
        </w:docPartObj>
      </w:sdtPr>
      <w:sdtEndPr>
        <w:rPr>
          <w:rFonts w:ascii="Calibri" w:hAnsi="Calibri" w:eastAsia="Calibri" w:cs="Calibri"/>
          <w:b/>
          <w:bCs/>
          <w:color w:val="auto"/>
          <w:sz w:val="22"/>
          <w:szCs w:val="22"/>
          <w:lang w:val="en-US" w:eastAsia="en-US"/>
        </w:rPr>
      </w:sdtEndPr>
      <w:sdtContent>
        <w:p w14:paraId="0E9CBCFB">
          <w:pPr>
            <w:pStyle w:val="48"/>
            <w:spacing w:before="0" w:line="360" w:lineRule="auto"/>
            <w:jc w:val="center"/>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Table of Contents</w:t>
          </w:r>
          <w:r>
            <w:rPr>
              <w:rFonts w:ascii="Times New Roman" w:hAnsi="Times New Roman" w:cs="Times New Roman"/>
              <w:color w:val="000000" w:themeColor="text1"/>
              <w:sz w:val="28"/>
              <w:szCs w:val="28"/>
              <w14:textFill>
                <w14:solidFill>
                  <w14:schemeClr w14:val="tx1"/>
                </w14:solidFill>
              </w14:textFill>
            </w:rPr>
            <w:fldChar w:fldCharType="begin"/>
          </w:r>
          <w:r>
            <w:rPr>
              <w:rFonts w:ascii="Times New Roman" w:hAnsi="Times New Roman" w:cs="Times New Roman"/>
              <w:color w:val="000000" w:themeColor="text1"/>
              <w:sz w:val="28"/>
              <w:szCs w:val="28"/>
              <w14:textFill>
                <w14:solidFill>
                  <w14:schemeClr w14:val="tx1"/>
                </w14:solidFill>
              </w14:textFill>
            </w:rPr>
            <w:instrText xml:space="preserve"> TOC \o "1-3" \h \z \u </w:instrText>
          </w:r>
          <w:r>
            <w:rPr>
              <w:rFonts w:ascii="Times New Roman" w:hAnsi="Times New Roman" w:cs="Times New Roman"/>
              <w:color w:val="000000" w:themeColor="text1"/>
              <w:sz w:val="28"/>
              <w:szCs w:val="28"/>
              <w14:textFill>
                <w14:solidFill>
                  <w14:schemeClr w14:val="tx1"/>
                </w14:solidFill>
              </w14:textFill>
            </w:rPr>
            <w:fldChar w:fldCharType="separate"/>
          </w:r>
          <w:r>
            <w:fldChar w:fldCharType="begin"/>
          </w:r>
          <w:r>
            <w:instrText xml:space="preserve"> HYPERLINK \l "_Toc126596693" </w:instrText>
          </w:r>
          <w:r>
            <w:fldChar w:fldCharType="separate"/>
          </w:r>
          <w:r>
            <w:fldChar w:fldCharType="end"/>
          </w:r>
        </w:p>
        <w:p w14:paraId="2E0AA341">
          <w:pPr>
            <w:pStyle w:val="25"/>
            <w:tabs>
              <w:tab w:val="right" w:leader="dot" w:pos="9019"/>
            </w:tabs>
            <w:spacing w:after="0" w:line="480"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Part 1: Social Epidemiological Analysis</w:t>
          </w:r>
          <w:r>
            <w:fldChar w:fldCharType="begin"/>
          </w:r>
          <w:r>
            <w:instrText xml:space="preserve"> HYPERLINK \l "_Toc126596702" </w:instrText>
          </w:r>
          <w:r>
            <w:fldChar w:fldCharType="separate"/>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lang w:val="en-US"/>
              <w14:textFill>
                <w14:solidFill>
                  <w14:schemeClr w14:val="tx1"/>
                </w14:solidFill>
              </w14:textFill>
            </w:rPr>
            <w:t>2</w:t>
          </w:r>
          <w:r>
            <w:rPr>
              <w:rFonts w:ascii="Times New Roman" w:hAnsi="Times New Roman" w:cs="Times New Roman"/>
              <w:color w:val="000000" w:themeColor="text1"/>
              <w:sz w:val="24"/>
              <w:szCs w:val="24"/>
              <w:lang w:val="en-US"/>
              <w14:textFill>
                <w14:solidFill>
                  <w14:schemeClr w14:val="tx1"/>
                </w14:solidFill>
              </w14:textFill>
            </w:rPr>
            <w:fldChar w:fldCharType="end"/>
          </w:r>
        </w:p>
        <w:p w14:paraId="6925C5AF">
          <w:pPr>
            <w:pStyle w:val="25"/>
            <w:tabs>
              <w:tab w:val="right" w:leader="dot" w:pos="9019"/>
            </w:tabs>
            <w:spacing w:after="0" w:line="480" w:lineRule="auto"/>
            <w:jc w:val="center"/>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sz w:val="24"/>
              <w:szCs w:val="24"/>
            </w:rPr>
            <w:t>Part 2: Epidemiological Analysis</w:t>
          </w:r>
          <w:r>
            <w:fldChar w:fldCharType="begin"/>
          </w:r>
          <w:r>
            <w:instrText xml:space="preserve"> HYPERLINK \l "_Toc126596702" </w:instrText>
          </w:r>
          <w:r>
            <w:fldChar w:fldCharType="separate"/>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lang w:val="en-US"/>
              <w14:textFill>
                <w14:solidFill>
                  <w14:schemeClr w14:val="tx1"/>
                </w14:solidFill>
              </w14:textFill>
            </w:rPr>
            <w:t>5</w:t>
          </w:r>
          <w:r>
            <w:rPr>
              <w:rFonts w:ascii="Times New Roman" w:hAnsi="Times New Roman" w:cs="Times New Roman"/>
              <w:color w:val="000000" w:themeColor="text1"/>
              <w:sz w:val="24"/>
              <w:szCs w:val="24"/>
              <w:lang w:val="en-US"/>
              <w14:textFill>
                <w14:solidFill>
                  <w14:schemeClr w14:val="tx1"/>
                </w14:solidFill>
              </w14:textFill>
            </w:rPr>
            <w:fldChar w:fldCharType="end"/>
          </w:r>
        </w:p>
        <w:p w14:paraId="15CCBA11">
          <w:pPr>
            <w:pStyle w:val="25"/>
            <w:tabs>
              <w:tab w:val="right" w:leader="dot" w:pos="9019"/>
            </w:tabs>
            <w:spacing w:after="0" w:line="480" w:lineRule="auto"/>
            <w:jc w:val="center"/>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"_Toc126596702" </w:instrText>
          </w:r>
          <w:r>
            <w:fldChar w:fldCharType="separate"/>
          </w:r>
          <w:r>
            <w:rPr>
              <w:rFonts w:ascii="Times New Roman" w:hAnsi="Times New Roman" w:cs="Times New Roman"/>
              <w:color w:val="000000" w:themeColor="text1"/>
              <w:sz w:val="24"/>
              <w:szCs w:val="24"/>
              <w:shd w:val="clear" w:color="auto" w:fill="FFFFFF"/>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lang w:val="en-US"/>
              <w14:textFill>
                <w14:solidFill>
                  <w14:schemeClr w14:val="tx1"/>
                </w14:solidFill>
              </w14:textFill>
            </w:rPr>
            <w:t>10</w:t>
          </w:r>
          <w:r>
            <w:rPr>
              <w:rFonts w:ascii="Times New Roman" w:hAnsi="Times New Roman" w:cs="Times New Roman"/>
              <w:color w:val="000000" w:themeColor="text1"/>
              <w:sz w:val="24"/>
              <w:szCs w:val="24"/>
              <w:lang w:val="en-US"/>
              <w14:textFill>
                <w14:solidFill>
                  <w14:schemeClr w14:val="tx1"/>
                </w14:solidFill>
              </w14:textFill>
            </w:rPr>
            <w:fldChar w:fldCharType="end"/>
          </w:r>
        </w:p>
        <w:p w14:paraId="76DCF5C0">
          <w:pPr>
            <w:rPr>
              <w:lang w:eastAsia="en-IN"/>
            </w:rPr>
          </w:pPr>
        </w:p>
        <w:p w14:paraId="7271F917">
          <w:pPr>
            <w:spacing w:line="360" w:lineRule="auto"/>
            <w:rPr>
              <w:b/>
              <w:bCs/>
            </w:rPr>
            <w:sectPr>
              <w:headerReference r:id="rId5" w:type="default"/>
              <w:footerReference r:id="rId6" w:type="default"/>
              <w:pgSz w:w="11910" w:h="16840"/>
              <w:pgMar w:top="1300" w:right="940" w:bottom="1460" w:left="1340" w:header="708" w:footer="1262" w:gutter="0"/>
              <w:pgBorders w:offsetFrom="page">
                <w:top w:val="single" w:color="auto" w:sz="4" w:space="24"/>
                <w:left w:val="single" w:color="auto" w:sz="4" w:space="24"/>
                <w:bottom w:val="single" w:color="auto" w:sz="4" w:space="24"/>
                <w:right w:val="single" w:color="auto" w:sz="4" w:space="24"/>
              </w:pgBorders>
              <w:pgNumType w:start="1"/>
              <w:cols w:space="720" w:num="1"/>
            </w:sectPr>
          </w:pPr>
          <w:r>
            <w:rPr>
              <w:rFonts w:ascii="Times New Roman" w:hAnsi="Times New Roman" w:cs="Times New Roman"/>
              <w:bCs/>
              <w:color w:val="000000" w:themeColor="text1"/>
              <w:sz w:val="28"/>
              <w:szCs w:val="28"/>
              <w14:textFill>
                <w14:solidFill>
                  <w14:schemeClr w14:val="tx1"/>
                </w14:solidFill>
              </w14:textFill>
            </w:rPr>
            <w:fldChar w:fldCharType="end"/>
          </w:r>
        </w:p>
      </w:sdtContent>
    </w:sdt>
    <w:p w14:paraId="0FCA69CF">
      <w:pPr>
        <w:pStyle w:val="3"/>
        <w:spacing w:before="0" w:after="0"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8"/>
          <w:szCs w:val="28"/>
        </w:rPr>
        <w:t>Part 1: Social Epidemiological Analysis</w:t>
      </w:r>
    </w:p>
    <w:p w14:paraId="1CAF54F9">
      <w:pPr>
        <w:pStyle w:val="3"/>
        <w:spacing w:before="0" w:after="0" w:line="360" w:lineRule="auto"/>
        <w:jc w:val="both"/>
        <w:rPr>
          <w:rFonts w:ascii="Times New Roman" w:hAnsi="Times New Roman" w:eastAsia="Times New Roman" w:cs="Times New Roman"/>
          <w:color w:val="auto"/>
          <w:sz w:val="24"/>
          <w:szCs w:val="24"/>
        </w:rPr>
      </w:pPr>
      <w:r>
        <w:rPr>
          <w:rStyle w:val="21"/>
          <w:rFonts w:ascii="Times New Roman" w:hAnsi="Times New Roman" w:cs="Times New Roman"/>
          <w:color w:val="auto"/>
          <w:sz w:val="24"/>
          <w:szCs w:val="24"/>
        </w:rPr>
        <w:t>Gender and Health Inequality in the UK</w:t>
      </w:r>
    </w:p>
    <w:p w14:paraId="0D5B8EFB">
      <w:pPr>
        <w:pStyle w:val="4"/>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Introduction</w:t>
      </w:r>
    </w:p>
    <w:p w14:paraId="0C88E158">
      <w:pPr>
        <w:pStyle w:val="20"/>
        <w:spacing w:before="0" w:beforeAutospacing="0" w:after="0" w:afterAutospacing="0" w:line="360" w:lineRule="auto"/>
        <w:jc w:val="both"/>
      </w:pPr>
      <w:r>
        <w:t>Gender is a significant determinant of health, influencing exposure to risk factors, access to services, and health outcomes. In the UK, health inequalities between men and women persist despite national commitments to equality (Public Health England, 2020). While women tend to live longer, they often experience higher rates of non-fatal chronic conditions and disability (ONS, 2023). Men, conversely, are more likely to die prematurely from preventable causes, including cardiovascular disease and suicide (Marmot et al., 2020). These disparities are shaped by complex interplays between biological sex differences and socially constructed gender roles. Women face particular disadvantage in areas such as mental health, reproductive care, and domestic violence, all of which are influenced by wider social, economic, and political structures (WHO, 2022). Therefore, addressing gender-based health inequalities require a thorough understanding of both medical and societal determinants.</w:t>
      </w:r>
    </w:p>
    <w:p w14:paraId="7A399C3F">
      <w:pPr>
        <w:spacing w:line="360" w:lineRule="auto"/>
        <w:jc w:val="both"/>
        <w:rPr>
          <w:rFonts w:ascii="Times New Roman" w:hAnsi="Times New Roman" w:cs="Times New Roman"/>
          <w:sz w:val="24"/>
          <w:szCs w:val="24"/>
        </w:rPr>
      </w:pPr>
    </w:p>
    <w:p w14:paraId="0F2C0E55">
      <w:pPr>
        <w:pStyle w:val="4"/>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Contextual Background and Underlying Factors</w:t>
      </w:r>
    </w:p>
    <w:p w14:paraId="282E86A8">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1. Higher Rates of Depression and Anxiety Among Women</w:t>
      </w:r>
    </w:p>
    <w:p w14:paraId="1BF0A237">
      <w:pPr>
        <w:pStyle w:val="20"/>
        <w:spacing w:before="0" w:beforeAutospacing="0" w:after="0" w:afterAutospacing="0" w:line="360" w:lineRule="auto"/>
        <w:jc w:val="both"/>
      </w:pPr>
      <w:r>
        <w:t>Women in the UK are nearly twice as likely to be diagnosed with common mental disorders such as anxiety and depression compared to men (McManus et al., 2022). This gender gap is especially pronounced among women aged 16–24, where 26.3% report symptoms of mental illness compared to 10.3% of men (NHS Digital, 2023). Societal expectations, unpaid care responsibilities, and exposure to abuse and discrimination exacerbate emotional distress. Early interventions in schools, gender-sensitive mental health services, and trauma-informed care can address these disparities (WHO, 2022).</w:t>
      </w:r>
    </w:p>
    <w:p w14:paraId="290DF14C">
      <w:pPr>
        <w:pStyle w:val="20"/>
        <w:spacing w:before="0" w:beforeAutospacing="0" w:after="0" w:afterAutospacing="0" w:line="360" w:lineRule="auto"/>
        <w:jc w:val="both"/>
      </w:pPr>
    </w:p>
    <w:p w14:paraId="798BE0E2">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2. Cardiovascular disease and Gender Bias in Diagnosis</w:t>
      </w:r>
    </w:p>
    <w:p w14:paraId="063F3431">
      <w:pPr>
        <w:pStyle w:val="20"/>
        <w:spacing w:before="0" w:beforeAutospacing="0" w:after="0" w:afterAutospacing="0" w:line="360" w:lineRule="auto"/>
        <w:jc w:val="both"/>
      </w:pPr>
      <w:r>
        <w:t>Although men have higher incidence rates of heart disease, women often experience poorer outcomes due to misdiagnosis and delayed treatment. Research shows that women’s symptoms are more likely to be attributed to anxiety, leading to critical delays in care (British Heart Foundation, 2021). A 2020 report found women in the UK were 50% more likely to receive a wrong initial diagnosis for a heart attack than men (BHF, 2021). This highlights systemic gender bias in clinical practice. Solutions include gender-specific clinical guidelines and increased awareness among healthcare professionals (Public Health England, 2020).</w:t>
      </w:r>
    </w:p>
    <w:p w14:paraId="41C1F978">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3. Maternal Health Inequalities</w:t>
      </w:r>
    </w:p>
    <w:p w14:paraId="498C36E0">
      <w:pPr>
        <w:pStyle w:val="20"/>
        <w:spacing w:before="0" w:beforeAutospacing="0" w:after="0" w:afterAutospacing="0" w:line="360" w:lineRule="auto"/>
        <w:jc w:val="both"/>
      </w:pPr>
      <w:r>
        <w:t>Maternal mortality in the UK is a key area of concern, particularly for women from ethnic minority backgrounds. Black women are four times more likely, and Asian women twice as likely, to die in childbirth compared to White women (MBRRACE-UK, 2022). Socioeconomic status, structural racism, and poor access to culturally appropriate maternity care contribute to this disparity. Enhancing midwifery diversity, investing in culturally sensitive care models, and expanding antenatal education can help bridge this gap (NHS England, 2023).</w:t>
      </w:r>
    </w:p>
    <w:p w14:paraId="14CAAD5E">
      <w:pPr>
        <w:pStyle w:val="20"/>
        <w:spacing w:before="0" w:beforeAutospacing="0" w:after="0" w:afterAutospacing="0" w:line="360" w:lineRule="auto"/>
        <w:jc w:val="both"/>
      </w:pPr>
    </w:p>
    <w:p w14:paraId="232217C1">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4. Gender-Based Violence and Health Impacts</w:t>
      </w:r>
    </w:p>
    <w:p w14:paraId="6DF5FB90">
      <w:pPr>
        <w:pStyle w:val="20"/>
        <w:spacing w:before="0" w:beforeAutospacing="0" w:after="0" w:afterAutospacing="0" w:line="360" w:lineRule="auto"/>
        <w:jc w:val="both"/>
      </w:pPr>
      <w:r>
        <w:t>1 in 4 women in the UK will experience domestic abuse in their lifetime, a major contributor to mental health issues, injuries, and chronic illness (ONS, 2023). During the COVID-19 pandemic, calls to domestic violence helplines surged by 65% (Refuge, 2021). Victims often face stigma and lack of access to specialist services. Gender-based violence is a public health emergency requiring integrated health and legal responses. Investment in safe housing, trauma counselling, and community-based advocacy is vital (SafeLives, 2022).</w:t>
      </w:r>
    </w:p>
    <w:p w14:paraId="742C35D5">
      <w:pPr>
        <w:pStyle w:val="20"/>
        <w:spacing w:before="0" w:beforeAutospacing="0" w:after="0" w:afterAutospacing="0" w:line="360" w:lineRule="auto"/>
        <w:jc w:val="both"/>
      </w:pPr>
    </w:p>
    <w:p w14:paraId="10C0A2D9">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5. Economic Inequality and Health</w:t>
      </w:r>
    </w:p>
    <w:p w14:paraId="49342916">
      <w:pPr>
        <w:pStyle w:val="20"/>
        <w:spacing w:before="0" w:beforeAutospacing="0" w:after="0" w:afterAutospacing="0" w:line="360" w:lineRule="auto"/>
        <w:jc w:val="both"/>
      </w:pPr>
      <w:r>
        <w:t>Women in the UK face a persistent gender pay gap (14.3% as of 2023), are overrepresented in low-paid sectors, and perform most of the unpaid care work (Fawcett Society, 2023). These factors increase their vulnerability to financial stress and limit access to healthcare, nutritious food, and safe housing. Poverty is a known driver of ill health. Policy solutions include equal pay legislation enforcement, universal childcare support, and improved statutory sick pay (Marmot et al., 2020).</w:t>
      </w:r>
    </w:p>
    <w:p w14:paraId="71190B0E">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6. Barriers to Reproductive and Sexual Health Services</w:t>
      </w:r>
    </w:p>
    <w:p w14:paraId="68C9FEA9">
      <w:pPr>
        <w:pStyle w:val="20"/>
        <w:spacing w:before="0" w:beforeAutospacing="0" w:after="0" w:afterAutospacing="0" w:line="360" w:lineRule="auto"/>
        <w:jc w:val="both"/>
      </w:pPr>
      <w:r>
        <w:t>Access to reproductive services remains unequal across UK regions. For example, in some local authorities, contraception services have been cut by up to 50% since 2015 due to funding pressures (Faculty of Sexual &amp; Reproductive Healthcare, 2021). This limits women’s autonomy and increases risk of unintended pregnancies and related complications. Solutions include restoring funding, expanding telemedicine services, and integrating reproductive care into primary health systems (NHS Digital, 2023).</w:t>
      </w:r>
    </w:p>
    <w:p w14:paraId="283B8CDC">
      <w:pPr>
        <w:spacing w:line="360" w:lineRule="auto"/>
        <w:jc w:val="both"/>
        <w:rPr>
          <w:rFonts w:ascii="Times New Roman" w:hAnsi="Times New Roman" w:cs="Times New Roman"/>
          <w:sz w:val="24"/>
          <w:szCs w:val="24"/>
        </w:rPr>
      </w:pPr>
    </w:p>
    <w:p w14:paraId="0F97AA3E">
      <w:pPr>
        <w:pStyle w:val="4"/>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National Responses to Gender Health Inequality</w:t>
      </w:r>
    </w:p>
    <w:p w14:paraId="486AC997">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1. The Women’s Health Strategy for England (2022–2030)</w:t>
      </w:r>
    </w:p>
    <w:p w14:paraId="43C4811E">
      <w:pPr>
        <w:pStyle w:val="20"/>
        <w:spacing w:before="0" w:beforeAutospacing="0" w:after="0" w:afterAutospacing="0" w:line="360" w:lineRule="auto"/>
        <w:jc w:val="both"/>
      </w:pPr>
      <w:r>
        <w:t>This landmark policy aims to address systemic gender health gaps. It focuses on improving data collection, closing the knowledge gap in clinical research, enhancing women's access to services, and ensuring women are listened to in health settings (DHSC, 2022). The strategy emerged from consultation with 100,000 women and prioritises issues such as menstrual health, menopause, fertility, and mental health.</w:t>
      </w:r>
    </w:p>
    <w:p w14:paraId="7AA526EB">
      <w:pPr>
        <w:pStyle w:val="20"/>
        <w:spacing w:before="0" w:beforeAutospacing="0" w:after="0" w:afterAutospacing="0" w:line="360" w:lineRule="auto"/>
        <w:jc w:val="both"/>
      </w:pPr>
    </w:p>
    <w:p w14:paraId="649A3EE0">
      <w:pPr>
        <w:pStyle w:val="5"/>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2. NHS Long Term Plan (2019)</w:t>
      </w:r>
    </w:p>
    <w:p w14:paraId="0C6B158F">
      <w:pPr>
        <w:pStyle w:val="20"/>
        <w:spacing w:before="0" w:beforeAutospacing="0" w:after="0" w:afterAutospacing="0" w:line="360" w:lineRule="auto"/>
        <w:jc w:val="both"/>
      </w:pPr>
      <w:r>
        <w:t>The NHS Long Term Plan acknowledges gendered health disparities and commits to expanding mental health support, maternity services, and domestic abuse pathways. It includes £1 billion in annual extra funding for mental health care and the rollout of specialist perinatal mental health teams across all regions (NHS England, 2019). These initiatives represent a shift towards more equitable and person-centred care.</w:t>
      </w:r>
    </w:p>
    <w:p w14:paraId="0326BDEF">
      <w:pPr>
        <w:spacing w:line="360" w:lineRule="auto"/>
        <w:jc w:val="both"/>
        <w:rPr>
          <w:rFonts w:ascii="Times New Roman" w:hAnsi="Times New Roman" w:cs="Times New Roman"/>
          <w:sz w:val="24"/>
          <w:szCs w:val="24"/>
        </w:rPr>
      </w:pPr>
    </w:p>
    <w:p w14:paraId="00512909">
      <w:pPr>
        <w:pStyle w:val="4"/>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Organisation Supporting Gender Health Equity: Women’s Aid</w:t>
      </w:r>
    </w:p>
    <w:p w14:paraId="449FDC05">
      <w:pPr>
        <w:pStyle w:val="20"/>
        <w:spacing w:before="0" w:beforeAutospacing="0" w:after="0" w:afterAutospacing="0" w:line="360" w:lineRule="auto"/>
        <w:jc w:val="both"/>
      </w:pPr>
      <w:r>
        <w:t>Women’s Aid is a UK-wide federation of organisations providing life-saving services to survivors of domestic abuse. It plays a critical role in tackling gender-related health inequalities by offering safe accommodation, counselling, legal advocacy, and awareness-raising campaigns (Women’s Aid, 2023).</w:t>
      </w:r>
    </w:p>
    <w:p w14:paraId="43C87A90">
      <w:pPr>
        <w:pStyle w:val="20"/>
        <w:spacing w:before="0" w:beforeAutospacing="0" w:after="0" w:afterAutospacing="0" w:line="360" w:lineRule="auto"/>
        <w:jc w:val="both"/>
      </w:pPr>
      <w:r>
        <w:t>The organisation’s goals include:</w:t>
      </w:r>
    </w:p>
    <w:p w14:paraId="7D12AC38">
      <w:pPr>
        <w:pStyle w:val="20"/>
        <w:numPr>
          <w:ilvl w:val="0"/>
          <w:numId w:val="1"/>
        </w:numPr>
        <w:spacing w:before="0" w:beforeAutospacing="0" w:after="0" w:afterAutospacing="0" w:line="360" w:lineRule="auto"/>
        <w:ind w:left="0"/>
        <w:jc w:val="both"/>
      </w:pPr>
      <w:r>
        <w:t>Preventing domestic abuse through education and policy reform.</w:t>
      </w:r>
    </w:p>
    <w:p w14:paraId="5065CC3D">
      <w:pPr>
        <w:pStyle w:val="20"/>
        <w:numPr>
          <w:ilvl w:val="0"/>
          <w:numId w:val="1"/>
        </w:numPr>
        <w:spacing w:before="0" w:beforeAutospacing="0" w:after="0" w:afterAutospacing="0" w:line="360" w:lineRule="auto"/>
        <w:ind w:left="0"/>
        <w:jc w:val="both"/>
      </w:pPr>
      <w:r>
        <w:t>Empowering survivors to rebuild lives free from violence.</w:t>
      </w:r>
    </w:p>
    <w:p w14:paraId="6C592F93">
      <w:pPr>
        <w:pStyle w:val="20"/>
        <w:numPr>
          <w:ilvl w:val="0"/>
          <w:numId w:val="1"/>
        </w:numPr>
        <w:spacing w:before="0" w:beforeAutospacing="0" w:after="0" w:afterAutospacing="0" w:line="360" w:lineRule="auto"/>
        <w:ind w:left="0"/>
        <w:jc w:val="both"/>
      </w:pPr>
      <w:r>
        <w:t>Researching the health consequences of abuse to influence public health policy.</w:t>
      </w:r>
    </w:p>
    <w:p w14:paraId="34831E6D">
      <w:pPr>
        <w:pStyle w:val="20"/>
        <w:spacing w:before="0" w:beforeAutospacing="0" w:after="0" w:afterAutospacing="0" w:line="360" w:lineRule="auto"/>
        <w:jc w:val="both"/>
      </w:pPr>
      <w:r>
        <w:t>Women’s Aid works closely with healthcare services to train staff in identifying abuse and supporting affected women. For instance, the “Change that Lasts” programme, co-developed with survivors, improves frontline workers’ responses and reduces long-term harm (Women’s Aid, 2023).</w:t>
      </w:r>
    </w:p>
    <w:p w14:paraId="25331789">
      <w:pPr>
        <w:spacing w:line="360" w:lineRule="auto"/>
        <w:jc w:val="both"/>
        <w:rPr>
          <w:rFonts w:ascii="Times New Roman" w:hAnsi="Times New Roman" w:cs="Times New Roman"/>
          <w:sz w:val="24"/>
          <w:szCs w:val="24"/>
        </w:rPr>
      </w:pPr>
    </w:p>
    <w:p w14:paraId="341AB7BD">
      <w:pPr>
        <w:pStyle w:val="4"/>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Conclusion</w:t>
      </w:r>
    </w:p>
    <w:p w14:paraId="0007A6C1">
      <w:pPr>
        <w:pStyle w:val="20"/>
        <w:spacing w:before="0" w:beforeAutospacing="0" w:after="0" w:afterAutospacing="0" w:line="360" w:lineRule="auto"/>
        <w:jc w:val="both"/>
      </w:pPr>
      <w:r>
        <w:t>Gender remains a powerful determinant of health in the UK, intersecting with social, economic, and cultural factors to produce unequal outcomes. Women are disproportionately affected by mental health disorders, misdiagnosis in cardiovascular care, and maternal mortality. These inequalities are exacerbated by social issues such as domestic violence, economic insecurity, and barriers to reproductive services. National strategies such as the Women’s Health Strategy and NHS Long Term Plan represent meaningful progress but require sustained funding and accountability to achieve impact. Charities like Women’s Aid complement public initiatives by supporting the most vulnerable women and shaping inclusive health responses. Future interventions must adopt a gender-sensitive, intersectional lens to truly eliminate health inequalities in the UK.</w:t>
      </w:r>
    </w:p>
    <w:p w14:paraId="68EB2E6E">
      <w:pPr>
        <w:spacing w:line="360" w:lineRule="auto"/>
        <w:jc w:val="both"/>
        <w:rPr>
          <w:rFonts w:ascii="Times New Roman" w:hAnsi="Times New Roman" w:cs="Times New Roman"/>
          <w:sz w:val="24"/>
          <w:szCs w:val="24"/>
          <w:lang w:val="en-GB"/>
        </w:rPr>
      </w:pPr>
    </w:p>
    <w:p w14:paraId="06B90CC5">
      <w:pPr>
        <w:pStyle w:val="2"/>
        <w:spacing w:before="0" w:after="0" w:line="360" w:lineRule="auto"/>
        <w:jc w:val="both"/>
        <w:rPr>
          <w:rFonts w:ascii="Times New Roman" w:hAnsi="Times New Roman" w:eastAsia="Times New Roman" w:cs="Times New Roman"/>
          <w:color w:val="auto"/>
          <w:sz w:val="28"/>
          <w:szCs w:val="28"/>
        </w:rPr>
      </w:pPr>
      <w:r>
        <w:rPr>
          <w:rStyle w:val="21"/>
          <w:rFonts w:ascii="Times New Roman" w:hAnsi="Times New Roman" w:cs="Times New Roman"/>
          <w:color w:val="auto"/>
          <w:sz w:val="28"/>
          <w:szCs w:val="28"/>
        </w:rPr>
        <w:t>Part 2: Epidemiological Analysis</w:t>
      </w:r>
    </w:p>
    <w:p w14:paraId="042B908D">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Introduction: Definition, Consequences, and Epidemiological Burden</w:t>
      </w:r>
    </w:p>
    <w:p w14:paraId="1655206E">
      <w:pPr>
        <w:pStyle w:val="20"/>
        <w:spacing w:before="0" w:beforeAutospacing="0" w:after="0" w:afterAutospacing="0" w:line="360" w:lineRule="auto"/>
        <w:jc w:val="both"/>
      </w:pPr>
      <w:r>
        <w:t>Type 2 diabetes mellitus (T2DM) is a chronic, non-communicable metabolic disorder characterised by insulin resistance and impaired glucose regulation, leading to persistent hyperglycaemia (WHO, 2023). It represents one of the most significant public health challenges globally due to its increasing prevalence, association with socioeconomic deprivation, and contribution to premature morbidity and mortality. The health consequences of T2DM are extensive and include cardiovascular disease, renal failure, neuropathy, blindness, and lower-limb amputations, which substantially reduce quality of life and increase healthcare costs (NHS England, 2022).</w:t>
      </w:r>
    </w:p>
    <w:p w14:paraId="6D099CDF">
      <w:pPr>
        <w:pStyle w:val="20"/>
        <w:spacing w:before="0" w:beforeAutospacing="0" w:after="0" w:afterAutospacing="0" w:line="360" w:lineRule="auto"/>
        <w:jc w:val="both"/>
      </w:pPr>
    </w:p>
    <w:p w14:paraId="5AC9E012">
      <w:pPr>
        <w:pStyle w:val="20"/>
        <w:spacing w:before="0" w:beforeAutospacing="0" w:after="0" w:afterAutospacing="0" w:line="360" w:lineRule="auto"/>
        <w:jc w:val="both"/>
      </w:pPr>
      <w:r>
        <w:t>Globally, an estimated 537 million adults were living with diabetes in 2021, with projections indicating a rise to 783 million by 2045, the majority of whom have T2DM (International Diabetes Federation, 2021). In the UK, approximately 4.3 million people are diagnosed with diabetes, with a further estimated 850,000 living with undiagnosed T2DM (Diabetes UK, 2023). Prevalence is not evenly distributed; it is strongly patterned by age, ethnicity, and deprivation.</w:t>
      </w:r>
    </w:p>
    <w:p w14:paraId="73A5F787">
      <w:pPr>
        <w:pStyle w:val="20"/>
        <w:spacing w:before="0" w:beforeAutospacing="0" w:after="0" w:afterAutospacing="0" w:line="360" w:lineRule="auto"/>
        <w:jc w:val="both"/>
      </w:pPr>
    </w:p>
    <w:p w14:paraId="0DA5F0A7">
      <w:pPr>
        <w:pStyle w:val="20"/>
        <w:spacing w:before="0" w:beforeAutospacing="0" w:after="0" w:afterAutospacing="0" w:line="360" w:lineRule="auto"/>
        <w:jc w:val="both"/>
      </w:pPr>
      <w:r>
        <w:t xml:space="preserve">This epidemiological analysis focuses on </w:t>
      </w:r>
      <w:r>
        <w:rPr>
          <w:rStyle w:val="21"/>
          <w:rFonts w:eastAsiaTheme="majorEastAsia"/>
        </w:rPr>
        <w:t>Type 2 diabetes in the London Borough of Newham</w:t>
      </w:r>
      <w:r>
        <w:t>, an area with one of the highest diabetes prevalence rates in England. Newham is characterised by high ethnic diversity, socioeconomic deprivation, and elevated levels of obesity, making it a suitable and manageable population for applied epidemiological investigation (Public Health England, 2022).</w:t>
      </w:r>
    </w:p>
    <w:p w14:paraId="320DEF8A">
      <w:pPr>
        <w:spacing w:line="360" w:lineRule="auto"/>
        <w:jc w:val="both"/>
        <w:rPr>
          <w:rFonts w:ascii="Times New Roman" w:hAnsi="Times New Roman" w:cs="Times New Roman"/>
          <w:b/>
          <w:bCs/>
          <w:sz w:val="24"/>
          <w:szCs w:val="24"/>
        </w:rPr>
      </w:pPr>
    </w:p>
    <w:p w14:paraId="5BAB55CD">
      <w:pPr>
        <w:pStyle w:val="3"/>
        <w:spacing w:before="0" w:after="0" w:line="360" w:lineRule="auto"/>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Public Health Measures Using the 3 P’s (Prevention, Protection, Promotion)</w:t>
      </w:r>
    </w:p>
    <w:p w14:paraId="57077D0D">
      <w:pPr>
        <w:pStyle w:val="20"/>
        <w:spacing w:before="0" w:beforeAutospacing="0" w:after="0" w:afterAutospacing="0" w:line="360" w:lineRule="auto"/>
        <w:jc w:val="both"/>
      </w:pPr>
      <w:r>
        <w:t xml:space="preserve">Public health responses to T2DM in Newham align with the </w:t>
      </w:r>
      <w:r>
        <w:rPr>
          <w:rStyle w:val="21"/>
          <w:rFonts w:eastAsiaTheme="majorEastAsia"/>
        </w:rPr>
        <w:t>3 P’s framework: prevention, protection, and promotion</w:t>
      </w:r>
      <w:r>
        <w:t>, which together address both upstream determinants and downstream disease management.</w:t>
      </w:r>
    </w:p>
    <w:p w14:paraId="555544EC">
      <w:pPr>
        <w:pStyle w:val="20"/>
        <w:spacing w:before="0" w:beforeAutospacing="0" w:after="0" w:afterAutospacing="0" w:line="360" w:lineRule="auto"/>
        <w:jc w:val="both"/>
      </w:pPr>
      <w:r>
        <w:rPr>
          <w:rStyle w:val="21"/>
          <w:rFonts w:eastAsiaTheme="majorEastAsia"/>
        </w:rPr>
        <w:t>Prevention</w:t>
      </w:r>
      <w:r>
        <w:t xml:space="preserve"> focuses on reducing incidence through early identification and lifestyle modification. In Newham, the NHS Diabetes Prevention Programme (NHS DPP) targets adults identified as having non-diabetic hyperglycaemia, offering structured behavioural interventions addressing diet, physical activity, and weight management (NHS England, 2021). Local uptake has been prioritised in primary care practices serving high-risk ethnic communities.</w:t>
      </w:r>
    </w:p>
    <w:p w14:paraId="4341EC79">
      <w:pPr>
        <w:pStyle w:val="20"/>
        <w:spacing w:before="0" w:beforeAutospacing="0" w:after="0" w:afterAutospacing="0" w:line="360" w:lineRule="auto"/>
        <w:jc w:val="both"/>
      </w:pPr>
      <w:r>
        <w:rPr>
          <w:rStyle w:val="21"/>
          <w:rFonts w:eastAsiaTheme="majorEastAsia"/>
        </w:rPr>
        <w:t>Protection</w:t>
      </w:r>
      <w:r>
        <w:t xml:space="preserve"> aims to reduce complications among those already diagnosed. This includes routine HbA1c monitoring, annual retinal screening, foot checks, and blood pressure management delivered through GP practices and community diabetes clinics. Protection strategies also involve safeguarding vulnerable groups, such as older adults and those with multimorbidity, from avoidable hospital admissions (NHS Digital, 2023).</w:t>
      </w:r>
    </w:p>
    <w:p w14:paraId="5319B685">
      <w:pPr>
        <w:pStyle w:val="20"/>
        <w:spacing w:before="0" w:beforeAutospacing="0" w:after="0" w:afterAutospacing="0" w:line="360" w:lineRule="auto"/>
        <w:jc w:val="both"/>
      </w:pPr>
      <w:r>
        <w:rPr>
          <w:rStyle w:val="21"/>
          <w:rFonts w:eastAsiaTheme="majorEastAsia"/>
        </w:rPr>
        <w:t>Promotion</w:t>
      </w:r>
      <w:r>
        <w:t xml:space="preserve"> addresses health literacy and community engagement. Newham Council collaborates with voluntary sector organisations to deliver culturally tailored education programmes, including community health champions and faith-based outreach initiatives. These interventions promote healthy eating, physical activity, and self-management skills, particularly among South Asian and Black populations disproportionately affected by T2DM (Newham Council, 2022).</w:t>
      </w:r>
    </w:p>
    <w:p w14:paraId="1C7C00FB">
      <w:pPr>
        <w:spacing w:line="360" w:lineRule="auto"/>
        <w:jc w:val="both"/>
        <w:rPr>
          <w:rFonts w:ascii="Times New Roman" w:hAnsi="Times New Roman" w:cs="Times New Roman"/>
          <w:sz w:val="24"/>
          <w:szCs w:val="24"/>
        </w:rPr>
      </w:pPr>
    </w:p>
    <w:p w14:paraId="5C3E6FE7">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Key Determinants and Risk Factors</w:t>
      </w:r>
    </w:p>
    <w:p w14:paraId="6257DF23">
      <w:pPr>
        <w:pStyle w:val="20"/>
        <w:spacing w:before="0" w:beforeAutospacing="0" w:after="0" w:afterAutospacing="0" w:line="360" w:lineRule="auto"/>
        <w:jc w:val="both"/>
      </w:pPr>
      <w:r>
        <w:t xml:space="preserve">The distribution of T2DM in Newham reflects a complex interaction of biological, behavioural, and social determinants. </w:t>
      </w:r>
      <w:r>
        <w:rPr>
          <w:rStyle w:val="21"/>
          <w:rFonts w:eastAsiaTheme="majorEastAsia"/>
        </w:rPr>
        <w:t>Ethnicity</w:t>
      </w:r>
      <w:r>
        <w:t xml:space="preserve"> is a major risk factor; South Asian and Black African-Caribbean populations develop T2DM at younger ages and lower body mass indices compared to White populations (Public Health England, 2020). Genetic susceptibility interacts with environmental exposures, including diet and physical inactivity.</w:t>
      </w:r>
    </w:p>
    <w:p w14:paraId="688F2C1E">
      <w:pPr>
        <w:pStyle w:val="20"/>
        <w:spacing w:before="0" w:beforeAutospacing="0" w:after="0" w:afterAutospacing="0" w:line="360" w:lineRule="auto"/>
        <w:jc w:val="both"/>
      </w:pPr>
    </w:p>
    <w:p w14:paraId="601822F8">
      <w:pPr>
        <w:pStyle w:val="20"/>
        <w:spacing w:before="0" w:beforeAutospacing="0" w:after="0" w:afterAutospacing="0" w:line="360" w:lineRule="auto"/>
        <w:jc w:val="both"/>
      </w:pPr>
      <w:r>
        <w:rPr>
          <w:rStyle w:val="21"/>
          <w:rFonts w:eastAsiaTheme="majorEastAsia"/>
        </w:rPr>
        <w:t>Socioeconomic deprivation</w:t>
      </w:r>
      <w:r>
        <w:t xml:space="preserve"> is another critical determinant. Newham ranks among the most deprived local authorities in England, with high levels of income poverty, overcrowded housing, and food insecurity (ONS, 2023). These conditions limit access to healthy food options and safe spaces for physical activity, increasing obesity prevalence, a key modifiable risk factor for T2DM.</w:t>
      </w:r>
    </w:p>
    <w:p w14:paraId="2F13FA52">
      <w:pPr>
        <w:pStyle w:val="20"/>
        <w:spacing w:before="0" w:beforeAutospacing="0" w:after="0" w:afterAutospacing="0" w:line="360" w:lineRule="auto"/>
        <w:jc w:val="both"/>
      </w:pPr>
    </w:p>
    <w:p w14:paraId="19027B75">
      <w:pPr>
        <w:pStyle w:val="20"/>
        <w:spacing w:before="0" w:beforeAutospacing="0" w:after="0" w:afterAutospacing="0" w:line="360" w:lineRule="auto"/>
        <w:jc w:val="both"/>
      </w:pPr>
      <w:r>
        <w:rPr>
          <w:rStyle w:val="21"/>
          <w:rFonts w:eastAsiaTheme="majorEastAsia"/>
        </w:rPr>
        <w:t>Behavioural factors</w:t>
      </w:r>
      <w:r>
        <w:t>, including sedentary lifestyles and diets high in processed foods and sugar, are shaped by the local food environment. Newham has a high density of fast-food outlets, particularly in deprived neighbourhoods, contributing to unhealthy dietary patterns (Public Health England, 2022). Psychosocial stress, linked to unemployment and insecure housing, further exacerbates metabolic risk through physiological stress pathways (Marmot et al., 2020).</w:t>
      </w:r>
    </w:p>
    <w:p w14:paraId="0F46F88C">
      <w:pPr>
        <w:spacing w:line="360" w:lineRule="auto"/>
        <w:jc w:val="both"/>
        <w:rPr>
          <w:rFonts w:ascii="Times New Roman" w:hAnsi="Times New Roman" w:cs="Times New Roman"/>
          <w:sz w:val="24"/>
          <w:szCs w:val="24"/>
        </w:rPr>
      </w:pPr>
    </w:p>
    <w:p w14:paraId="30B9B973">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Identification of Those Affected or at Risk: Epidemiological Evidence and Health Needs Assessment</w:t>
      </w:r>
    </w:p>
    <w:p w14:paraId="600C3928">
      <w:pPr>
        <w:pStyle w:val="20"/>
        <w:spacing w:before="0" w:beforeAutospacing="0" w:after="0" w:afterAutospacing="0" w:line="360" w:lineRule="auto"/>
        <w:jc w:val="both"/>
      </w:pPr>
      <w:r>
        <w:t xml:space="preserve">Epidemiological studies consistently demonstrate that T2DM prevalence in Newham exceeds the national average. Public Health Fingertips data indicate that approximately </w:t>
      </w:r>
      <w:r>
        <w:rPr>
          <w:rStyle w:val="21"/>
          <w:rFonts w:eastAsiaTheme="majorEastAsia"/>
        </w:rPr>
        <w:t>9.4% of adults in Newham are living with diagnosed diabetes</w:t>
      </w:r>
      <w:r>
        <w:t>, compared with a national average of 7.3% (Public Health England, 2022). When adjusted for age, prevalence remains significantly higher, reflecting the influence of social determinants rather than demographic structure alone.</w:t>
      </w:r>
    </w:p>
    <w:p w14:paraId="365D6868">
      <w:pPr>
        <w:pStyle w:val="20"/>
        <w:spacing w:before="0" w:beforeAutospacing="0" w:after="0" w:afterAutospacing="0" w:line="360" w:lineRule="auto"/>
        <w:jc w:val="both"/>
      </w:pPr>
      <w:r>
        <w:t xml:space="preserve">A local </w:t>
      </w:r>
      <w:r>
        <w:rPr>
          <w:rStyle w:val="21"/>
          <w:rFonts w:eastAsiaTheme="majorEastAsia"/>
        </w:rPr>
        <w:t>health needs assessment (HNA)</w:t>
      </w:r>
      <w:r>
        <w:t xml:space="preserve"> identifies several high-risk subgroups: adults aged over 40 from South Asian and Black ethnic backgrounds, individuals with obesity (BMI ≥30), people living in the most deprived quintiles, and those with comorbid hypertension or cardiovascular disease (Newham Council, 2022). Undiagnosed diabetes is also a concern, particularly among migrant populations facing language barriers and limited engagement with primary care services. The HNA highlights gaps in service uptake, including lower attendance at structured education programmes and retinal screening among working-age adults. These findings underscore the importance of targeted, culturally competent interventions to reduce inequalities in both diagnosis and outcomes.</w:t>
      </w:r>
    </w:p>
    <w:p w14:paraId="387B2171">
      <w:pPr>
        <w:spacing w:line="360" w:lineRule="auto"/>
        <w:jc w:val="both"/>
        <w:rPr>
          <w:rFonts w:ascii="Times New Roman" w:hAnsi="Times New Roman" w:cs="Times New Roman"/>
          <w:sz w:val="24"/>
          <w:szCs w:val="24"/>
        </w:rPr>
      </w:pPr>
    </w:p>
    <w:p w14:paraId="66BEC6B6">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Monitoring and Surveillance Systems</w:t>
      </w:r>
    </w:p>
    <w:p w14:paraId="3FDA2C14">
      <w:pPr>
        <w:pStyle w:val="20"/>
        <w:spacing w:before="0" w:beforeAutospacing="0" w:after="0" w:afterAutospacing="0" w:line="360" w:lineRule="auto"/>
        <w:jc w:val="both"/>
      </w:pPr>
      <w:r>
        <w:t xml:space="preserve">Effective epidemiological management of T2DM relies on robust </w:t>
      </w:r>
      <w:r>
        <w:rPr>
          <w:rStyle w:val="21"/>
          <w:rFonts w:eastAsiaTheme="majorEastAsia"/>
        </w:rPr>
        <w:t>monitoring and surveillance systems</w:t>
      </w:r>
      <w:r>
        <w:t xml:space="preserve">. In Newham, surveillance operates across multiple levels. At the national level, the </w:t>
      </w:r>
      <w:r>
        <w:rPr>
          <w:rStyle w:val="21"/>
          <w:rFonts w:eastAsiaTheme="majorEastAsia"/>
        </w:rPr>
        <w:t>Quality and Outcomes Framework (QOF)</w:t>
      </w:r>
      <w:r>
        <w:t xml:space="preserve"> provides data on diabetes prevalence, control indicators, and complications through GP registers (NHS Digital, 2023). These data enable trend analysis and benchmarking against regional and national averages.</w:t>
      </w:r>
    </w:p>
    <w:p w14:paraId="382DA474">
      <w:pPr>
        <w:pStyle w:val="20"/>
        <w:spacing w:before="0" w:beforeAutospacing="0" w:after="0" w:afterAutospacing="0" w:line="360" w:lineRule="auto"/>
        <w:jc w:val="both"/>
      </w:pPr>
    </w:p>
    <w:p w14:paraId="2FD9CDB0">
      <w:pPr>
        <w:pStyle w:val="20"/>
        <w:spacing w:before="0" w:beforeAutospacing="0" w:after="0" w:afterAutospacing="0" w:line="360" w:lineRule="auto"/>
        <w:jc w:val="both"/>
      </w:pPr>
      <w:r>
        <w:t xml:space="preserve">The </w:t>
      </w:r>
      <w:r>
        <w:rPr>
          <w:rStyle w:val="21"/>
          <w:rFonts w:eastAsiaTheme="majorEastAsia"/>
        </w:rPr>
        <w:t>National Diabetes Audit (NDA)</w:t>
      </w:r>
      <w:r>
        <w:t xml:space="preserve"> is a key surveillance tool, assessing care processes and outcomes for people with diabetes across England. NDA data highlight disparities in care completion and outcomes by ethnicity and deprivation, informing local quality improvement initiatives (NHS Digital, 2022).</w:t>
      </w:r>
    </w:p>
    <w:p w14:paraId="1D01B48A">
      <w:pPr>
        <w:pStyle w:val="20"/>
        <w:spacing w:before="0" w:beforeAutospacing="0" w:after="0" w:afterAutospacing="0" w:line="360" w:lineRule="auto"/>
        <w:jc w:val="both"/>
      </w:pPr>
    </w:p>
    <w:p w14:paraId="51B4AB48">
      <w:pPr>
        <w:pStyle w:val="20"/>
        <w:spacing w:before="0" w:beforeAutospacing="0" w:after="0" w:afterAutospacing="0" w:line="360" w:lineRule="auto"/>
        <w:jc w:val="both"/>
      </w:pPr>
      <w:r>
        <w:t xml:space="preserve">Locally, Newham Council uses </w:t>
      </w:r>
      <w:r>
        <w:rPr>
          <w:rStyle w:val="21"/>
          <w:rFonts w:eastAsiaTheme="majorEastAsia"/>
        </w:rPr>
        <w:t>Public Health Fingertips</w:t>
      </w:r>
      <w:r>
        <w:t xml:space="preserve"> and hospital episode statistics (HES) to monitor diabetes-related admissions, amputations, and mortality. Community-level data are supplemented by qualitative intelligence from voluntary organisations, providing insight into barriers to service access. While surveillance systems are comprehensive, limitations include under-recording of ethnicity data and delays in data availability, which can hinder timely intervention (Public Health England, 2020).</w:t>
      </w:r>
    </w:p>
    <w:p w14:paraId="1B1BDAE6">
      <w:pPr>
        <w:spacing w:line="360" w:lineRule="auto"/>
        <w:jc w:val="both"/>
        <w:rPr>
          <w:rFonts w:ascii="Times New Roman" w:hAnsi="Times New Roman" w:cs="Times New Roman"/>
          <w:sz w:val="24"/>
          <w:szCs w:val="24"/>
        </w:rPr>
      </w:pPr>
    </w:p>
    <w:p w14:paraId="16A9790E">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Using Epidemiology to Determine Public Health Impact</w:t>
      </w:r>
    </w:p>
    <w:p w14:paraId="7E95DD35">
      <w:pPr>
        <w:pStyle w:val="20"/>
        <w:spacing w:before="0" w:beforeAutospacing="0" w:after="0" w:afterAutospacing="0" w:line="360" w:lineRule="auto"/>
        <w:jc w:val="both"/>
      </w:pPr>
      <w:r>
        <w:t xml:space="preserve">Epidemiological analysis reveals significant </w:t>
      </w:r>
      <w:r>
        <w:rPr>
          <w:rStyle w:val="21"/>
          <w:rFonts w:eastAsiaTheme="majorEastAsia"/>
        </w:rPr>
        <w:t>short- and long-term impacts</w:t>
      </w:r>
      <w:r>
        <w:t xml:space="preserve"> of T2DM on the Newham population. In the short term, poorly controlled diabetes increases emergency admissions due to hypoglycaemia, infections, and cardiovascular events. Newham reports higher-than-average diabetes-related hospital admissions, placing pressure on secondary care services (NHS England, 2022).</w:t>
      </w:r>
    </w:p>
    <w:p w14:paraId="56543343">
      <w:pPr>
        <w:pStyle w:val="20"/>
        <w:spacing w:before="0" w:beforeAutospacing="0" w:after="0" w:afterAutospacing="0" w:line="360" w:lineRule="auto"/>
        <w:jc w:val="both"/>
      </w:pPr>
      <w:r>
        <w:t>Long-term consequences are more profound. T2DM is a leading cause of preventable blindness, end-stage renal disease, and non-traumatic lower-limb amputation. Mortality rates from cardiovascular disease are significantly higher among people with diabetes, contributing to reduced life expectancy in deprived areas (ONS, 2023). Economically, diabetes-related complications generate substantial costs for the NHS and social care systems, as well as productivity losses due to sickness absence and early retirement.</w:t>
      </w:r>
    </w:p>
    <w:p w14:paraId="1C6CBEA0">
      <w:pPr>
        <w:pStyle w:val="20"/>
        <w:spacing w:before="0" w:beforeAutospacing="0" w:after="0" w:afterAutospacing="0" w:line="360" w:lineRule="auto"/>
        <w:jc w:val="both"/>
      </w:pPr>
    </w:p>
    <w:p w14:paraId="773F78AA">
      <w:pPr>
        <w:pStyle w:val="20"/>
        <w:spacing w:before="0" w:beforeAutospacing="0" w:after="0" w:afterAutospacing="0" w:line="360" w:lineRule="auto"/>
        <w:jc w:val="both"/>
      </w:pPr>
      <w:r>
        <w:t>From a life-course perspective, earlier onset of T2DM in ethnic minority populations increases cumulative exposure to complications, widening health inequalities over time. Epidemiology thus provides critical evidence for prioritising prevention and early intervention in high-risk populations.</w:t>
      </w:r>
    </w:p>
    <w:p w14:paraId="5904FE1A">
      <w:pPr>
        <w:spacing w:line="360" w:lineRule="auto"/>
        <w:jc w:val="both"/>
        <w:rPr>
          <w:rFonts w:ascii="Times New Roman" w:hAnsi="Times New Roman" w:cs="Times New Roman"/>
          <w:sz w:val="24"/>
          <w:szCs w:val="24"/>
        </w:rPr>
      </w:pPr>
    </w:p>
    <w:p w14:paraId="2F951E76">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Design and Evaluation of an Intervention Programme</w:t>
      </w:r>
    </w:p>
    <w:p w14:paraId="06BE67BE">
      <w:pPr>
        <w:pStyle w:val="20"/>
        <w:spacing w:before="0" w:beforeAutospacing="0" w:after="0" w:afterAutospacing="0" w:line="360" w:lineRule="auto"/>
        <w:jc w:val="both"/>
      </w:pPr>
      <w:r>
        <w:t xml:space="preserve">Based on epidemiological evidence, an appropriate intervention for Newham would be a </w:t>
      </w:r>
      <w:r>
        <w:rPr>
          <w:rStyle w:val="21"/>
          <w:rFonts w:eastAsiaTheme="majorEastAsia"/>
        </w:rPr>
        <w:t>community-based, culturally tailored diabetes prevention and management programme</w:t>
      </w:r>
      <w:r>
        <w:t xml:space="preserve"> targeting high-risk adults aged 30–60 from ethnic minority and deprived backgrounds.</w:t>
      </w:r>
    </w:p>
    <w:p w14:paraId="519E9374">
      <w:pPr>
        <w:pStyle w:val="20"/>
        <w:spacing w:before="0" w:beforeAutospacing="0" w:after="0" w:afterAutospacing="0" w:line="360" w:lineRule="auto"/>
        <w:jc w:val="both"/>
      </w:pPr>
      <w:r>
        <w:t>The programme would combine:</w:t>
      </w:r>
    </w:p>
    <w:p w14:paraId="4B8BA228">
      <w:pPr>
        <w:pStyle w:val="20"/>
        <w:numPr>
          <w:ilvl w:val="0"/>
          <w:numId w:val="2"/>
        </w:numPr>
        <w:spacing w:before="0" w:beforeAutospacing="0" w:after="0" w:afterAutospacing="0" w:line="360" w:lineRule="auto"/>
        <w:ind w:left="0"/>
        <w:jc w:val="both"/>
      </w:pPr>
      <w:r>
        <w:rPr>
          <w:rStyle w:val="21"/>
          <w:rFonts w:eastAsiaTheme="majorEastAsia"/>
        </w:rPr>
        <w:t>Targeted screening</w:t>
      </w:r>
      <w:r>
        <w:t xml:space="preserve"> using HbA1c testing in community settings (e.g. mosques, community centres).</w:t>
      </w:r>
    </w:p>
    <w:p w14:paraId="46D8AA47">
      <w:pPr>
        <w:pStyle w:val="20"/>
        <w:numPr>
          <w:ilvl w:val="0"/>
          <w:numId w:val="2"/>
        </w:numPr>
        <w:spacing w:before="0" w:beforeAutospacing="0" w:after="0" w:afterAutospacing="0" w:line="360" w:lineRule="auto"/>
        <w:ind w:left="0"/>
        <w:jc w:val="both"/>
      </w:pPr>
      <w:r>
        <w:rPr>
          <w:rStyle w:val="21"/>
          <w:rFonts w:eastAsiaTheme="majorEastAsia"/>
        </w:rPr>
        <w:t>Lifestyle intervention</w:t>
      </w:r>
      <w:r>
        <w:t xml:space="preserve"> delivered by trained community health workers, focusing on diet, physical activity, and weight management.</w:t>
      </w:r>
    </w:p>
    <w:p w14:paraId="01094628">
      <w:pPr>
        <w:pStyle w:val="20"/>
        <w:numPr>
          <w:ilvl w:val="0"/>
          <w:numId w:val="2"/>
        </w:numPr>
        <w:spacing w:before="0" w:beforeAutospacing="0" w:after="0" w:afterAutospacing="0" w:line="360" w:lineRule="auto"/>
        <w:ind w:left="0"/>
        <w:jc w:val="both"/>
      </w:pPr>
      <w:r>
        <w:rPr>
          <w:rStyle w:val="21"/>
          <w:rFonts w:eastAsiaTheme="majorEastAsia"/>
        </w:rPr>
        <w:t>Behavioural support</w:t>
      </w:r>
      <w:r>
        <w:t>, including peer-led groups and digital self-management tools in multiple languages.</w:t>
      </w:r>
    </w:p>
    <w:p w14:paraId="5BD51045">
      <w:pPr>
        <w:pStyle w:val="20"/>
        <w:spacing w:before="0" w:beforeAutospacing="0" w:after="0" w:afterAutospacing="0" w:line="360" w:lineRule="auto"/>
        <w:jc w:val="both"/>
      </w:pPr>
      <w:r>
        <w:t xml:space="preserve">Evaluation would use both </w:t>
      </w:r>
      <w:r>
        <w:rPr>
          <w:rStyle w:val="21"/>
          <w:rFonts w:eastAsiaTheme="majorEastAsia"/>
        </w:rPr>
        <w:t>process and outcome measures</w:t>
      </w:r>
      <w:r>
        <w:t>. Short-term indicators would include uptake rates, participant retention, and changes in weight and HbA1c levels. Long-term outcomes would assess reductions in new T2DM diagnoses, hospital admissions, and inequalities in disease prevalence. Evidence from similar interventions, such as enhanced NHS DPP pilots, suggests that culturally adapted programmes can significantly improve engagement and metabolic outcomes (Barron et al., 2022).</w:t>
      </w:r>
    </w:p>
    <w:p w14:paraId="17DE1990">
      <w:pPr>
        <w:spacing w:line="360" w:lineRule="auto"/>
        <w:jc w:val="both"/>
        <w:rPr>
          <w:rFonts w:ascii="Times New Roman" w:hAnsi="Times New Roman" w:cs="Times New Roman"/>
          <w:b/>
          <w:bCs/>
          <w:sz w:val="24"/>
          <w:szCs w:val="24"/>
        </w:rPr>
      </w:pPr>
    </w:p>
    <w:p w14:paraId="3E8756DF">
      <w:pPr>
        <w:pStyle w:val="3"/>
        <w:spacing w:before="0" w:after="0" w:line="360" w:lineRule="auto"/>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Strengths, Weaknesses, and Limitations of the Epidemiological Approach</w:t>
      </w:r>
    </w:p>
    <w:p w14:paraId="3D411B87">
      <w:pPr>
        <w:pStyle w:val="20"/>
        <w:spacing w:before="0" w:beforeAutospacing="0" w:after="0" w:afterAutospacing="0" w:line="360" w:lineRule="auto"/>
        <w:jc w:val="both"/>
      </w:pPr>
      <w:r>
        <w:t xml:space="preserve">A key strength of this epidemiological approach is its use of </w:t>
      </w:r>
      <w:r>
        <w:rPr>
          <w:rStyle w:val="21"/>
          <w:rFonts w:eastAsiaTheme="majorEastAsia"/>
        </w:rPr>
        <w:t>multiple data sources</w:t>
      </w:r>
      <w:r>
        <w:t>, including national audits, local surveillance, and health needs assessments, enabling a comprehensive understanding of disease patterns. The focus on a defined population enhances feasibility and relevance for local public health planning. However, limitations must be acknowledged. Surveillance data may underestimate true prevalence due to undiagnosed cases and incomplete ethnicity recording. Assumptions that lifestyle interventions alone can reduce risk may overlook structural barriers such as poverty and housing insecurity. Additionally, interventions evaluated in controlled settings may not achieve the same effectiveness when scaled in real-world contexts. Despite these limitations, epidemiology remains an essential tool for identifying need, guiding intervention design, and evaluating impact. Transparent recognition of assumptions and data gaps strengthens the credibility and usefulness of public health decision-making.</w:t>
      </w:r>
    </w:p>
    <w:p w14:paraId="05C9DF78">
      <w:pPr>
        <w:spacing w:line="360" w:lineRule="auto"/>
        <w:jc w:val="both"/>
        <w:rPr>
          <w:rFonts w:ascii="Times New Roman" w:hAnsi="Times New Roman" w:cs="Times New Roman"/>
          <w:sz w:val="24"/>
          <w:szCs w:val="24"/>
        </w:rPr>
      </w:pPr>
    </w:p>
    <w:p w14:paraId="2C8EA568">
      <w:pPr>
        <w:pStyle w:val="3"/>
        <w:spacing w:before="0" w:after="0" w:line="36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Conclusion</w:t>
      </w:r>
    </w:p>
    <w:p w14:paraId="776C6410">
      <w:pPr>
        <w:pStyle w:val="20"/>
        <w:spacing w:before="0" w:beforeAutospacing="0" w:after="0" w:afterAutospacing="0" w:line="360" w:lineRule="auto"/>
        <w:jc w:val="both"/>
      </w:pPr>
      <w:r>
        <w:t>This epidemiological analysis demonstrates that Type 2 diabetes in the London Borough of Newham represents a major public health challenge shaped by social, economic, and ethnic inequalities. Epidemiological data reveal a disproportionate burden among deprived and ethnic minority populations, driven by modifiable risk factors embedded within wider structural determinants. Through the application of the 3 P’s framework, robust surveillance systems, and targeted interventions, epidemiology provides a powerful foundation for reducing disease burden and narrowing health inequalities. Sustained investment, culturally competent approaches, and ongoing evaluation are essential to achieving long-term improvements in population health outcomes.</w:t>
      </w:r>
    </w:p>
    <w:p w14:paraId="2721FA33">
      <w:pPr>
        <w:rPr>
          <w:lang w:val="en-GB"/>
        </w:rPr>
      </w:pPr>
    </w:p>
    <w:p w14:paraId="51775835">
      <w:pPr>
        <w:rPr>
          <w:lang w:val="en-GB"/>
        </w:rPr>
      </w:pPr>
    </w:p>
    <w:p w14:paraId="44354CD4">
      <w:pPr>
        <w:rPr>
          <w:lang w:val="en-GB"/>
        </w:rPr>
      </w:pPr>
    </w:p>
    <w:p w14:paraId="34449B4F">
      <w:pPr>
        <w:rPr>
          <w:lang w:val="en-GB"/>
        </w:rPr>
      </w:pPr>
    </w:p>
    <w:p w14:paraId="72BCC058">
      <w:pPr>
        <w:rPr>
          <w:lang w:val="en-GB"/>
        </w:rPr>
      </w:pPr>
    </w:p>
    <w:p w14:paraId="79D21385">
      <w:pPr>
        <w:rPr>
          <w:lang w:val="en-GB"/>
        </w:rPr>
      </w:pPr>
    </w:p>
    <w:p w14:paraId="455775FF">
      <w:pPr>
        <w:rPr>
          <w:lang w:val="en-GB"/>
        </w:rPr>
      </w:pPr>
    </w:p>
    <w:p w14:paraId="5E45F06E">
      <w:pPr>
        <w:rPr>
          <w:lang w:val="en-GB"/>
        </w:rPr>
      </w:pPr>
    </w:p>
    <w:p w14:paraId="0B50842F">
      <w:pPr>
        <w:rPr>
          <w:lang w:val="en-GB"/>
        </w:rPr>
      </w:pPr>
    </w:p>
    <w:p w14:paraId="311926C8">
      <w:pPr>
        <w:rPr>
          <w:lang w:val="en-GB"/>
        </w:rPr>
      </w:pPr>
    </w:p>
    <w:p w14:paraId="4A767307">
      <w:pPr>
        <w:rPr>
          <w:lang w:val="en-GB"/>
        </w:rPr>
      </w:pPr>
    </w:p>
    <w:p w14:paraId="35D47E8B">
      <w:pPr>
        <w:rPr>
          <w:lang w:val="en-GB"/>
        </w:rPr>
      </w:pPr>
    </w:p>
    <w:p w14:paraId="1A57D7D3">
      <w:pPr>
        <w:rPr>
          <w:lang w:val="en-GB"/>
        </w:rPr>
      </w:pPr>
    </w:p>
    <w:p w14:paraId="03D8D0D3">
      <w:pPr>
        <w:rPr>
          <w:lang w:val="en-GB"/>
        </w:rPr>
      </w:pPr>
    </w:p>
    <w:p w14:paraId="52AD59FB">
      <w:pPr>
        <w:rPr>
          <w:lang w:val="en-GB"/>
        </w:rPr>
      </w:pPr>
    </w:p>
    <w:p w14:paraId="48D0D1D7">
      <w:pPr>
        <w:rPr>
          <w:lang w:val="en-GB"/>
        </w:rPr>
      </w:pPr>
    </w:p>
    <w:p w14:paraId="6ED34D0B">
      <w:pPr>
        <w:rPr>
          <w:lang w:val="en-GB"/>
        </w:rPr>
      </w:pPr>
    </w:p>
    <w:p w14:paraId="0FDCFB1B">
      <w:pPr>
        <w:rPr>
          <w:lang w:val="en-GB"/>
        </w:rPr>
      </w:pPr>
    </w:p>
    <w:p w14:paraId="4D933E74">
      <w:pPr>
        <w:rPr>
          <w:lang w:val="en-GB"/>
        </w:rPr>
      </w:pPr>
    </w:p>
    <w:p w14:paraId="54D54360">
      <w:pPr>
        <w:rPr>
          <w:lang w:val="en-GB"/>
        </w:rPr>
      </w:pPr>
    </w:p>
    <w:p w14:paraId="0BF72CF9">
      <w:pPr>
        <w:rPr>
          <w:lang w:val="en-GB"/>
        </w:rPr>
      </w:pPr>
    </w:p>
    <w:p w14:paraId="1CC8AC18">
      <w:pPr>
        <w:rPr>
          <w:lang w:val="en-GB"/>
        </w:rPr>
      </w:pPr>
    </w:p>
    <w:p w14:paraId="7281F8ED">
      <w:pPr>
        <w:rPr>
          <w:lang w:val="en-GB"/>
        </w:rPr>
      </w:pPr>
    </w:p>
    <w:p w14:paraId="0F83150B">
      <w:pPr>
        <w:rPr>
          <w:lang w:val="en-GB"/>
        </w:rPr>
      </w:pPr>
    </w:p>
    <w:p w14:paraId="2E3759CE">
      <w:pPr>
        <w:rPr>
          <w:lang w:val="en-GB"/>
        </w:rPr>
      </w:pPr>
    </w:p>
    <w:p w14:paraId="030CC856">
      <w:pPr>
        <w:rPr>
          <w:lang w:val="en-GB"/>
        </w:rPr>
      </w:pPr>
    </w:p>
    <w:p w14:paraId="4C23ED9F">
      <w:pPr>
        <w:rPr>
          <w:lang w:val="en-GB"/>
        </w:rPr>
      </w:pPr>
    </w:p>
    <w:p w14:paraId="715D8125">
      <w:pPr>
        <w:rPr>
          <w:rFonts w:ascii="Times New Roman" w:hAnsi="Times New Roman" w:cs="Times New Roman"/>
          <w:b/>
          <w:bCs/>
          <w:sz w:val="28"/>
          <w:szCs w:val="28"/>
          <w:lang w:val="en-GB"/>
        </w:rPr>
      </w:pPr>
      <w:r>
        <w:rPr>
          <w:rFonts w:ascii="Times New Roman" w:hAnsi="Times New Roman" w:cs="Times New Roman"/>
          <w:b/>
          <w:bCs/>
          <w:sz w:val="28"/>
          <w:szCs w:val="28"/>
          <w:lang w:val="en-GB"/>
        </w:rPr>
        <w:t>References</w:t>
      </w:r>
    </w:p>
    <w:p w14:paraId="1199F842">
      <w:pPr>
        <w:pStyle w:val="20"/>
        <w:numPr>
          <w:ilvl w:val="0"/>
          <w:numId w:val="3"/>
        </w:numPr>
        <w:spacing w:line="360" w:lineRule="auto"/>
        <w:ind w:left="0"/>
        <w:jc w:val="both"/>
      </w:pPr>
      <w:r>
        <w:t xml:space="preserve">Barron, E., Clark, R., Hewings, R., Smith, J. and Valabhji, J. (2022) ‘Progress of the Healthier You: NHS Diabetes Prevention Programme’, </w:t>
      </w:r>
      <w:r>
        <w:rPr>
          <w:rStyle w:val="14"/>
          <w:rFonts w:eastAsiaTheme="majorEastAsia"/>
        </w:rPr>
        <w:t>Diabetologia</w:t>
      </w:r>
      <w:r>
        <w:t>, 65(3), pp. 455–466.</w:t>
      </w:r>
    </w:p>
    <w:p w14:paraId="5AD5C99A">
      <w:pPr>
        <w:pStyle w:val="20"/>
        <w:numPr>
          <w:ilvl w:val="0"/>
          <w:numId w:val="3"/>
        </w:numPr>
        <w:spacing w:line="360" w:lineRule="auto"/>
        <w:ind w:left="0"/>
        <w:jc w:val="both"/>
      </w:pPr>
      <w:r>
        <w:t xml:space="preserve">British Heart Foundation (2021) </w:t>
      </w:r>
      <w:r>
        <w:rPr>
          <w:rStyle w:val="14"/>
          <w:rFonts w:eastAsiaTheme="majorEastAsia"/>
        </w:rPr>
        <w:t>Bias and Biology: The Truth About Women and Heart Disease</w:t>
      </w:r>
      <w:r>
        <w:t>. London: BHF.</w:t>
      </w:r>
    </w:p>
    <w:p w14:paraId="56A3F9AD">
      <w:pPr>
        <w:pStyle w:val="20"/>
        <w:numPr>
          <w:ilvl w:val="0"/>
          <w:numId w:val="3"/>
        </w:numPr>
        <w:spacing w:line="360" w:lineRule="auto"/>
        <w:ind w:left="0"/>
        <w:jc w:val="both"/>
      </w:pPr>
      <w:r>
        <w:t xml:space="preserve">Department of Health and Social Care (2022) </w:t>
      </w:r>
      <w:r>
        <w:rPr>
          <w:rStyle w:val="14"/>
          <w:rFonts w:eastAsiaTheme="majorEastAsia"/>
        </w:rPr>
        <w:t>Women’s Health Strategy for England</w:t>
      </w:r>
      <w:r>
        <w:t>. London: DHSC.</w:t>
      </w:r>
    </w:p>
    <w:p w14:paraId="6BAE4ECB">
      <w:pPr>
        <w:pStyle w:val="20"/>
        <w:numPr>
          <w:ilvl w:val="0"/>
          <w:numId w:val="3"/>
        </w:numPr>
        <w:spacing w:line="360" w:lineRule="auto"/>
        <w:ind w:left="0"/>
        <w:jc w:val="both"/>
      </w:pPr>
      <w:r>
        <w:t xml:space="preserve">Diabetes UK (2023) </w:t>
      </w:r>
      <w:r>
        <w:rPr>
          <w:rStyle w:val="14"/>
          <w:rFonts w:eastAsiaTheme="majorEastAsia"/>
        </w:rPr>
        <w:t>Diabetes Statistics</w:t>
      </w:r>
      <w:r>
        <w:t xml:space="preserve">. Available at: </w:t>
      </w:r>
      <w:r>
        <w:fldChar w:fldCharType="begin"/>
      </w:r>
      <w:r>
        <w:instrText xml:space="preserve"> HYPERLINK "https://www.diabetes.org.uk" \t "_new" </w:instrText>
      </w:r>
      <w:r>
        <w:fldChar w:fldCharType="separate"/>
      </w:r>
      <w:r>
        <w:rPr>
          <w:rStyle w:val="19"/>
          <w:rFonts w:eastAsiaTheme="majorEastAsia"/>
        </w:rPr>
        <w:t>https://www.diabetes.org.uk</w:t>
      </w:r>
      <w:r>
        <w:rPr>
          <w:rStyle w:val="19"/>
          <w:rFonts w:eastAsiaTheme="majorEastAsia"/>
        </w:rPr>
        <w:fldChar w:fldCharType="end"/>
      </w:r>
      <w:r>
        <w:t xml:space="preserve"> (Accessed: 10 December 2025).</w:t>
      </w:r>
    </w:p>
    <w:p w14:paraId="19119FA2">
      <w:pPr>
        <w:pStyle w:val="20"/>
        <w:numPr>
          <w:ilvl w:val="0"/>
          <w:numId w:val="3"/>
        </w:numPr>
        <w:spacing w:line="360" w:lineRule="auto"/>
        <w:ind w:left="0"/>
        <w:jc w:val="both"/>
      </w:pPr>
      <w:r>
        <w:t xml:space="preserve">Faculty of Sexual and Reproductive Healthcare (2021) </w:t>
      </w:r>
      <w:r>
        <w:rPr>
          <w:rStyle w:val="14"/>
          <w:rFonts w:eastAsiaTheme="majorEastAsia"/>
        </w:rPr>
        <w:t>Contraception Services Funding and Access in England</w:t>
      </w:r>
      <w:r>
        <w:t>. London: FSRH.</w:t>
      </w:r>
    </w:p>
    <w:p w14:paraId="5425D441">
      <w:pPr>
        <w:pStyle w:val="20"/>
        <w:numPr>
          <w:ilvl w:val="0"/>
          <w:numId w:val="3"/>
        </w:numPr>
        <w:spacing w:line="360" w:lineRule="auto"/>
        <w:ind w:left="0"/>
        <w:jc w:val="both"/>
      </w:pPr>
      <w:r>
        <w:t xml:space="preserve">International Diabetes Federation (2021) </w:t>
      </w:r>
      <w:r>
        <w:rPr>
          <w:rStyle w:val="14"/>
          <w:rFonts w:eastAsiaTheme="majorEastAsia"/>
        </w:rPr>
        <w:t>IDF Diabetes Atlas</w:t>
      </w:r>
      <w:r>
        <w:t xml:space="preserve"> (10th edn). Brussels: IDF.</w:t>
      </w:r>
    </w:p>
    <w:p w14:paraId="4A4CA99D">
      <w:pPr>
        <w:pStyle w:val="20"/>
        <w:numPr>
          <w:ilvl w:val="0"/>
          <w:numId w:val="3"/>
        </w:numPr>
        <w:spacing w:line="360" w:lineRule="auto"/>
        <w:ind w:left="0"/>
        <w:jc w:val="both"/>
      </w:pPr>
      <w:r>
        <w:t xml:space="preserve">Marmot, M., Allen, J., Boyce, T., Goldblatt, P. and Morrison, J. (2020) </w:t>
      </w:r>
      <w:r>
        <w:rPr>
          <w:rStyle w:val="14"/>
          <w:rFonts w:eastAsiaTheme="majorEastAsia"/>
        </w:rPr>
        <w:t>Health Equity in England: The Marmot Review 10 Years On</w:t>
      </w:r>
      <w:r>
        <w:t>. London: Institute of Health Equity.</w:t>
      </w:r>
    </w:p>
    <w:p w14:paraId="7A13CA5E">
      <w:pPr>
        <w:pStyle w:val="20"/>
        <w:numPr>
          <w:ilvl w:val="0"/>
          <w:numId w:val="3"/>
        </w:numPr>
        <w:spacing w:line="360" w:lineRule="auto"/>
        <w:ind w:left="0"/>
        <w:jc w:val="both"/>
      </w:pPr>
      <w:r>
        <w:t xml:space="preserve">MBRRACE-UK (2022) </w:t>
      </w:r>
      <w:r>
        <w:rPr>
          <w:rStyle w:val="14"/>
          <w:rFonts w:eastAsiaTheme="majorEastAsia"/>
        </w:rPr>
        <w:t>Saving Lives, Improving Mothers’ Care</w:t>
      </w:r>
      <w:r>
        <w:t>. Oxford: National Perinatal Epidemiology Unit.</w:t>
      </w:r>
    </w:p>
    <w:p w14:paraId="64476C49">
      <w:pPr>
        <w:pStyle w:val="20"/>
        <w:numPr>
          <w:ilvl w:val="0"/>
          <w:numId w:val="3"/>
        </w:numPr>
        <w:spacing w:line="360" w:lineRule="auto"/>
        <w:ind w:left="0"/>
        <w:jc w:val="both"/>
      </w:pPr>
      <w:r>
        <w:t xml:space="preserve">McManus, S., Bebbington, P., Jenkins, R. and Brugha, T. (2022) </w:t>
      </w:r>
      <w:r>
        <w:rPr>
          <w:rStyle w:val="14"/>
          <w:rFonts w:eastAsiaTheme="majorEastAsia"/>
        </w:rPr>
        <w:t>Mental Health and Wellbeing in England</w:t>
      </w:r>
      <w:r>
        <w:t>. Leeds: NHS Digital.</w:t>
      </w:r>
    </w:p>
    <w:p w14:paraId="23121B57">
      <w:pPr>
        <w:pStyle w:val="20"/>
        <w:numPr>
          <w:ilvl w:val="0"/>
          <w:numId w:val="3"/>
        </w:numPr>
        <w:spacing w:line="360" w:lineRule="auto"/>
        <w:ind w:left="0"/>
        <w:jc w:val="both"/>
      </w:pPr>
      <w:r>
        <w:t xml:space="preserve">NHS Digital (2022) </w:t>
      </w:r>
      <w:r>
        <w:rPr>
          <w:rStyle w:val="14"/>
          <w:rFonts w:eastAsiaTheme="majorEastAsia"/>
        </w:rPr>
        <w:t>National Diabetes Audit: Care Processes and Treatment Targets</w:t>
      </w:r>
      <w:r>
        <w:t>. Leeds: NHS Digital.</w:t>
      </w:r>
    </w:p>
    <w:p w14:paraId="08AFA4E3">
      <w:pPr>
        <w:pStyle w:val="20"/>
        <w:numPr>
          <w:ilvl w:val="0"/>
          <w:numId w:val="3"/>
        </w:numPr>
        <w:spacing w:line="360" w:lineRule="auto"/>
        <w:ind w:left="0"/>
        <w:jc w:val="both"/>
      </w:pPr>
      <w:r>
        <w:t xml:space="preserve">NHS Digital (2023) </w:t>
      </w:r>
      <w:r>
        <w:rPr>
          <w:rStyle w:val="14"/>
          <w:rFonts w:eastAsiaTheme="majorEastAsia"/>
        </w:rPr>
        <w:t>Quality and Outcomes Framework (QOF) Statistics</w:t>
      </w:r>
      <w:r>
        <w:t>. Leeds: NHS Digital.</w:t>
      </w:r>
    </w:p>
    <w:p w14:paraId="5555487E">
      <w:pPr>
        <w:pStyle w:val="20"/>
        <w:numPr>
          <w:ilvl w:val="0"/>
          <w:numId w:val="3"/>
        </w:numPr>
        <w:spacing w:line="360" w:lineRule="auto"/>
        <w:ind w:left="0"/>
        <w:jc w:val="both"/>
      </w:pPr>
      <w:r>
        <w:t xml:space="preserve">NHS England (2019) </w:t>
      </w:r>
      <w:r>
        <w:rPr>
          <w:rStyle w:val="14"/>
          <w:rFonts w:eastAsiaTheme="majorEastAsia"/>
        </w:rPr>
        <w:t>The NHS Long Term Plan</w:t>
      </w:r>
      <w:r>
        <w:t>. London: NHS England.</w:t>
      </w:r>
    </w:p>
    <w:p w14:paraId="43CAF42C">
      <w:pPr>
        <w:pStyle w:val="20"/>
        <w:numPr>
          <w:ilvl w:val="0"/>
          <w:numId w:val="3"/>
        </w:numPr>
        <w:spacing w:line="360" w:lineRule="auto"/>
        <w:ind w:left="0"/>
        <w:jc w:val="both"/>
      </w:pPr>
      <w:r>
        <w:t xml:space="preserve">NHS England (2021) </w:t>
      </w:r>
      <w:r>
        <w:rPr>
          <w:rStyle w:val="14"/>
          <w:rFonts w:eastAsiaTheme="majorEastAsia"/>
        </w:rPr>
        <w:t>NHS Diabetes Prevention Programme: Service Specification</w:t>
      </w:r>
      <w:r>
        <w:t>. London: NHS England.</w:t>
      </w:r>
    </w:p>
    <w:p w14:paraId="5C061320">
      <w:pPr>
        <w:pStyle w:val="20"/>
        <w:numPr>
          <w:ilvl w:val="0"/>
          <w:numId w:val="3"/>
        </w:numPr>
        <w:spacing w:line="360" w:lineRule="auto"/>
        <w:ind w:left="0"/>
        <w:jc w:val="both"/>
      </w:pPr>
      <w:r>
        <w:t xml:space="preserve">NHS England (2022) </w:t>
      </w:r>
      <w:r>
        <w:rPr>
          <w:rStyle w:val="14"/>
          <w:rFonts w:eastAsiaTheme="majorEastAsia"/>
        </w:rPr>
        <w:t>Diabetes: Annual Report</w:t>
      </w:r>
      <w:r>
        <w:t>. London: NHS England.</w:t>
      </w:r>
    </w:p>
    <w:p w14:paraId="701895FA">
      <w:pPr>
        <w:pStyle w:val="20"/>
        <w:numPr>
          <w:ilvl w:val="0"/>
          <w:numId w:val="3"/>
        </w:numPr>
        <w:spacing w:line="360" w:lineRule="auto"/>
        <w:ind w:left="0"/>
        <w:jc w:val="both"/>
      </w:pPr>
      <w:r>
        <w:t xml:space="preserve">Office for National Statistics (2023) </w:t>
      </w:r>
      <w:r>
        <w:rPr>
          <w:rStyle w:val="14"/>
          <w:rFonts w:eastAsiaTheme="majorEastAsia"/>
        </w:rPr>
        <w:t>Health Inequalities in England</w:t>
      </w:r>
      <w:r>
        <w:t>. London: ONS.</w:t>
      </w:r>
    </w:p>
    <w:p w14:paraId="7A3E927A">
      <w:pPr>
        <w:pStyle w:val="20"/>
        <w:numPr>
          <w:ilvl w:val="0"/>
          <w:numId w:val="3"/>
        </w:numPr>
        <w:spacing w:line="360" w:lineRule="auto"/>
        <w:ind w:left="0"/>
        <w:jc w:val="both"/>
      </w:pPr>
      <w:r>
        <w:t xml:space="preserve">Public Health England (2020) </w:t>
      </w:r>
      <w:r>
        <w:rPr>
          <w:rStyle w:val="14"/>
          <w:rFonts w:eastAsiaTheme="majorEastAsia"/>
        </w:rPr>
        <w:t>Health Matters: Preventing Type 2 Diabetes</w:t>
      </w:r>
      <w:r>
        <w:t>. London: PHE.</w:t>
      </w:r>
    </w:p>
    <w:p w14:paraId="4D86397F">
      <w:pPr>
        <w:pStyle w:val="20"/>
        <w:numPr>
          <w:ilvl w:val="0"/>
          <w:numId w:val="3"/>
        </w:numPr>
        <w:spacing w:line="360" w:lineRule="auto"/>
        <w:ind w:left="0"/>
        <w:jc w:val="both"/>
      </w:pPr>
      <w:r>
        <w:t xml:space="preserve">Public Health England (2022) </w:t>
      </w:r>
      <w:r>
        <w:rPr>
          <w:rStyle w:val="14"/>
          <w:rFonts w:eastAsiaTheme="majorEastAsia"/>
        </w:rPr>
        <w:t>Public Health Profiles (Fingertips Tool)</w:t>
      </w:r>
      <w:r>
        <w:t>. London: PHE.</w:t>
      </w:r>
    </w:p>
    <w:p w14:paraId="31589B9F">
      <w:pPr>
        <w:pStyle w:val="20"/>
        <w:numPr>
          <w:ilvl w:val="0"/>
          <w:numId w:val="3"/>
        </w:numPr>
        <w:spacing w:line="360" w:lineRule="auto"/>
        <w:ind w:left="0"/>
        <w:jc w:val="both"/>
      </w:pPr>
      <w:r>
        <w:t xml:space="preserve">Refuge (2021) </w:t>
      </w:r>
      <w:r>
        <w:rPr>
          <w:rStyle w:val="14"/>
          <w:rFonts w:eastAsiaTheme="majorEastAsia"/>
        </w:rPr>
        <w:t>Domestic Abuse During the COVID-19 Pandemic</w:t>
      </w:r>
      <w:r>
        <w:t>. London: Refuge.</w:t>
      </w:r>
    </w:p>
    <w:p w14:paraId="2F56FE7A">
      <w:pPr>
        <w:pStyle w:val="20"/>
        <w:numPr>
          <w:ilvl w:val="0"/>
          <w:numId w:val="3"/>
        </w:numPr>
        <w:spacing w:line="360" w:lineRule="auto"/>
        <w:ind w:left="0"/>
        <w:jc w:val="both"/>
      </w:pPr>
      <w:r>
        <w:t xml:space="preserve">SafeLives (2022) </w:t>
      </w:r>
      <w:r>
        <w:rPr>
          <w:rStyle w:val="14"/>
          <w:rFonts w:eastAsiaTheme="majorEastAsia"/>
        </w:rPr>
        <w:t>Insights National Dataset 2021–22</w:t>
      </w:r>
      <w:r>
        <w:t>. Bristol: SafeLives.</w:t>
      </w:r>
    </w:p>
    <w:p w14:paraId="376D4E63">
      <w:pPr>
        <w:pStyle w:val="20"/>
        <w:numPr>
          <w:ilvl w:val="0"/>
          <w:numId w:val="3"/>
        </w:numPr>
        <w:spacing w:line="360" w:lineRule="auto"/>
        <w:ind w:left="0"/>
        <w:jc w:val="both"/>
      </w:pPr>
      <w:r>
        <w:t xml:space="preserve">Women’s Aid (2023) </w:t>
      </w:r>
      <w:r>
        <w:rPr>
          <w:rStyle w:val="14"/>
          <w:rFonts w:eastAsiaTheme="majorEastAsia"/>
        </w:rPr>
        <w:t>Annual Impact Report</w:t>
      </w:r>
      <w:r>
        <w:t>. Bristol: Women’s Aid.</w:t>
      </w:r>
    </w:p>
    <w:p w14:paraId="7764EB0D">
      <w:pPr>
        <w:pStyle w:val="20"/>
        <w:numPr>
          <w:ilvl w:val="0"/>
          <w:numId w:val="3"/>
        </w:numPr>
        <w:spacing w:line="360" w:lineRule="auto"/>
        <w:ind w:left="0"/>
        <w:jc w:val="both"/>
      </w:pPr>
      <w:r>
        <w:t xml:space="preserve">World Health Organization (2022) </w:t>
      </w:r>
      <w:r>
        <w:rPr>
          <w:rStyle w:val="14"/>
          <w:rFonts w:eastAsiaTheme="majorEastAsia"/>
        </w:rPr>
        <w:t>Gender and Health</w:t>
      </w:r>
      <w:r>
        <w:t>. Geneva: WHO.</w:t>
      </w:r>
    </w:p>
    <w:p w14:paraId="5BE2D6FC">
      <w:pPr>
        <w:pStyle w:val="20"/>
        <w:numPr>
          <w:ilvl w:val="0"/>
          <w:numId w:val="3"/>
        </w:numPr>
        <w:spacing w:line="360" w:lineRule="auto"/>
        <w:ind w:left="0"/>
        <w:jc w:val="both"/>
      </w:pPr>
      <w:r>
        <w:t xml:space="preserve">World Health Organization (2023) </w:t>
      </w:r>
      <w:r>
        <w:rPr>
          <w:rStyle w:val="14"/>
          <w:rFonts w:eastAsiaTheme="majorEastAsia"/>
        </w:rPr>
        <w:t>Diabetes: Key Facts</w:t>
      </w:r>
      <w:r>
        <w:t>. Geneva: WHO.</w:t>
      </w:r>
    </w:p>
    <w:p w14:paraId="47888F44">
      <w:pPr>
        <w:rPr>
          <w:lang w:val="en-GB"/>
        </w:rPr>
      </w:pPr>
    </w:p>
    <w:p w14:paraId="0A013818">
      <w:pPr>
        <w:rPr>
          <w:lang w:val="en-GB"/>
        </w:rPr>
      </w:pPr>
    </w:p>
    <w:p w14:paraId="66E22952">
      <w:pPr>
        <w:rPr>
          <w:lang w:val="en-GB"/>
        </w:rPr>
      </w:pPr>
    </w:p>
    <w:p w14:paraId="0AE19A05">
      <w:pPr>
        <w:rPr>
          <w:lang w:val="en-GB"/>
        </w:rPr>
      </w:pPr>
    </w:p>
    <w:p w14:paraId="6C319350">
      <w:pPr>
        <w:rPr>
          <w:lang w:val="en-GB"/>
        </w:rPr>
      </w:pPr>
    </w:p>
    <w:p w14:paraId="62C1CFB9">
      <w:pPr>
        <w:rPr>
          <w:lang w:val="en-GB"/>
        </w:rPr>
      </w:pPr>
    </w:p>
    <w:p w14:paraId="12F8055E">
      <w:pPr>
        <w:rPr>
          <w:lang w:val="en-GB"/>
        </w:rPr>
      </w:pPr>
    </w:p>
    <w:p w14:paraId="28622677">
      <w:pPr>
        <w:rPr>
          <w:lang w:val="en-GB"/>
        </w:rPr>
      </w:pPr>
    </w:p>
    <w:p w14:paraId="039E4325">
      <w:pPr>
        <w:rPr>
          <w:lang w:val="en-GB"/>
        </w:rPr>
      </w:pPr>
    </w:p>
    <w:p w14:paraId="507F1866">
      <w:pPr>
        <w:rPr>
          <w:lang w:val="en-GB"/>
        </w:rPr>
      </w:pPr>
    </w:p>
    <w:p w14:paraId="1173FAB0">
      <w:pPr>
        <w:rPr>
          <w:lang w:val="en-GB"/>
        </w:rPr>
      </w:pPr>
    </w:p>
    <w:p w14:paraId="1DBC50F3">
      <w:pPr>
        <w:rPr>
          <w:lang w:val="en-GB"/>
        </w:rPr>
      </w:pPr>
    </w:p>
    <w:p w14:paraId="5A9E0438">
      <w:pPr>
        <w:rPr>
          <w:lang w:val="en-GB"/>
        </w:rPr>
      </w:pPr>
    </w:p>
    <w:p w14:paraId="63F067A6">
      <w:pPr>
        <w:rPr>
          <w:lang w:val="en-GB"/>
        </w:rPr>
      </w:pPr>
    </w:p>
    <w:p w14:paraId="62731CF8">
      <w:pPr>
        <w:rPr>
          <w:lang w:val="en-GB"/>
        </w:rPr>
      </w:pPr>
    </w:p>
    <w:p w14:paraId="15D1EA60">
      <w:pPr>
        <w:rPr>
          <w:lang w:val="en-GB"/>
        </w:rPr>
      </w:pPr>
    </w:p>
    <w:p w14:paraId="2F17D4B5">
      <w:pPr>
        <w:rPr>
          <w:lang w:val="en-GB"/>
        </w:rPr>
      </w:pPr>
    </w:p>
    <w:p w14:paraId="23575339">
      <w:pPr>
        <w:rPr>
          <w:lang w:val="en-GB"/>
        </w:rPr>
      </w:pPr>
    </w:p>
    <w:p w14:paraId="4009F466">
      <w:pPr>
        <w:rPr>
          <w:lang w:val="en-GB"/>
        </w:rPr>
      </w:pPr>
    </w:p>
    <w:p w14:paraId="4E065543">
      <w:pPr>
        <w:rPr>
          <w:lang w:val="en-GB"/>
        </w:rPr>
      </w:pPr>
    </w:p>
    <w:p w14:paraId="30E55F2E">
      <w:pPr>
        <w:rPr>
          <w:lang w:val="en-GB"/>
        </w:rPr>
      </w:pPr>
    </w:p>
    <w:p w14:paraId="7A526030">
      <w:pPr>
        <w:rPr>
          <w:lang w:val="en-GB"/>
        </w:rPr>
      </w:pPr>
    </w:p>
    <w:p w14:paraId="699131E1">
      <w:pPr>
        <w:rPr>
          <w:lang w:val="en-GB"/>
        </w:rPr>
      </w:pPr>
      <w:bookmarkStart w:id="0" w:name="_GoBack"/>
      <w:bookmarkEnd w:id="0"/>
    </w:p>
    <w:p w14:paraId="09F0AC39">
      <w:pPr>
        <w:rPr>
          <w:lang w:val="en-GB"/>
        </w:rPr>
      </w:pPr>
    </w:p>
    <w:p w14:paraId="6A2EE306">
      <w:pPr>
        <w:rPr>
          <w:lang w:val="en-GB"/>
        </w:rPr>
      </w:pPr>
    </w:p>
    <w:p w14:paraId="538905C3">
      <w:pPr>
        <w:rPr>
          <w:lang w:val="en-GB"/>
        </w:rPr>
      </w:pPr>
    </w:p>
    <w:p w14:paraId="34B1813E">
      <w:pPr>
        <w:rPr>
          <w:lang w:val="en-GB"/>
        </w:rPr>
      </w:pPr>
    </w:p>
    <w:p w14:paraId="654A27C4">
      <w:pPr>
        <w:rPr>
          <w:lang w:val="en-GB"/>
        </w:rPr>
      </w:pPr>
    </w:p>
    <w:p w14:paraId="21065BD2">
      <w:pPr>
        <w:rPr>
          <w:lang w:val="en-GB"/>
        </w:rPr>
      </w:pPr>
    </w:p>
    <w:p w14:paraId="0E28B2D8">
      <w:pPr>
        <w:rPr>
          <w:lang w:val="en-GB"/>
        </w:rPr>
      </w:pPr>
    </w:p>
    <w:p w14:paraId="289E1200">
      <w:pPr>
        <w:rPr>
          <w:lang w:val="en-GB"/>
        </w:rPr>
      </w:pPr>
    </w:p>
    <w:sectPr>
      <w:pgSz w:w="11910" w:h="16840"/>
      <w:pgMar w:top="1300" w:right="940" w:bottom="1460" w:left="1340" w:header="708" w:footer="1262" w:gutter="0"/>
      <w:pgBorders w:offsetFrom="page">
        <w:top w:val="single" w:color="auto" w:sz="4" w:space="24"/>
        <w:left w:val="single" w:color="auto" w:sz="4" w:space="24"/>
        <w:bottom w:val="single" w:color="auto" w:sz="4" w:space="24"/>
        <w:right w:val="single" w:color="auto" w:sz="4" w:space="24"/>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73203199"/>
      <w:docPartObj>
        <w:docPartGallery w:val="AutoText"/>
      </w:docPartObj>
    </w:sdtPr>
    <w:sdtEndPr>
      <w:rPr>
        <w:color w:val="808080" w:themeColor="background1" w:themeShade="80"/>
        <w:spacing w:val="60"/>
      </w:rPr>
    </w:sdtEndPr>
    <w:sdtContent>
      <w:p w14:paraId="5FD6ABC5">
        <w:pPr>
          <w:pStyle w:val="15"/>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14110C74">
    <w:pPr>
      <w:pStyle w:val="1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D1DB">
    <w:pPr>
      <w:pStyle w:val="1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FD3694"/>
    <w:multiLevelType w:val="multilevel"/>
    <w:tmpl w:val="0EFD369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A994567"/>
    <w:multiLevelType w:val="multilevel"/>
    <w:tmpl w:val="3A99456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5B8E1D6F"/>
    <w:multiLevelType w:val="multilevel"/>
    <w:tmpl w:val="5B8E1D6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9A"/>
    <w:rsid w:val="0000489D"/>
    <w:rsid w:val="0001739D"/>
    <w:rsid w:val="000470CA"/>
    <w:rsid w:val="00150058"/>
    <w:rsid w:val="00181940"/>
    <w:rsid w:val="00184F90"/>
    <w:rsid w:val="00193FEE"/>
    <w:rsid w:val="001B5A2C"/>
    <w:rsid w:val="001D785B"/>
    <w:rsid w:val="002607DC"/>
    <w:rsid w:val="0028364C"/>
    <w:rsid w:val="00384F45"/>
    <w:rsid w:val="0039463F"/>
    <w:rsid w:val="003E3470"/>
    <w:rsid w:val="003F7218"/>
    <w:rsid w:val="00414A34"/>
    <w:rsid w:val="00423DF4"/>
    <w:rsid w:val="004E24FC"/>
    <w:rsid w:val="004E742B"/>
    <w:rsid w:val="004F3451"/>
    <w:rsid w:val="0050267B"/>
    <w:rsid w:val="00516B91"/>
    <w:rsid w:val="00547860"/>
    <w:rsid w:val="00585BA8"/>
    <w:rsid w:val="005E41BF"/>
    <w:rsid w:val="006176AB"/>
    <w:rsid w:val="00642381"/>
    <w:rsid w:val="0067379B"/>
    <w:rsid w:val="006F4159"/>
    <w:rsid w:val="0073568C"/>
    <w:rsid w:val="00786D2A"/>
    <w:rsid w:val="007944FD"/>
    <w:rsid w:val="007B6B22"/>
    <w:rsid w:val="007E42F3"/>
    <w:rsid w:val="007E4AB3"/>
    <w:rsid w:val="007F391E"/>
    <w:rsid w:val="00871432"/>
    <w:rsid w:val="008B6CE3"/>
    <w:rsid w:val="00936713"/>
    <w:rsid w:val="009918C7"/>
    <w:rsid w:val="00995146"/>
    <w:rsid w:val="00A429CC"/>
    <w:rsid w:val="00A7604C"/>
    <w:rsid w:val="00AB0D2E"/>
    <w:rsid w:val="00AC2BC8"/>
    <w:rsid w:val="00AC2FA9"/>
    <w:rsid w:val="00AE1CB9"/>
    <w:rsid w:val="00BC4C6B"/>
    <w:rsid w:val="00C7783C"/>
    <w:rsid w:val="00C9439D"/>
    <w:rsid w:val="00CF0BCC"/>
    <w:rsid w:val="00D06DC1"/>
    <w:rsid w:val="00D4509A"/>
    <w:rsid w:val="00DA1622"/>
    <w:rsid w:val="00E963D5"/>
    <w:rsid w:val="00EB6186"/>
    <w:rsid w:val="00EB6FA4"/>
    <w:rsid w:val="00EC578B"/>
    <w:rsid w:val="00EE3386"/>
    <w:rsid w:val="00F207D1"/>
    <w:rsid w:val="0F8802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after="0" w:line="240" w:lineRule="auto"/>
    </w:pPr>
    <w:rPr>
      <w:rFonts w:ascii="Calibri" w:hAnsi="Calibri" w:eastAsia="Calibri" w:cs="Calibri"/>
      <w:kern w:val="0"/>
      <w:sz w:val="22"/>
      <w:szCs w:val="22"/>
      <w:lang w:val="en-US" w:eastAsia="en-US" w:bidi="ar-SA"/>
      <w14:ligatures w14:val="none"/>
    </w:rPr>
  </w:style>
  <w:style w:type="paragraph" w:styleId="2">
    <w:name w:val="heading 1"/>
    <w:basedOn w:val="1"/>
    <w:next w:val="1"/>
    <w:link w:val="26"/>
    <w:qFormat/>
    <w:uiPriority w:val="9"/>
    <w:pPr>
      <w:keepNext/>
      <w:keepLines/>
      <w:widowControl/>
      <w:autoSpaceDE/>
      <w:autoSpaceDN/>
      <w:spacing w:before="360" w:after="80" w:line="259" w:lineRule="auto"/>
      <w:outlineLvl w:val="0"/>
    </w:pPr>
    <w:rPr>
      <w:rFonts w:asciiTheme="majorHAnsi" w:hAnsiTheme="majorHAnsi" w:eastAsiaTheme="majorEastAsia" w:cstheme="majorBidi"/>
      <w:color w:val="104862" w:themeColor="accent1" w:themeShade="BF"/>
      <w:kern w:val="2"/>
      <w:sz w:val="40"/>
      <w:szCs w:val="40"/>
      <w:lang w:val="en-GB"/>
      <w14:ligatures w14:val="standardContextual"/>
    </w:rPr>
  </w:style>
  <w:style w:type="paragraph" w:styleId="3">
    <w:name w:val="heading 2"/>
    <w:basedOn w:val="1"/>
    <w:next w:val="1"/>
    <w:link w:val="27"/>
    <w:unhideWhenUsed/>
    <w:qFormat/>
    <w:uiPriority w:val="9"/>
    <w:pPr>
      <w:keepNext/>
      <w:keepLines/>
      <w:widowControl/>
      <w:autoSpaceDE/>
      <w:autoSpaceDN/>
      <w:spacing w:before="160" w:after="80" w:line="259" w:lineRule="auto"/>
      <w:outlineLvl w:val="1"/>
    </w:pPr>
    <w:rPr>
      <w:rFonts w:asciiTheme="majorHAnsi" w:hAnsiTheme="majorHAnsi" w:eastAsiaTheme="majorEastAsia" w:cstheme="majorBidi"/>
      <w:color w:val="104862" w:themeColor="accent1" w:themeShade="BF"/>
      <w:kern w:val="2"/>
      <w:sz w:val="32"/>
      <w:szCs w:val="32"/>
      <w:lang w:val="en-GB"/>
      <w14:ligatures w14:val="standardContextual"/>
    </w:rPr>
  </w:style>
  <w:style w:type="paragraph" w:styleId="4">
    <w:name w:val="heading 3"/>
    <w:basedOn w:val="1"/>
    <w:next w:val="1"/>
    <w:link w:val="28"/>
    <w:unhideWhenUsed/>
    <w:qFormat/>
    <w:uiPriority w:val="9"/>
    <w:pPr>
      <w:keepNext/>
      <w:keepLines/>
      <w:widowControl/>
      <w:autoSpaceDE/>
      <w:autoSpaceDN/>
      <w:spacing w:before="160" w:after="80" w:line="259" w:lineRule="auto"/>
      <w:outlineLvl w:val="2"/>
    </w:pPr>
    <w:rPr>
      <w:rFonts w:asciiTheme="minorHAnsi" w:hAnsiTheme="minorHAnsi" w:eastAsiaTheme="majorEastAsia" w:cstheme="majorBidi"/>
      <w:color w:val="104862" w:themeColor="accent1" w:themeShade="BF"/>
      <w:kern w:val="2"/>
      <w:sz w:val="28"/>
      <w:szCs w:val="28"/>
      <w:lang w:val="en-GB"/>
      <w14:ligatures w14:val="standardContextual"/>
    </w:rPr>
  </w:style>
  <w:style w:type="paragraph" w:styleId="5">
    <w:name w:val="heading 4"/>
    <w:basedOn w:val="1"/>
    <w:next w:val="1"/>
    <w:link w:val="29"/>
    <w:unhideWhenUsed/>
    <w:qFormat/>
    <w:uiPriority w:val="9"/>
    <w:pPr>
      <w:keepNext/>
      <w:keepLines/>
      <w:widowControl/>
      <w:autoSpaceDE/>
      <w:autoSpaceDN/>
      <w:spacing w:before="80" w:after="40" w:line="259" w:lineRule="auto"/>
      <w:outlineLvl w:val="3"/>
    </w:pPr>
    <w:rPr>
      <w:rFonts w:asciiTheme="minorHAnsi" w:hAnsiTheme="minorHAnsi" w:eastAsiaTheme="majorEastAsia" w:cstheme="majorBidi"/>
      <w:i/>
      <w:iCs/>
      <w:color w:val="104862" w:themeColor="accent1" w:themeShade="BF"/>
      <w:kern w:val="2"/>
      <w:lang w:val="en-GB"/>
      <w14:ligatures w14:val="standardContextual"/>
    </w:rPr>
  </w:style>
  <w:style w:type="paragraph" w:styleId="6">
    <w:name w:val="heading 5"/>
    <w:basedOn w:val="1"/>
    <w:next w:val="1"/>
    <w:link w:val="30"/>
    <w:semiHidden/>
    <w:unhideWhenUsed/>
    <w:qFormat/>
    <w:uiPriority w:val="9"/>
    <w:pPr>
      <w:keepNext/>
      <w:keepLines/>
      <w:widowControl/>
      <w:autoSpaceDE/>
      <w:autoSpaceDN/>
      <w:spacing w:before="80" w:after="40" w:line="259" w:lineRule="auto"/>
      <w:outlineLvl w:val="4"/>
    </w:pPr>
    <w:rPr>
      <w:rFonts w:asciiTheme="minorHAnsi" w:hAnsiTheme="minorHAnsi" w:eastAsiaTheme="majorEastAsia" w:cstheme="majorBidi"/>
      <w:color w:val="104862" w:themeColor="accent1" w:themeShade="BF"/>
      <w:kern w:val="2"/>
      <w:lang w:val="en-GB"/>
      <w14:ligatures w14:val="standardContextual"/>
    </w:rPr>
  </w:style>
  <w:style w:type="paragraph" w:styleId="7">
    <w:name w:val="heading 6"/>
    <w:basedOn w:val="1"/>
    <w:next w:val="1"/>
    <w:link w:val="31"/>
    <w:semiHidden/>
    <w:unhideWhenUsed/>
    <w:qFormat/>
    <w:uiPriority w:val="9"/>
    <w:pPr>
      <w:keepNext/>
      <w:keepLines/>
      <w:widowControl/>
      <w:autoSpaceDE/>
      <w:autoSpaceDN/>
      <w:spacing w:before="40" w:line="259" w:lineRule="auto"/>
      <w:outlineLvl w:val="5"/>
    </w:pPr>
    <w:rPr>
      <w:rFonts w:asciiTheme="minorHAnsi" w:hAnsiTheme="minorHAnsi" w:eastAsiaTheme="majorEastAsia" w:cstheme="majorBidi"/>
      <w:i/>
      <w:iCs/>
      <w:color w:val="595959" w:themeColor="text1" w:themeTint="A6"/>
      <w:kern w:val="2"/>
      <w:lang w:val="en-GB"/>
      <w14:textFill>
        <w14:solidFill>
          <w14:schemeClr w14:val="tx1">
            <w14:lumMod w14:val="65000"/>
            <w14:lumOff w14:val="35000"/>
          </w14:schemeClr>
        </w14:solidFill>
      </w14:textFill>
      <w14:ligatures w14:val="standardContextual"/>
    </w:rPr>
  </w:style>
  <w:style w:type="paragraph" w:styleId="8">
    <w:name w:val="heading 7"/>
    <w:basedOn w:val="1"/>
    <w:next w:val="1"/>
    <w:link w:val="32"/>
    <w:semiHidden/>
    <w:unhideWhenUsed/>
    <w:qFormat/>
    <w:uiPriority w:val="9"/>
    <w:pPr>
      <w:keepNext/>
      <w:keepLines/>
      <w:widowControl/>
      <w:autoSpaceDE/>
      <w:autoSpaceDN/>
      <w:spacing w:before="40" w:line="259" w:lineRule="auto"/>
      <w:outlineLvl w:val="6"/>
    </w:pPr>
    <w:rPr>
      <w:rFonts w:asciiTheme="minorHAnsi" w:hAnsiTheme="minorHAnsi" w:eastAsiaTheme="majorEastAsia" w:cstheme="majorBidi"/>
      <w:color w:val="595959" w:themeColor="text1" w:themeTint="A6"/>
      <w:kern w:val="2"/>
      <w:lang w:val="en-GB"/>
      <w14:textFill>
        <w14:solidFill>
          <w14:schemeClr w14:val="tx1">
            <w14:lumMod w14:val="65000"/>
            <w14:lumOff w14:val="35000"/>
          </w14:schemeClr>
        </w14:solidFill>
      </w14:textFill>
      <w14:ligatures w14:val="standardContextual"/>
    </w:rPr>
  </w:style>
  <w:style w:type="paragraph" w:styleId="9">
    <w:name w:val="heading 8"/>
    <w:basedOn w:val="1"/>
    <w:next w:val="1"/>
    <w:link w:val="33"/>
    <w:semiHidden/>
    <w:unhideWhenUsed/>
    <w:qFormat/>
    <w:uiPriority w:val="9"/>
    <w:pPr>
      <w:keepNext/>
      <w:keepLines/>
      <w:widowControl/>
      <w:autoSpaceDE/>
      <w:autoSpaceDN/>
      <w:spacing w:line="259" w:lineRule="auto"/>
      <w:outlineLvl w:val="7"/>
    </w:pPr>
    <w:rPr>
      <w:rFonts w:asciiTheme="minorHAnsi" w:hAnsiTheme="minorHAnsi" w:eastAsiaTheme="majorEastAsia" w:cstheme="majorBidi"/>
      <w:i/>
      <w:iCs/>
      <w:color w:val="262626" w:themeColor="text1" w:themeTint="D9"/>
      <w:kern w:val="2"/>
      <w:lang w:val="en-GB"/>
      <w14:textFill>
        <w14:solidFill>
          <w14:schemeClr w14:val="tx1">
            <w14:lumMod w14:val="85000"/>
            <w14:lumOff w14:val="15000"/>
          </w14:schemeClr>
        </w14:solidFill>
      </w14:textFill>
      <w14:ligatures w14:val="standardContextual"/>
    </w:rPr>
  </w:style>
  <w:style w:type="paragraph" w:styleId="10">
    <w:name w:val="heading 9"/>
    <w:basedOn w:val="1"/>
    <w:next w:val="1"/>
    <w:link w:val="34"/>
    <w:semiHidden/>
    <w:unhideWhenUsed/>
    <w:qFormat/>
    <w:uiPriority w:val="9"/>
    <w:pPr>
      <w:keepNext/>
      <w:keepLines/>
      <w:widowControl/>
      <w:autoSpaceDE/>
      <w:autoSpaceDN/>
      <w:spacing w:line="259" w:lineRule="auto"/>
      <w:outlineLvl w:val="8"/>
    </w:pPr>
    <w:rPr>
      <w:rFonts w:asciiTheme="minorHAnsi" w:hAnsiTheme="minorHAnsi" w:eastAsiaTheme="majorEastAsia" w:cstheme="majorBidi"/>
      <w:color w:val="262626" w:themeColor="text1" w:themeTint="D9"/>
      <w:kern w:val="2"/>
      <w:lang w:val="en-GB"/>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ody Text"/>
    <w:basedOn w:val="1"/>
    <w:link w:val="44"/>
    <w:qFormat/>
    <w:uiPriority w:val="1"/>
  </w:style>
  <w:style w:type="character" w:styleId="14">
    <w:name w:val="Emphasis"/>
    <w:basedOn w:val="11"/>
    <w:qFormat/>
    <w:uiPriority w:val="20"/>
    <w:rPr>
      <w:i/>
      <w:iCs/>
    </w:rPr>
  </w:style>
  <w:style w:type="paragraph" w:styleId="15">
    <w:name w:val="footer"/>
    <w:basedOn w:val="1"/>
    <w:link w:val="47"/>
    <w:unhideWhenUsed/>
    <w:uiPriority w:val="99"/>
    <w:pPr>
      <w:tabs>
        <w:tab w:val="center" w:pos="4513"/>
        <w:tab w:val="right" w:pos="9026"/>
      </w:tabs>
    </w:pPr>
  </w:style>
  <w:style w:type="paragraph" w:styleId="16">
    <w:name w:val="header"/>
    <w:basedOn w:val="1"/>
    <w:link w:val="46"/>
    <w:unhideWhenUsed/>
    <w:uiPriority w:val="99"/>
    <w:pPr>
      <w:tabs>
        <w:tab w:val="center" w:pos="4513"/>
        <w:tab w:val="right" w:pos="9026"/>
      </w:tabs>
    </w:pPr>
  </w:style>
  <w:style w:type="character" w:styleId="17">
    <w:name w:val="HTML Code"/>
    <w:basedOn w:val="11"/>
    <w:semiHidden/>
    <w:unhideWhenUsed/>
    <w:uiPriority w:val="99"/>
    <w:rPr>
      <w:rFonts w:ascii="Courier New" w:hAnsi="Courier New" w:eastAsia="Times New Roman" w:cs="Courier New"/>
      <w:sz w:val="20"/>
      <w:szCs w:val="20"/>
    </w:rPr>
  </w:style>
  <w:style w:type="paragraph" w:styleId="18">
    <w:name w:val="HTML Preformatted"/>
    <w:basedOn w:val="1"/>
    <w:link w:val="49"/>
    <w:semiHidden/>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eastAsia="Times New Roman" w:cs="Courier New"/>
      <w:sz w:val="20"/>
      <w:szCs w:val="20"/>
      <w:lang w:val="en-GB" w:eastAsia="en-GB"/>
    </w:rPr>
  </w:style>
  <w:style w:type="character" w:styleId="19">
    <w:name w:val="Hyperlink"/>
    <w:basedOn w:val="11"/>
    <w:semiHidden/>
    <w:unhideWhenUsed/>
    <w:uiPriority w:val="99"/>
    <w:rPr>
      <w:color w:val="0000FF"/>
      <w:u w:val="single"/>
    </w:rPr>
  </w:style>
  <w:style w:type="paragraph" w:styleId="20">
    <w:name w:val="Normal (Web)"/>
    <w:basedOn w:val="1"/>
    <w:unhideWhenUsed/>
    <w:uiPriority w:val="99"/>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21">
    <w:name w:val="Strong"/>
    <w:basedOn w:val="11"/>
    <w:qFormat/>
    <w:uiPriority w:val="22"/>
    <w:rPr>
      <w:b/>
      <w:bCs/>
    </w:rPr>
  </w:style>
  <w:style w:type="paragraph" w:styleId="22">
    <w:name w:val="Subtitle"/>
    <w:basedOn w:val="1"/>
    <w:next w:val="1"/>
    <w:link w:val="36"/>
    <w:qFormat/>
    <w:uiPriority w:val="11"/>
    <w:pPr>
      <w:widowControl/>
      <w:autoSpaceDE/>
      <w:autoSpaceDN/>
      <w:spacing w:after="160" w:line="259" w:lineRule="auto"/>
    </w:pPr>
    <w:rPr>
      <w:rFonts w:asciiTheme="minorHAnsi" w:hAnsiTheme="minorHAnsi" w:eastAsiaTheme="majorEastAsia" w:cstheme="majorBidi"/>
      <w:color w:val="595959" w:themeColor="text1" w:themeTint="A6"/>
      <w:spacing w:val="15"/>
      <w:kern w:val="2"/>
      <w:sz w:val="28"/>
      <w:szCs w:val="28"/>
      <w:lang w:val="en-GB"/>
      <w14:textFill>
        <w14:solidFill>
          <w14:schemeClr w14:val="tx1">
            <w14:lumMod w14:val="65000"/>
            <w14:lumOff w14:val="35000"/>
          </w14:schemeClr>
        </w14:solidFill>
      </w14:textFill>
      <w14:ligatures w14:val="standardContextual"/>
    </w:rPr>
  </w:style>
  <w:style w:type="table" w:styleId="23">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next w:val="1"/>
    <w:link w:val="35"/>
    <w:qFormat/>
    <w:uiPriority w:val="10"/>
    <w:pPr>
      <w:widowControl/>
      <w:autoSpaceDE/>
      <w:autoSpaceDN/>
      <w:spacing w:after="80"/>
      <w:contextualSpacing/>
    </w:pPr>
    <w:rPr>
      <w:rFonts w:asciiTheme="majorHAnsi" w:hAnsiTheme="majorHAnsi" w:eastAsiaTheme="majorEastAsia" w:cstheme="majorBidi"/>
      <w:spacing w:val="-10"/>
      <w:kern w:val="28"/>
      <w:sz w:val="56"/>
      <w:szCs w:val="56"/>
      <w:lang w:val="en-GB"/>
      <w14:ligatures w14:val="standardContextual"/>
    </w:rPr>
  </w:style>
  <w:style w:type="paragraph" w:styleId="25">
    <w:name w:val="toc 1"/>
    <w:basedOn w:val="1"/>
    <w:next w:val="1"/>
    <w:unhideWhenUsed/>
    <w:qFormat/>
    <w:uiPriority w:val="39"/>
    <w:pPr>
      <w:widowControl/>
      <w:autoSpaceDE/>
      <w:autoSpaceDN/>
      <w:spacing w:after="100" w:line="276" w:lineRule="auto"/>
    </w:pPr>
    <w:rPr>
      <w:rFonts w:ascii="Arial" w:hAnsi="Arial" w:eastAsia="Arial" w:cs="Arial"/>
      <w:lang w:val="en-IN" w:eastAsia="en-IN"/>
    </w:rPr>
  </w:style>
  <w:style w:type="character" w:customStyle="1" w:styleId="26">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7">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8">
    <w:name w:val="Heading 3 Char"/>
    <w:basedOn w:val="11"/>
    <w:link w:val="4"/>
    <w:qFormat/>
    <w:uiPriority w:val="9"/>
    <w:rPr>
      <w:rFonts w:eastAsiaTheme="majorEastAsia" w:cstheme="majorBidi"/>
      <w:color w:val="104862" w:themeColor="accent1" w:themeShade="BF"/>
      <w:sz w:val="28"/>
      <w:szCs w:val="28"/>
    </w:rPr>
  </w:style>
  <w:style w:type="character" w:customStyle="1" w:styleId="29">
    <w:name w:val="Heading 4 Char"/>
    <w:basedOn w:val="11"/>
    <w:link w:val="5"/>
    <w:qFormat/>
    <w:uiPriority w:val="9"/>
    <w:rPr>
      <w:rFonts w:eastAsiaTheme="majorEastAsia" w:cstheme="majorBidi"/>
      <w:i/>
      <w:iCs/>
      <w:color w:val="104862" w:themeColor="accent1" w:themeShade="BF"/>
    </w:rPr>
  </w:style>
  <w:style w:type="character" w:customStyle="1" w:styleId="30">
    <w:name w:val="Heading 5 Char"/>
    <w:basedOn w:val="11"/>
    <w:link w:val="6"/>
    <w:semiHidden/>
    <w:qFormat/>
    <w:uiPriority w:val="9"/>
    <w:rPr>
      <w:rFonts w:eastAsiaTheme="majorEastAsia" w:cstheme="majorBidi"/>
      <w:color w:val="104862" w:themeColor="accent1" w:themeShade="BF"/>
    </w:rPr>
  </w:style>
  <w:style w:type="character" w:customStyle="1" w:styleId="31">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2">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4">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5">
    <w:name w:val="Title Char"/>
    <w:basedOn w:val="11"/>
    <w:link w:val="24"/>
    <w:qFormat/>
    <w:uiPriority w:val="10"/>
    <w:rPr>
      <w:rFonts w:asciiTheme="majorHAnsi" w:hAnsiTheme="majorHAnsi" w:eastAsiaTheme="majorEastAsia" w:cstheme="majorBidi"/>
      <w:spacing w:val="-10"/>
      <w:kern w:val="28"/>
      <w:sz w:val="56"/>
      <w:szCs w:val="56"/>
    </w:rPr>
  </w:style>
  <w:style w:type="character" w:customStyle="1" w:styleId="36">
    <w:name w:val="Subtitle Char"/>
    <w:basedOn w:val="11"/>
    <w:link w:val="2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widowControl/>
      <w:autoSpaceDE/>
      <w:autoSpaceDN/>
      <w:spacing w:before="160" w:after="160" w:line="259" w:lineRule="auto"/>
      <w:jc w:val="center"/>
    </w:pPr>
    <w:rPr>
      <w:rFonts w:asciiTheme="minorHAnsi" w:hAnsiTheme="minorHAnsi" w:eastAsiaTheme="minorHAnsi" w:cstheme="minorBidi"/>
      <w:i/>
      <w:iCs/>
      <w:color w:val="404040" w:themeColor="text1" w:themeTint="BF"/>
      <w:kern w:val="2"/>
      <w:lang w:val="en-GB"/>
      <w14:textFill>
        <w14:solidFill>
          <w14:schemeClr w14:val="tx1">
            <w14:lumMod w14:val="75000"/>
            <w14:lumOff w14:val="25000"/>
          </w14:schemeClr>
        </w14:solidFill>
      </w14:textFill>
      <w14:ligatures w14:val="standardContextual"/>
    </w:rPr>
  </w:style>
  <w:style w:type="character" w:customStyle="1" w:styleId="38">
    <w:name w:val="Quote Char"/>
    <w:basedOn w:val="11"/>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widowControl/>
      <w:autoSpaceDE/>
      <w:autoSpaceDN/>
      <w:spacing w:after="160" w:line="259" w:lineRule="auto"/>
      <w:ind w:left="720"/>
      <w:contextualSpacing/>
    </w:pPr>
    <w:rPr>
      <w:rFonts w:asciiTheme="minorHAnsi" w:hAnsiTheme="minorHAnsi" w:eastAsiaTheme="minorHAnsi" w:cstheme="minorBidi"/>
      <w:kern w:val="2"/>
      <w:lang w:val="en-GB"/>
      <w14:ligatures w14:val="standardContextual"/>
    </w:rPr>
  </w:style>
  <w:style w:type="character" w:customStyle="1" w:styleId="40">
    <w:name w:val="Intense Emphasis"/>
    <w:basedOn w:val="11"/>
    <w:qFormat/>
    <w:uiPriority w:val="21"/>
    <w:rPr>
      <w:i/>
      <w:iCs/>
      <w:color w:val="104862" w:themeColor="accent1" w:themeShade="BF"/>
    </w:rPr>
  </w:style>
  <w:style w:type="paragraph" w:styleId="41">
    <w:name w:val="Intense Quote"/>
    <w:basedOn w:val="1"/>
    <w:next w:val="1"/>
    <w:link w:val="42"/>
    <w:qFormat/>
    <w:uiPriority w:val="30"/>
    <w:pPr>
      <w:widowControl/>
      <w:pBdr>
        <w:top w:val="single" w:color="0F4761" w:themeColor="accent1" w:themeShade="BF" w:sz="4" w:space="10"/>
        <w:bottom w:val="single" w:color="0F4761" w:themeColor="accent1" w:themeShade="BF" w:sz="4" w:space="10"/>
      </w:pBdr>
      <w:autoSpaceDE/>
      <w:autoSpaceDN/>
      <w:spacing w:before="360" w:after="360" w:line="259" w:lineRule="auto"/>
      <w:ind w:left="864" w:right="864"/>
      <w:jc w:val="center"/>
    </w:pPr>
    <w:rPr>
      <w:rFonts w:asciiTheme="minorHAnsi" w:hAnsiTheme="minorHAnsi" w:eastAsiaTheme="minorHAnsi" w:cstheme="minorBidi"/>
      <w:i/>
      <w:iCs/>
      <w:color w:val="104862" w:themeColor="accent1" w:themeShade="BF"/>
      <w:kern w:val="2"/>
      <w:lang w:val="en-GB"/>
      <w14:ligatures w14:val="standardContextual"/>
    </w:rPr>
  </w:style>
  <w:style w:type="character" w:customStyle="1" w:styleId="42">
    <w:name w:val="Intense Quote Char"/>
    <w:basedOn w:val="11"/>
    <w:link w:val="41"/>
    <w:qFormat/>
    <w:uiPriority w:val="30"/>
    <w:rPr>
      <w:i/>
      <w:iCs/>
      <w:color w:val="104862" w:themeColor="accent1" w:themeShade="BF"/>
    </w:rPr>
  </w:style>
  <w:style w:type="character" w:customStyle="1" w:styleId="43">
    <w:name w:val="Intense Reference"/>
    <w:basedOn w:val="11"/>
    <w:qFormat/>
    <w:uiPriority w:val="32"/>
    <w:rPr>
      <w:b/>
      <w:bCs/>
      <w:smallCaps/>
      <w:color w:val="104862" w:themeColor="accent1" w:themeShade="BF"/>
      <w:spacing w:val="5"/>
    </w:rPr>
  </w:style>
  <w:style w:type="character" w:customStyle="1" w:styleId="44">
    <w:name w:val="Body Text Char"/>
    <w:basedOn w:val="11"/>
    <w:link w:val="13"/>
    <w:uiPriority w:val="1"/>
    <w:rPr>
      <w:rFonts w:ascii="Calibri" w:hAnsi="Calibri" w:eastAsia="Calibri" w:cs="Calibri"/>
      <w:kern w:val="0"/>
      <w:lang w:val="en-US"/>
      <w14:ligatures w14:val="none"/>
    </w:rPr>
  </w:style>
  <w:style w:type="paragraph" w:customStyle="1" w:styleId="45">
    <w:name w:val="Table Paragraph"/>
    <w:basedOn w:val="1"/>
    <w:qFormat/>
    <w:uiPriority w:val="1"/>
    <w:pPr>
      <w:spacing w:before="1"/>
      <w:ind w:left="110"/>
    </w:pPr>
  </w:style>
  <w:style w:type="character" w:customStyle="1" w:styleId="46">
    <w:name w:val="Header Char"/>
    <w:basedOn w:val="11"/>
    <w:link w:val="16"/>
    <w:uiPriority w:val="99"/>
    <w:rPr>
      <w:rFonts w:ascii="Calibri" w:hAnsi="Calibri" w:eastAsia="Calibri" w:cs="Calibri"/>
      <w:kern w:val="0"/>
      <w:lang w:val="en-US"/>
      <w14:ligatures w14:val="none"/>
    </w:rPr>
  </w:style>
  <w:style w:type="character" w:customStyle="1" w:styleId="47">
    <w:name w:val="Footer Char"/>
    <w:basedOn w:val="11"/>
    <w:link w:val="15"/>
    <w:uiPriority w:val="99"/>
    <w:rPr>
      <w:rFonts w:ascii="Calibri" w:hAnsi="Calibri" w:eastAsia="Calibri" w:cs="Calibri"/>
      <w:kern w:val="0"/>
      <w:lang w:val="en-US"/>
      <w14:ligatures w14:val="none"/>
    </w:rPr>
  </w:style>
  <w:style w:type="paragraph" w:customStyle="1" w:styleId="48">
    <w:name w:val="TOC Heading1"/>
    <w:basedOn w:val="2"/>
    <w:next w:val="1"/>
    <w:unhideWhenUsed/>
    <w:qFormat/>
    <w:uiPriority w:val="39"/>
    <w:pPr>
      <w:spacing w:before="240" w:after="0"/>
      <w:outlineLvl w:val="9"/>
    </w:pPr>
    <w:rPr>
      <w:kern w:val="0"/>
      <w:sz w:val="32"/>
      <w:szCs w:val="32"/>
      <w:lang w:val="en-US"/>
      <w14:ligatures w14:val="none"/>
    </w:rPr>
  </w:style>
  <w:style w:type="character" w:customStyle="1" w:styleId="49">
    <w:name w:val="HTML Preformatted Char"/>
    <w:basedOn w:val="11"/>
    <w:link w:val="18"/>
    <w:semiHidden/>
    <w:uiPriority w:val="99"/>
    <w:rPr>
      <w:rFonts w:ascii="Courier New" w:hAnsi="Courier New" w:eastAsia="Times New Roman" w:cs="Courier New"/>
      <w:kern w:val="0"/>
      <w:sz w:val="20"/>
      <w:szCs w:val="20"/>
      <w:lang w:eastAsia="en-GB"/>
      <w14:ligatures w14:val="none"/>
    </w:rPr>
  </w:style>
  <w:style w:type="character" w:customStyle="1" w:styleId="50">
    <w:name w:val="hljs-variable"/>
    <w:basedOn w:val="11"/>
    <w:uiPriority w:val="0"/>
  </w:style>
  <w:style w:type="character" w:customStyle="1" w:styleId="51">
    <w:name w:val="hljs-built_in"/>
    <w:basedOn w:val="11"/>
    <w:qFormat/>
    <w:uiPriority w:val="0"/>
  </w:style>
  <w:style w:type="character" w:customStyle="1" w:styleId="52">
    <w:name w:val="hljs-operator"/>
    <w:basedOn w:val="11"/>
    <w:uiPriority w:val="0"/>
  </w:style>
  <w:style w:type="character" w:customStyle="1" w:styleId="53">
    <w:name w:val="hljs-number"/>
    <w:basedOn w:val="11"/>
    <w:uiPriority w:val="0"/>
  </w:style>
  <w:style w:type="character" w:customStyle="1" w:styleId="54">
    <w:name w:val="hljs-code"/>
    <w:basedOn w:val="11"/>
    <w:uiPriority w:val="0"/>
  </w:style>
  <w:style w:type="character" w:customStyle="1" w:styleId="55">
    <w:name w:val="text-xs"/>
    <w:basedOn w:val="11"/>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3216</Words>
  <Characters>18334</Characters>
  <Lines>152</Lines>
  <Paragraphs>43</Paragraphs>
  <TotalTime>13</TotalTime>
  <ScaleCrop>false</ScaleCrop>
  <LinksUpToDate>false</LinksUpToDate>
  <CharactersWithSpaces>21507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2025-12-18T21:06:00Z</dcterms:created>
  <dc:creator>Steve Pearson</dc:creator>
  <cp:lastModifiedBy>Np17</cp:lastModifiedBy>
  <dcterms:modified xsi:type="dcterms:W3CDTF">2025-12-19T11:55:48Z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E08B38C5AD534E8D95C6DE747112ADC8_12</vt:lpwstr>
  </property>
</Properties>
</file>