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816E8" w14:textId="74185237" w:rsidR="005A14CC" w:rsidRDefault="005A14CC">
      <w:r>
        <w:t>Critical Discussion – Swansea Museum</w:t>
      </w:r>
    </w:p>
    <w:p w14:paraId="6416EE8E" w14:textId="5ECAB10D" w:rsidR="001956FC" w:rsidRDefault="001956FC"/>
    <w:p w14:paraId="3107933A" w14:textId="5055BA21" w:rsidR="006E24E9" w:rsidRDefault="001956FC" w:rsidP="0049488B">
      <w:pPr>
        <w:spacing w:line="480" w:lineRule="auto"/>
      </w:pPr>
      <w:r>
        <w:t>Swansea Museum is the oldest museum in Wales</w:t>
      </w:r>
      <w:r w:rsidR="00F92EF5">
        <w:t xml:space="preserve"> dating from 1841.</w:t>
      </w:r>
      <w:r>
        <w:t xml:space="preserve"> It was built by the Royal Institution of South Wales</w:t>
      </w:r>
      <w:r w:rsidR="00A77520">
        <w:t xml:space="preserve"> (RISW)</w:t>
      </w:r>
      <w:r>
        <w:t xml:space="preserve"> for the purpose of housing the Institution’s collections and providing a place for learning and research.  </w:t>
      </w:r>
      <w:r w:rsidR="00A77520">
        <w:t>Although the RISW still exists, they relinquished the guardianship of the Museum in 1990.</w:t>
      </w:r>
      <w:r w:rsidR="0049488B">
        <w:rPr>
          <w:rStyle w:val="FootnoteReference"/>
        </w:rPr>
        <w:footnoteReference w:id="1"/>
      </w:r>
      <w:r w:rsidR="00A77520">
        <w:t xml:space="preserve"> Since that time Swansea City Council has been responsible for its running and upkeep. </w:t>
      </w:r>
      <w:r>
        <w:t xml:space="preserve">The </w:t>
      </w:r>
      <w:r w:rsidR="00180746">
        <w:t xml:space="preserve">neo classical </w:t>
      </w:r>
      <w:r w:rsidR="00E40BE4">
        <w:t>building,</w:t>
      </w:r>
      <w:r w:rsidR="00180746">
        <w:t xml:space="preserve"> has been grade two listed</w:t>
      </w:r>
      <w:r>
        <w:t>.</w:t>
      </w:r>
      <w:r>
        <w:rPr>
          <w:rStyle w:val="FootnoteReference"/>
        </w:rPr>
        <w:footnoteReference w:id="2"/>
      </w:r>
      <w:r w:rsidR="005202E5">
        <w:t xml:space="preserve"> The term ‘Swansea Museum’ also encompasses the </w:t>
      </w:r>
      <w:r w:rsidR="0063444E">
        <w:t>c</w:t>
      </w:r>
      <w:r w:rsidR="005202E5">
        <w:t>ollection</w:t>
      </w:r>
      <w:r w:rsidR="00F92EF5">
        <w:t>’</w:t>
      </w:r>
      <w:r w:rsidR="005202E5">
        <w:t xml:space="preserve">s Centre in </w:t>
      </w:r>
      <w:proofErr w:type="spellStart"/>
      <w:r w:rsidR="005202E5">
        <w:t>Landore</w:t>
      </w:r>
      <w:proofErr w:type="spellEnd"/>
      <w:r w:rsidR="005202E5">
        <w:t xml:space="preserve">, the </w:t>
      </w:r>
      <w:proofErr w:type="spellStart"/>
      <w:r w:rsidR="005202E5">
        <w:t>Tramshed</w:t>
      </w:r>
      <w:proofErr w:type="spellEnd"/>
      <w:r w:rsidR="005202E5">
        <w:t xml:space="preserve"> adjacent to the Dylan Thomas Centre in Swansea Marina and a transport section including boats moored in the Marina. For the purpose of this critical discussion, a visit was made to the original museum building </w:t>
      </w:r>
      <w:r w:rsidR="0047685C">
        <w:t xml:space="preserve">in March 2022 </w:t>
      </w:r>
      <w:r w:rsidR="005202E5">
        <w:t>and will form the basis of this assignment.</w:t>
      </w:r>
      <w:r w:rsidR="005726D5">
        <w:t xml:space="preserve"> It was not possible to visit the </w:t>
      </w:r>
      <w:proofErr w:type="spellStart"/>
      <w:r w:rsidR="005726D5">
        <w:t>Tramshed</w:t>
      </w:r>
      <w:proofErr w:type="spellEnd"/>
      <w:r w:rsidR="005726D5">
        <w:t xml:space="preserve"> or the boats in the Marina as they were not open to the public.</w:t>
      </w:r>
      <w:r w:rsidR="00F92EF5">
        <w:t xml:space="preserve"> The collection’s centre is only available for prearranged visits to view specific </w:t>
      </w:r>
      <w:r w:rsidR="00683B8D">
        <w:t>objects</w:t>
      </w:r>
      <w:r w:rsidR="00F92EF5">
        <w:t>.</w:t>
      </w:r>
    </w:p>
    <w:p w14:paraId="471B8D1D" w14:textId="1697AEF9" w:rsidR="00097EBD" w:rsidRDefault="00017E49" w:rsidP="0049488B">
      <w:pPr>
        <w:spacing w:line="480" w:lineRule="auto"/>
      </w:pPr>
      <w:r>
        <w:t xml:space="preserve"> </w:t>
      </w:r>
      <w:r w:rsidR="00097EBD">
        <w:t xml:space="preserve">Harrison </w:t>
      </w:r>
      <w:r>
        <w:t>et al contend that heritage and conservation practices can be categorised into four processes: categorising, curating, conserving and communicating.</w:t>
      </w:r>
      <w:r>
        <w:rPr>
          <w:rStyle w:val="FootnoteReference"/>
        </w:rPr>
        <w:footnoteReference w:id="3"/>
      </w:r>
      <w:r w:rsidR="002475A3">
        <w:t xml:space="preserve"> Categorising involves identification and placing information about objects within the context of the institutions filing system. Curating is concerned with the collecting of objects and placing value upon the objects. </w:t>
      </w:r>
      <w:r w:rsidR="00135FAF">
        <w:t>The meaning of conserving is self-evident but also links to the need to place value and context for objects. Communicating concerns the ‘public face’ of institutions. This is broadly how the objects are displayed not just in physical terms but also the way in which the public will experience the object and its context.</w:t>
      </w:r>
      <w:r w:rsidR="00FB71CD">
        <w:t xml:space="preserve"> The public might well be largely unaware of the first three processes but</w:t>
      </w:r>
      <w:r w:rsidR="003974E4">
        <w:t xml:space="preserve"> should </w:t>
      </w:r>
      <w:r w:rsidR="00FB71CD">
        <w:t>be fully involved with</w:t>
      </w:r>
      <w:r w:rsidR="0046537B">
        <w:t xml:space="preserve"> the communication aspect. </w:t>
      </w:r>
    </w:p>
    <w:p w14:paraId="2AC64F59" w14:textId="0959A436" w:rsidR="00474FF1" w:rsidRDefault="008E22AC" w:rsidP="0049488B">
      <w:pPr>
        <w:spacing w:line="480" w:lineRule="auto"/>
      </w:pPr>
      <w:r>
        <w:lastRenderedPageBreak/>
        <w:t xml:space="preserve"> </w:t>
      </w:r>
      <w:r w:rsidR="00811FAD">
        <w:t>Timothy Ambrose and Crispin Paine</w:t>
      </w:r>
      <w:r w:rsidR="007950BE">
        <w:t xml:space="preserve"> similarly</w:t>
      </w:r>
      <w:r w:rsidR="00811FAD">
        <w:t xml:space="preserve"> provide a </w:t>
      </w:r>
      <w:r>
        <w:t xml:space="preserve">summary of their view </w:t>
      </w:r>
      <w:r w:rsidR="0063444E">
        <w:t>concerning</w:t>
      </w:r>
      <w:r>
        <w:t xml:space="preserve"> the purpose of museums.</w:t>
      </w:r>
      <w:r>
        <w:rPr>
          <w:rStyle w:val="FootnoteReference"/>
        </w:rPr>
        <w:footnoteReference w:id="4"/>
      </w:r>
      <w:r w:rsidR="007950BE">
        <w:t xml:space="preserve"> They contend that managing collections whilst being careful to make them easily accessible to the public is a primary concern. They further discuss the importance of carrying out market research to determine the nature of museum visitors. They also believe that meeting needs of visitors</w:t>
      </w:r>
      <w:r w:rsidR="00DD12BB">
        <w:t xml:space="preserve"> and being mindful of their care is important. Finally, they note the need to manage staff and volunteers and also available resources. Ambrose and Paine would seem to emphasise the importance of visitors, their wellbeing and the need to provide a good visitor experience.</w:t>
      </w:r>
      <w:r w:rsidR="00AB782A">
        <w:t xml:space="preserve"> Engagement with visitors is a major thread to their work. They do not denigrate the need to manage </w:t>
      </w:r>
      <w:r w:rsidR="00182658">
        <w:t xml:space="preserve">and conserve </w:t>
      </w:r>
      <w:r w:rsidR="00AB782A">
        <w:t>collections</w:t>
      </w:r>
      <w:r w:rsidR="00182658">
        <w:t xml:space="preserve"> but their emphasis is on recognition of and knowledge related to what makes for a positive visitor experience.</w:t>
      </w:r>
    </w:p>
    <w:p w14:paraId="22D88ED0" w14:textId="7F5CA729" w:rsidR="00BA7B1A" w:rsidRDefault="00BA7B1A" w:rsidP="0049488B">
      <w:pPr>
        <w:spacing w:line="480" w:lineRule="auto"/>
      </w:pPr>
      <w:r>
        <w:t xml:space="preserve">To be able to offer a detailed discussion of the Swansea Museum visitor’s experience, it is </w:t>
      </w:r>
      <w:r w:rsidR="00DB3BB0">
        <w:t xml:space="preserve">useful </w:t>
      </w:r>
      <w:r>
        <w:t xml:space="preserve">to consider two further views of the role and purpose of museums in general. L. J. Smith and E. Waterton strongly argue that museums need to see themselves </w:t>
      </w:r>
      <w:r w:rsidR="00077BD8">
        <w:t xml:space="preserve">as one part of the community which has ownership of heritage institutions, ‘Once we cut through the rhetoric of custodianship and stewardship, and the authority accorded to expert knowledge by society </w:t>
      </w:r>
      <w:proofErr w:type="gramStart"/>
      <w:r w:rsidR="00DF6B3F">
        <w:t>…..</w:t>
      </w:r>
      <w:proofErr w:type="gramEnd"/>
      <w:r w:rsidR="00077BD8">
        <w:t xml:space="preserve"> experts in the heritage sector are just another community with an interest in the past.’</w:t>
      </w:r>
      <w:r w:rsidR="00F3416D">
        <w:rPr>
          <w:rStyle w:val="FootnoteReference"/>
        </w:rPr>
        <w:footnoteReference w:id="5"/>
      </w:r>
      <w:r w:rsidR="00393FDC">
        <w:t xml:space="preserve"> Smith and Waterton strongly argue that heritage belongs to all groups in a community and academic study needs to engage with all partners. Local communities need to be engaged to allow them to express an equally valid ownership of their </w:t>
      </w:r>
      <w:r w:rsidR="00655C5F">
        <w:t>local history.</w:t>
      </w:r>
      <w:r w:rsidR="005A30BA">
        <w:t xml:space="preserve"> Julia D. Harrison similarly argues for the need of local engagement and notes the changing roles and attitudes to museums since the 1990s.</w:t>
      </w:r>
      <w:r w:rsidR="005A30BA">
        <w:rPr>
          <w:rStyle w:val="FootnoteReference"/>
        </w:rPr>
        <w:footnoteReference w:id="6"/>
      </w:r>
      <w:r w:rsidR="007C50C6">
        <w:t xml:space="preserve"> In noting the past reliance on ‘material evidence’ demonstrated through museum exhibits, Harrison notes that many museums, ‘are architecturally reminiscent of churches or the mansions of those who rule.’</w:t>
      </w:r>
      <w:r w:rsidR="007C50C6">
        <w:rPr>
          <w:rStyle w:val="FootnoteReference"/>
        </w:rPr>
        <w:footnoteReference w:id="7"/>
      </w:r>
      <w:r w:rsidR="00265B86">
        <w:t xml:space="preserve"> The effect of this</w:t>
      </w:r>
      <w:r w:rsidR="00DF57CC">
        <w:t xml:space="preserve"> is </w:t>
      </w:r>
      <w:r w:rsidR="00DF57CC">
        <w:lastRenderedPageBreak/>
        <w:t>to ‘impress upon the visitor the idea that museum visits are a privilege and an educational if not morally uplifting, experience.’</w:t>
      </w:r>
      <w:r w:rsidR="00DF57CC">
        <w:rPr>
          <w:rStyle w:val="FootnoteReference"/>
        </w:rPr>
        <w:footnoteReference w:id="8"/>
      </w:r>
      <w:r w:rsidR="00EF632B">
        <w:t xml:space="preserve"> Accordingly</w:t>
      </w:r>
      <w:r w:rsidR="00C00E11">
        <w:t>,</w:t>
      </w:r>
      <w:r w:rsidR="00EF632B">
        <w:t xml:space="preserve"> the visitor </w:t>
      </w:r>
      <w:r w:rsidR="00781C57">
        <w:t>was</w:t>
      </w:r>
      <w:r w:rsidR="00EF632B">
        <w:t xml:space="preserve"> there to view </w:t>
      </w:r>
      <w:r w:rsidR="007A24EC">
        <w:t xml:space="preserve">displayed items </w:t>
      </w:r>
      <w:r w:rsidR="00EF632B">
        <w:t>but not to be a part in the museum community.</w:t>
      </w:r>
    </w:p>
    <w:p w14:paraId="098ED621" w14:textId="5948673F" w:rsidR="006A0413" w:rsidRDefault="006A0413" w:rsidP="0049488B">
      <w:pPr>
        <w:spacing w:line="480" w:lineRule="auto"/>
      </w:pPr>
      <w:r>
        <w:t>As we have seen, there are a variety of views concerning the purpose and function of museums</w:t>
      </w:r>
      <w:r w:rsidR="000374F9">
        <w:t xml:space="preserve"> and there is little doubt that there has been a change in the attitude towards visitors</w:t>
      </w:r>
      <w:r w:rsidR="00FA7602">
        <w:t xml:space="preserve"> during the last two decades. F</w:t>
      </w:r>
      <w:r w:rsidR="003057A3">
        <w:t xml:space="preserve">ormerly </w:t>
      </w:r>
      <w:r w:rsidR="000374F9">
        <w:t>the role of the visitor was passive</w:t>
      </w:r>
      <w:r w:rsidR="003057A3">
        <w:t>,</w:t>
      </w:r>
      <w:r w:rsidR="000374F9">
        <w:t xml:space="preserve"> with no involvement with the decisions made concerning what was available to view</w:t>
      </w:r>
      <w:r w:rsidR="003057A3">
        <w:t xml:space="preserve">. </w:t>
      </w:r>
      <w:r w:rsidR="00FA7602">
        <w:t>In many</w:t>
      </w:r>
      <w:r w:rsidR="000374F9">
        <w:t xml:space="preserve"> museums </w:t>
      </w:r>
      <w:r w:rsidR="003057A3">
        <w:t>th</w:t>
      </w:r>
      <w:r w:rsidR="00B86710">
        <w:t>is</w:t>
      </w:r>
      <w:r w:rsidR="003057A3">
        <w:t xml:space="preserve"> </w:t>
      </w:r>
      <w:r w:rsidR="000374F9">
        <w:t>is no longer the case. The local community is allowed to be involved in how the museum portrays the objects in its care.</w:t>
      </w:r>
      <w:r w:rsidR="004214F1">
        <w:t xml:space="preserve"> In the view expressed </w:t>
      </w:r>
      <w:r w:rsidR="00BC7021">
        <w:t>by Harrison et al</w:t>
      </w:r>
      <w:r w:rsidR="001F5942">
        <w:rPr>
          <w:i/>
          <w:iCs/>
        </w:rPr>
        <w:t>,</w:t>
      </w:r>
      <w:r w:rsidR="004214F1">
        <w:rPr>
          <w:i/>
          <w:iCs/>
        </w:rPr>
        <w:t xml:space="preserve"> </w:t>
      </w:r>
      <w:r w:rsidR="004214F1">
        <w:t>it would appear that Swansea Museum fulfils the categorising, curating and conserving roles.</w:t>
      </w:r>
      <w:r w:rsidR="00C2059D">
        <w:rPr>
          <w:rStyle w:val="FootnoteReference"/>
        </w:rPr>
        <w:footnoteReference w:id="9"/>
      </w:r>
      <w:r w:rsidR="00B50471">
        <w:t xml:space="preserve"> </w:t>
      </w:r>
      <w:r w:rsidR="004214F1">
        <w:t xml:space="preserve">However, the communication role of the Museum can be questioned and it is unclear as to what message Swansea Museum gives to visitors. The role of the Museum differs to that of its near neighbour the National Maritime Museum which is an all-Wales provision. Swansea Museum can reasonably be expected to display objects and information at a more local level. </w:t>
      </w:r>
      <w:r w:rsidR="003057A3">
        <w:t>However, m</w:t>
      </w:r>
      <w:r w:rsidR="004214F1">
        <w:t xml:space="preserve">any of the display cases are </w:t>
      </w:r>
      <w:r w:rsidR="00A210A2">
        <w:t xml:space="preserve">used to </w:t>
      </w:r>
      <w:r w:rsidR="00B97124">
        <w:t>showcase objects which have no local connection at all. As an example</w:t>
      </w:r>
      <w:r w:rsidR="00505643">
        <w:t>, two large cases</w:t>
      </w:r>
      <w:r w:rsidR="00B97124">
        <w:t xml:space="preserve"> close to the entrance contain fossils which were discovered and removed from a quarry in Street</w:t>
      </w:r>
      <w:r w:rsidR="005D1CBD">
        <w:t xml:space="preserve">, </w:t>
      </w:r>
      <w:r w:rsidR="00B97124">
        <w:t xml:space="preserve">Somerset. </w:t>
      </w:r>
      <w:r w:rsidR="00505643">
        <w:t xml:space="preserve">Apart from labelling what these fossils were there was no indication of any local connection. </w:t>
      </w:r>
      <w:r w:rsidR="001F5942">
        <w:t>Taken as a whole more than half of the objects displayed at Swansea Museum have little</w:t>
      </w:r>
      <w:r w:rsidR="00ED35ED">
        <w:t>,</w:t>
      </w:r>
      <w:r w:rsidR="001F5942">
        <w:t xml:space="preserve"> if any local connection.</w:t>
      </w:r>
      <w:r w:rsidR="00B50471">
        <w:t xml:space="preserve"> Whilst it would be surprising if every display object had a local origin, it would be helpful if visitors were informed why a particular object </w:t>
      </w:r>
      <w:r w:rsidR="003057A3">
        <w:t xml:space="preserve">merited </w:t>
      </w:r>
      <w:r w:rsidR="00B50471">
        <w:t xml:space="preserve">display. </w:t>
      </w:r>
    </w:p>
    <w:p w14:paraId="3DEC6A2C" w14:textId="134F11BF" w:rsidR="00C2059D" w:rsidRDefault="00C2059D" w:rsidP="0049488B">
      <w:pPr>
        <w:spacing w:line="480" w:lineRule="auto"/>
      </w:pPr>
      <w:r>
        <w:t xml:space="preserve">The early Victorian neo classical style of the building creates both an opportunity and a problem. The grade </w:t>
      </w:r>
      <w:r w:rsidR="00746B91">
        <w:t>two</w:t>
      </w:r>
      <w:r>
        <w:t xml:space="preserve"> listed building</w:t>
      </w:r>
      <w:r w:rsidR="005134B8">
        <w:t xml:space="preserve">, typical of buildings of this age and style provides little natural light and also creates access </w:t>
      </w:r>
      <w:r w:rsidR="00F53A1A">
        <w:t>difficulties</w:t>
      </w:r>
      <w:r w:rsidR="005134B8">
        <w:t xml:space="preserve"> for those with </w:t>
      </w:r>
      <w:r w:rsidR="009366B6">
        <w:t xml:space="preserve">mobility issues. </w:t>
      </w:r>
      <w:r w:rsidR="00746B91">
        <w:t xml:space="preserve">The lack of natural light is exacerbated </w:t>
      </w:r>
      <w:r w:rsidR="00746B91">
        <w:lastRenderedPageBreak/>
        <w:t xml:space="preserve">by the dark paint used in several areas of the building. </w:t>
      </w:r>
      <w:r w:rsidR="00434127">
        <w:t xml:space="preserve">Ambrose and Paine </w:t>
      </w:r>
      <w:r w:rsidR="0094229A">
        <w:t>emphasise the importance of good lighting</w:t>
      </w:r>
      <w:r w:rsidR="00044ED7">
        <w:t>,</w:t>
      </w:r>
      <w:r w:rsidR="0094229A">
        <w:t xml:space="preserve"> ‘How we see, perceive and understand an object is crucially affected by the character of the light falling on it.’</w:t>
      </w:r>
      <w:r w:rsidR="0094229A">
        <w:rPr>
          <w:rStyle w:val="FootnoteReference"/>
        </w:rPr>
        <w:footnoteReference w:id="10"/>
      </w:r>
      <w:r w:rsidR="00BA332F">
        <w:t xml:space="preserve"> </w:t>
      </w:r>
      <w:r w:rsidR="009366B6">
        <w:t>The lift to facilitate access to the main entrance hall and upstairs was out of order</w:t>
      </w:r>
      <w:r w:rsidR="005134B8">
        <w:t xml:space="preserve"> </w:t>
      </w:r>
      <w:r w:rsidR="009366B6">
        <w:t>on the day the visit was made. This limited access to one lower ground floor gallery containing the displays of Swansea pottery and porcelain.</w:t>
      </w:r>
      <w:r w:rsidR="00F53A1A">
        <w:t xml:space="preserve"> The </w:t>
      </w:r>
      <w:r w:rsidR="00BA332F">
        <w:t xml:space="preserve">grade two listed </w:t>
      </w:r>
      <w:r w:rsidR="00F53A1A">
        <w:t>building itself warrants the provision of information regarding its construction and purpose</w:t>
      </w:r>
      <w:r w:rsidR="00BA332F">
        <w:t>,</w:t>
      </w:r>
      <w:r w:rsidR="00286021">
        <w:t xml:space="preserve"> being one of the notable buildings of the city which survived the </w:t>
      </w:r>
      <w:r w:rsidR="007D330E">
        <w:t>T</w:t>
      </w:r>
      <w:r w:rsidR="00434127">
        <w:t>hree-</w:t>
      </w:r>
      <w:r w:rsidR="007D330E">
        <w:t>D</w:t>
      </w:r>
      <w:r w:rsidR="00434127">
        <w:t>ay</w:t>
      </w:r>
      <w:r w:rsidR="00286021">
        <w:t xml:space="preserve"> </w:t>
      </w:r>
      <w:r w:rsidR="007D330E">
        <w:t>B</w:t>
      </w:r>
      <w:r w:rsidR="00286021">
        <w:t>litz</w:t>
      </w:r>
      <w:r w:rsidR="007D330E">
        <w:t>,</w:t>
      </w:r>
      <w:r w:rsidR="00286021">
        <w:t xml:space="preserve"> during World War Two.</w:t>
      </w:r>
      <w:r w:rsidR="00F53A1A">
        <w:t xml:space="preserve"> </w:t>
      </w:r>
      <w:r w:rsidR="00BC7021">
        <w:t>A</w:t>
      </w:r>
      <w:r w:rsidR="00F53A1A">
        <w:t xml:space="preserve"> small, partially hidden information board was located some distance from the main entrance</w:t>
      </w:r>
      <w:r w:rsidR="00286021">
        <w:t xml:space="preserve"> in a dark</w:t>
      </w:r>
      <w:r w:rsidR="004A15DF">
        <w:t>,</w:t>
      </w:r>
      <w:r w:rsidR="00286021">
        <w:t xml:space="preserve"> back hallway and gave no information about the construction. </w:t>
      </w:r>
      <w:r w:rsidR="004A15DF">
        <w:t>As was the case with many of the information labels throughout the museum, it was difficult to read the information as the lighting was so poor.</w:t>
      </w:r>
      <w:r w:rsidR="008267D9">
        <w:t xml:space="preserve"> </w:t>
      </w:r>
      <w:r w:rsidR="00092CE6">
        <w:t>The atmosphere throughout the museum was as Harrison asserts rather ‘churchlike’ and this was reflected in the whispered voices of the few visitors who were present.</w:t>
      </w:r>
      <w:r w:rsidR="00092CE6">
        <w:rPr>
          <w:rStyle w:val="FootnoteReference"/>
        </w:rPr>
        <w:footnoteReference w:id="11"/>
      </w:r>
    </w:p>
    <w:p w14:paraId="5E5A44B9" w14:textId="6954FA57" w:rsidR="00F52BE2" w:rsidRDefault="00F52BE2" w:rsidP="0049488B">
      <w:pPr>
        <w:spacing w:line="480" w:lineRule="auto"/>
      </w:pPr>
      <w:r>
        <w:t xml:space="preserve">Swansea Museum could be considered to carry out most of the </w:t>
      </w:r>
      <w:r w:rsidR="00B25CDB">
        <w:t>p</w:t>
      </w:r>
      <w:r w:rsidR="00E55573">
        <w:t>rocesses</w:t>
      </w:r>
      <w:r w:rsidR="00B25CDB">
        <w:t xml:space="preserve"> of importance indicated by Harrison et al</w:t>
      </w:r>
      <w:r w:rsidR="00E55573">
        <w:t>. T</w:t>
      </w:r>
      <w:r w:rsidR="00B25CDB">
        <w:t xml:space="preserve">he categorising, curating and conserving element of museum processes </w:t>
      </w:r>
      <w:r w:rsidR="003A5123">
        <w:t xml:space="preserve">are assumed to be </w:t>
      </w:r>
      <w:r w:rsidR="00B25CDB">
        <w:t xml:space="preserve">carried out. As a visitor to the main site, it is not possible to comment on how effectively this is being </w:t>
      </w:r>
      <w:r w:rsidR="007A454E">
        <w:t>done</w:t>
      </w:r>
      <w:r w:rsidR="00B25CDB">
        <w:t xml:space="preserve">. However, the communication element is entirely reliant on displays and information labels. The visitor is left unsure as to why certain displays are present and it seems likely that the </w:t>
      </w:r>
      <w:r w:rsidR="00DF5F5C">
        <w:t>objects displayed in two of the galleries have been there for a considerable time. The main gallery</w:t>
      </w:r>
      <w:r w:rsidR="00C200A6">
        <w:t xml:space="preserve"> contains </w:t>
      </w:r>
      <w:r w:rsidR="00DF5F5C">
        <w:t xml:space="preserve">dozens of display cases </w:t>
      </w:r>
      <w:r w:rsidR="00C200A6">
        <w:t xml:space="preserve">which are </w:t>
      </w:r>
      <w:r w:rsidR="00DF5F5C">
        <w:t>entirely taken up by taxidermy and skeletal remains of long dead creatures</w:t>
      </w:r>
      <w:r w:rsidR="00E55573">
        <w:t>. E</w:t>
      </w:r>
      <w:r w:rsidR="00DF5F5C">
        <w:t xml:space="preserve">ach case and exhibit </w:t>
      </w:r>
      <w:r w:rsidR="00E55573">
        <w:t>are</w:t>
      </w:r>
      <w:r w:rsidR="00DF5F5C">
        <w:t xml:space="preserve"> labelled. </w:t>
      </w:r>
      <w:r w:rsidR="00911FC9">
        <w:t xml:space="preserve">The entire gallery seemed to </w:t>
      </w:r>
      <w:r w:rsidR="00BA332F">
        <w:t>be typical of and allude to</w:t>
      </w:r>
      <w:r w:rsidR="00911FC9">
        <w:t xml:space="preserve"> the golden age of taxidermy</w:t>
      </w:r>
      <w:r w:rsidR="00401C1E">
        <w:t>,</w:t>
      </w:r>
      <w:r w:rsidR="00911FC9">
        <w:t xml:space="preserve"> during Victorian times. </w:t>
      </w:r>
      <w:r w:rsidR="00E55573">
        <w:t>The one notable exception was a singular case and wall display dedicated to Swansea Jack</w:t>
      </w:r>
      <w:r w:rsidR="00C200A6">
        <w:t>, a</w:t>
      </w:r>
      <w:r w:rsidR="00E55573">
        <w:t xml:space="preserve"> remarkable dog which saved many lives in the Swansea dock area during the 1930s.</w:t>
      </w:r>
      <w:r w:rsidR="00E55573">
        <w:rPr>
          <w:rStyle w:val="FootnoteReference"/>
        </w:rPr>
        <w:footnoteReference w:id="12"/>
      </w:r>
      <w:r w:rsidR="00383A4A">
        <w:t xml:space="preserve"> Th</w:t>
      </w:r>
      <w:r w:rsidR="00961CE1">
        <w:t>is</w:t>
      </w:r>
      <w:r w:rsidR="00383A4A">
        <w:t xml:space="preserve"> display was in a corner and the </w:t>
      </w:r>
      <w:r w:rsidR="00383A4A">
        <w:lastRenderedPageBreak/>
        <w:t xml:space="preserve">floor standing display was back to front forcing the visitor to walk around the case to read the labels. </w:t>
      </w:r>
      <w:r w:rsidR="00E10086">
        <w:t>This gallery in common with all other galleries and displays relied entirely on visual means of communication. There was no use of audio presentation and no opportunity to touch any of the exhibits. QR codes were not used at all in any display.</w:t>
      </w:r>
    </w:p>
    <w:p w14:paraId="00842292" w14:textId="77303A36" w:rsidR="00E10086" w:rsidRDefault="00E10086" w:rsidP="0049488B">
      <w:pPr>
        <w:spacing w:line="480" w:lineRule="auto"/>
      </w:pPr>
      <w:r>
        <w:t xml:space="preserve">The mounting of display objects and their positioning </w:t>
      </w:r>
      <w:r w:rsidR="003B3B23">
        <w:t xml:space="preserve">often </w:t>
      </w:r>
      <w:r>
        <w:t xml:space="preserve">did little to enhance the objects. An entire gallery is given over to a collection of Swansea pottery and porcelain. </w:t>
      </w:r>
      <w:r w:rsidR="00CB6ADB">
        <w:t>Several of the labels described the maker</w:t>
      </w:r>
      <w:r w:rsidR="003B3B23">
        <w:t>’</w:t>
      </w:r>
      <w:r w:rsidR="00CB6ADB">
        <w:t xml:space="preserve">s marks which are found on the reverse of the objects, yet the visitor could not see them. </w:t>
      </w:r>
      <w:r w:rsidR="003B3B23">
        <w:t>The u</w:t>
      </w:r>
      <w:r w:rsidR="00CB6ADB">
        <w:t>se of mirrors would have allowed visitors to see the marks for themselves. The positioning of the displays did not help to inform the visitor of the difference between pottery and porcelain production in Swansea. Porcelain production was limited to three years 1814 – 1817, as it was largely experimental and the loss of nine tenths of the products in the kiln made it unprofitable</w:t>
      </w:r>
      <w:r w:rsidR="00A60134">
        <w:t xml:space="preserve"> as the pieces were very expensive</w:t>
      </w:r>
      <w:r w:rsidR="00CB6ADB">
        <w:t>.</w:t>
      </w:r>
      <w:r w:rsidR="00CB6ADB">
        <w:rPr>
          <w:rStyle w:val="FootnoteReference"/>
        </w:rPr>
        <w:footnoteReference w:id="13"/>
      </w:r>
      <w:r w:rsidR="00A60134">
        <w:t xml:space="preserve"> Pottery production took place over a much longer period and the pieces were for every day use. </w:t>
      </w:r>
      <w:r w:rsidR="003B3B23">
        <w:t>This was not explained.</w:t>
      </w:r>
    </w:p>
    <w:p w14:paraId="5CCC05EF" w14:textId="19B2BA18" w:rsidR="001D16B3" w:rsidRDefault="001D16B3" w:rsidP="0049488B">
      <w:pPr>
        <w:spacing w:line="480" w:lineRule="auto"/>
      </w:pPr>
      <w:r>
        <w:t>Currently an exhibition titled ‘Clothes – 186 Years of Collecting’ has been staged in one gallery</w:t>
      </w:r>
      <w:r w:rsidR="00224B29">
        <w:t xml:space="preserve"> which has only been advertised on the museum online site. Curiously</w:t>
      </w:r>
      <w:r w:rsidR="003B3B23">
        <w:t>,</w:t>
      </w:r>
      <w:r w:rsidR="00224B29">
        <w:t xml:space="preserve"> the first exhibit are pieces of cloth decorated with the Victorian interpretation of Egyptian patterns. These are accompanied by two-thousand-year-old fragments of cloth. Neither of these exhibits meet the description of </w:t>
      </w:r>
      <w:r w:rsidR="00A41378">
        <w:t>clothes</w:t>
      </w:r>
      <w:r w:rsidR="00224B29">
        <w:t>.  The exhibition is chronologically arranged. However, the lack of signage meant that the visitor unwittingly started at the end and worked backwards through time.</w:t>
      </w:r>
      <w:r w:rsidR="000871FB">
        <w:t xml:space="preserve"> In common with all other galleries and areas in the Museum, the exhibition relied entirely on objects mostly in cases with display labels. </w:t>
      </w:r>
      <w:r w:rsidR="00B21DBB">
        <w:t xml:space="preserve">Amy Jane Barnes asserts that museums need to ‘take some risks, to remain intellectually (and physically) accessible while challenging its audiences’. </w:t>
      </w:r>
      <w:r w:rsidR="00B21DBB">
        <w:rPr>
          <w:rStyle w:val="FootnoteReference"/>
        </w:rPr>
        <w:footnoteReference w:id="14"/>
      </w:r>
      <w:r w:rsidR="00B36154">
        <w:t xml:space="preserve"> The audience for this temporary exhibition </w:t>
      </w:r>
      <w:r w:rsidR="00BB2672">
        <w:t>is</w:t>
      </w:r>
      <w:r w:rsidR="00B36154">
        <w:t xml:space="preserve"> not challenged </w:t>
      </w:r>
      <w:r w:rsidR="00BB2672">
        <w:t xml:space="preserve">to engage </w:t>
      </w:r>
      <w:r w:rsidR="00B36154">
        <w:t>as their position is</w:t>
      </w:r>
      <w:r w:rsidR="00BB2672">
        <w:t xml:space="preserve"> that of</w:t>
      </w:r>
      <w:r w:rsidR="00B36154">
        <w:t xml:space="preserve"> entirely passive receivers </w:t>
      </w:r>
      <w:r w:rsidR="00B36154">
        <w:lastRenderedPageBreak/>
        <w:t>of the</w:t>
      </w:r>
      <w:r w:rsidR="00445ABF">
        <w:t xml:space="preserve"> labelled</w:t>
      </w:r>
      <w:r w:rsidR="00B36154">
        <w:t xml:space="preserve"> informa</w:t>
      </w:r>
      <w:r w:rsidR="00445ABF">
        <w:t>tion which has been selected by the person who staged the displays.</w:t>
      </w:r>
      <w:r w:rsidR="00D106B0">
        <w:t xml:space="preserve"> This exhibition does not typify the ‘good visitor experience’ which Ambrose and Paine contend is so important.</w:t>
      </w:r>
      <w:r w:rsidR="00D106B0">
        <w:rPr>
          <w:rStyle w:val="FootnoteReference"/>
        </w:rPr>
        <w:footnoteReference w:id="15"/>
      </w:r>
    </w:p>
    <w:p w14:paraId="4694A48B" w14:textId="7665A94A" w:rsidR="004B49FA" w:rsidRDefault="004B49FA" w:rsidP="0049488B">
      <w:pPr>
        <w:spacing w:line="480" w:lineRule="auto"/>
      </w:pPr>
      <w:r>
        <w:t xml:space="preserve">In the final analysis there are various issues which need addressing </w:t>
      </w:r>
      <w:r w:rsidR="00ED2CFA">
        <w:t xml:space="preserve">in Swansea Museum to </w:t>
      </w:r>
      <w:r w:rsidR="009661F8">
        <w:t xml:space="preserve">produce </w:t>
      </w:r>
      <w:r w:rsidR="00ED2CFA">
        <w:t xml:space="preserve">a </w:t>
      </w:r>
      <w:r w:rsidR="00C55794">
        <w:t>much-improved</w:t>
      </w:r>
      <w:r w:rsidR="00ED2CFA">
        <w:t xml:space="preserve"> visitor experience</w:t>
      </w:r>
      <w:r w:rsidR="00DA1238">
        <w:t>,</w:t>
      </w:r>
      <w:r w:rsidR="009661F8">
        <w:t xml:space="preserve"> for all age groups. </w:t>
      </w:r>
      <w:r w:rsidR="00ED2CFA">
        <w:t>Several of the more pragmatic issues concerned with display and access have already been mentioned in this critical discussion. Even accepting the difficulties of funding over the last few years and particularly since March 2020</w:t>
      </w:r>
      <w:r w:rsidR="00667910">
        <w:t xml:space="preserve"> since the start of the covid pandemic, the communication aspect of museum work appears to have been neglecte</w:t>
      </w:r>
      <w:r w:rsidR="009661F8">
        <w:t>d</w:t>
      </w:r>
      <w:r w:rsidR="00B5342A">
        <w:t>,</w:t>
      </w:r>
      <w:r w:rsidR="009661F8">
        <w:t xml:space="preserve"> </w:t>
      </w:r>
      <w:r w:rsidR="00DA1238">
        <w:t xml:space="preserve">possibly </w:t>
      </w:r>
      <w:r w:rsidR="009661F8">
        <w:t>to enable conservation</w:t>
      </w:r>
      <w:r w:rsidR="00667910">
        <w:t xml:space="preserve"> and curating practices</w:t>
      </w:r>
      <w:r w:rsidR="009661F8">
        <w:t xml:space="preserve"> to continue</w:t>
      </w:r>
      <w:r w:rsidR="00667910">
        <w:t xml:space="preserve">. </w:t>
      </w:r>
      <w:r w:rsidR="0009133F">
        <w:t xml:space="preserve">Community engagement with the museum and its work seems at best </w:t>
      </w:r>
      <w:r w:rsidR="00DA1238">
        <w:t>limited,</w:t>
      </w:r>
      <w:r w:rsidR="009661F8">
        <w:t xml:space="preserve"> as the museum</w:t>
      </w:r>
      <w:r w:rsidR="00DA1238">
        <w:t>’s work</w:t>
      </w:r>
      <w:r w:rsidR="009661F8">
        <w:t xml:space="preserve"> seems </w:t>
      </w:r>
      <w:r w:rsidR="006426F0">
        <w:t xml:space="preserve">almost </w:t>
      </w:r>
      <w:r w:rsidR="009661F8">
        <w:t>detached from the Swansea community</w:t>
      </w:r>
      <w:r w:rsidR="0009133F">
        <w:t xml:space="preserve">. The </w:t>
      </w:r>
      <w:r w:rsidR="00BB2672">
        <w:t>Friends</w:t>
      </w:r>
      <w:r w:rsidR="0009133F">
        <w:t xml:space="preserve"> of Swansea </w:t>
      </w:r>
      <w:r w:rsidR="00BB2672">
        <w:t>Museum is stated to be the RISW</w:t>
      </w:r>
      <w:r w:rsidR="00AF3E59">
        <w:t>.</w:t>
      </w:r>
      <w:r w:rsidR="006426F0">
        <w:t xml:space="preserve"> Accordingly, non-members of the RISW have no official outlet for their interest. </w:t>
      </w:r>
      <w:r w:rsidR="00BB2672">
        <w:t xml:space="preserve"> </w:t>
      </w:r>
      <w:r w:rsidR="00DA1238">
        <w:t>It is unclear if the R</w:t>
      </w:r>
      <w:r w:rsidR="00B14BB9">
        <w:t>IS</w:t>
      </w:r>
      <w:r w:rsidR="00DA1238">
        <w:t>W make purchase decisions in tandem with the museum staff, or unilatera</w:t>
      </w:r>
      <w:r w:rsidR="00C55794">
        <w:t>lly</w:t>
      </w:r>
      <w:r w:rsidR="00DA1238">
        <w:t xml:space="preserve">. </w:t>
      </w:r>
      <w:r w:rsidR="00BB2672">
        <w:t>Tony Bennet</w:t>
      </w:r>
      <w:r w:rsidR="00F7732D">
        <w:t>t’</w:t>
      </w:r>
      <w:r w:rsidR="00BB2672">
        <w:t>s</w:t>
      </w:r>
      <w:r w:rsidR="00F7732D">
        <w:t xml:space="preserve"> assertion that ‘Few museums draw attention to the assumptions which have informed their choice of what to preserve or the principles which govern the organisation of their exhibits.’</w:t>
      </w:r>
      <w:r w:rsidR="00F7732D">
        <w:rPr>
          <w:rStyle w:val="FootnoteReference"/>
        </w:rPr>
        <w:footnoteReference w:id="16"/>
      </w:r>
      <w:r w:rsidR="00C108C2">
        <w:t xml:space="preserve"> </w:t>
      </w:r>
      <w:r w:rsidR="00495112">
        <w:t xml:space="preserve">This is the case in Swansea Museum. </w:t>
      </w:r>
      <w:r w:rsidR="00C108C2">
        <w:t xml:space="preserve">Similarly, </w:t>
      </w:r>
      <w:r w:rsidR="00730E94">
        <w:t>M.L. Sorensen and John Carmen enlarge this view by ask</w:t>
      </w:r>
      <w:r w:rsidR="00AF3E59">
        <w:t>ing</w:t>
      </w:r>
      <w:r w:rsidR="00730E94">
        <w:t xml:space="preserve"> us to consider that the communication choices made will depend on ‘where we stand, how we observe or how we interpret.’</w:t>
      </w:r>
      <w:r w:rsidR="00730E94">
        <w:rPr>
          <w:rStyle w:val="FootnoteReference"/>
        </w:rPr>
        <w:footnoteReference w:id="17"/>
      </w:r>
      <w:r w:rsidR="00321A75">
        <w:t xml:space="preserve"> Barnes further contends that knowledge is not objective and depends on our experiences.</w:t>
      </w:r>
      <w:r w:rsidR="00321A75">
        <w:rPr>
          <w:rStyle w:val="FootnoteReference"/>
        </w:rPr>
        <w:footnoteReference w:id="18"/>
      </w:r>
      <w:r w:rsidR="008B61D8">
        <w:t xml:space="preserve"> </w:t>
      </w:r>
      <w:bookmarkStart w:id="9" w:name="_Hlk98579158"/>
    </w:p>
    <w:bookmarkEnd w:id="9"/>
    <w:p w14:paraId="3A733B60" w14:textId="354CD7C1" w:rsidR="007C527A" w:rsidRDefault="007C527A" w:rsidP="0049488B">
      <w:pPr>
        <w:spacing w:line="480" w:lineRule="auto"/>
      </w:pPr>
      <w:r>
        <w:t>In conclusion, Swansea Museum is not using the opportunity to engage with the community effectively</w:t>
      </w:r>
      <w:r w:rsidR="00E71EB7">
        <w:t xml:space="preserve">, </w:t>
      </w:r>
      <w:r w:rsidR="00CB470F">
        <w:t>seemingly</w:t>
      </w:r>
      <w:r w:rsidR="00E71EB7">
        <w:t xml:space="preserve"> ‘funnelling’ </w:t>
      </w:r>
      <w:r w:rsidR="00CB470F">
        <w:t>support through a member only organisation.</w:t>
      </w:r>
      <w:r>
        <w:t xml:space="preserve"> The opportunity to </w:t>
      </w:r>
      <w:r>
        <w:lastRenderedPageBreak/>
        <w:t>fund raise via the provision of refreshments and an effective on-site shop are not taken up</w:t>
      </w:r>
      <w:r w:rsidR="00CB470F">
        <w:t>. This is</w:t>
      </w:r>
      <w:r>
        <w:t xml:space="preserve"> possibly due to the ongoing involvement of the RISW who </w:t>
      </w:r>
      <w:r w:rsidR="00CB470F">
        <w:t>carry out</w:t>
      </w:r>
      <w:r w:rsidR="00B82994">
        <w:t xml:space="preserve"> their own fund raising.</w:t>
      </w:r>
      <w:r>
        <w:t xml:space="preserve"> The museum website is </w:t>
      </w:r>
      <w:r w:rsidR="00CB470F">
        <w:t>confusing</w:t>
      </w:r>
      <w:r w:rsidR="00595D6F">
        <w:t>, being</w:t>
      </w:r>
      <w:r>
        <w:t xml:space="preserve"> arranged with incorrect information and links which do not work.</w:t>
      </w:r>
      <w:r w:rsidR="00B82994">
        <w:t xml:space="preserve"> There is no opportunity for visitor feedback or comments and no visitor information is gathered. The museum is open five days a week, but for only twenty-five hours in total. </w:t>
      </w:r>
      <w:r w:rsidR="00CB470F">
        <w:t xml:space="preserve">No use whatsoever is made of interactive computer displays. </w:t>
      </w:r>
      <w:r w:rsidR="00B82994">
        <w:t xml:space="preserve">The </w:t>
      </w:r>
      <w:r w:rsidR="00774299">
        <w:t xml:space="preserve">museum’s outlook would seemingly still </w:t>
      </w:r>
      <w:r w:rsidR="00595D6F">
        <w:t>be that</w:t>
      </w:r>
      <w:r w:rsidR="00774299">
        <w:t xml:space="preserve"> a visitor as a passive recipient of displays in which they are not permitted to have any input </w:t>
      </w:r>
      <w:r w:rsidR="005529D2">
        <w:t xml:space="preserve">to </w:t>
      </w:r>
      <w:r w:rsidR="00774299">
        <w:t>or interaction with.</w:t>
      </w:r>
      <w:r w:rsidR="00CB470F">
        <w:t xml:space="preserve"> If these points continue, </w:t>
      </w:r>
      <w:r w:rsidR="00BA375E">
        <w:t xml:space="preserve">it is likely that </w:t>
      </w:r>
      <w:r w:rsidR="00CB470F">
        <w:t>visitor numbers will continue to be low</w:t>
      </w:r>
      <w:r w:rsidR="00217A36">
        <w:t xml:space="preserve">. This is </w:t>
      </w:r>
      <w:r w:rsidR="000D63BC">
        <w:t>a digital</w:t>
      </w:r>
      <w:r w:rsidR="00217A36">
        <w:t xml:space="preserve"> </w:t>
      </w:r>
      <w:r w:rsidR="000D63BC">
        <w:t>age;</w:t>
      </w:r>
      <w:r w:rsidR="00217A36">
        <w:t xml:space="preserve"> the visitor experience needs to reflect this.</w:t>
      </w:r>
    </w:p>
    <w:p w14:paraId="5217A9A3" w14:textId="2DC8A01F" w:rsidR="004B49FA" w:rsidRDefault="004B49FA" w:rsidP="0049488B">
      <w:pPr>
        <w:spacing w:line="480" w:lineRule="auto"/>
      </w:pPr>
    </w:p>
    <w:p w14:paraId="04B38900" w14:textId="77777777" w:rsidR="004B49FA" w:rsidRDefault="004B49FA" w:rsidP="0049488B">
      <w:pPr>
        <w:spacing w:line="480" w:lineRule="auto"/>
      </w:pPr>
    </w:p>
    <w:p w14:paraId="7A4A6940" w14:textId="77777777" w:rsidR="00A60134" w:rsidRDefault="00A60134" w:rsidP="0049488B">
      <w:pPr>
        <w:spacing w:line="480" w:lineRule="auto"/>
      </w:pPr>
    </w:p>
    <w:p w14:paraId="578A152C" w14:textId="2F960940" w:rsidR="005726D5" w:rsidRDefault="004A79B3">
      <w:r>
        <w:t>21</w:t>
      </w:r>
      <w:r w:rsidR="002310BF">
        <w:t>43</w:t>
      </w:r>
      <w:r w:rsidR="005529D2">
        <w:t xml:space="preserve"> </w:t>
      </w:r>
      <w:r w:rsidR="005726D5">
        <w:t>words</w:t>
      </w:r>
    </w:p>
    <w:p w14:paraId="2D4EF3D1" w14:textId="48EC76BC" w:rsidR="002E4C1D" w:rsidRDefault="002E4C1D"/>
    <w:p w14:paraId="3293F406" w14:textId="710548F8" w:rsidR="002E4C1D" w:rsidRDefault="002E4C1D"/>
    <w:p w14:paraId="72CD342C" w14:textId="45577358" w:rsidR="002E4C1D" w:rsidRDefault="002E4C1D"/>
    <w:p w14:paraId="46F0DE72" w14:textId="21928F56" w:rsidR="002E4C1D" w:rsidRDefault="002E4C1D"/>
    <w:p w14:paraId="0E919A81" w14:textId="02E10C8D" w:rsidR="002E4C1D" w:rsidRDefault="002E4C1D"/>
    <w:p w14:paraId="0EAB2DDB" w14:textId="580AD99D" w:rsidR="002E4C1D" w:rsidRDefault="002E4C1D"/>
    <w:p w14:paraId="334B4F93" w14:textId="6B3897B0" w:rsidR="002E4C1D" w:rsidRDefault="002E4C1D"/>
    <w:p w14:paraId="75201A3E" w14:textId="6B9BBE86" w:rsidR="002E4C1D" w:rsidRDefault="002E4C1D"/>
    <w:p w14:paraId="50E8FA36" w14:textId="14D3DA3D" w:rsidR="002E4C1D" w:rsidRDefault="002E4C1D"/>
    <w:p w14:paraId="1E6809DD" w14:textId="184F2380" w:rsidR="002E4C1D" w:rsidRDefault="002E4C1D"/>
    <w:p w14:paraId="2F11B287" w14:textId="54FAB464" w:rsidR="002E4C1D" w:rsidRDefault="002E4C1D"/>
    <w:p w14:paraId="30E747E1" w14:textId="33BD5DA1" w:rsidR="002E4C1D" w:rsidRDefault="002E4C1D"/>
    <w:p w14:paraId="02BDA9A2" w14:textId="41214B8C" w:rsidR="002E4C1D" w:rsidRDefault="002E4C1D"/>
    <w:p w14:paraId="355C0D55" w14:textId="27784DB2" w:rsidR="002E4C1D" w:rsidRDefault="002E4C1D"/>
    <w:p w14:paraId="59751FA4" w14:textId="0E8ED36E" w:rsidR="002E4C1D" w:rsidRDefault="002E4C1D"/>
    <w:p w14:paraId="1851D82A" w14:textId="7638DC5B" w:rsidR="002E4C1D" w:rsidRDefault="002E4C1D">
      <w:r>
        <w:t>Bibliography</w:t>
      </w:r>
    </w:p>
    <w:p w14:paraId="7E6A7841" w14:textId="3A6BDDF5" w:rsidR="003B30BC" w:rsidRDefault="003B30BC">
      <w:r>
        <w:t>Books</w:t>
      </w:r>
    </w:p>
    <w:p w14:paraId="117B794A" w14:textId="51532556" w:rsidR="000E0FBC" w:rsidRDefault="000E0FBC">
      <w:r>
        <w:t xml:space="preserve">Ambrose, Tony and Crispin Paine, </w:t>
      </w:r>
      <w:r w:rsidRPr="008E22AC">
        <w:rPr>
          <w:i/>
          <w:iCs/>
        </w:rPr>
        <w:t>Museum Basics</w:t>
      </w:r>
      <w:r>
        <w:t>, 2</w:t>
      </w:r>
      <w:r w:rsidRPr="008E22AC">
        <w:rPr>
          <w:vertAlign w:val="superscript"/>
        </w:rPr>
        <w:t>nd</w:t>
      </w:r>
      <w:r>
        <w:t xml:space="preserve"> </w:t>
      </w:r>
      <w:proofErr w:type="spellStart"/>
      <w:r>
        <w:t>edn</w:t>
      </w:r>
      <w:proofErr w:type="spellEnd"/>
      <w:r>
        <w:t xml:space="preserve"> (Abingdon: Routledge, 2006)</w:t>
      </w:r>
    </w:p>
    <w:p w14:paraId="674BC639" w14:textId="12E55698" w:rsidR="002E4C1D" w:rsidRDefault="002F7941">
      <w:r>
        <w:t xml:space="preserve">Bennett, Tony, </w:t>
      </w:r>
      <w:r w:rsidRPr="00F7732D">
        <w:rPr>
          <w:i/>
          <w:iCs/>
        </w:rPr>
        <w:t>The Birth of the Museum</w:t>
      </w:r>
      <w:r>
        <w:t xml:space="preserve"> (London: Routledge,1995)</w:t>
      </w:r>
    </w:p>
    <w:p w14:paraId="0337D3E6" w14:textId="3B4F5DCE" w:rsidR="00E94FF4" w:rsidRDefault="00E94FF4">
      <w:r>
        <w:t xml:space="preserve">Graham, Brian and Peter Howard, ed., </w:t>
      </w:r>
      <w:r w:rsidRPr="00695041">
        <w:rPr>
          <w:i/>
          <w:iCs/>
        </w:rPr>
        <w:t>The Ashgate Research Companion to Heritage and Identity</w:t>
      </w:r>
      <w:r>
        <w:t xml:space="preserve"> (Aldershot: Ashgate, 2008)</w:t>
      </w:r>
    </w:p>
    <w:p w14:paraId="02AA0FE0" w14:textId="435C9BC3" w:rsidR="00F26C2E" w:rsidRDefault="00F26C2E">
      <w:r>
        <w:t xml:space="preserve">Harrison, Rodney and others, </w:t>
      </w:r>
      <w:r w:rsidRPr="00E529E5">
        <w:rPr>
          <w:i/>
          <w:iCs/>
        </w:rPr>
        <w:t>Heritage Futures</w:t>
      </w:r>
      <w:r>
        <w:t xml:space="preserve"> (London: University College London Press, 2020)</w:t>
      </w:r>
    </w:p>
    <w:p w14:paraId="52D07289" w14:textId="77C34947" w:rsidR="00DB43E1" w:rsidRDefault="00DB43E1">
      <w:r>
        <w:t xml:space="preserve">Smith, Laura Jane, </w:t>
      </w:r>
      <w:r w:rsidRPr="00DB43E1">
        <w:rPr>
          <w:i/>
          <w:iCs/>
        </w:rPr>
        <w:t>Uses of Heritage</w:t>
      </w:r>
      <w:r>
        <w:t xml:space="preserve"> (London: Routledge, 2006)</w:t>
      </w:r>
    </w:p>
    <w:p w14:paraId="32670E4C" w14:textId="22C9158F" w:rsidR="00FD3055" w:rsidRDefault="00FD3055">
      <w:r>
        <w:t xml:space="preserve">Smith, L. J. and E. Waterton, </w:t>
      </w:r>
      <w:r w:rsidRPr="00F3416D">
        <w:rPr>
          <w:i/>
          <w:iCs/>
        </w:rPr>
        <w:t>Heritage, Communities and Archaeology</w:t>
      </w:r>
      <w:r>
        <w:t xml:space="preserve"> (London: Bloomsbury,2009),</w:t>
      </w:r>
    </w:p>
    <w:p w14:paraId="79F7404B" w14:textId="74F8EA1C" w:rsidR="00493EB5" w:rsidRDefault="00493EB5">
      <w:r>
        <w:t xml:space="preserve">Sorensen, M.L. and John Carmen, </w:t>
      </w:r>
      <w:r w:rsidRPr="00730E94">
        <w:rPr>
          <w:i/>
          <w:iCs/>
        </w:rPr>
        <w:t>Heritage Studies: Methods and Approaches</w:t>
      </w:r>
      <w:r>
        <w:t xml:space="preserve"> (Abingdon: Routledge, 2009)</w:t>
      </w:r>
    </w:p>
    <w:p w14:paraId="0C3A325B" w14:textId="2FAA7C0A" w:rsidR="003B30BC" w:rsidRDefault="003B30BC"/>
    <w:p w14:paraId="3BFD956B" w14:textId="4BE0F426" w:rsidR="003B30BC" w:rsidRDefault="003B30BC" w:rsidP="003B30BC">
      <w:r>
        <w:t>Chapter in an edited book</w:t>
      </w:r>
    </w:p>
    <w:p w14:paraId="5E4ECC00" w14:textId="247BF9E8" w:rsidR="003B30BC" w:rsidRDefault="003B30BC" w:rsidP="003B30BC">
      <w:r>
        <w:t xml:space="preserve">Harrison, Julia D. ‘Ideas of Museums in the 1990s’, in </w:t>
      </w:r>
      <w:r w:rsidRPr="00E529E5">
        <w:rPr>
          <w:i/>
          <w:iCs/>
        </w:rPr>
        <w:t>Heritage, Museums and Galleries</w:t>
      </w:r>
      <w:r>
        <w:t xml:space="preserve">, ed. by Gerard </w:t>
      </w:r>
      <w:proofErr w:type="spellStart"/>
      <w:r>
        <w:t>Corsane</w:t>
      </w:r>
      <w:proofErr w:type="spellEnd"/>
      <w:r>
        <w:t xml:space="preserve"> (London: Routledge, 2005)</w:t>
      </w:r>
    </w:p>
    <w:p w14:paraId="432F0243" w14:textId="77777777" w:rsidR="00344A4A" w:rsidRDefault="00344A4A" w:rsidP="003B30BC"/>
    <w:p w14:paraId="3A656134" w14:textId="253D3A74" w:rsidR="003B30BC" w:rsidRDefault="00344A4A">
      <w:r>
        <w:t>Online journal articles</w:t>
      </w:r>
    </w:p>
    <w:p w14:paraId="38F830FC" w14:textId="71E1EE33" w:rsidR="00344A4A" w:rsidRDefault="00344A4A">
      <w:r>
        <w:t xml:space="preserve">Barnes, Amy Jane, ‘What Makes a Good Museum? The Art Fund Knows’, </w:t>
      </w:r>
      <w:r w:rsidRPr="00AC02FE">
        <w:rPr>
          <w:i/>
          <w:iCs/>
        </w:rPr>
        <w:t>The Conversation</w:t>
      </w:r>
      <w:r w:rsidR="00AC02FE">
        <w:t xml:space="preserve"> </w:t>
      </w:r>
      <w:r w:rsidR="00AC02FE" w:rsidRPr="00AC02FE">
        <w:rPr>
          <w:i/>
          <w:iCs/>
        </w:rPr>
        <w:t>University of Leicester</w:t>
      </w:r>
      <w:r w:rsidRPr="00AC02FE">
        <w:rPr>
          <w:i/>
          <w:iCs/>
        </w:rPr>
        <w:t xml:space="preserve"> </w:t>
      </w:r>
      <w:r>
        <w:t>(July 2014), &lt;</w:t>
      </w:r>
      <w:hyperlink w:history="1">
        <w:r w:rsidR="007E07F1" w:rsidRPr="00015DEE">
          <w:rPr>
            <w:rStyle w:val="Hyperlink"/>
          </w:rPr>
          <w:t>https://the conversation.co/what-makes-a-good-museum-the-art-fund-</w:t>
        </w:r>
        <w:r w:rsidR="007E07F1" w:rsidRPr="007E07F1">
          <w:rPr>
            <w:rStyle w:val="Hyperlink"/>
            <w:u w:val="none"/>
          </w:rPr>
          <w:t>knows</w:t>
        </w:r>
        <w:r w:rsidR="007E07F1" w:rsidRPr="00015DEE">
          <w:rPr>
            <w:rStyle w:val="Hyperlink"/>
          </w:rPr>
          <w:t>-28750</w:t>
        </w:r>
      </w:hyperlink>
      <w:r w:rsidR="007E07F1" w:rsidRPr="007E07F1">
        <w:rPr>
          <w:rStyle w:val="Hyperlink"/>
          <w:color w:val="auto"/>
          <w:u w:val="none"/>
        </w:rPr>
        <w:t>&gt;</w:t>
      </w:r>
      <w:r w:rsidR="00544A4D">
        <w:rPr>
          <w:rStyle w:val="Hyperlink"/>
          <w:color w:val="auto"/>
          <w:u w:val="none"/>
        </w:rPr>
        <w:t xml:space="preserve"> [</w:t>
      </w:r>
      <w:r w:rsidR="00544A4D">
        <w:t>accessed 6 March 2022]</w:t>
      </w:r>
    </w:p>
    <w:p w14:paraId="037C03BB" w14:textId="0ACBAC5B" w:rsidR="007766CC" w:rsidRDefault="007766CC">
      <w:proofErr w:type="spellStart"/>
      <w:r>
        <w:t>Mulberg</w:t>
      </w:r>
      <w:proofErr w:type="spellEnd"/>
      <w:r>
        <w:t xml:space="preserve">, Colin, </w:t>
      </w:r>
      <w:r w:rsidR="00166F36">
        <w:t xml:space="preserve">‘How </w:t>
      </w:r>
      <w:r w:rsidR="00166F36">
        <w:rPr>
          <w:rStyle w:val="Emphasis"/>
        </w:rPr>
        <w:t>museums and heritage</w:t>
      </w:r>
      <w:r w:rsidR="00166F36">
        <w:t xml:space="preserve"> attractions can reconnect with the public post-lockdown’ </w:t>
      </w:r>
      <w:r w:rsidRPr="007766CC">
        <w:rPr>
          <w:i/>
          <w:iCs/>
        </w:rPr>
        <w:t>Museums and Heritage</w:t>
      </w:r>
      <w:r>
        <w:t>, (August 2021) &lt;</w:t>
      </w:r>
      <w:hyperlink r:id="rId7" w:history="1">
        <w:r w:rsidRPr="00580B89">
          <w:rPr>
            <w:rStyle w:val="Hyperlink"/>
          </w:rPr>
          <w:t>https://advisor.museumsandheritage.com/news/covid-recovery-why-museums-and-heriatge-venues-should-re-examine-relationships-with-local-audiences/</w:t>
        </w:r>
      </w:hyperlink>
      <w:r>
        <w:t xml:space="preserve"> &gt; {accessed 16 December 2021]</w:t>
      </w:r>
    </w:p>
    <w:p w14:paraId="429FD468" w14:textId="77777777" w:rsidR="00F15741" w:rsidRDefault="00F15741"/>
    <w:p w14:paraId="66DA2043" w14:textId="0AF10D16" w:rsidR="00F15741" w:rsidRDefault="00F15741">
      <w:r>
        <w:t>Websites</w:t>
      </w:r>
    </w:p>
    <w:p w14:paraId="1250F200" w14:textId="28391376" w:rsidR="00F15741" w:rsidRDefault="00F15741" w:rsidP="00F15741">
      <w:pPr>
        <w:pStyle w:val="FootnoteText"/>
        <w:rPr>
          <w:sz w:val="22"/>
          <w:szCs w:val="22"/>
        </w:rPr>
      </w:pPr>
      <w:r w:rsidRPr="00F15741">
        <w:rPr>
          <w:sz w:val="22"/>
          <w:szCs w:val="22"/>
        </w:rPr>
        <w:t xml:space="preserve">‘Swansea Jack’, </w:t>
      </w:r>
      <w:r w:rsidRPr="00F15741">
        <w:rPr>
          <w:i/>
          <w:iCs/>
          <w:sz w:val="22"/>
          <w:szCs w:val="22"/>
        </w:rPr>
        <w:t>Swansea Museum</w:t>
      </w:r>
      <w:r w:rsidRPr="00F15741">
        <w:rPr>
          <w:sz w:val="22"/>
          <w:szCs w:val="22"/>
        </w:rPr>
        <w:t xml:space="preserve"> &lt;</w:t>
      </w:r>
      <w:hyperlink r:id="rId8" w:history="1">
        <w:r w:rsidRPr="00F15741">
          <w:rPr>
            <w:rStyle w:val="Hyperlink"/>
            <w:sz w:val="22"/>
            <w:szCs w:val="22"/>
          </w:rPr>
          <w:t>http://www.swanseamuseum.co.uk/swansea-a-brief-history/the-sea/swansea-jack</w:t>
        </w:r>
      </w:hyperlink>
      <w:r w:rsidRPr="00F15741">
        <w:rPr>
          <w:sz w:val="22"/>
          <w:szCs w:val="22"/>
        </w:rPr>
        <w:t>&gt; [accessed 12 March 2022]</w:t>
      </w:r>
    </w:p>
    <w:p w14:paraId="30AC5B54" w14:textId="5F38679A" w:rsidR="00783D51" w:rsidRDefault="00783D51" w:rsidP="00F15741">
      <w:pPr>
        <w:pStyle w:val="FootnoteText"/>
        <w:rPr>
          <w:sz w:val="22"/>
          <w:szCs w:val="22"/>
        </w:rPr>
      </w:pPr>
    </w:p>
    <w:p w14:paraId="04673506" w14:textId="77777777" w:rsidR="00783D51" w:rsidRPr="00783D51" w:rsidRDefault="00783D51" w:rsidP="00783D51">
      <w:pPr>
        <w:pStyle w:val="FootnoteText"/>
        <w:rPr>
          <w:sz w:val="22"/>
          <w:szCs w:val="22"/>
        </w:rPr>
      </w:pPr>
      <w:r w:rsidRPr="00783D51">
        <w:rPr>
          <w:i/>
          <w:iCs/>
          <w:sz w:val="22"/>
          <w:szCs w:val="22"/>
        </w:rPr>
        <w:t>Swansea Museum</w:t>
      </w:r>
      <w:r w:rsidRPr="00783D51">
        <w:rPr>
          <w:sz w:val="22"/>
          <w:szCs w:val="22"/>
        </w:rPr>
        <w:t xml:space="preserve"> &lt;</w:t>
      </w:r>
      <w:r w:rsidRPr="00783D51">
        <w:rPr>
          <w:color w:val="4472C4" w:themeColor="accent1"/>
          <w:sz w:val="22"/>
          <w:szCs w:val="22"/>
          <w:u w:val="single"/>
        </w:rPr>
        <w:t>www.swanseamuseum.co.uk</w:t>
      </w:r>
      <w:r w:rsidRPr="00783D51">
        <w:rPr>
          <w:sz w:val="22"/>
          <w:szCs w:val="22"/>
        </w:rPr>
        <w:t>&gt; [accessed 9 March 2022]</w:t>
      </w:r>
    </w:p>
    <w:p w14:paraId="5C8FC3A1" w14:textId="77777777" w:rsidR="00F15741" w:rsidRDefault="00F15741"/>
    <w:p w14:paraId="1371AB77" w14:textId="76046C6B" w:rsidR="00F15741" w:rsidRDefault="00F15741" w:rsidP="00F15741">
      <w:pPr>
        <w:pStyle w:val="FootnoteText"/>
        <w:rPr>
          <w:sz w:val="22"/>
          <w:szCs w:val="22"/>
        </w:rPr>
      </w:pPr>
      <w:r w:rsidRPr="00F15741">
        <w:rPr>
          <w:sz w:val="22"/>
          <w:szCs w:val="22"/>
        </w:rPr>
        <w:t xml:space="preserve">‘Swansea Porcelain’, </w:t>
      </w:r>
      <w:r w:rsidRPr="00F15741">
        <w:rPr>
          <w:i/>
          <w:iCs/>
          <w:sz w:val="22"/>
          <w:szCs w:val="22"/>
        </w:rPr>
        <w:t>The British Museum</w:t>
      </w:r>
      <w:r w:rsidRPr="00F15741">
        <w:rPr>
          <w:sz w:val="22"/>
          <w:szCs w:val="22"/>
        </w:rPr>
        <w:t xml:space="preserve"> &lt;</w:t>
      </w:r>
      <w:hyperlink r:id="rId9" w:history="1">
        <w:r w:rsidRPr="00F15741">
          <w:rPr>
            <w:rStyle w:val="Hyperlink"/>
            <w:sz w:val="22"/>
            <w:szCs w:val="22"/>
          </w:rPr>
          <w:t>https://www.britishmuseum.org/collection/term/BIOG79676</w:t>
        </w:r>
      </w:hyperlink>
      <w:r w:rsidRPr="00F15741">
        <w:rPr>
          <w:sz w:val="22"/>
          <w:szCs w:val="22"/>
        </w:rPr>
        <w:t xml:space="preserve">&gt; [accessed 12 March 2022] </w:t>
      </w:r>
    </w:p>
    <w:p w14:paraId="22C0345E" w14:textId="42A5B86A" w:rsidR="0075667B" w:rsidRDefault="0075667B" w:rsidP="00F15741">
      <w:pPr>
        <w:pStyle w:val="FootnoteText"/>
        <w:rPr>
          <w:sz w:val="22"/>
          <w:szCs w:val="22"/>
        </w:rPr>
      </w:pPr>
    </w:p>
    <w:p w14:paraId="6AA0922C" w14:textId="77777777" w:rsidR="0075667B" w:rsidRPr="00F15741" w:rsidRDefault="0075667B" w:rsidP="00F15741">
      <w:pPr>
        <w:pStyle w:val="FootnoteText"/>
        <w:rPr>
          <w:sz w:val="22"/>
          <w:szCs w:val="22"/>
        </w:rPr>
      </w:pPr>
    </w:p>
    <w:p w14:paraId="70EB9375" w14:textId="77777777" w:rsidR="0075667B" w:rsidRPr="0075667B" w:rsidRDefault="0075667B" w:rsidP="0075667B">
      <w:pPr>
        <w:pStyle w:val="FootnoteText"/>
        <w:rPr>
          <w:sz w:val="22"/>
          <w:szCs w:val="22"/>
        </w:rPr>
      </w:pPr>
      <w:r w:rsidRPr="0075667B">
        <w:rPr>
          <w:i/>
          <w:iCs/>
          <w:sz w:val="22"/>
          <w:szCs w:val="22"/>
        </w:rPr>
        <w:t>The Royal Institution of South Wales</w:t>
      </w:r>
      <w:r w:rsidRPr="0075667B">
        <w:rPr>
          <w:sz w:val="22"/>
          <w:szCs w:val="22"/>
        </w:rPr>
        <w:t xml:space="preserve"> &lt;</w:t>
      </w:r>
      <w:hyperlink r:id="rId10" w:history="1">
        <w:r w:rsidRPr="0075667B">
          <w:rPr>
            <w:rStyle w:val="Hyperlink"/>
            <w:sz w:val="22"/>
            <w:szCs w:val="22"/>
          </w:rPr>
          <w:t>www.risw.org</w:t>
        </w:r>
      </w:hyperlink>
      <w:r w:rsidRPr="0075667B">
        <w:rPr>
          <w:sz w:val="22"/>
          <w:szCs w:val="22"/>
        </w:rPr>
        <w:t xml:space="preserve">&gt; {accessed 9 March 2022] </w:t>
      </w:r>
    </w:p>
    <w:p w14:paraId="7D8AECDD" w14:textId="77777777" w:rsidR="00F15741" w:rsidRDefault="00F15741"/>
    <w:sectPr w:rsidR="00F1574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8E7E8" w14:textId="77777777" w:rsidR="005A14CC" w:rsidRDefault="005A14CC" w:rsidP="005A14CC">
      <w:pPr>
        <w:spacing w:after="0" w:line="240" w:lineRule="auto"/>
      </w:pPr>
      <w:r>
        <w:separator/>
      </w:r>
    </w:p>
  </w:endnote>
  <w:endnote w:type="continuationSeparator" w:id="0">
    <w:p w14:paraId="5120150F" w14:textId="77777777" w:rsidR="005A14CC" w:rsidRDefault="005A14CC" w:rsidP="005A1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905281"/>
      <w:docPartObj>
        <w:docPartGallery w:val="Page Numbers (Bottom of Page)"/>
        <w:docPartUnique/>
      </w:docPartObj>
    </w:sdtPr>
    <w:sdtEndPr>
      <w:rPr>
        <w:noProof/>
      </w:rPr>
    </w:sdtEndPr>
    <w:sdtContent>
      <w:p w14:paraId="78C8AA34" w14:textId="55E1654B" w:rsidR="005A14CC" w:rsidRDefault="005A14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8599EF" w14:textId="77777777" w:rsidR="005A14CC" w:rsidRDefault="005A1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CC767" w14:textId="77777777" w:rsidR="005A14CC" w:rsidRDefault="005A14CC" w:rsidP="005A14CC">
      <w:pPr>
        <w:spacing w:after="0" w:line="240" w:lineRule="auto"/>
      </w:pPr>
      <w:r>
        <w:separator/>
      </w:r>
    </w:p>
  </w:footnote>
  <w:footnote w:type="continuationSeparator" w:id="0">
    <w:p w14:paraId="40216A7E" w14:textId="77777777" w:rsidR="005A14CC" w:rsidRDefault="005A14CC" w:rsidP="005A14CC">
      <w:pPr>
        <w:spacing w:after="0" w:line="240" w:lineRule="auto"/>
      </w:pPr>
      <w:r>
        <w:continuationSeparator/>
      </w:r>
    </w:p>
  </w:footnote>
  <w:footnote w:id="1">
    <w:p w14:paraId="3BD0D169" w14:textId="3CDE6F8E" w:rsidR="0049488B" w:rsidRDefault="0049488B">
      <w:pPr>
        <w:pStyle w:val="FootnoteText"/>
      </w:pPr>
      <w:r>
        <w:rPr>
          <w:rStyle w:val="FootnoteReference"/>
        </w:rPr>
        <w:footnoteRef/>
      </w:r>
      <w:r>
        <w:t xml:space="preserve"> </w:t>
      </w:r>
      <w:bookmarkStart w:id="0" w:name="_Hlk98582437"/>
      <w:r w:rsidRPr="009F148F">
        <w:rPr>
          <w:i/>
          <w:iCs/>
        </w:rPr>
        <w:t>The Royal Institution of South Wales</w:t>
      </w:r>
      <w:r>
        <w:t xml:space="preserve"> </w:t>
      </w:r>
      <w:r w:rsidR="009F148F">
        <w:t>&lt;</w:t>
      </w:r>
      <w:hyperlink r:id="rId1" w:history="1">
        <w:r w:rsidR="009F148F" w:rsidRPr="00DB7732">
          <w:rPr>
            <w:rStyle w:val="Hyperlink"/>
          </w:rPr>
          <w:t>www.risw.org</w:t>
        </w:r>
      </w:hyperlink>
      <w:r w:rsidR="009F148F">
        <w:t>&gt; {accessed 9 March 2022]</w:t>
      </w:r>
      <w:r>
        <w:t xml:space="preserve"> </w:t>
      </w:r>
    </w:p>
    <w:bookmarkEnd w:id="0"/>
  </w:footnote>
  <w:footnote w:id="2">
    <w:p w14:paraId="2201E249" w14:textId="4F400396" w:rsidR="001956FC" w:rsidRDefault="001956FC">
      <w:pPr>
        <w:pStyle w:val="FootnoteText"/>
      </w:pPr>
      <w:r>
        <w:rPr>
          <w:rStyle w:val="FootnoteReference"/>
        </w:rPr>
        <w:footnoteRef/>
      </w:r>
      <w:r>
        <w:t xml:space="preserve"> </w:t>
      </w:r>
      <w:bookmarkStart w:id="1" w:name="_Hlk98582491"/>
      <w:r w:rsidRPr="00E40BE4">
        <w:rPr>
          <w:i/>
          <w:iCs/>
        </w:rPr>
        <w:t>Swansea Museum</w:t>
      </w:r>
      <w:r>
        <w:t xml:space="preserve"> &lt;</w:t>
      </w:r>
      <w:r w:rsidRPr="009F148F">
        <w:rPr>
          <w:color w:val="4472C4" w:themeColor="accent1"/>
          <w:u w:val="single"/>
        </w:rPr>
        <w:t>www.swanseamuseum.co.uk</w:t>
      </w:r>
      <w:r>
        <w:t>&gt; [accessed 9 March 2022]</w:t>
      </w:r>
    </w:p>
    <w:bookmarkEnd w:id="1"/>
  </w:footnote>
  <w:footnote w:id="3">
    <w:p w14:paraId="06EBBD43" w14:textId="4C64BD06" w:rsidR="00017E49" w:rsidRDefault="00017E49">
      <w:pPr>
        <w:pStyle w:val="FootnoteText"/>
      </w:pPr>
      <w:r>
        <w:rPr>
          <w:rStyle w:val="FootnoteReference"/>
        </w:rPr>
        <w:footnoteRef/>
      </w:r>
      <w:r>
        <w:t xml:space="preserve"> </w:t>
      </w:r>
      <w:bookmarkStart w:id="2" w:name="_Hlk98580322"/>
      <w:r>
        <w:t xml:space="preserve">Rodney Harrison and others, </w:t>
      </w:r>
      <w:r w:rsidRPr="00E529E5">
        <w:rPr>
          <w:i/>
          <w:iCs/>
        </w:rPr>
        <w:t>Heritage Futures</w:t>
      </w:r>
      <w:r w:rsidR="002475A3">
        <w:t xml:space="preserve"> (London: University </w:t>
      </w:r>
      <w:r w:rsidR="00E40BE4">
        <w:t>C</w:t>
      </w:r>
      <w:r w:rsidR="002475A3">
        <w:t xml:space="preserve">ollege London Press, 2020) </w:t>
      </w:r>
      <w:bookmarkEnd w:id="2"/>
      <w:r w:rsidR="002475A3">
        <w:t>p.7</w:t>
      </w:r>
    </w:p>
  </w:footnote>
  <w:footnote w:id="4">
    <w:p w14:paraId="74C69A63" w14:textId="1E2B4B4D" w:rsidR="008E22AC" w:rsidRDefault="008E22AC">
      <w:pPr>
        <w:pStyle w:val="FootnoteText"/>
      </w:pPr>
      <w:r>
        <w:rPr>
          <w:rStyle w:val="FootnoteReference"/>
        </w:rPr>
        <w:footnoteRef/>
      </w:r>
      <w:r>
        <w:t xml:space="preserve"> </w:t>
      </w:r>
      <w:bookmarkStart w:id="3" w:name="_Hlk98580225"/>
      <w:r>
        <w:t xml:space="preserve">Timothy Ambrose and Crispin Paine, </w:t>
      </w:r>
      <w:r w:rsidRPr="008E22AC">
        <w:rPr>
          <w:i/>
          <w:iCs/>
        </w:rPr>
        <w:t>Museum Basics</w:t>
      </w:r>
      <w:r>
        <w:t>, 2</w:t>
      </w:r>
      <w:r w:rsidRPr="008E22AC">
        <w:rPr>
          <w:vertAlign w:val="superscript"/>
        </w:rPr>
        <w:t>nd</w:t>
      </w:r>
      <w:r>
        <w:t xml:space="preserve"> </w:t>
      </w:r>
      <w:proofErr w:type="spellStart"/>
      <w:r>
        <w:t>edn</w:t>
      </w:r>
      <w:proofErr w:type="spellEnd"/>
      <w:r>
        <w:t xml:space="preserve"> (Abingdon: Routledge, 2006), </w:t>
      </w:r>
      <w:bookmarkEnd w:id="3"/>
      <w:r>
        <w:t>p.3</w:t>
      </w:r>
    </w:p>
  </w:footnote>
  <w:footnote w:id="5">
    <w:p w14:paraId="0B51D505" w14:textId="5AC11678" w:rsidR="00F3416D" w:rsidRDefault="00F3416D">
      <w:pPr>
        <w:pStyle w:val="FootnoteText"/>
      </w:pPr>
      <w:r>
        <w:rPr>
          <w:rStyle w:val="FootnoteReference"/>
        </w:rPr>
        <w:footnoteRef/>
      </w:r>
      <w:r>
        <w:t xml:space="preserve"> </w:t>
      </w:r>
      <w:bookmarkStart w:id="4" w:name="_Hlk98580871"/>
      <w:r>
        <w:t xml:space="preserve">L. J. </w:t>
      </w:r>
      <w:r w:rsidR="0023766C">
        <w:t>S</w:t>
      </w:r>
      <w:r>
        <w:t xml:space="preserve">mith and E. Waterton, </w:t>
      </w:r>
      <w:r w:rsidRPr="00F3416D">
        <w:rPr>
          <w:i/>
          <w:iCs/>
        </w:rPr>
        <w:t>Heritage, Communities and Archaeology</w:t>
      </w:r>
      <w:r>
        <w:t xml:space="preserve"> (London: Bloomsbury,2009)</w:t>
      </w:r>
      <w:r w:rsidR="0023766C">
        <w:t>,</w:t>
      </w:r>
      <w:r>
        <w:t xml:space="preserve"> </w:t>
      </w:r>
      <w:bookmarkEnd w:id="4"/>
      <w:r>
        <w:t>p.</w:t>
      </w:r>
      <w:r w:rsidR="0023766C">
        <w:t>11</w:t>
      </w:r>
    </w:p>
  </w:footnote>
  <w:footnote w:id="6">
    <w:p w14:paraId="6A565479" w14:textId="0C18C513" w:rsidR="005A30BA" w:rsidRDefault="005A30BA">
      <w:pPr>
        <w:pStyle w:val="FootnoteText"/>
      </w:pPr>
      <w:r>
        <w:rPr>
          <w:rStyle w:val="FootnoteReference"/>
        </w:rPr>
        <w:footnoteRef/>
      </w:r>
      <w:r>
        <w:t xml:space="preserve"> </w:t>
      </w:r>
      <w:bookmarkStart w:id="5" w:name="_Hlk98581031"/>
      <w:r>
        <w:t>Julia D. Harrison, ‘Ideas o</w:t>
      </w:r>
      <w:r w:rsidR="0039212F">
        <w:t>f</w:t>
      </w:r>
      <w:r>
        <w:t xml:space="preserve"> Museums in the 1990s’, in </w:t>
      </w:r>
      <w:r w:rsidRPr="00E529E5">
        <w:rPr>
          <w:i/>
          <w:iCs/>
        </w:rPr>
        <w:t>Heritage, Museums and Galleries</w:t>
      </w:r>
      <w:r>
        <w:t xml:space="preserve">, ed. by Gerard Corsane (London: Routledge, 2005) </w:t>
      </w:r>
      <w:bookmarkEnd w:id="5"/>
      <w:r>
        <w:t xml:space="preserve">pp. 41 </w:t>
      </w:r>
      <w:r w:rsidR="0039212F">
        <w:t>–</w:t>
      </w:r>
      <w:r>
        <w:t xml:space="preserve"> 57</w:t>
      </w:r>
      <w:r w:rsidR="0039212F">
        <w:t xml:space="preserve"> (p.41)</w:t>
      </w:r>
    </w:p>
  </w:footnote>
  <w:footnote w:id="7">
    <w:p w14:paraId="04CBA397" w14:textId="40A968AD" w:rsidR="007C50C6" w:rsidRDefault="007C50C6">
      <w:pPr>
        <w:pStyle w:val="FootnoteText"/>
      </w:pPr>
      <w:r>
        <w:rPr>
          <w:rStyle w:val="FootnoteReference"/>
        </w:rPr>
        <w:footnoteRef/>
      </w:r>
      <w:r>
        <w:t xml:space="preserve"> Harrison, p.42</w:t>
      </w:r>
    </w:p>
  </w:footnote>
  <w:footnote w:id="8">
    <w:p w14:paraId="51545665" w14:textId="4585D62E" w:rsidR="00DF57CC" w:rsidRDefault="00DF57CC">
      <w:pPr>
        <w:pStyle w:val="FootnoteText"/>
      </w:pPr>
      <w:r>
        <w:rPr>
          <w:rStyle w:val="FootnoteReference"/>
        </w:rPr>
        <w:footnoteRef/>
      </w:r>
      <w:r>
        <w:t xml:space="preserve"> Harrison, p.42</w:t>
      </w:r>
    </w:p>
  </w:footnote>
  <w:footnote w:id="9">
    <w:p w14:paraId="45EA57D2" w14:textId="383F0751" w:rsidR="00C2059D" w:rsidRDefault="00C2059D">
      <w:pPr>
        <w:pStyle w:val="FootnoteText"/>
      </w:pPr>
      <w:r>
        <w:rPr>
          <w:rStyle w:val="FootnoteReference"/>
        </w:rPr>
        <w:footnoteRef/>
      </w:r>
      <w:r>
        <w:t xml:space="preserve"> Rodney Harrison and others, p.7</w:t>
      </w:r>
    </w:p>
  </w:footnote>
  <w:footnote w:id="10">
    <w:p w14:paraId="3F4316FC" w14:textId="2FE7B2FD" w:rsidR="0094229A" w:rsidRDefault="0094229A">
      <w:pPr>
        <w:pStyle w:val="FootnoteText"/>
      </w:pPr>
      <w:r>
        <w:rPr>
          <w:rStyle w:val="FootnoteReference"/>
        </w:rPr>
        <w:footnoteRef/>
      </w:r>
      <w:r>
        <w:t xml:space="preserve"> Ambrose and Paine, p.90</w:t>
      </w:r>
    </w:p>
  </w:footnote>
  <w:footnote w:id="11">
    <w:p w14:paraId="4862CDAE" w14:textId="584D8243" w:rsidR="00092CE6" w:rsidRDefault="00092CE6">
      <w:pPr>
        <w:pStyle w:val="FootnoteText"/>
      </w:pPr>
      <w:r>
        <w:rPr>
          <w:rStyle w:val="FootnoteReference"/>
        </w:rPr>
        <w:footnoteRef/>
      </w:r>
      <w:r>
        <w:t xml:space="preserve"> Harrison, p.42</w:t>
      </w:r>
    </w:p>
  </w:footnote>
  <w:footnote w:id="12">
    <w:p w14:paraId="5E3795D0" w14:textId="54C83FE3" w:rsidR="00E55573" w:rsidRDefault="00E55573">
      <w:pPr>
        <w:pStyle w:val="FootnoteText"/>
      </w:pPr>
      <w:r>
        <w:rPr>
          <w:rStyle w:val="FootnoteReference"/>
        </w:rPr>
        <w:footnoteRef/>
      </w:r>
      <w:r>
        <w:t xml:space="preserve"> </w:t>
      </w:r>
      <w:r w:rsidR="00A6428C">
        <w:t>‘</w:t>
      </w:r>
      <w:r w:rsidR="00383A4A" w:rsidRPr="00A6428C">
        <w:t>Swansea Jack</w:t>
      </w:r>
      <w:r w:rsidR="00A6428C">
        <w:t xml:space="preserve">’, </w:t>
      </w:r>
      <w:r w:rsidR="00A6428C" w:rsidRPr="00A6428C">
        <w:rPr>
          <w:i/>
          <w:iCs/>
        </w:rPr>
        <w:t>Swansea Museum</w:t>
      </w:r>
      <w:r w:rsidR="00383A4A">
        <w:t xml:space="preserve"> &lt;</w:t>
      </w:r>
      <w:hyperlink r:id="rId2" w:history="1">
        <w:r w:rsidR="00383A4A" w:rsidRPr="00015DEE">
          <w:rPr>
            <w:rStyle w:val="Hyperlink"/>
          </w:rPr>
          <w:t>http://www.swanseamuseum.co.uk/swansea-a-brief-history/the-sea/swansea-jack</w:t>
        </w:r>
      </w:hyperlink>
      <w:r w:rsidR="00383A4A">
        <w:t>&gt;</w:t>
      </w:r>
      <w:r>
        <w:t xml:space="preserve"> [accessed </w:t>
      </w:r>
      <w:r w:rsidR="00383A4A">
        <w:t>12 March 2022]</w:t>
      </w:r>
    </w:p>
  </w:footnote>
  <w:footnote w:id="13">
    <w:p w14:paraId="00EAFF09" w14:textId="10C5BE04" w:rsidR="00CB6ADB" w:rsidRDefault="00CB6ADB">
      <w:pPr>
        <w:pStyle w:val="FootnoteText"/>
      </w:pPr>
      <w:r>
        <w:rPr>
          <w:rStyle w:val="FootnoteReference"/>
        </w:rPr>
        <w:footnoteRef/>
      </w:r>
      <w:r>
        <w:t xml:space="preserve"> </w:t>
      </w:r>
      <w:bookmarkStart w:id="6" w:name="_Hlk98582333"/>
      <w:r w:rsidR="00E26350">
        <w:t>‘</w:t>
      </w:r>
      <w:r w:rsidR="000E76E0">
        <w:t>Swansea Porcelain</w:t>
      </w:r>
      <w:r w:rsidR="00E26350">
        <w:t xml:space="preserve">’, </w:t>
      </w:r>
      <w:r w:rsidR="00E26350" w:rsidRPr="00E26350">
        <w:rPr>
          <w:i/>
          <w:iCs/>
        </w:rPr>
        <w:t>The British Museum</w:t>
      </w:r>
      <w:r w:rsidR="000E76E0">
        <w:t xml:space="preserve"> &lt;</w:t>
      </w:r>
      <w:hyperlink r:id="rId3" w:history="1">
        <w:r w:rsidR="000E76E0" w:rsidRPr="00015DEE">
          <w:rPr>
            <w:rStyle w:val="Hyperlink"/>
          </w:rPr>
          <w:t>https://www.britishmuseum.org/collection/term/BIOG79676</w:t>
        </w:r>
      </w:hyperlink>
      <w:r w:rsidR="000E76E0">
        <w:t xml:space="preserve">&gt; [accessed 12 March 2022] </w:t>
      </w:r>
    </w:p>
    <w:bookmarkEnd w:id="6"/>
  </w:footnote>
  <w:footnote w:id="14">
    <w:p w14:paraId="767B071C" w14:textId="669F18DE" w:rsidR="00B21DBB" w:rsidRDefault="00B21DBB">
      <w:pPr>
        <w:pStyle w:val="FootnoteText"/>
      </w:pPr>
      <w:r>
        <w:rPr>
          <w:rStyle w:val="FootnoteReference"/>
        </w:rPr>
        <w:footnoteRef/>
      </w:r>
      <w:r>
        <w:t xml:space="preserve"> Amy Jane Barnes, </w:t>
      </w:r>
      <w:r w:rsidR="000E0FDE">
        <w:t>‘</w:t>
      </w:r>
      <w:r>
        <w:t>What Makes a good Museum?</w:t>
      </w:r>
      <w:r w:rsidR="000E0FDE">
        <w:t xml:space="preserve"> The Art Fund Knows’</w:t>
      </w:r>
      <w:r w:rsidR="00DC4590">
        <w:t>,</w:t>
      </w:r>
      <w:r w:rsidR="000E0FDE">
        <w:t xml:space="preserve"> </w:t>
      </w:r>
      <w:r w:rsidR="000E0FDE" w:rsidRPr="00DC4590">
        <w:rPr>
          <w:i/>
          <w:iCs/>
        </w:rPr>
        <w:t>University of Leicester</w:t>
      </w:r>
      <w:r w:rsidR="000E0FDE">
        <w:t xml:space="preserve"> &lt;</w:t>
      </w:r>
      <w:hyperlink w:history="1">
        <w:r w:rsidR="000E0FDE" w:rsidRPr="00015DEE">
          <w:rPr>
            <w:rStyle w:val="Hyperlink"/>
          </w:rPr>
          <w:t>https://the conversation.co/what-makes-a-good-museum-the-art-fund-knows-28750</w:t>
        </w:r>
      </w:hyperlink>
      <w:r w:rsidR="000E0FDE">
        <w:t xml:space="preserve">&gt; [accessed 6 March 2022] </w:t>
      </w:r>
    </w:p>
  </w:footnote>
  <w:footnote w:id="15">
    <w:p w14:paraId="458E3FEF" w14:textId="5C095550" w:rsidR="00D106B0" w:rsidRDefault="00D106B0">
      <w:pPr>
        <w:pStyle w:val="FootnoteText"/>
      </w:pPr>
      <w:r>
        <w:rPr>
          <w:rStyle w:val="FootnoteReference"/>
        </w:rPr>
        <w:footnoteRef/>
      </w:r>
      <w:r>
        <w:t xml:space="preserve"> Ambrose and Paine, p.3</w:t>
      </w:r>
    </w:p>
  </w:footnote>
  <w:footnote w:id="16">
    <w:p w14:paraId="6811C860" w14:textId="58A86ECF" w:rsidR="00F7732D" w:rsidRDefault="00F7732D">
      <w:pPr>
        <w:pStyle w:val="FootnoteText"/>
      </w:pPr>
      <w:r>
        <w:rPr>
          <w:rStyle w:val="FootnoteReference"/>
        </w:rPr>
        <w:footnoteRef/>
      </w:r>
      <w:r>
        <w:t xml:space="preserve"> Tony Bennett, </w:t>
      </w:r>
      <w:r w:rsidRPr="00F7732D">
        <w:rPr>
          <w:i/>
          <w:iCs/>
        </w:rPr>
        <w:t>The Birth of the Museum</w:t>
      </w:r>
      <w:r>
        <w:t xml:space="preserve"> (London: Routledge,1995) p.126</w:t>
      </w:r>
    </w:p>
  </w:footnote>
  <w:footnote w:id="17">
    <w:p w14:paraId="662AEB94" w14:textId="6E77C0DA" w:rsidR="00730E94" w:rsidRDefault="00730E94">
      <w:pPr>
        <w:pStyle w:val="FootnoteText"/>
      </w:pPr>
      <w:r>
        <w:rPr>
          <w:rStyle w:val="FootnoteReference"/>
        </w:rPr>
        <w:footnoteRef/>
      </w:r>
      <w:r>
        <w:t xml:space="preserve"> </w:t>
      </w:r>
      <w:bookmarkStart w:id="7" w:name="_Hlk98580145"/>
      <w:r>
        <w:t xml:space="preserve">M. L. Sorensen and John Carmen, </w:t>
      </w:r>
      <w:r w:rsidRPr="00730E94">
        <w:rPr>
          <w:i/>
          <w:iCs/>
        </w:rPr>
        <w:t>Heritage Studies: Methods and Approaches</w:t>
      </w:r>
      <w:r>
        <w:t xml:space="preserve"> (Abingdon: Routledge, 2009) </w:t>
      </w:r>
      <w:bookmarkEnd w:id="7"/>
      <w:r>
        <w:t>p.332</w:t>
      </w:r>
    </w:p>
  </w:footnote>
  <w:footnote w:id="18">
    <w:p w14:paraId="02C1831C" w14:textId="77777777" w:rsidR="006426F0" w:rsidRDefault="00321A75" w:rsidP="006426F0">
      <w:pPr>
        <w:pStyle w:val="FootnoteText"/>
      </w:pPr>
      <w:r>
        <w:rPr>
          <w:rStyle w:val="FootnoteReference"/>
        </w:rPr>
        <w:footnoteRef/>
      </w:r>
      <w:r>
        <w:t xml:space="preserve"> </w:t>
      </w:r>
      <w:r w:rsidR="006426F0">
        <w:t xml:space="preserve">Amy Jane Barnes, ‘What Makes a good Museum? The Art Fund Knows’, </w:t>
      </w:r>
      <w:r w:rsidR="006426F0" w:rsidRPr="00DC4590">
        <w:rPr>
          <w:i/>
          <w:iCs/>
        </w:rPr>
        <w:t>University of Leicester</w:t>
      </w:r>
      <w:r w:rsidR="006426F0">
        <w:t xml:space="preserve"> &lt;</w:t>
      </w:r>
      <w:hyperlink w:history="1">
        <w:r w:rsidR="006426F0" w:rsidRPr="00015DEE">
          <w:rPr>
            <w:rStyle w:val="Hyperlink"/>
          </w:rPr>
          <w:t>https://the conversation.co/what-makes-a-good-museum-the-art-fund-knows-28750</w:t>
        </w:r>
      </w:hyperlink>
      <w:r w:rsidR="006426F0">
        <w:t>&gt; [</w:t>
      </w:r>
      <w:bookmarkStart w:id="8" w:name="_Hlk98581858"/>
      <w:r w:rsidR="006426F0">
        <w:t xml:space="preserve">accessed 6 March 2022] </w:t>
      </w:r>
      <w:bookmarkEnd w:id="8"/>
    </w:p>
    <w:p w14:paraId="3F80CE1F" w14:textId="54CF7202" w:rsidR="00321A75" w:rsidRDefault="00321A75">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59C71" w14:textId="103843C5" w:rsidR="005A14CC" w:rsidRDefault="005A14CC">
    <w:pPr>
      <w:pStyle w:val="Header"/>
    </w:pPr>
    <w:r>
      <w:t>Student No: 26002929 Assignment 2</w:t>
    </w:r>
  </w:p>
  <w:p w14:paraId="00DED37E" w14:textId="77777777" w:rsidR="005A14CC" w:rsidRDefault="005A14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4CC"/>
    <w:rsid w:val="00017E49"/>
    <w:rsid w:val="000374F9"/>
    <w:rsid w:val="00044ED7"/>
    <w:rsid w:val="00076FF2"/>
    <w:rsid w:val="00077BD8"/>
    <w:rsid w:val="000871FB"/>
    <w:rsid w:val="0009133F"/>
    <w:rsid w:val="00092CE6"/>
    <w:rsid w:val="00097EBD"/>
    <w:rsid w:val="000C115F"/>
    <w:rsid w:val="000D63BC"/>
    <w:rsid w:val="000E0FBC"/>
    <w:rsid w:val="000E0FDE"/>
    <w:rsid w:val="000E70A8"/>
    <w:rsid w:val="000E76E0"/>
    <w:rsid w:val="00120DDA"/>
    <w:rsid w:val="00135FAF"/>
    <w:rsid w:val="00166F36"/>
    <w:rsid w:val="00180746"/>
    <w:rsid w:val="00182658"/>
    <w:rsid w:val="00182BDF"/>
    <w:rsid w:val="001956FC"/>
    <w:rsid w:val="001D16B3"/>
    <w:rsid w:val="001F5942"/>
    <w:rsid w:val="00217A36"/>
    <w:rsid w:val="00224B29"/>
    <w:rsid w:val="002310BF"/>
    <w:rsid w:val="0023766C"/>
    <w:rsid w:val="002475A3"/>
    <w:rsid w:val="00265B86"/>
    <w:rsid w:val="002676F3"/>
    <w:rsid w:val="00286021"/>
    <w:rsid w:val="00286E06"/>
    <w:rsid w:val="002E4C1D"/>
    <w:rsid w:val="002F7941"/>
    <w:rsid w:val="003057A3"/>
    <w:rsid w:val="00321A75"/>
    <w:rsid w:val="00344A4A"/>
    <w:rsid w:val="00383A4A"/>
    <w:rsid w:val="0039212F"/>
    <w:rsid w:val="00393FDC"/>
    <w:rsid w:val="003974E4"/>
    <w:rsid w:val="003A5123"/>
    <w:rsid w:val="003B30BC"/>
    <w:rsid w:val="003B3B23"/>
    <w:rsid w:val="003E3144"/>
    <w:rsid w:val="00401C1E"/>
    <w:rsid w:val="004214F1"/>
    <w:rsid w:val="00434127"/>
    <w:rsid w:val="00445ABF"/>
    <w:rsid w:val="0046537B"/>
    <w:rsid w:val="00474FF1"/>
    <w:rsid w:val="0047685C"/>
    <w:rsid w:val="00493EB5"/>
    <w:rsid w:val="0049488B"/>
    <w:rsid w:val="00495112"/>
    <w:rsid w:val="004A15DF"/>
    <w:rsid w:val="004A5E0A"/>
    <w:rsid w:val="004A79B3"/>
    <w:rsid w:val="004B49FA"/>
    <w:rsid w:val="00505643"/>
    <w:rsid w:val="005134B8"/>
    <w:rsid w:val="005202E5"/>
    <w:rsid w:val="00526FC6"/>
    <w:rsid w:val="00544A4D"/>
    <w:rsid w:val="005529D2"/>
    <w:rsid w:val="005550AC"/>
    <w:rsid w:val="005726D5"/>
    <w:rsid w:val="00595D6F"/>
    <w:rsid w:val="005A14CC"/>
    <w:rsid w:val="005A30BA"/>
    <w:rsid w:val="005D1CBD"/>
    <w:rsid w:val="005E3737"/>
    <w:rsid w:val="0063444E"/>
    <w:rsid w:val="006426F0"/>
    <w:rsid w:val="00655C5F"/>
    <w:rsid w:val="00667910"/>
    <w:rsid w:val="006761E6"/>
    <w:rsid w:val="00683B8D"/>
    <w:rsid w:val="00695041"/>
    <w:rsid w:val="006A0413"/>
    <w:rsid w:val="006E24E9"/>
    <w:rsid w:val="00730E94"/>
    <w:rsid w:val="00746B91"/>
    <w:rsid w:val="0075667B"/>
    <w:rsid w:val="00774299"/>
    <w:rsid w:val="007766CC"/>
    <w:rsid w:val="00781C57"/>
    <w:rsid w:val="00783D51"/>
    <w:rsid w:val="007905E3"/>
    <w:rsid w:val="007950BE"/>
    <w:rsid w:val="007A24EC"/>
    <w:rsid w:val="007A454E"/>
    <w:rsid w:val="007C50C6"/>
    <w:rsid w:val="007C527A"/>
    <w:rsid w:val="007D330E"/>
    <w:rsid w:val="007E07F1"/>
    <w:rsid w:val="00811FAD"/>
    <w:rsid w:val="00814319"/>
    <w:rsid w:val="008267D9"/>
    <w:rsid w:val="008B61D8"/>
    <w:rsid w:val="008E22AC"/>
    <w:rsid w:val="00911FC9"/>
    <w:rsid w:val="009366B6"/>
    <w:rsid w:val="0094229A"/>
    <w:rsid w:val="00961CE1"/>
    <w:rsid w:val="009661F8"/>
    <w:rsid w:val="009F148F"/>
    <w:rsid w:val="00A210A2"/>
    <w:rsid w:val="00A41378"/>
    <w:rsid w:val="00A60134"/>
    <w:rsid w:val="00A6428C"/>
    <w:rsid w:val="00A70D41"/>
    <w:rsid w:val="00A77520"/>
    <w:rsid w:val="00AB782A"/>
    <w:rsid w:val="00AC02FE"/>
    <w:rsid w:val="00AD0161"/>
    <w:rsid w:val="00AF3E59"/>
    <w:rsid w:val="00B14BB9"/>
    <w:rsid w:val="00B21DBB"/>
    <w:rsid w:val="00B25CDB"/>
    <w:rsid w:val="00B36154"/>
    <w:rsid w:val="00B50471"/>
    <w:rsid w:val="00B52285"/>
    <w:rsid w:val="00B5342A"/>
    <w:rsid w:val="00B82994"/>
    <w:rsid w:val="00B86710"/>
    <w:rsid w:val="00B96A23"/>
    <w:rsid w:val="00B97124"/>
    <w:rsid w:val="00BA332F"/>
    <w:rsid w:val="00BA375E"/>
    <w:rsid w:val="00BA7B1A"/>
    <w:rsid w:val="00BB15E5"/>
    <w:rsid w:val="00BB2672"/>
    <w:rsid w:val="00BC7021"/>
    <w:rsid w:val="00BD6615"/>
    <w:rsid w:val="00BF0A12"/>
    <w:rsid w:val="00C00E11"/>
    <w:rsid w:val="00C108C2"/>
    <w:rsid w:val="00C200A6"/>
    <w:rsid w:val="00C2059D"/>
    <w:rsid w:val="00C55794"/>
    <w:rsid w:val="00C74BDD"/>
    <w:rsid w:val="00CB470F"/>
    <w:rsid w:val="00CB6ADB"/>
    <w:rsid w:val="00D106B0"/>
    <w:rsid w:val="00DA1238"/>
    <w:rsid w:val="00DB3BB0"/>
    <w:rsid w:val="00DB43E1"/>
    <w:rsid w:val="00DC4590"/>
    <w:rsid w:val="00DD12BB"/>
    <w:rsid w:val="00DD1CFD"/>
    <w:rsid w:val="00DF57CC"/>
    <w:rsid w:val="00DF5F5C"/>
    <w:rsid w:val="00DF6B3F"/>
    <w:rsid w:val="00E10086"/>
    <w:rsid w:val="00E22BEC"/>
    <w:rsid w:val="00E26350"/>
    <w:rsid w:val="00E40BE4"/>
    <w:rsid w:val="00E529E5"/>
    <w:rsid w:val="00E55573"/>
    <w:rsid w:val="00E71EB7"/>
    <w:rsid w:val="00E94FF4"/>
    <w:rsid w:val="00ED2CFA"/>
    <w:rsid w:val="00ED35ED"/>
    <w:rsid w:val="00EF632B"/>
    <w:rsid w:val="00F15741"/>
    <w:rsid w:val="00F26C2E"/>
    <w:rsid w:val="00F3416D"/>
    <w:rsid w:val="00F52BE2"/>
    <w:rsid w:val="00F53A1A"/>
    <w:rsid w:val="00F7732D"/>
    <w:rsid w:val="00F92EF5"/>
    <w:rsid w:val="00FA7602"/>
    <w:rsid w:val="00FB71CD"/>
    <w:rsid w:val="00FC5A28"/>
    <w:rsid w:val="00FD3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4D56D5"/>
  <w15:chartTrackingRefBased/>
  <w15:docId w15:val="{A6936D52-5041-4A42-9866-5BCB9DF08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1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4CC"/>
  </w:style>
  <w:style w:type="paragraph" w:styleId="Footer">
    <w:name w:val="footer"/>
    <w:basedOn w:val="Normal"/>
    <w:link w:val="FooterChar"/>
    <w:uiPriority w:val="99"/>
    <w:unhideWhenUsed/>
    <w:rsid w:val="005A1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4CC"/>
  </w:style>
  <w:style w:type="paragraph" w:styleId="FootnoteText">
    <w:name w:val="footnote text"/>
    <w:basedOn w:val="Normal"/>
    <w:link w:val="FootnoteTextChar"/>
    <w:uiPriority w:val="99"/>
    <w:semiHidden/>
    <w:unhideWhenUsed/>
    <w:rsid w:val="001956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56FC"/>
    <w:rPr>
      <w:sz w:val="20"/>
      <w:szCs w:val="20"/>
    </w:rPr>
  </w:style>
  <w:style w:type="character" w:styleId="FootnoteReference">
    <w:name w:val="footnote reference"/>
    <w:basedOn w:val="DefaultParagraphFont"/>
    <w:uiPriority w:val="99"/>
    <w:semiHidden/>
    <w:unhideWhenUsed/>
    <w:rsid w:val="001956FC"/>
    <w:rPr>
      <w:vertAlign w:val="superscript"/>
    </w:rPr>
  </w:style>
  <w:style w:type="character" w:styleId="Hyperlink">
    <w:name w:val="Hyperlink"/>
    <w:basedOn w:val="DefaultParagraphFont"/>
    <w:uiPriority w:val="99"/>
    <w:unhideWhenUsed/>
    <w:rsid w:val="0049488B"/>
    <w:rPr>
      <w:color w:val="0563C1" w:themeColor="hyperlink"/>
      <w:u w:val="single"/>
    </w:rPr>
  </w:style>
  <w:style w:type="character" w:styleId="UnresolvedMention">
    <w:name w:val="Unresolved Mention"/>
    <w:basedOn w:val="DefaultParagraphFont"/>
    <w:uiPriority w:val="99"/>
    <w:semiHidden/>
    <w:unhideWhenUsed/>
    <w:rsid w:val="0049488B"/>
    <w:rPr>
      <w:color w:val="605E5C"/>
      <w:shd w:val="clear" w:color="auto" w:fill="E1DFDD"/>
    </w:rPr>
  </w:style>
  <w:style w:type="character" w:styleId="Emphasis">
    <w:name w:val="Emphasis"/>
    <w:basedOn w:val="DefaultParagraphFont"/>
    <w:uiPriority w:val="20"/>
    <w:qFormat/>
    <w:rsid w:val="00166F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wanseamuseum.co.uk/swansea-a-brief-history/the-sea/swansea-jac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dvisor.museumsandheritage.com/news/covid-recovery-why-museums-and-heriatge-venues-should-re-examine-relationships-with-local-audienc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risw.org" TargetMode="External"/><Relationship Id="rId4" Type="http://schemas.openxmlformats.org/officeDocument/2006/relationships/webSettings" Target="webSettings.xml"/><Relationship Id="rId9" Type="http://schemas.openxmlformats.org/officeDocument/2006/relationships/hyperlink" Target="https://www.britishmuseum.org/collection/term/BIOG79676"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britishmuseum.org/collection/term/BIOG79676" TargetMode="External"/><Relationship Id="rId2" Type="http://schemas.openxmlformats.org/officeDocument/2006/relationships/hyperlink" Target="http://www.swanseamuseum.co.uk/swansea-a-brief-history/the-sea/swansea-jack" TargetMode="External"/><Relationship Id="rId1" Type="http://schemas.openxmlformats.org/officeDocument/2006/relationships/hyperlink" Target="http://www.risw.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8D7BC-B5F8-48A0-B001-F2210BE5F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Jones</dc:creator>
  <cp:keywords/>
  <dc:description/>
  <cp:lastModifiedBy>Jane Jones</cp:lastModifiedBy>
  <cp:revision>2</cp:revision>
  <cp:lastPrinted>2022-03-20T19:48:00Z</cp:lastPrinted>
  <dcterms:created xsi:type="dcterms:W3CDTF">2022-04-02T12:35:00Z</dcterms:created>
  <dcterms:modified xsi:type="dcterms:W3CDTF">2022-04-02T12:35:00Z</dcterms:modified>
</cp:coreProperties>
</file>