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52A06E9" w14:textId="45D0F725" w:rsidR="00E27B86" w:rsidRDefault="00755D5B">
      <w:r>
        <w:rPr>
          <w:noProof/>
        </w:rPr>
        <w:drawing>
          <wp:inline distT="0" distB="0" distL="0" distR="0" wp14:anchorId="7CA62EE3" wp14:editId="24FDFE9F">
            <wp:extent cx="5731510" cy="3223895"/>
            <wp:effectExtent l="0" t="0" r="2540" b="0"/>
            <wp:docPr id="76005739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0057391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37EDAB" w14:textId="77777777" w:rsidR="00FA44A6" w:rsidRDefault="00FA44A6"/>
    <w:p w14:paraId="366E96C9" w14:textId="77777777" w:rsidR="00FA44A6" w:rsidRDefault="00FA44A6"/>
    <w:p w14:paraId="241BB8A2" w14:textId="24C537B9" w:rsidR="00FA44A6" w:rsidRDefault="00C67C5F">
      <w:pPr>
        <w:rPr>
          <w:noProof/>
        </w:rPr>
      </w:pPr>
      <w:r>
        <w:rPr>
          <w:noProof/>
        </w:rPr>
        <w:drawing>
          <wp:inline distT="0" distB="0" distL="0" distR="0" wp14:anchorId="3CF78163" wp14:editId="407445CE">
            <wp:extent cx="5731510" cy="2736606"/>
            <wp:effectExtent l="0" t="0" r="2540" b="6985"/>
            <wp:docPr id="251470309" name="Picture 1" descr="A brochure with text and images of people walk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1470309" name="Picture 1" descr="A brochure with text and images of people walking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73660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0234C0B" w14:textId="3529079B" w:rsidR="00FA44A6" w:rsidRDefault="00FA44A6"/>
    <w:p w14:paraId="246B3BC5" w14:textId="1C719AB0" w:rsidR="00FA44A6" w:rsidRDefault="00FA44A6"/>
    <w:p w14:paraId="5756760E" w14:textId="77777777" w:rsidR="00C67C5F" w:rsidRDefault="00C67C5F"/>
    <w:p w14:paraId="56DC68CB" w14:textId="77777777" w:rsidR="00C67C5F" w:rsidRDefault="00C67C5F"/>
    <w:p w14:paraId="6A1A2339" w14:textId="77777777" w:rsidR="00C67C5F" w:rsidRDefault="00C67C5F"/>
    <w:p w14:paraId="58466292" w14:textId="77777777" w:rsidR="00C67C5F" w:rsidRDefault="00C67C5F"/>
    <w:p w14:paraId="26EE0FCB" w14:textId="77777777" w:rsidR="00C67C5F" w:rsidRDefault="00C67C5F"/>
    <w:p w14:paraId="282AA28F" w14:textId="334BE651" w:rsidR="00C67C5F" w:rsidRDefault="00C67C5F">
      <w:r>
        <w:rPr>
          <w:noProof/>
        </w:rPr>
        <w:lastRenderedPageBreak/>
        <w:drawing>
          <wp:inline distT="0" distB="0" distL="0" distR="0" wp14:anchorId="6AF799B0" wp14:editId="6E2C9C47">
            <wp:extent cx="6005195" cy="3378105"/>
            <wp:effectExtent l="0" t="0" r="0" b="0"/>
            <wp:docPr id="1981863094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09156" cy="338033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6125152" w14:textId="77777777" w:rsidR="00C67C5F" w:rsidRDefault="00C67C5F"/>
    <w:p w14:paraId="4B2539F0" w14:textId="0BE9D07B" w:rsidR="00C67C5F" w:rsidRDefault="00F64E85">
      <w:r>
        <w:rPr>
          <w:noProof/>
        </w:rPr>
        <w:drawing>
          <wp:inline distT="0" distB="0" distL="0" distR="0" wp14:anchorId="11B9CA36" wp14:editId="5D8D6B07">
            <wp:extent cx="6069708" cy="3414395"/>
            <wp:effectExtent l="0" t="0" r="7620" b="0"/>
            <wp:docPr id="66194320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79467" cy="341988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64D9F04" w14:textId="77777777" w:rsidR="00F64E85" w:rsidRDefault="00F64E85"/>
    <w:p w14:paraId="7F5658F1" w14:textId="77777777" w:rsidR="00F64E85" w:rsidRDefault="00F64E85"/>
    <w:p w14:paraId="27F2C036" w14:textId="77777777" w:rsidR="00F64E85" w:rsidRDefault="00F64E85"/>
    <w:p w14:paraId="5E12FE23" w14:textId="77777777" w:rsidR="00F64E85" w:rsidRDefault="00F64E85"/>
    <w:p w14:paraId="0865F4B7" w14:textId="77777777" w:rsidR="00F64E85" w:rsidRDefault="00F64E85"/>
    <w:p w14:paraId="54871715" w14:textId="4A528949" w:rsidR="00F64E85" w:rsidRDefault="00310A51">
      <w:r>
        <w:rPr>
          <w:noProof/>
        </w:rPr>
        <w:lastRenderedPageBreak/>
        <w:drawing>
          <wp:inline distT="0" distB="0" distL="0" distR="0" wp14:anchorId="21B112F9" wp14:editId="6BF309C8">
            <wp:extent cx="6089015" cy="3425256"/>
            <wp:effectExtent l="0" t="0" r="6985" b="3810"/>
            <wp:docPr id="382598332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08684" cy="343632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DC07F76" w14:textId="77777777" w:rsidR="00310A51" w:rsidRDefault="00310A51"/>
    <w:p w14:paraId="58EE6992" w14:textId="77777777" w:rsidR="00310A51" w:rsidRDefault="00310A51"/>
    <w:p w14:paraId="4DCF98E2" w14:textId="4C15FEA3" w:rsidR="00310A51" w:rsidRDefault="00310A51">
      <w:r>
        <w:rPr>
          <w:noProof/>
        </w:rPr>
        <w:drawing>
          <wp:inline distT="0" distB="0" distL="0" distR="0" wp14:anchorId="2C33B19D" wp14:editId="1A4F36B9">
            <wp:extent cx="6119495" cy="3442402"/>
            <wp:effectExtent l="0" t="0" r="0" b="5715"/>
            <wp:docPr id="1057412821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43267" cy="345577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2AE4AC2" w14:textId="77777777" w:rsidR="00310A51" w:rsidRDefault="00310A51"/>
    <w:p w14:paraId="39DF6FC5" w14:textId="77777777" w:rsidR="00310A51" w:rsidRDefault="00310A51"/>
    <w:p w14:paraId="7A272F83" w14:textId="77777777" w:rsidR="00310A51" w:rsidRDefault="00310A51"/>
    <w:p w14:paraId="31CDAAAD" w14:textId="77777777" w:rsidR="00310A51" w:rsidRDefault="00310A51"/>
    <w:p w14:paraId="7C566AE1" w14:textId="4816ACD1" w:rsidR="00310A51" w:rsidRDefault="002F296B">
      <w:r>
        <w:rPr>
          <w:noProof/>
        </w:rPr>
        <w:lastRenderedPageBreak/>
        <w:drawing>
          <wp:inline distT="0" distB="0" distL="0" distR="0" wp14:anchorId="00436706" wp14:editId="55F13836">
            <wp:extent cx="5890895" cy="3313807"/>
            <wp:effectExtent l="0" t="0" r="0" b="1270"/>
            <wp:docPr id="1557974208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16918" cy="332844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D56C241" w14:textId="77777777" w:rsidR="002F296B" w:rsidRDefault="002F296B"/>
    <w:p w14:paraId="738AE4A3" w14:textId="77777777" w:rsidR="002F296B" w:rsidRDefault="002F296B"/>
    <w:p w14:paraId="6344A333" w14:textId="7CFB3E93" w:rsidR="002F296B" w:rsidRDefault="002F296B">
      <w:r>
        <w:rPr>
          <w:noProof/>
        </w:rPr>
        <w:drawing>
          <wp:inline distT="0" distB="0" distL="0" distR="0" wp14:anchorId="3BBA0C6D" wp14:editId="34F27EA4">
            <wp:extent cx="5744605" cy="3231515"/>
            <wp:effectExtent l="0" t="0" r="8890" b="6985"/>
            <wp:docPr id="1232953739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73424" cy="324772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6B644CE" w14:textId="77777777" w:rsidR="002F296B" w:rsidRDefault="002F296B"/>
    <w:p w14:paraId="020DC691" w14:textId="77777777" w:rsidR="002F296B" w:rsidRDefault="002F296B"/>
    <w:p w14:paraId="15C74BC2" w14:textId="77777777" w:rsidR="002F296B" w:rsidRDefault="002F296B"/>
    <w:p w14:paraId="5EA86879" w14:textId="77777777" w:rsidR="002F296B" w:rsidRDefault="002F296B"/>
    <w:p w14:paraId="50877A10" w14:textId="77777777" w:rsidR="002F296B" w:rsidRDefault="002F296B"/>
    <w:p w14:paraId="776691C1" w14:textId="610A38E5" w:rsidR="002F296B" w:rsidRDefault="001B562C">
      <w:r>
        <w:rPr>
          <w:noProof/>
        </w:rPr>
        <w:lastRenderedPageBreak/>
        <w:drawing>
          <wp:inline distT="0" distB="0" distL="0" distR="0" wp14:anchorId="195D65EC" wp14:editId="6E1695A6">
            <wp:extent cx="5997575" cy="3373818"/>
            <wp:effectExtent l="0" t="0" r="3175" b="0"/>
            <wp:docPr id="1180725759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06492" cy="337883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4F4918C" w14:textId="77777777" w:rsidR="001B562C" w:rsidRDefault="001B562C"/>
    <w:p w14:paraId="7F6F5103" w14:textId="77777777" w:rsidR="001B562C" w:rsidRDefault="001B562C"/>
    <w:p w14:paraId="1B010668" w14:textId="106EEEC3" w:rsidR="001B562C" w:rsidRDefault="007358A3">
      <w:pPr>
        <w:rPr>
          <w:rFonts w:ascii="Times New Roman" w:hAnsi="Times New Roman" w:cs="Times New Roman"/>
          <w:sz w:val="44"/>
          <w:szCs w:val="44"/>
        </w:rPr>
      </w:pPr>
      <w:r w:rsidRPr="007358A3">
        <w:rPr>
          <w:rFonts w:ascii="Times New Roman" w:hAnsi="Times New Roman" w:cs="Times New Roman"/>
          <w:sz w:val="44"/>
          <w:szCs w:val="44"/>
        </w:rPr>
        <w:t>References</w:t>
      </w:r>
    </w:p>
    <w:p w14:paraId="173B0B7B" w14:textId="45F4B9F0" w:rsidR="007358A3" w:rsidRPr="00365E6E" w:rsidRDefault="007358A3" w:rsidP="00365E6E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365E6E">
        <w:rPr>
          <w:rFonts w:ascii="Times New Roman" w:hAnsi="Times New Roman" w:cs="Times New Roman"/>
          <w:sz w:val="24"/>
          <w:szCs w:val="24"/>
        </w:rPr>
        <w:t xml:space="preserve">Allen, J. (2010) Event </w:t>
      </w:r>
      <w:r w:rsidR="00F46421">
        <w:rPr>
          <w:rFonts w:ascii="Times New Roman" w:hAnsi="Times New Roman" w:cs="Times New Roman"/>
          <w:sz w:val="24"/>
          <w:szCs w:val="24"/>
        </w:rPr>
        <w:t>P</w:t>
      </w:r>
      <w:r w:rsidRPr="00365E6E">
        <w:rPr>
          <w:rFonts w:ascii="Times New Roman" w:hAnsi="Times New Roman" w:cs="Times New Roman"/>
          <w:sz w:val="24"/>
          <w:szCs w:val="24"/>
        </w:rPr>
        <w:t xml:space="preserve">lanning: The ultimate guide to successful meetings, corporate events, fund-raising galas, conferences, conventions, incentives and other special events. Mississauga, </w:t>
      </w:r>
      <w:proofErr w:type="spellStart"/>
      <w:r w:rsidRPr="00365E6E">
        <w:rPr>
          <w:rFonts w:ascii="Times New Roman" w:hAnsi="Times New Roman" w:cs="Times New Roman"/>
          <w:sz w:val="24"/>
          <w:szCs w:val="24"/>
        </w:rPr>
        <w:t>Ont</w:t>
      </w:r>
      <w:proofErr w:type="spellEnd"/>
      <w:r w:rsidRPr="00365E6E">
        <w:rPr>
          <w:rFonts w:ascii="Times New Roman" w:hAnsi="Times New Roman" w:cs="Times New Roman"/>
          <w:sz w:val="24"/>
          <w:szCs w:val="24"/>
        </w:rPr>
        <w:t>: J. Wiley &amp; Sons Canada.</w:t>
      </w:r>
    </w:p>
    <w:p w14:paraId="1E19DCDF" w14:textId="22118368" w:rsidR="007358A3" w:rsidRPr="00365E6E" w:rsidRDefault="007358A3" w:rsidP="00365E6E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365E6E">
        <w:rPr>
          <w:rFonts w:ascii="Times New Roman" w:hAnsi="Times New Roman" w:cs="Times New Roman"/>
          <w:sz w:val="24"/>
          <w:szCs w:val="24"/>
        </w:rPr>
        <w:t>Allen, J., Harris, R. and Jago, L. (2021) Festival &amp; special event management. Milton, QLD: John Wiley and Sons Australia.</w:t>
      </w:r>
    </w:p>
    <w:p w14:paraId="34302B00" w14:textId="386DA2F3" w:rsidR="007358A3" w:rsidRPr="00365E6E" w:rsidRDefault="007358A3" w:rsidP="00365E6E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365E6E">
        <w:rPr>
          <w:rFonts w:ascii="Times New Roman" w:hAnsi="Times New Roman" w:cs="Times New Roman"/>
          <w:sz w:val="24"/>
          <w:szCs w:val="24"/>
        </w:rPr>
        <w:t>Anabtawi, A. (2023) Event operations: The key to a successful event, LinkedIn. Available at: https://www.linkedin.com/pulse/event-operations-key-successful-ammar-anabtawi/ (Accessed: 10 October 2024).</w:t>
      </w:r>
    </w:p>
    <w:p w14:paraId="75B8809C" w14:textId="23530288" w:rsidR="007358A3" w:rsidRPr="00365E6E" w:rsidRDefault="007358A3" w:rsidP="00365E6E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365E6E">
        <w:rPr>
          <w:rFonts w:ascii="Times New Roman" w:hAnsi="Times New Roman" w:cs="Times New Roman"/>
          <w:sz w:val="24"/>
          <w:szCs w:val="24"/>
        </w:rPr>
        <w:t>Armbrecht, J. (2021) ‘Event quality, perceived value, satisfaction and behavioural intentions in an event context’, Scandinavian Journal of Hospitality and Tourism, 21(2), pp. 169–191. doi:10.1080/15022250.2021.1877191.</w:t>
      </w:r>
    </w:p>
    <w:p w14:paraId="022161C7" w14:textId="25FF4411" w:rsidR="007358A3" w:rsidRPr="00365E6E" w:rsidRDefault="007358A3" w:rsidP="00365E6E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365E6E">
        <w:rPr>
          <w:rFonts w:ascii="Times New Roman" w:hAnsi="Times New Roman" w:cs="Times New Roman"/>
          <w:sz w:val="24"/>
          <w:szCs w:val="24"/>
        </w:rPr>
        <w:t>Becker, L. and Jaakkola, E. (2020) ‘Customer experience: Fundamental premises and implications for research’, Journal of the Academy of Marketing Science, 48(4), pp. 630–648. doi:10.1007/s11747-019-00718-x.</w:t>
      </w:r>
    </w:p>
    <w:p w14:paraId="7A26E5FC" w14:textId="588E134A" w:rsidR="007358A3" w:rsidRPr="00365E6E" w:rsidRDefault="007358A3" w:rsidP="00365E6E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proofErr w:type="spellStart"/>
      <w:r w:rsidRPr="00365E6E">
        <w:rPr>
          <w:rFonts w:ascii="Times New Roman" w:hAnsi="Times New Roman" w:cs="Times New Roman"/>
          <w:sz w:val="24"/>
          <w:szCs w:val="24"/>
        </w:rPr>
        <w:t>Dalgiç</w:t>
      </w:r>
      <w:proofErr w:type="spellEnd"/>
      <w:r w:rsidRPr="00365E6E">
        <w:rPr>
          <w:rFonts w:ascii="Times New Roman" w:hAnsi="Times New Roman" w:cs="Times New Roman"/>
          <w:sz w:val="24"/>
          <w:szCs w:val="24"/>
        </w:rPr>
        <w:t xml:space="preserve">, A. and </w:t>
      </w:r>
      <w:proofErr w:type="spellStart"/>
      <w:r w:rsidRPr="00365E6E">
        <w:rPr>
          <w:rFonts w:ascii="Times New Roman" w:hAnsi="Times New Roman" w:cs="Times New Roman"/>
          <w:sz w:val="24"/>
          <w:szCs w:val="24"/>
        </w:rPr>
        <w:t>Birdir</w:t>
      </w:r>
      <w:proofErr w:type="spellEnd"/>
      <w:r w:rsidRPr="00365E6E">
        <w:rPr>
          <w:rFonts w:ascii="Times New Roman" w:hAnsi="Times New Roman" w:cs="Times New Roman"/>
          <w:sz w:val="24"/>
          <w:szCs w:val="24"/>
        </w:rPr>
        <w:t xml:space="preserve">, K. (2020) ‘The effect of key success factors on </w:t>
      </w:r>
      <w:r w:rsidR="00F46421">
        <w:rPr>
          <w:rFonts w:ascii="Times New Roman" w:hAnsi="Times New Roman" w:cs="Times New Roman"/>
          <w:sz w:val="24"/>
          <w:szCs w:val="24"/>
        </w:rPr>
        <w:t>the </w:t>
      </w:r>
      <w:r w:rsidRPr="00365E6E">
        <w:rPr>
          <w:rFonts w:ascii="Times New Roman" w:hAnsi="Times New Roman" w:cs="Times New Roman"/>
          <w:sz w:val="24"/>
          <w:szCs w:val="24"/>
        </w:rPr>
        <w:t>loyalty of festival visitors: The mediating effect of festival experience and festival image’, Tourism &amp; Management Studies, 16(1), pp. 28–38. doi:10.18089/tms.2020.160103.</w:t>
      </w:r>
    </w:p>
    <w:p w14:paraId="018BAB77" w14:textId="51E0E3C8" w:rsidR="007358A3" w:rsidRPr="00365E6E" w:rsidRDefault="007358A3" w:rsidP="00365E6E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365E6E">
        <w:rPr>
          <w:rFonts w:ascii="Times New Roman" w:hAnsi="Times New Roman" w:cs="Times New Roman"/>
          <w:sz w:val="24"/>
          <w:szCs w:val="24"/>
        </w:rPr>
        <w:t>Fox, D. (2014) Doing events research: From theory to practice. New York: Routledge.</w:t>
      </w:r>
    </w:p>
    <w:p w14:paraId="657A4662" w14:textId="4FCC2A2D" w:rsidR="007358A3" w:rsidRPr="00365E6E" w:rsidRDefault="007358A3" w:rsidP="00365E6E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365E6E">
        <w:rPr>
          <w:rFonts w:ascii="Times New Roman" w:hAnsi="Times New Roman" w:cs="Times New Roman"/>
          <w:sz w:val="24"/>
          <w:szCs w:val="24"/>
        </w:rPr>
        <w:t xml:space="preserve">Getz, D. and Page, S.J. (2016) ‘Progress and prospects for event tourism research’, Tourism Management, 52, pp. 593–631. </w:t>
      </w:r>
      <w:proofErr w:type="gramStart"/>
      <w:r w:rsidRPr="00365E6E">
        <w:rPr>
          <w:rFonts w:ascii="Times New Roman" w:hAnsi="Times New Roman" w:cs="Times New Roman"/>
          <w:sz w:val="24"/>
          <w:szCs w:val="24"/>
        </w:rPr>
        <w:t>doi:10.1016/j.tourman</w:t>
      </w:r>
      <w:proofErr w:type="gramEnd"/>
      <w:r w:rsidRPr="00365E6E">
        <w:rPr>
          <w:rFonts w:ascii="Times New Roman" w:hAnsi="Times New Roman" w:cs="Times New Roman"/>
          <w:sz w:val="24"/>
          <w:szCs w:val="24"/>
        </w:rPr>
        <w:t>.2015.03.007.</w:t>
      </w:r>
    </w:p>
    <w:p w14:paraId="3A5996BC" w14:textId="2563A026" w:rsidR="007358A3" w:rsidRPr="00365E6E" w:rsidRDefault="007358A3" w:rsidP="00365E6E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365E6E">
        <w:rPr>
          <w:rFonts w:ascii="Times New Roman" w:hAnsi="Times New Roman" w:cs="Times New Roman"/>
          <w:sz w:val="24"/>
          <w:szCs w:val="24"/>
        </w:rPr>
        <w:t>Getz, D. and Page, S.J. (2019) Event studies: Theory, research and policy for planned events. Abingdon, Oxon: Routledge.</w:t>
      </w:r>
    </w:p>
    <w:p w14:paraId="6F78F2CC" w14:textId="428BE0F3" w:rsidR="007358A3" w:rsidRPr="00365E6E" w:rsidRDefault="007358A3" w:rsidP="00365E6E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365E6E">
        <w:rPr>
          <w:rFonts w:ascii="Times New Roman" w:hAnsi="Times New Roman" w:cs="Times New Roman"/>
          <w:sz w:val="24"/>
          <w:szCs w:val="24"/>
        </w:rPr>
        <w:lastRenderedPageBreak/>
        <w:t>Goldblatt, J. (2014) Special events: Creating and sustaining a new world for celebration. New Jersey: Wiley &amp; Sons.</w:t>
      </w:r>
    </w:p>
    <w:p w14:paraId="4CA6C3EF" w14:textId="42F181D9" w:rsidR="007358A3" w:rsidRPr="00365E6E" w:rsidRDefault="007358A3" w:rsidP="00365E6E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365E6E">
        <w:rPr>
          <w:rFonts w:ascii="Times New Roman" w:hAnsi="Times New Roman" w:cs="Times New Roman"/>
          <w:sz w:val="24"/>
          <w:szCs w:val="24"/>
        </w:rPr>
        <w:t>Lee, M. et al. (2020) ‘Exploring the roles of DMO’s social media efforts and information richness on customer engagement: Empirical Analysis on Facebook event pages’, Journal of Travel Research, 60(3), pp. 670–686. doi:10.1177/0047287520934874.</w:t>
      </w:r>
    </w:p>
    <w:p w14:paraId="00DBF294" w14:textId="0B569297" w:rsidR="007358A3" w:rsidRPr="00365E6E" w:rsidRDefault="007358A3" w:rsidP="00365E6E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365E6E">
        <w:rPr>
          <w:rFonts w:ascii="Times New Roman" w:hAnsi="Times New Roman" w:cs="Times New Roman"/>
          <w:sz w:val="24"/>
          <w:szCs w:val="24"/>
        </w:rPr>
        <w:t>Lemon, K.N. and Verhoef, P.C. (2016) ‘Understanding customer experience throughout the customer journey’, Journal of Marketing, 80(6), pp. 69–96. doi:10.1509/jm.15.0420.</w:t>
      </w:r>
    </w:p>
    <w:p w14:paraId="3F8E8631" w14:textId="22E46D1E" w:rsidR="007358A3" w:rsidRPr="00365E6E" w:rsidRDefault="007358A3" w:rsidP="00365E6E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365E6E">
        <w:rPr>
          <w:rFonts w:ascii="Times New Roman" w:hAnsi="Times New Roman" w:cs="Times New Roman"/>
          <w:sz w:val="24"/>
          <w:szCs w:val="24"/>
        </w:rPr>
        <w:t xml:space="preserve">Lopes, R. and </w:t>
      </w:r>
      <w:proofErr w:type="spellStart"/>
      <w:r w:rsidRPr="00365E6E">
        <w:rPr>
          <w:rFonts w:ascii="Times New Roman" w:hAnsi="Times New Roman" w:cs="Times New Roman"/>
          <w:sz w:val="24"/>
          <w:szCs w:val="24"/>
        </w:rPr>
        <w:t>Hiray</w:t>
      </w:r>
      <w:proofErr w:type="spellEnd"/>
      <w:r w:rsidRPr="00365E6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365E6E">
        <w:rPr>
          <w:rFonts w:ascii="Times New Roman" w:hAnsi="Times New Roman" w:cs="Times New Roman"/>
          <w:sz w:val="24"/>
          <w:szCs w:val="24"/>
        </w:rPr>
        <w:t>Dr.A</w:t>
      </w:r>
      <w:proofErr w:type="spellEnd"/>
      <w:r w:rsidRPr="00365E6E">
        <w:rPr>
          <w:rFonts w:ascii="Times New Roman" w:hAnsi="Times New Roman" w:cs="Times New Roman"/>
          <w:sz w:val="24"/>
          <w:szCs w:val="24"/>
        </w:rPr>
        <w:t xml:space="preserve">. (2024) ‘Impacts of cultural events and festivals on cultural tourism’, Journal of Advanced Zoology, pp. 174–179. </w:t>
      </w:r>
      <w:proofErr w:type="gramStart"/>
      <w:r w:rsidRPr="00365E6E">
        <w:rPr>
          <w:rFonts w:ascii="Times New Roman" w:hAnsi="Times New Roman" w:cs="Times New Roman"/>
          <w:sz w:val="24"/>
          <w:szCs w:val="24"/>
        </w:rPr>
        <w:t>doi:10.53555/jaz.v45is4</w:t>
      </w:r>
      <w:proofErr w:type="gramEnd"/>
      <w:r w:rsidRPr="00365E6E">
        <w:rPr>
          <w:rFonts w:ascii="Times New Roman" w:hAnsi="Times New Roman" w:cs="Times New Roman"/>
          <w:sz w:val="24"/>
          <w:szCs w:val="24"/>
        </w:rPr>
        <w:t>.4177.</w:t>
      </w:r>
    </w:p>
    <w:p w14:paraId="073F3EB1" w14:textId="4AF96B5A" w:rsidR="007358A3" w:rsidRPr="00365E6E" w:rsidRDefault="007358A3" w:rsidP="00365E6E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365E6E">
        <w:rPr>
          <w:rFonts w:ascii="Times New Roman" w:hAnsi="Times New Roman" w:cs="Times New Roman"/>
          <w:sz w:val="24"/>
          <w:szCs w:val="24"/>
        </w:rPr>
        <w:t xml:space="preserve">Maarif, L.A., Ratnawati, K. and Dwi Vata </w:t>
      </w:r>
      <w:proofErr w:type="spellStart"/>
      <w:r w:rsidRPr="00365E6E">
        <w:rPr>
          <w:rFonts w:ascii="Times New Roman" w:hAnsi="Times New Roman" w:cs="Times New Roman"/>
          <w:sz w:val="24"/>
          <w:szCs w:val="24"/>
        </w:rPr>
        <w:t>Hapsari</w:t>
      </w:r>
      <w:proofErr w:type="spellEnd"/>
      <w:r w:rsidRPr="00365E6E">
        <w:rPr>
          <w:rFonts w:ascii="Times New Roman" w:hAnsi="Times New Roman" w:cs="Times New Roman"/>
          <w:sz w:val="24"/>
          <w:szCs w:val="24"/>
        </w:rPr>
        <w:t>, R. (2023) ‘The authenticity and social media effect on revisit intention mediated by destination image’, International Journal of Research in Business and Social Science (2147- 4478), 12(4), pp. 33–43. doi:10.20525/</w:t>
      </w:r>
      <w:proofErr w:type="gramStart"/>
      <w:r w:rsidRPr="00365E6E">
        <w:rPr>
          <w:rFonts w:ascii="Times New Roman" w:hAnsi="Times New Roman" w:cs="Times New Roman"/>
          <w:sz w:val="24"/>
          <w:szCs w:val="24"/>
        </w:rPr>
        <w:t>ijrbs.v</w:t>
      </w:r>
      <w:proofErr w:type="gramEnd"/>
      <w:r w:rsidRPr="00365E6E">
        <w:rPr>
          <w:rFonts w:ascii="Times New Roman" w:hAnsi="Times New Roman" w:cs="Times New Roman"/>
          <w:sz w:val="24"/>
          <w:szCs w:val="24"/>
        </w:rPr>
        <w:t>12i4.2660.</w:t>
      </w:r>
    </w:p>
    <w:p w14:paraId="6D795088" w14:textId="5963A4CC" w:rsidR="007358A3" w:rsidRPr="00365E6E" w:rsidRDefault="007358A3" w:rsidP="00365E6E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365E6E">
        <w:rPr>
          <w:rFonts w:ascii="Times New Roman" w:hAnsi="Times New Roman" w:cs="Times New Roman"/>
          <w:sz w:val="24"/>
          <w:szCs w:val="24"/>
        </w:rPr>
        <w:t xml:space="preserve">Meredith, J.R. (2022) Project Management: A managerial approach. </w:t>
      </w:r>
      <w:proofErr w:type="spellStart"/>
      <w:r w:rsidRPr="00365E6E">
        <w:rPr>
          <w:rFonts w:ascii="Times New Roman" w:hAnsi="Times New Roman" w:cs="Times New Roman"/>
          <w:sz w:val="24"/>
          <w:szCs w:val="24"/>
        </w:rPr>
        <w:t>S.l.</w:t>
      </w:r>
      <w:proofErr w:type="spellEnd"/>
      <w:r w:rsidRPr="00365E6E">
        <w:rPr>
          <w:rFonts w:ascii="Times New Roman" w:hAnsi="Times New Roman" w:cs="Times New Roman"/>
          <w:sz w:val="24"/>
          <w:szCs w:val="24"/>
        </w:rPr>
        <w:t>: John Wiley &amp; Sons.</w:t>
      </w:r>
    </w:p>
    <w:p w14:paraId="1E9E438F" w14:textId="6341A859" w:rsidR="007358A3" w:rsidRPr="00365E6E" w:rsidRDefault="007358A3" w:rsidP="00365E6E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365E6E">
        <w:rPr>
          <w:rFonts w:ascii="Times New Roman" w:hAnsi="Times New Roman" w:cs="Times New Roman"/>
          <w:sz w:val="24"/>
          <w:szCs w:val="24"/>
        </w:rPr>
        <w:t>O’Toole, W. (2011) Events feasibility and development: From strategy to operations. Abingdon, Oxon: Routledge.</w:t>
      </w:r>
    </w:p>
    <w:p w14:paraId="69A0B70C" w14:textId="33DA09D3" w:rsidR="007358A3" w:rsidRPr="00365E6E" w:rsidRDefault="007358A3" w:rsidP="00365E6E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365E6E">
        <w:rPr>
          <w:rFonts w:ascii="Times New Roman" w:hAnsi="Times New Roman" w:cs="Times New Roman"/>
          <w:sz w:val="24"/>
          <w:szCs w:val="24"/>
        </w:rPr>
        <w:t>Rogers, T. and Wynn-Moylan, P. (2022) Conferences and conventions: A global industry. London: Routledge, Taylor &amp; Francis Group.</w:t>
      </w:r>
    </w:p>
    <w:p w14:paraId="3EAB2CCA" w14:textId="14EAF53D" w:rsidR="007358A3" w:rsidRPr="00365E6E" w:rsidRDefault="007358A3" w:rsidP="00365E6E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365E6E">
        <w:rPr>
          <w:rFonts w:ascii="Times New Roman" w:hAnsi="Times New Roman" w:cs="Times New Roman"/>
          <w:sz w:val="24"/>
          <w:szCs w:val="24"/>
        </w:rPr>
        <w:t>Singh, R., P. S., S. and Bashir, A. (2022) ‘The Journal of Convention and Event Tourism: A Retrospective Analysis using Bibliometrics’, Journal of Convention &amp; Event Tourism, 24(1), pp. 87–108. doi:10.1080/15470148.2022.2150731.</w:t>
      </w:r>
    </w:p>
    <w:p w14:paraId="48B6C5D1" w14:textId="6948069F" w:rsidR="007358A3" w:rsidRPr="00365E6E" w:rsidRDefault="007358A3" w:rsidP="00BA2D4C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365E6E">
        <w:rPr>
          <w:rFonts w:ascii="Times New Roman" w:hAnsi="Times New Roman" w:cs="Times New Roman"/>
          <w:sz w:val="24"/>
          <w:szCs w:val="24"/>
        </w:rPr>
        <w:t>Smith, A. (2012) Events and urban regeneration: The strategic use of events to revitalise cities. London: Routledge.</w:t>
      </w:r>
    </w:p>
    <w:p w14:paraId="0CA8C470" w14:textId="7FB62349" w:rsidR="007358A3" w:rsidRPr="00365E6E" w:rsidRDefault="007358A3" w:rsidP="00365E6E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365E6E">
        <w:rPr>
          <w:rFonts w:ascii="Times New Roman" w:hAnsi="Times New Roman" w:cs="Times New Roman"/>
          <w:sz w:val="24"/>
          <w:szCs w:val="24"/>
        </w:rPr>
        <w:t>Visit Eastbourne (2024) Welcome building, Visit Eastbourne. Available at: https://www.visiteastbourne.com/conferences/venues/welcome-building (Accessed: 13 October 2024).</w:t>
      </w:r>
    </w:p>
    <w:p w14:paraId="31E5F892" w14:textId="4184A41A" w:rsidR="007358A3" w:rsidRPr="00365E6E" w:rsidRDefault="007358A3" w:rsidP="00365E6E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365E6E">
        <w:rPr>
          <w:rFonts w:ascii="Times New Roman" w:hAnsi="Times New Roman" w:cs="Times New Roman"/>
          <w:sz w:val="24"/>
          <w:szCs w:val="24"/>
        </w:rPr>
        <w:t>Whitford, M., Dunn, A. and Cooper, C. (2013) Event management. Oxford: Goodfellow Publishers Ltd.</w:t>
      </w:r>
    </w:p>
    <w:sectPr w:rsidR="007358A3" w:rsidRPr="00365E6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2C33494" w14:textId="77777777" w:rsidR="00FA44A6" w:rsidRDefault="00FA44A6" w:rsidP="00FA44A6">
      <w:pPr>
        <w:spacing w:after="0" w:line="240" w:lineRule="auto"/>
      </w:pPr>
      <w:r>
        <w:separator/>
      </w:r>
    </w:p>
  </w:endnote>
  <w:endnote w:type="continuationSeparator" w:id="0">
    <w:p w14:paraId="28DBD156" w14:textId="77777777" w:rsidR="00FA44A6" w:rsidRDefault="00FA44A6" w:rsidP="00FA44A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FB1708E" w14:textId="77777777" w:rsidR="00FA44A6" w:rsidRDefault="00FA44A6" w:rsidP="00FA44A6">
      <w:pPr>
        <w:spacing w:after="0" w:line="240" w:lineRule="auto"/>
      </w:pPr>
      <w:r>
        <w:separator/>
      </w:r>
    </w:p>
  </w:footnote>
  <w:footnote w:type="continuationSeparator" w:id="0">
    <w:p w14:paraId="4F89E9F4" w14:textId="77777777" w:rsidR="00FA44A6" w:rsidRDefault="00FA44A6" w:rsidP="00FA44A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460E5679"/>
    <w:multiLevelType w:val="hybridMultilevel"/>
    <w:tmpl w:val="3AF63C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91417B9"/>
    <w:multiLevelType w:val="hybridMultilevel"/>
    <w:tmpl w:val="A7144C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86204924">
    <w:abstractNumId w:val="0"/>
  </w:num>
  <w:num w:numId="2" w16cid:durableId="200319899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773CE"/>
    <w:rsid w:val="000B6FA3"/>
    <w:rsid w:val="000E5FA4"/>
    <w:rsid w:val="001B562C"/>
    <w:rsid w:val="002F296B"/>
    <w:rsid w:val="00310A51"/>
    <w:rsid w:val="00365E6E"/>
    <w:rsid w:val="005773CE"/>
    <w:rsid w:val="00710A5A"/>
    <w:rsid w:val="007358A3"/>
    <w:rsid w:val="00755D5B"/>
    <w:rsid w:val="00BA2D4C"/>
    <w:rsid w:val="00C67C5F"/>
    <w:rsid w:val="00E27B86"/>
    <w:rsid w:val="00F46421"/>
    <w:rsid w:val="00F64E85"/>
    <w:rsid w:val="00FA44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FE4538D"/>
  <w15:chartTrackingRefBased/>
  <w15:docId w15:val="{7392401C-4848-4462-BAAB-1D35BD6E45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773C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773C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773C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773C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773C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773C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773C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773C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773C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773C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773C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773C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773C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773C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773C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773C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773C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773C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773C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773C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773C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773C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773C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773C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773C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773C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773C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773C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773CE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FA44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A44A6"/>
  </w:style>
  <w:style w:type="paragraph" w:styleId="Footer">
    <w:name w:val="footer"/>
    <w:basedOn w:val="Normal"/>
    <w:link w:val="FooterChar"/>
    <w:uiPriority w:val="99"/>
    <w:unhideWhenUsed/>
    <w:rsid w:val="00FA44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A44A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svg"/><Relationship Id="rId13" Type="http://schemas.openxmlformats.org/officeDocument/2006/relationships/image" Target="media/image7.png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465</Words>
  <Characters>3102</Characters>
  <Application>Microsoft Office Word</Application>
  <DocSecurity>0</DocSecurity>
  <Lines>124</Lines>
  <Paragraphs>25</Paragraphs>
  <ScaleCrop>false</ScaleCrop>
  <Company/>
  <LinksUpToDate>false</LinksUpToDate>
  <CharactersWithSpaces>3542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ioan roman</dc:creator>
  <cp:keywords/>
  <dc:description/>
  <cp:lastModifiedBy>ioan roman</cp:lastModifiedBy>
  <cp:revision>12</cp:revision>
  <dcterms:created xsi:type="dcterms:W3CDTF">2024-10-17T20:40:00Z</dcterms:created>
  <dcterms:modified xsi:type="dcterms:W3CDTF">2024-10-17T21:08:00Z</dcterms:modified>
</cp:coreProperties>
</file>