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E64758" w14:textId="72B290EC" w:rsidR="00025701" w:rsidRDefault="00025701" w:rsidP="00A4005D">
      <w:pPr>
        <w:jc w:val="center"/>
        <w:rPr>
          <w:b/>
          <w:bCs/>
        </w:rPr>
      </w:pPr>
      <w:r>
        <w:rPr>
          <w:b/>
          <w:bCs/>
        </w:rPr>
        <w:t>Abstract</w:t>
      </w:r>
    </w:p>
    <w:p w14:paraId="45A401D7" w14:textId="0BD664D0" w:rsidR="00B23E19" w:rsidRPr="00B23E19" w:rsidRDefault="00B23E19" w:rsidP="00A4005D">
      <w:pPr>
        <w:jc w:val="center"/>
        <w:rPr>
          <w:b/>
          <w:bCs/>
        </w:rPr>
      </w:pPr>
      <w:r w:rsidRPr="00B23E19">
        <w:rPr>
          <w:b/>
          <w:bCs/>
        </w:rPr>
        <w:t>Introduction</w:t>
      </w:r>
    </w:p>
    <w:p w14:paraId="67BAB58C" w14:textId="1D43CD01" w:rsidR="00BA1C95" w:rsidRPr="001D2066" w:rsidRDefault="001D2066" w:rsidP="001D2066">
      <w:pPr>
        <w:jc w:val="both"/>
        <w:rPr>
          <w:i/>
          <w:iCs/>
          <w:color w:val="FF0000"/>
        </w:rPr>
      </w:pPr>
      <w:r w:rsidRPr="001D2066">
        <w:t>Teenage career-aspirations are the hopes and goals young people form about their futures (Abbott and Chapman, 2014).</w:t>
      </w:r>
      <w:r w:rsidRPr="001D2066">
        <w:rPr>
          <w:i/>
          <w:iCs/>
        </w:rPr>
        <w:t xml:space="preserve"> </w:t>
      </w:r>
      <w:r w:rsidR="00BA1C95" w:rsidRPr="00BA1C95">
        <w:t>It is widely recognised that how teenagers perceive their futures, education, and employment has profound implications for their career prospects, social mobility, and broader equity within society (Hughes et al., 2016). Educational policy, defined as the principles and decisions guiding the organi</w:t>
      </w:r>
      <w:r w:rsidR="00F06D8D">
        <w:t>s</w:t>
      </w:r>
      <w:r w:rsidR="00BA1C95" w:rsidRPr="00BA1C95">
        <w:t>ation and delivery of education (</w:t>
      </w:r>
      <w:proofErr w:type="spellStart"/>
      <w:r w:rsidR="00BA1C95" w:rsidRPr="00BA1C95">
        <w:t>Viennett</w:t>
      </w:r>
      <w:proofErr w:type="spellEnd"/>
      <w:r w:rsidR="00BA1C95" w:rsidRPr="00BA1C95">
        <w:t>, 2017), plays a critical role in shaping these perceptions. These policies influence how education systems operate, including curriculum design, governance, and resource allocation (Ball, 2021).</w:t>
      </w:r>
    </w:p>
    <w:p w14:paraId="457F769E" w14:textId="6FF4D22E" w:rsidR="003B5EC0" w:rsidRDefault="00BA1C95" w:rsidP="00BA1C95">
      <w:pPr>
        <w:jc w:val="both"/>
      </w:pPr>
      <w:r w:rsidRPr="00BA1C95">
        <w:t xml:space="preserve">Following the Coronavirus Disease 2019 (COVID-19) pandemic, schools in Wales face significant challenges, including increased absenteeism, rising school exclusions (Welsh Government, 2023), and gaps in core skills (Welsh Government, 2022). These factors are </w:t>
      </w:r>
      <w:r w:rsidR="001D2066">
        <w:t xml:space="preserve">typically </w:t>
      </w:r>
      <w:r w:rsidRPr="00BA1C95">
        <w:t>associated with diminished aspirations (Scott et al., 2013) and an increased risk of young people becoming NEET (Not in Education, Employment, or Training) (Estyn, 2023)</w:t>
      </w:r>
      <w:r w:rsidR="0034514C">
        <w:t>;</w:t>
      </w:r>
      <w:r w:rsidRPr="00BA1C95">
        <w:t xml:space="preserve"> a status linked to negative outcomes such as mental health issues (Vogel, 2015), crime (Staff and Kreager, 2008), and higher mortality rates (World Health Organisation, 2012). </w:t>
      </w:r>
      <w:r w:rsidR="003B5EC0">
        <w:t xml:space="preserve"> </w:t>
      </w:r>
      <w:r w:rsidRPr="0009392E">
        <w:t xml:space="preserve">While these challenges are not unique to Wales, their impact is particularly acute </w:t>
      </w:r>
      <w:r w:rsidRPr="001D2066">
        <w:t xml:space="preserve">in </w:t>
      </w:r>
      <w:r w:rsidR="001D2066" w:rsidRPr="001D2066">
        <w:t>a country</w:t>
      </w:r>
      <w:r w:rsidRPr="001D2066">
        <w:t xml:space="preserve"> </w:t>
      </w:r>
      <w:r w:rsidRPr="0009392E">
        <w:t>where economic inactivity and regional inequalities exacerbate the risks faced by young people</w:t>
      </w:r>
      <w:r w:rsidR="0009392E" w:rsidRPr="0009392E">
        <w:t xml:space="preserve"> (</w:t>
      </w:r>
      <w:r w:rsidR="005F3871" w:rsidRPr="005F3871">
        <w:t>MacBride-Stewart, et al., 2021</w:t>
      </w:r>
      <w:r w:rsidR="0009392E" w:rsidRPr="0009392E">
        <w:t>)</w:t>
      </w:r>
      <w:r w:rsidRPr="0009392E">
        <w:t>.</w:t>
      </w:r>
      <w:r w:rsidRPr="00BA1C95">
        <w:t xml:space="preserve"> </w:t>
      </w:r>
      <w:bookmarkStart w:id="0" w:name="_Hlk186533656"/>
    </w:p>
    <w:p w14:paraId="54A1D123" w14:textId="5CBE3A61" w:rsidR="0009392E" w:rsidRDefault="0061312D" w:rsidP="00BA1C95">
      <w:pPr>
        <w:jc w:val="both"/>
      </w:pPr>
      <w:r>
        <w:t>It</w:t>
      </w:r>
      <w:r w:rsidR="00023EF8">
        <w:t xml:space="preserve"> is </w:t>
      </w:r>
      <w:r>
        <w:t>asserted</w:t>
      </w:r>
      <w:r w:rsidR="00023EF8">
        <w:t xml:space="preserve"> that t</w:t>
      </w:r>
      <w:r w:rsidR="00BA1C95" w:rsidRPr="001D2066">
        <w:t>eenage aspirations</w:t>
      </w:r>
      <w:bookmarkEnd w:id="0"/>
      <w:r w:rsidR="001D2066" w:rsidRPr="001D2066">
        <w:t xml:space="preserve"> </w:t>
      </w:r>
      <w:r w:rsidR="00BA1C95" w:rsidRPr="00BA1C95">
        <w:t>serve as a crucial link between personal potential and societal equity (Schoon et al., 2010</w:t>
      </w:r>
      <w:r w:rsidR="00023EF8">
        <w:t>)</w:t>
      </w:r>
      <w:r>
        <w:t>. However,</w:t>
      </w:r>
      <w:r w:rsidR="00023EF8">
        <w:t xml:space="preserve"> it is also </w:t>
      </w:r>
      <w:r w:rsidR="0009392E">
        <w:t xml:space="preserve">argued that </w:t>
      </w:r>
      <w:r w:rsidR="00BA1C95" w:rsidRPr="00BA1C95">
        <w:t xml:space="preserve">aspirations remain ambiguously defined, ranging from immediate educational </w:t>
      </w:r>
      <w:r w:rsidR="003B5EC0">
        <w:t>objectives</w:t>
      </w:r>
      <w:r w:rsidR="00BA1C95" w:rsidRPr="00BA1C95">
        <w:t xml:space="preserve"> to </w:t>
      </w:r>
      <w:r w:rsidR="003B5EC0" w:rsidRPr="003B5EC0">
        <w:t>long-term career goals</w:t>
      </w:r>
      <w:r w:rsidR="00BA1C95" w:rsidRPr="00BA1C95">
        <w:t xml:space="preserve">, </w:t>
      </w:r>
      <w:r w:rsidR="003B5EC0" w:rsidRPr="003B5EC0">
        <w:t>making it challenging to develop effective policies (Morris, 2021).</w:t>
      </w:r>
      <w:r w:rsidR="003B5EC0">
        <w:t xml:space="preserve"> </w:t>
      </w:r>
      <w:r w:rsidR="0009392E" w:rsidRPr="003B5EC0">
        <w:t xml:space="preserve">Globally, education systems face pressures to balance economic </w:t>
      </w:r>
      <w:r w:rsidR="003B5EC0">
        <w:t>demands</w:t>
      </w:r>
      <w:r w:rsidR="0009392E" w:rsidRPr="003B5EC0">
        <w:t xml:space="preserve"> with supporting individual ambitions (</w:t>
      </w:r>
      <w:r w:rsidR="005C7FB4" w:rsidRPr="003B5EC0">
        <w:t>Stewart, 2012</w:t>
      </w:r>
      <w:r w:rsidR="0009392E" w:rsidRPr="003B5EC0">
        <w:t xml:space="preserve">). </w:t>
      </w:r>
      <w:r w:rsidR="003B5EC0" w:rsidRPr="003B5EC0">
        <w:t xml:space="preserve">Within this context, </w:t>
      </w:r>
      <w:r w:rsidR="003B5EC0">
        <w:t>e</w:t>
      </w:r>
      <w:r w:rsidR="0009392E" w:rsidRPr="003B5EC0">
        <w:t xml:space="preserve">ducational policy plays a </w:t>
      </w:r>
      <w:r w:rsidR="003B5EC0">
        <w:t>pivotal</w:t>
      </w:r>
      <w:r w:rsidR="0009392E" w:rsidRPr="003B5EC0">
        <w:t xml:space="preserve"> role</w:t>
      </w:r>
      <w:r w:rsidR="003B5EC0">
        <w:t xml:space="preserve"> </w:t>
      </w:r>
      <w:r w:rsidR="0009392E" w:rsidRPr="003B5EC0">
        <w:t xml:space="preserve">(St. Clair et al., 2013), </w:t>
      </w:r>
      <w:r w:rsidR="003B5EC0" w:rsidRPr="003B5EC0">
        <w:t xml:space="preserve">reflecting broader societal and economic </w:t>
      </w:r>
      <w:r w:rsidR="003B5EC0">
        <w:t xml:space="preserve">trends </w:t>
      </w:r>
      <w:r w:rsidR="0009392E" w:rsidRPr="003B5EC0">
        <w:t xml:space="preserve">(Ball, 2021). </w:t>
      </w:r>
      <w:r w:rsidR="00023EF8">
        <w:t xml:space="preserve">It is further proposed that </w:t>
      </w:r>
      <w:r w:rsidR="0009392E" w:rsidRPr="003B5EC0">
        <w:t>the successful implementation of policy—</w:t>
      </w:r>
      <w:r w:rsidR="00023EF8">
        <w:t xml:space="preserve"> measured by the extent to which</w:t>
      </w:r>
      <w:r w:rsidR="0009392E" w:rsidRPr="003B5EC0">
        <w:t xml:space="preserve"> objectives</w:t>
      </w:r>
      <w:r w:rsidR="00023EF8">
        <w:t xml:space="preserve"> are translated</w:t>
      </w:r>
      <w:r w:rsidR="0009392E" w:rsidRPr="003B5EC0">
        <w:t xml:space="preserve"> into tangible actions—</w:t>
      </w:r>
      <w:r w:rsidR="00023EF8" w:rsidRPr="00023EF8">
        <w:t xml:space="preserve"> profoundly influences young people’s aspirations and lived experiences (</w:t>
      </w:r>
      <w:proofErr w:type="spellStart"/>
      <w:r w:rsidR="00023EF8" w:rsidRPr="00023EF8">
        <w:t>Viennett</w:t>
      </w:r>
      <w:proofErr w:type="spellEnd"/>
      <w:r w:rsidR="00023EF8" w:rsidRPr="00023EF8">
        <w:t>, 2017).</w:t>
      </w:r>
    </w:p>
    <w:p w14:paraId="66013AF7" w14:textId="2EF3073A" w:rsidR="00BA1C95" w:rsidRPr="00BA1C95" w:rsidRDefault="00BA1C95" w:rsidP="00BA1C95">
      <w:pPr>
        <w:jc w:val="both"/>
      </w:pPr>
      <w:r w:rsidRPr="00BA1C95">
        <w:t xml:space="preserve">This article aims to examine how educational policies shape teenage aspirations in Wales, considering their role in promoting equity and addressing systemic inequalities. The scope includes an analysis of Welsh policies, a theoretical discussion of aspirations, </w:t>
      </w:r>
      <w:r w:rsidR="0009392E" w:rsidRPr="00F52A60">
        <w:rPr>
          <w:color w:val="FF0000"/>
        </w:rPr>
        <w:t>representation in media discourse</w:t>
      </w:r>
      <w:r w:rsidR="0009392E">
        <w:t xml:space="preserve">, </w:t>
      </w:r>
      <w:r w:rsidRPr="00BA1C95">
        <w:t>and an international comparison to highlight potential lessons for Welsh policymakers.</w:t>
      </w:r>
      <w:r w:rsidR="0009392E" w:rsidRPr="0009392E">
        <w:t xml:space="preserve"> </w:t>
      </w:r>
      <w:r w:rsidR="0009392E" w:rsidRPr="00273267">
        <w:rPr>
          <w:color w:val="FF0000"/>
        </w:rPr>
        <w:t>Structure of the article begins with a literature review</w:t>
      </w:r>
      <w:r w:rsidR="0009392E" w:rsidRPr="0009392E">
        <w:t>, followed by an analysis of key Welsh policy initiatives, a comparative international perspective, and a discussion of implications and recommendations for future policy development.</w:t>
      </w:r>
    </w:p>
    <w:p w14:paraId="1E2C060B" w14:textId="77777777" w:rsidR="008C2F0D" w:rsidRDefault="008C2F0D" w:rsidP="008C2F0D">
      <w:pPr>
        <w:rPr>
          <w:b/>
          <w:bCs/>
        </w:rPr>
      </w:pPr>
    </w:p>
    <w:p w14:paraId="6BEEF618" w14:textId="3FB18EC7" w:rsidR="008C2F0D" w:rsidRPr="008B1078" w:rsidRDefault="008C2F0D" w:rsidP="00A4005D">
      <w:pPr>
        <w:jc w:val="center"/>
      </w:pPr>
      <w:r w:rsidRPr="008B1078">
        <w:rPr>
          <w:b/>
          <w:bCs/>
        </w:rPr>
        <w:t>Context and Background</w:t>
      </w:r>
    </w:p>
    <w:p w14:paraId="4963F114" w14:textId="430CBE1B" w:rsidR="008C2F0D" w:rsidRPr="007D65BD" w:rsidRDefault="008C2F0D" w:rsidP="008C2F0D">
      <w:pPr>
        <w:jc w:val="both"/>
        <w:rPr>
          <w:color w:val="FF0000"/>
        </w:rPr>
      </w:pPr>
      <w:r w:rsidRPr="008B1078">
        <w:t>The concept of "aspiration" is multifaceted and complex</w:t>
      </w:r>
      <w:r>
        <w:t xml:space="preserve"> </w:t>
      </w:r>
      <w:r w:rsidRPr="005668CF">
        <w:t>(St Clair et al., 201</w:t>
      </w:r>
      <w:r w:rsidR="00E23DD0">
        <w:t>1</w:t>
      </w:r>
      <w:r w:rsidRPr="005668CF">
        <w:t xml:space="preserve">), </w:t>
      </w:r>
      <w:r w:rsidRPr="008B1078">
        <w:t>encompassing both the desire for achievement and the perceived feasibility of those goals (</w:t>
      </w:r>
      <w:r w:rsidRPr="005668CF">
        <w:t>Croll, 2008</w:t>
      </w:r>
      <w:r w:rsidRPr="008B1078">
        <w:t>). Th</w:t>
      </w:r>
      <w:r>
        <w:t>e</w:t>
      </w:r>
      <w:r w:rsidRPr="008B1078">
        <w:t xml:space="preserve"> </w:t>
      </w:r>
      <w:r>
        <w:t>issue</w:t>
      </w:r>
      <w:r w:rsidRPr="008B1078">
        <w:t xml:space="preserve"> of teenage aspirations touches on the fundamental purpose of education, which has historically been framed through different theoretical lenses. Human Capital Theory </w:t>
      </w:r>
      <w:r w:rsidRPr="005668CF">
        <w:t xml:space="preserve">(Becker, 1964) views education as a driver of economic growth, while Critical Pedagogy (Freire, 1968) emphasises its role in promoting social justice. Other seminal perspectives, such as Dewey </w:t>
      </w:r>
      <w:r w:rsidRPr="005668CF">
        <w:lastRenderedPageBreak/>
        <w:t xml:space="preserve">(1916) and Wagner (2008), </w:t>
      </w:r>
      <w:r w:rsidRPr="008B1078">
        <w:t xml:space="preserve">focus on education's contribution to both personal and societal development. These theories align with the Welsh Government’s vision of education as </w:t>
      </w:r>
      <w:r>
        <w:t>“National Mission</w:t>
      </w:r>
      <w:r w:rsidR="000D6F9B">
        <w:t>”</w:t>
      </w:r>
      <w:r>
        <w:t xml:space="preserve">, </w:t>
      </w:r>
      <w:r w:rsidRPr="008B1078">
        <w:t>promoting</w:t>
      </w:r>
      <w:r>
        <w:t xml:space="preserve"> </w:t>
      </w:r>
      <w:r w:rsidRPr="008B1078">
        <w:t>"</w:t>
      </w:r>
      <w:r w:rsidRPr="00EE3F28">
        <w:rPr>
          <w:i/>
          <w:iCs/>
        </w:rPr>
        <w:t>individual and national prosperity</w:t>
      </w:r>
      <w:r w:rsidRPr="008B1078">
        <w:t>" (</w:t>
      </w:r>
      <w:r w:rsidRPr="005668CF">
        <w:t>Welsh Government, 2017, p.3</w:t>
      </w:r>
      <w:r w:rsidRPr="008B1078">
        <w:t xml:space="preserve">). </w:t>
      </w:r>
      <w:r w:rsidRPr="00950137">
        <w:t xml:space="preserve">Aspirations, particularly regarding career goals, are pivotal to this vision, influencing not just individual </w:t>
      </w:r>
      <w:r w:rsidR="000D6F9B">
        <w:t>pathways</w:t>
      </w:r>
      <w:r w:rsidRPr="00950137">
        <w:t xml:space="preserve"> but </w:t>
      </w:r>
      <w:r w:rsidR="000D6F9B">
        <w:t xml:space="preserve">also </w:t>
      </w:r>
      <w:r w:rsidRPr="00950137">
        <w:t>broader societal outcomes like equity and mobility (</w:t>
      </w:r>
      <w:r w:rsidRPr="005668CF">
        <w:t>Hughes et al., 2016</w:t>
      </w:r>
      <w:r w:rsidRPr="00950137">
        <w:t>).</w:t>
      </w:r>
    </w:p>
    <w:p w14:paraId="2965E154" w14:textId="77777777" w:rsidR="00B43B4F" w:rsidRDefault="008C2F0D" w:rsidP="008C2F0D">
      <w:pPr>
        <w:jc w:val="both"/>
      </w:pPr>
      <w:r w:rsidRPr="008B1078">
        <w:t xml:space="preserve">The Welsh educational system has undergone significant changes in recent decades, evolving to address the </w:t>
      </w:r>
      <w:r>
        <w:t>educational,</w:t>
      </w:r>
      <w:r w:rsidRPr="008B1078">
        <w:t xml:space="preserve"> socio-economic and cultural needs of Wales</w:t>
      </w:r>
      <w:r>
        <w:t xml:space="preserve"> (</w:t>
      </w:r>
      <w:r w:rsidR="00BB4CD1" w:rsidRPr="00BB4CD1">
        <w:t>Davies et al., 2024</w:t>
      </w:r>
      <w:r>
        <w:t>)</w:t>
      </w:r>
      <w:r w:rsidRPr="008B1078">
        <w:t xml:space="preserve">. Following </w:t>
      </w:r>
      <w:r w:rsidR="00B43B4F" w:rsidRPr="00B43B4F">
        <w:t>devolution in 1999, Wales has exercised control over its education policies, enabling a distinct approach that diverges from the systems of England, Scotland, and Northern Ireland. A key milestone in this journey has been development of the Curriculum for Wales (2022), which marks a significant departure from the traditional, content-heavy National Curriculum of 1988 (Lawton, 2021).</w:t>
      </w:r>
      <w:r w:rsidR="00B43B4F">
        <w:t xml:space="preserve"> </w:t>
      </w:r>
    </w:p>
    <w:p w14:paraId="0D6E2D59" w14:textId="3ED218F4" w:rsidR="00B43B4F" w:rsidRDefault="00B43B4F" w:rsidP="008C2F0D">
      <w:pPr>
        <w:jc w:val="both"/>
      </w:pPr>
      <w:r>
        <w:t>In contrast to</w:t>
      </w:r>
      <w:r w:rsidR="008C2F0D" w:rsidRPr="00101F81">
        <w:t xml:space="preserve"> its predecessor, this purpose-driven</w:t>
      </w:r>
      <w:r>
        <w:t xml:space="preserve"> curriculum reflects</w:t>
      </w:r>
      <w:r w:rsidR="008C2F0D" w:rsidRPr="00101F81">
        <w:t xml:space="preserve"> Welsh priorities such as bilingualism, cultural identity, and global citizenship</w:t>
      </w:r>
      <w:r w:rsidR="00C30A0F">
        <w:t xml:space="preserve"> (Donaldson, 2016)</w:t>
      </w:r>
      <w:r w:rsidR="008C2F0D" w:rsidRPr="00101F81">
        <w:t xml:space="preserve">. It is centred around four key purposes: to </w:t>
      </w:r>
      <w:r w:rsidR="008C2F0D">
        <w:t>develop</w:t>
      </w:r>
      <w:r w:rsidR="008C2F0D" w:rsidRPr="00101F81">
        <w:t xml:space="preserve"> learners who are ambitious, enterprising, healthy, and ethically informed (</w:t>
      </w:r>
      <w:r w:rsidR="008C2F0D" w:rsidRPr="00BB4CD1">
        <w:t>Donaldson, 2015</w:t>
      </w:r>
      <w:r w:rsidR="008C2F0D" w:rsidRPr="00101F81">
        <w:t xml:space="preserve">). </w:t>
      </w:r>
      <w:r w:rsidRPr="00B43B4F">
        <w:t>With a holistic focus, the Curriculum seeks to empower young people to realise their potential while equipping them with the skills and resilience needed to navigate a dynamic and uncertain world (</w:t>
      </w:r>
      <w:r w:rsidRPr="00EF17B5">
        <w:rPr>
          <w:color w:val="FF0000"/>
        </w:rPr>
        <w:t>Hayward et al., 2018</w:t>
      </w:r>
      <w:r w:rsidRPr="00B43B4F">
        <w:t xml:space="preserve">). By prioritising "ambition and enterprise," </w:t>
      </w:r>
      <w:r>
        <w:t xml:space="preserve">it encourages </w:t>
      </w:r>
      <w:r w:rsidRPr="00B43B4F">
        <w:t>young people to critically consider their futures, aligning their personal goals with the evolving needs of society and the economy (Welsh Government, 2015).</w:t>
      </w:r>
    </w:p>
    <w:p w14:paraId="7F404491" w14:textId="4F1347C4" w:rsidR="00B43B4F" w:rsidRDefault="008C2F0D" w:rsidP="008C2F0D">
      <w:pPr>
        <w:jc w:val="both"/>
      </w:pPr>
      <w:r w:rsidRPr="008B1078">
        <w:t>Wales’s educational reforms resonate with global trends in countries like Finland</w:t>
      </w:r>
      <w:r>
        <w:t>, Germany</w:t>
      </w:r>
      <w:r w:rsidRPr="008B1078">
        <w:t xml:space="preserve"> and Canada, which have gained recognition for their progressive approaches to </w:t>
      </w:r>
      <w:r w:rsidR="000D6F9B">
        <w:t>addressing</w:t>
      </w:r>
      <w:r w:rsidRPr="008B1078">
        <w:t xml:space="preserve"> career aspirations and aligning education with future societal needs</w:t>
      </w:r>
      <w:r>
        <w:t xml:space="preserve"> (</w:t>
      </w:r>
      <w:r w:rsidR="00664923" w:rsidRPr="00BE6D4F">
        <w:rPr>
          <w:lang w:val="en-US"/>
        </w:rPr>
        <w:t>Freeman et al., 2019</w:t>
      </w:r>
      <w:r>
        <w:t>)</w:t>
      </w:r>
      <w:r w:rsidR="004E1C90">
        <w:t xml:space="preserve">. </w:t>
      </w:r>
      <w:r w:rsidR="004E1C90" w:rsidRPr="004E1C90">
        <w:t xml:space="preserve">This topic will be </w:t>
      </w:r>
      <w:r w:rsidR="00B43B4F" w:rsidRPr="00B43B4F">
        <w:t>explored in greater detail later in the paper</w:t>
      </w:r>
      <w:r w:rsidR="00B43B4F">
        <w:t>.</w:t>
      </w:r>
    </w:p>
    <w:p w14:paraId="35148ADE" w14:textId="0F9B0891" w:rsidR="008C2F0D" w:rsidRPr="008901CE" w:rsidRDefault="008901CE" w:rsidP="0008042D">
      <w:pPr>
        <w:jc w:val="both"/>
        <w:rPr>
          <w:color w:val="FF0000"/>
        </w:rPr>
      </w:pPr>
      <w:r w:rsidRPr="008901CE">
        <w:t>The approach taken in Wales aims to foster aspirations by tackling the structural and practical obstacles faced by young people, in line with theories of social equity and economic mobility (</w:t>
      </w:r>
      <w:r w:rsidRPr="003B5FE2">
        <w:rPr>
          <w:color w:val="FF0000"/>
        </w:rPr>
        <w:t>Ozturk, 2008</w:t>
      </w:r>
      <w:r w:rsidRPr="008901CE">
        <w:t xml:space="preserve">). However, the effectiveness of these policies </w:t>
      </w:r>
      <w:r>
        <w:t xml:space="preserve">is </w:t>
      </w:r>
      <w:r w:rsidR="006B42CA">
        <w:t xml:space="preserve">a point of </w:t>
      </w:r>
      <w:r>
        <w:t>conten</w:t>
      </w:r>
      <w:r w:rsidR="006B42CA">
        <w:t>tion</w:t>
      </w:r>
      <w:r w:rsidRPr="008901CE">
        <w:t xml:space="preserve">. </w:t>
      </w:r>
      <w:r w:rsidR="008C2F0D" w:rsidRPr="00F00903">
        <w:t xml:space="preserve">Critics argue that while the Welsh Government prioritises young people's well-being and futures, implementation inconsistencies challenge their effectiveness in practice (Morris, 2021). This ongoing debate underlines the need to critically evaluate how well </w:t>
      </w:r>
      <w:r w:rsidR="00A266A7">
        <w:t>teenage career-</w:t>
      </w:r>
      <w:r w:rsidR="008C2F0D" w:rsidRPr="00F00903">
        <w:t>aspirations are supported and translated into tangible outcomes across diverse contexts</w:t>
      </w:r>
      <w:r w:rsidR="00A266A7">
        <w:t xml:space="preserve"> (OECD, 2024)</w:t>
      </w:r>
      <w:r w:rsidR="008C2F0D" w:rsidRPr="00F00903">
        <w:t>.</w:t>
      </w:r>
    </w:p>
    <w:p w14:paraId="2AED7954" w14:textId="77777777" w:rsidR="00025701" w:rsidRDefault="00025701" w:rsidP="00BA1C95">
      <w:pPr>
        <w:jc w:val="both"/>
      </w:pPr>
    </w:p>
    <w:p w14:paraId="2A0BCF64" w14:textId="3BFE6ECD" w:rsidR="00025701" w:rsidRPr="00025701" w:rsidRDefault="00025701" w:rsidP="00A4005D">
      <w:pPr>
        <w:jc w:val="center"/>
        <w:rPr>
          <w:b/>
          <w:bCs/>
        </w:rPr>
      </w:pPr>
      <w:r w:rsidRPr="00025701">
        <w:rPr>
          <w:b/>
          <w:bCs/>
        </w:rPr>
        <w:t>Literature Review</w:t>
      </w:r>
    </w:p>
    <w:p w14:paraId="2F766A42" w14:textId="5677229A" w:rsidR="00EC5579" w:rsidRPr="00EC5579" w:rsidRDefault="00822836" w:rsidP="00025701">
      <w:pPr>
        <w:jc w:val="both"/>
        <w:rPr>
          <w:b/>
          <w:bCs/>
        </w:rPr>
      </w:pPr>
      <w:r>
        <w:rPr>
          <w:b/>
          <w:bCs/>
        </w:rPr>
        <w:t xml:space="preserve">Factors that shape </w:t>
      </w:r>
      <w:r w:rsidR="00EC5579" w:rsidRPr="00EC5579">
        <w:rPr>
          <w:b/>
          <w:bCs/>
        </w:rPr>
        <w:t>Teenage Career Aspirations</w:t>
      </w:r>
    </w:p>
    <w:p w14:paraId="486C895F" w14:textId="3764C215" w:rsidR="00025701" w:rsidRDefault="00025701" w:rsidP="00025701">
      <w:pPr>
        <w:jc w:val="both"/>
      </w:pPr>
      <w:r>
        <w:t>It is asserted that t</w:t>
      </w:r>
      <w:r w:rsidRPr="00A1421F">
        <w:t xml:space="preserve">eenage </w:t>
      </w:r>
      <w:r w:rsidR="003B7216">
        <w:t>career-</w:t>
      </w:r>
      <w:r w:rsidRPr="00A1421F">
        <w:t xml:space="preserve">aspirations are shaped by a complex interplay of personal, educational, and </w:t>
      </w:r>
      <w:r w:rsidR="003B7216">
        <w:t>s</w:t>
      </w:r>
      <w:r>
        <w:t>ocietal</w:t>
      </w:r>
      <w:r w:rsidRPr="00A1421F">
        <w:t xml:space="preserve"> factors</w:t>
      </w:r>
      <w:r>
        <w:t xml:space="preserve"> (</w:t>
      </w:r>
      <w:r w:rsidR="00BE6D4F" w:rsidRPr="00BE6D4F">
        <w:t>St Clair, et al., 201</w:t>
      </w:r>
      <w:r w:rsidR="00BE6D4F">
        <w:t>1</w:t>
      </w:r>
      <w:r>
        <w:t xml:space="preserve">), </w:t>
      </w:r>
      <w:r w:rsidRPr="00A1421F">
        <w:t xml:space="preserve">forming as early as pre-adolescence, when young people begin to understand the world of work and its social context (Vondracek et al., </w:t>
      </w:r>
      <w:r>
        <w:t>20</w:t>
      </w:r>
      <w:r w:rsidR="00BE6D4F">
        <w:t>1</w:t>
      </w:r>
      <w:r>
        <w:t>9</w:t>
      </w:r>
      <w:r w:rsidRPr="00A1421F">
        <w:t xml:space="preserve">). However, </w:t>
      </w:r>
      <w:r>
        <w:t xml:space="preserve">it is also proposed that </w:t>
      </w:r>
      <w:r w:rsidR="00BA656C">
        <w:t>at this stage,</w:t>
      </w:r>
      <w:r w:rsidR="003B7216">
        <w:t xml:space="preserve"> </w:t>
      </w:r>
      <w:r w:rsidRPr="00A1421F">
        <w:t>aspirations are fluid and likely to evolve during adolescence (</w:t>
      </w:r>
      <w:r>
        <w:t>Schoon, et al., 201</w:t>
      </w:r>
      <w:r w:rsidR="00BE6D4F">
        <w:t>0</w:t>
      </w:r>
      <w:r w:rsidRPr="00A1421F">
        <w:t>)</w:t>
      </w:r>
      <w:r>
        <w:t xml:space="preserve">, and it is acknowledged that young people’s </w:t>
      </w:r>
      <w:r w:rsidRPr="00A1421F">
        <w:t xml:space="preserve">educational experiences, </w:t>
      </w:r>
      <w:r>
        <w:t xml:space="preserve">can </w:t>
      </w:r>
      <w:r w:rsidRPr="00A1421F">
        <w:t xml:space="preserve">play </w:t>
      </w:r>
      <w:r>
        <w:t xml:space="preserve">a </w:t>
      </w:r>
      <w:r w:rsidRPr="00A1421F">
        <w:t xml:space="preserve">pivotal role in shaping and redefining </w:t>
      </w:r>
      <w:r w:rsidR="003B7216">
        <w:t xml:space="preserve">their </w:t>
      </w:r>
      <w:r w:rsidRPr="00A1421F">
        <w:t>aspirations over time (</w:t>
      </w:r>
      <w:r w:rsidRPr="00BE6D4F">
        <w:t>Froerer, et al</w:t>
      </w:r>
      <w:r w:rsidR="008E1532" w:rsidRPr="00BE6D4F">
        <w:t>.,</w:t>
      </w:r>
      <w:r w:rsidRPr="00BE6D4F">
        <w:t xml:space="preserve"> 2022</w:t>
      </w:r>
      <w:r w:rsidRPr="00A1421F">
        <w:t xml:space="preserve">). </w:t>
      </w:r>
    </w:p>
    <w:p w14:paraId="06DECAB8" w14:textId="007E4F90" w:rsidR="00025701" w:rsidRPr="000D36BE" w:rsidRDefault="00025701" w:rsidP="00025701">
      <w:pPr>
        <w:jc w:val="both"/>
        <w:rPr>
          <w:color w:val="FF0000"/>
        </w:rPr>
      </w:pPr>
      <w:r>
        <w:lastRenderedPageBreak/>
        <w:t>E</w:t>
      </w:r>
      <w:r w:rsidRPr="00D72333">
        <w:t xml:space="preserve">ducation </w:t>
      </w:r>
      <w:r>
        <w:t>has been</w:t>
      </w:r>
      <w:r w:rsidRPr="00D72333">
        <w:t xml:space="preserve"> viewed as both a catalyst and a barrier in aspiration formation and realisation.</w:t>
      </w:r>
      <w:r>
        <w:t xml:space="preserve"> </w:t>
      </w:r>
      <w:r w:rsidRPr="006D3358">
        <w:t xml:space="preserve">On one hand, </w:t>
      </w:r>
      <w:r w:rsidR="00F00B3E">
        <w:t xml:space="preserve">it is maintained that </w:t>
      </w:r>
      <w:r w:rsidRPr="006D3358">
        <w:t>schools play a pivotal role in bridging the gap between aspirations and attainability, offering pathways through curriculum design, career guidance, and exposure to role models that shape young people's opportunities and choices (</w:t>
      </w:r>
      <w:r w:rsidR="00F00B3E">
        <w:t>Hughes</w:t>
      </w:r>
      <w:r w:rsidRPr="006D3358">
        <w:t xml:space="preserve"> et al., 201</w:t>
      </w:r>
      <w:r w:rsidR="00F00B3E">
        <w:t>6</w:t>
      </w:r>
      <w:r w:rsidRPr="006D3358">
        <w:t xml:space="preserve">; </w:t>
      </w:r>
      <w:r w:rsidRPr="00BE6D4F">
        <w:t>OECD, 2024</w:t>
      </w:r>
      <w:r w:rsidRPr="006D3358">
        <w:t>).</w:t>
      </w:r>
      <w:r w:rsidRPr="006D3358">
        <w:rPr>
          <w:color w:val="FF0000"/>
        </w:rPr>
        <w:t xml:space="preserve"> </w:t>
      </w:r>
      <w:r w:rsidRPr="006D3358">
        <w:t>The growing emphasis on educational qualifications further highlights the critical role education plays in influencing occupational outcomes and career decisions (</w:t>
      </w:r>
      <w:r w:rsidRPr="00BE6D4F">
        <w:t>Rowan-Kenyan et al., 2011</w:t>
      </w:r>
      <w:r w:rsidRPr="006D3358">
        <w:t>). On the other hand, critics argue that education systems worldwide often fall short in equipping students with the skills and knowledge needed to pursue meaningful and fulfilling careers (</w:t>
      </w:r>
      <w:r w:rsidRPr="00894E4E">
        <w:t>Damon, 2009</w:t>
      </w:r>
      <w:r w:rsidRPr="006D3358">
        <w:t xml:space="preserve">). </w:t>
      </w:r>
    </w:p>
    <w:p w14:paraId="2D606412" w14:textId="6D9EBF7D" w:rsidR="00EC5579" w:rsidRDefault="008E1532" w:rsidP="00734194">
      <w:pPr>
        <w:jc w:val="both"/>
      </w:pPr>
      <w:r>
        <w:t>Furthermore, s</w:t>
      </w:r>
      <w:r w:rsidR="00025701">
        <w:t xml:space="preserve">everal barriers </w:t>
      </w:r>
      <w:r w:rsidR="00025701" w:rsidRPr="00A1421F">
        <w:t>to aspiration realisation</w:t>
      </w:r>
      <w:r w:rsidR="00025701">
        <w:t xml:space="preserve"> have been identified,</w:t>
      </w:r>
      <w:r w:rsidR="00025701" w:rsidRPr="00A1421F">
        <w:t xml:space="preserve"> includ</w:t>
      </w:r>
      <w:r w:rsidR="00025701">
        <w:t>ing</w:t>
      </w:r>
      <w:r w:rsidR="00025701" w:rsidRPr="00A1421F">
        <w:t xml:space="preserve"> socio-economic disparities, unequal access to information about academic pathways, and biases influenced by social stereotypes (</w:t>
      </w:r>
      <w:r w:rsidR="00025701" w:rsidRPr="00E86139">
        <w:t>Guy</w:t>
      </w:r>
      <w:r w:rsidR="00E86139" w:rsidRPr="00E86139">
        <w:t>o</w:t>
      </w:r>
      <w:r w:rsidR="00025701" w:rsidRPr="00E86139">
        <w:t>n et al., 20</w:t>
      </w:r>
      <w:r w:rsidR="00E86139" w:rsidRPr="00E86139">
        <w:t>21</w:t>
      </w:r>
      <w:r w:rsidR="00025701" w:rsidRPr="00A1421F">
        <w:t>). These issues often result in "eroded" aspirations among disadvantaged youth (</w:t>
      </w:r>
      <w:r w:rsidR="00E86139" w:rsidRPr="00E86139">
        <w:t>St Clair et al., 2011</w:t>
      </w:r>
      <w:r w:rsidR="00025701" w:rsidRPr="00A1421F">
        <w:t xml:space="preserve">). </w:t>
      </w:r>
      <w:r w:rsidR="00FA2D9A">
        <w:t>It is thus</w:t>
      </w:r>
      <w:r w:rsidR="00025701">
        <w:t xml:space="preserve"> argued that </w:t>
      </w:r>
      <w:r w:rsidR="00025701" w:rsidRPr="000D36BE">
        <w:t xml:space="preserve">it is important not to assume that the choices </w:t>
      </w:r>
      <w:r w:rsidR="00025701">
        <w:t>young people</w:t>
      </w:r>
      <w:r w:rsidR="00025701" w:rsidRPr="000D36BE">
        <w:t xml:space="preserve"> make are true reflections of the aspirations they hold</w:t>
      </w:r>
      <w:r w:rsidR="00E86139">
        <w:t xml:space="preserve"> </w:t>
      </w:r>
      <w:r w:rsidR="00025701" w:rsidRPr="000D36BE">
        <w:t>(</w:t>
      </w:r>
      <w:r w:rsidR="00025701" w:rsidRPr="00E86139">
        <w:t>Carter-Wall and Whitfield, 2012</w:t>
      </w:r>
      <w:r w:rsidR="00025701" w:rsidRPr="000D36BE">
        <w:t>).</w:t>
      </w:r>
      <w:r w:rsidR="00025701">
        <w:t xml:space="preserve"> Additionally, research indicates that </w:t>
      </w:r>
      <w:r w:rsidR="00025701" w:rsidRPr="00A1421F">
        <w:t>psychological factors, such as low self-efficacy and resilience, further hinder progress toward aspirations (</w:t>
      </w:r>
      <w:r w:rsidR="00025701" w:rsidRPr="00E86139">
        <w:t>Hackett &amp; Betz, 1995</w:t>
      </w:r>
      <w:r w:rsidR="00025701" w:rsidRPr="00A1421F">
        <w:t xml:space="preserve">). </w:t>
      </w:r>
      <w:r w:rsidR="003B7216">
        <w:t>It is also proposed that d</w:t>
      </w:r>
      <w:r w:rsidR="00025701" w:rsidRPr="00A1421F">
        <w:t>iscrepancies between career aspirations and job market realities pose significant challenges (</w:t>
      </w:r>
      <w:r w:rsidR="00025701" w:rsidRPr="00E86139">
        <w:t xml:space="preserve">Hoff, </w:t>
      </w:r>
      <w:r w:rsidR="00E86139" w:rsidRPr="00E86139">
        <w:t xml:space="preserve">et al., </w:t>
      </w:r>
      <w:r w:rsidR="00025701" w:rsidRPr="00E86139">
        <w:t>202</w:t>
      </w:r>
      <w:r w:rsidR="00E86139" w:rsidRPr="00E86139">
        <w:t>4</w:t>
      </w:r>
      <w:r w:rsidR="00025701" w:rsidRPr="00A1421F">
        <w:t xml:space="preserve">), especially for disadvantaged </w:t>
      </w:r>
      <w:r w:rsidR="003B7216">
        <w:t>youth</w:t>
      </w:r>
      <w:r w:rsidR="00025701" w:rsidRPr="00A1421F">
        <w:t xml:space="preserve"> (Hughes et al., 2016).</w:t>
      </w:r>
      <w:r w:rsidR="00FA2D9A">
        <w:t xml:space="preserve"> This misalignment </w:t>
      </w:r>
      <w:r w:rsidR="00053F30" w:rsidRPr="00053F30">
        <w:t>can be reinforced by representations of the labour market in television (</w:t>
      </w:r>
      <w:r w:rsidR="00053F30" w:rsidRPr="00E86139">
        <w:t>Mendick et al., 2009</w:t>
      </w:r>
      <w:r w:rsidR="00053F30" w:rsidRPr="00053F30">
        <w:t>) and social media (</w:t>
      </w:r>
      <w:proofErr w:type="spellStart"/>
      <w:r w:rsidR="00053F30" w:rsidRPr="00E86139">
        <w:t>Ojoyeyi</w:t>
      </w:r>
      <w:proofErr w:type="spellEnd"/>
      <w:r w:rsidR="00053F30" w:rsidRPr="00E86139">
        <w:t>, 2022</w:t>
      </w:r>
      <w:r w:rsidR="00053F30" w:rsidRPr="00053F30">
        <w:t>).</w:t>
      </w:r>
    </w:p>
    <w:p w14:paraId="2245BADB" w14:textId="4BCC015D" w:rsidR="00EC5579" w:rsidRPr="00EC5579" w:rsidRDefault="00EC5579" w:rsidP="00734194">
      <w:pPr>
        <w:jc w:val="both"/>
        <w:rPr>
          <w:b/>
          <w:bCs/>
        </w:rPr>
      </w:pPr>
      <w:r w:rsidRPr="00EC5579">
        <w:rPr>
          <w:b/>
          <w:bCs/>
        </w:rPr>
        <w:t>Policy Frameworks and Educational Interventions</w:t>
      </w:r>
    </w:p>
    <w:p w14:paraId="65BC84A1" w14:textId="65EBCDDE" w:rsidR="00734194" w:rsidRPr="0057669B" w:rsidRDefault="00734194" w:rsidP="00734194">
      <w:pPr>
        <w:jc w:val="both"/>
      </w:pPr>
      <w:r>
        <w:t xml:space="preserve">According </w:t>
      </w:r>
      <w:r w:rsidRPr="003F00F3">
        <w:t>to Webster-Straton, et al</w:t>
      </w:r>
      <w:r w:rsidRPr="006F6573">
        <w:t xml:space="preserve">., </w:t>
      </w:r>
      <w:r>
        <w:t>(</w:t>
      </w:r>
      <w:r w:rsidRPr="006F6573">
        <w:t>2008</w:t>
      </w:r>
      <w:r>
        <w:t xml:space="preserve">), </w:t>
      </w:r>
      <w:r w:rsidR="00F04791" w:rsidRPr="00F04791">
        <w:t>policies concerning youth aspirations are generally shaped by one of two frameworks: the deficit model or the growth-oriented ‘asset’ model.</w:t>
      </w:r>
      <w:r w:rsidR="00F04791">
        <w:t xml:space="preserve"> </w:t>
      </w:r>
      <w:r w:rsidRPr="0057669B">
        <w:t>The deficit model views disadvantaged youth as lacking motivation toward career goals, leading to well-meaning but often ineffective interventions (</w:t>
      </w:r>
      <w:r w:rsidR="003F00F3" w:rsidRPr="003F00F3">
        <w:t>Webster-Straton, et al., 2008</w:t>
      </w:r>
      <w:r w:rsidRPr="0057669B">
        <w:t>). In contrast, the growth model asserts that all you</w:t>
      </w:r>
      <w:r>
        <w:t>ng people</w:t>
      </w:r>
      <w:r w:rsidRPr="0057669B">
        <w:t xml:space="preserve"> are aspirational but </w:t>
      </w:r>
      <w:r>
        <w:t xml:space="preserve">may </w:t>
      </w:r>
      <w:r w:rsidRPr="0057669B">
        <w:t>face barriers to achieving their goals</w:t>
      </w:r>
      <w:r>
        <w:t xml:space="preserve"> (</w:t>
      </w:r>
      <w:r w:rsidRPr="003F00F3">
        <w:t>Paton, 2011</w:t>
      </w:r>
      <w:r>
        <w:t>)</w:t>
      </w:r>
      <w:r w:rsidRPr="0057669B">
        <w:t>. Interventions guided by this perspective focus on breaking down these barriers and empowering young people to see their aspirations as attainable (</w:t>
      </w:r>
      <w:r w:rsidRPr="003F00F3">
        <w:t>Burgess, 2019</w:t>
      </w:r>
      <w:r w:rsidRPr="0057669B">
        <w:t>).</w:t>
      </w:r>
    </w:p>
    <w:p w14:paraId="0C38EFAE" w14:textId="503F1811" w:rsidR="00734194" w:rsidRPr="0057669B" w:rsidRDefault="00E072C1" w:rsidP="00734194">
      <w:pPr>
        <w:jc w:val="both"/>
      </w:pPr>
      <w:r w:rsidRPr="00E072C1">
        <w:t>It is asserted that s</w:t>
      </w:r>
      <w:r w:rsidRPr="00756D5B">
        <w:t>ystematic career education enhances access to career learning opportunities and has a positive impact on students’ career development and skills</w:t>
      </w:r>
      <w:r w:rsidRPr="00E072C1">
        <w:t xml:space="preserve"> (Kettunen, 2024)</w:t>
      </w:r>
      <w:r w:rsidRPr="00756D5B">
        <w:t>. This includes improving their ability to navigate both the education system and the labour market (</w:t>
      </w:r>
      <w:r>
        <w:t>St. Clair, et al., 2011</w:t>
      </w:r>
      <w:r w:rsidRPr="00756D5B">
        <w:t>) and facilitating smoother transitions from school to meaningful employment (</w:t>
      </w:r>
      <w:r w:rsidRPr="00E072C1">
        <w:t>Hughes et al., 2016</w:t>
      </w:r>
      <w:r w:rsidRPr="00756D5B">
        <w:t>).</w:t>
      </w:r>
      <w:r w:rsidRPr="00E072C1">
        <w:t xml:space="preserve"> </w:t>
      </w:r>
      <w:r w:rsidRPr="00756D5B">
        <w:t>Research further suggests that early exposure to career education can expand students’ career expectations and aspirations, countering the influence of societal and famil</w:t>
      </w:r>
      <w:r>
        <w:t>y</w:t>
      </w:r>
      <w:r w:rsidRPr="00756D5B">
        <w:t xml:space="preserve"> pressures that may lead to premature narrowing of career choices (</w:t>
      </w:r>
      <w:r w:rsidRPr="00E072C1">
        <w:t>Guyon et al., 2021</w:t>
      </w:r>
      <w:r w:rsidRPr="00756D5B">
        <w:t xml:space="preserve">).  </w:t>
      </w:r>
      <w:r>
        <w:t>It</w:t>
      </w:r>
      <w:r w:rsidR="00B15547" w:rsidRPr="00B15547">
        <w:t xml:space="preserve"> is </w:t>
      </w:r>
      <w:r w:rsidR="00B15547">
        <w:t>recommended</w:t>
      </w:r>
      <w:r w:rsidR="00B15547" w:rsidRPr="00B15547">
        <w:t xml:space="preserve"> that</w:t>
      </w:r>
      <w:r w:rsidR="00B15547">
        <w:t xml:space="preserve"> policies aimed at </w:t>
      </w:r>
      <w:r w:rsidR="00B15547" w:rsidRPr="00B15547">
        <w:t>fostering resilience, independent learning, and critical thinking</w:t>
      </w:r>
      <w:r w:rsidR="00B15547">
        <w:t>,</w:t>
      </w:r>
      <w:r w:rsidR="00B15547" w:rsidRPr="00B15547">
        <w:t xml:space="preserve"> to equip students for the complexities of life</w:t>
      </w:r>
      <w:r w:rsidR="00B15547">
        <w:t xml:space="preserve">, are most likely to yield positive outcomes </w:t>
      </w:r>
      <w:r w:rsidR="00B15547" w:rsidRPr="00B15547">
        <w:t>(Scott et al., 2013).</w:t>
      </w:r>
      <w:r w:rsidR="00B15547">
        <w:t xml:space="preserve"> </w:t>
      </w:r>
      <w:r w:rsidR="00734194">
        <w:t>Furthermore, p</w:t>
      </w:r>
      <w:r w:rsidR="00734194" w:rsidRPr="0057669B">
        <w:t>rogram</w:t>
      </w:r>
      <w:r w:rsidR="00734194">
        <w:t>me</w:t>
      </w:r>
      <w:r w:rsidR="00734194" w:rsidRPr="0057669B">
        <w:t xml:space="preserve">s focusing on self-esteem and exposure to diverse role models </w:t>
      </w:r>
      <w:r w:rsidR="00734194">
        <w:t xml:space="preserve">have been identified as </w:t>
      </w:r>
      <w:r w:rsidR="00734194" w:rsidRPr="0057669B">
        <w:t>impactful</w:t>
      </w:r>
      <w:r w:rsidR="00B15547">
        <w:t>, particularly</w:t>
      </w:r>
      <w:r w:rsidR="00734194" w:rsidRPr="0057669B">
        <w:t xml:space="preserve"> for disadvantaged students (</w:t>
      </w:r>
      <w:proofErr w:type="spellStart"/>
      <w:r w:rsidR="00734194" w:rsidRPr="003F00F3">
        <w:t>Chlosta</w:t>
      </w:r>
      <w:proofErr w:type="spellEnd"/>
      <w:r w:rsidR="00734194" w:rsidRPr="003F00F3">
        <w:t xml:space="preserve"> et al., 2012</w:t>
      </w:r>
      <w:r w:rsidR="00734194" w:rsidRPr="0057669B">
        <w:t>).</w:t>
      </w:r>
      <w:r>
        <w:t xml:space="preserve"> </w:t>
      </w:r>
    </w:p>
    <w:p w14:paraId="122CAF92" w14:textId="6066AC13" w:rsidR="00B46D08" w:rsidRDefault="00734194" w:rsidP="00D23451">
      <w:pPr>
        <w:jc w:val="both"/>
      </w:pPr>
      <w:r w:rsidRPr="0057669B">
        <w:t xml:space="preserve">The growing emphasis on employer engagement within curricula has </w:t>
      </w:r>
      <w:r w:rsidR="0051792E">
        <w:t xml:space="preserve">also </w:t>
      </w:r>
      <w:r w:rsidRPr="0057669B">
        <w:t xml:space="preserve">been </w:t>
      </w:r>
      <w:r>
        <w:t xml:space="preserve">viewed as </w:t>
      </w:r>
      <w:r w:rsidRPr="0057669B">
        <w:t>a positive development (</w:t>
      </w:r>
      <w:r w:rsidRPr="003F00F3">
        <w:t>Hughes et al., 2016</w:t>
      </w:r>
      <w:r w:rsidRPr="0057669B">
        <w:t xml:space="preserve">), </w:t>
      </w:r>
      <w:r>
        <w:t xml:space="preserve">although it is warned that </w:t>
      </w:r>
      <w:r w:rsidRPr="0057669B">
        <w:t xml:space="preserve">disparities in school resources </w:t>
      </w:r>
      <w:r>
        <w:t xml:space="preserve">could potentially </w:t>
      </w:r>
      <w:r w:rsidRPr="0057669B">
        <w:t>hinder the equitable delivery of career-informed support (</w:t>
      </w:r>
      <w:r w:rsidRPr="003F00F3">
        <w:t>Rowan-Kenyon et al., 2011</w:t>
      </w:r>
      <w:r w:rsidRPr="0057669B">
        <w:t xml:space="preserve">). Furthermore, </w:t>
      </w:r>
      <w:r>
        <w:t xml:space="preserve">it is argued that, while personalised mentorship has potential to </w:t>
      </w:r>
      <w:r w:rsidRPr="0057669B">
        <w:t>bridg</w:t>
      </w:r>
      <w:r>
        <w:t>e</w:t>
      </w:r>
      <w:r w:rsidRPr="0057669B">
        <w:t xml:space="preserve"> the gap between aspiration and attainment</w:t>
      </w:r>
      <w:r>
        <w:t xml:space="preserve"> (</w:t>
      </w:r>
      <w:r w:rsidRPr="003F00F3">
        <w:t>OECD, 2024</w:t>
      </w:r>
      <w:r>
        <w:t>), careers</w:t>
      </w:r>
      <w:r w:rsidRPr="0057669B">
        <w:t xml:space="preserve"> advice often fails to </w:t>
      </w:r>
      <w:r w:rsidRPr="0057669B">
        <w:lastRenderedPageBreak/>
        <w:t xml:space="preserve">provide balanced guidance on all available pathways, including vocational routes and apprenticeships, </w:t>
      </w:r>
      <w:r>
        <w:t>potentially limiting</w:t>
      </w:r>
      <w:r w:rsidRPr="0057669B">
        <w:t xml:space="preserve"> access to opportunities</w:t>
      </w:r>
      <w:r>
        <w:t xml:space="preserve"> for all students</w:t>
      </w:r>
      <w:r w:rsidRPr="0057669B">
        <w:t xml:space="preserve"> (</w:t>
      </w:r>
      <w:r w:rsidRPr="003F00F3">
        <w:t>Morris, 2021</w:t>
      </w:r>
      <w:r w:rsidRPr="0057669B">
        <w:t>).</w:t>
      </w:r>
      <w:r>
        <w:t xml:space="preserve"> </w:t>
      </w:r>
      <w:r w:rsidRPr="0057669B">
        <w:t>To address these challenges,</w:t>
      </w:r>
      <w:r>
        <w:t xml:space="preserve"> it is recommended that</w:t>
      </w:r>
      <w:r w:rsidRPr="0057669B">
        <w:t xml:space="preserve"> education systems must expand “pathways,” offering alternative trajectories through secondary education that align with students’ diverse aspirations (</w:t>
      </w:r>
      <w:r w:rsidR="003F00F3">
        <w:t>OECD, 2024</w:t>
      </w:r>
      <w:r w:rsidRPr="0057669B">
        <w:t xml:space="preserve">). </w:t>
      </w:r>
    </w:p>
    <w:p w14:paraId="15D0C179" w14:textId="2C8747D1" w:rsidR="00EC5579" w:rsidRPr="00EC5579" w:rsidRDefault="00EC5579" w:rsidP="00D23451">
      <w:pPr>
        <w:jc w:val="both"/>
        <w:rPr>
          <w:b/>
          <w:bCs/>
        </w:rPr>
      </w:pPr>
      <w:r w:rsidRPr="00EC5579">
        <w:rPr>
          <w:b/>
          <w:bCs/>
        </w:rPr>
        <w:t>Policy Implementation</w:t>
      </w:r>
    </w:p>
    <w:p w14:paraId="585EB8B0" w14:textId="1F8B21D7" w:rsidR="00B902A5" w:rsidRDefault="00094EDD" w:rsidP="00C34F7C">
      <w:pPr>
        <w:jc w:val="both"/>
      </w:pPr>
      <w:r w:rsidRPr="00A638ED">
        <w:t>Ball (2021) highlights several challenges and realities of educational policy implementation</w:t>
      </w:r>
      <w:r w:rsidR="00A638ED">
        <w:t>, suggesting that s</w:t>
      </w:r>
      <w:r w:rsidRPr="00A638ED">
        <w:t>chools face a duality of change, striving to balance innovation with traditional practices</w:t>
      </w:r>
      <w:r w:rsidR="00A638ED">
        <w:t>. This creates</w:t>
      </w:r>
      <w:r w:rsidRPr="00A638ED">
        <w:t xml:space="preserve"> a paradox of expectations between social mobility, cohesion, and innovation. It </w:t>
      </w:r>
      <w:r w:rsidR="00A638ED" w:rsidRPr="00A638ED">
        <w:t>has</w:t>
      </w:r>
      <w:r w:rsidRPr="00A638ED">
        <w:t xml:space="preserve"> also </w:t>
      </w:r>
      <w:r w:rsidR="00A638ED" w:rsidRPr="00A638ED">
        <w:t xml:space="preserve">been </w:t>
      </w:r>
      <w:r w:rsidRPr="00A638ED">
        <w:t>proposed that policy is not merely implemented but reinvented at every level of the system, which can lead to inconsistencies (</w:t>
      </w:r>
      <w:r w:rsidR="00B902A5" w:rsidRPr="00A638ED">
        <w:t>Darling-Hammond</w:t>
      </w:r>
      <w:r w:rsidRPr="00A638ED">
        <w:t>,</w:t>
      </w:r>
      <w:r w:rsidR="00B902A5" w:rsidRPr="00A638ED">
        <w:t xml:space="preserve">1997) However, </w:t>
      </w:r>
      <w:proofErr w:type="spellStart"/>
      <w:r w:rsidR="00B902A5" w:rsidRPr="00A638ED">
        <w:t>Mourshed</w:t>
      </w:r>
      <w:proofErr w:type="spellEnd"/>
      <w:r w:rsidR="00B902A5" w:rsidRPr="00A638ED">
        <w:t xml:space="preserve"> et al. (2011) argue that local adaptation can positively impact system reform, demonstrating the potential benefits </w:t>
      </w:r>
      <w:r w:rsidR="00A638ED" w:rsidRPr="00A638ED">
        <w:t>of flexibility</w:t>
      </w:r>
      <w:r w:rsidR="00B902A5" w:rsidRPr="00A638ED">
        <w:t xml:space="preserve">. It is also asserted that learning from international models can inform sustainable reform, but as Fullan (2011) notes, extracting relevant lessons requires careful consideration of contextual differences. </w:t>
      </w:r>
      <w:r w:rsidRPr="00A638ED">
        <w:t xml:space="preserve">With systems constantly evolving, past solutions may lose relevance, </w:t>
      </w:r>
      <w:r w:rsidR="00A638ED">
        <w:t>highlighting</w:t>
      </w:r>
      <w:r w:rsidRPr="00A638ED">
        <w:t xml:space="preserve"> the need for dynamic, context-sensitive approaches to policymaking</w:t>
      </w:r>
      <w:r w:rsidR="00A638ED" w:rsidRPr="00A638ED">
        <w:t xml:space="preserve"> (</w:t>
      </w:r>
      <w:proofErr w:type="spellStart"/>
      <w:r w:rsidR="00A638ED" w:rsidRPr="00A638ED">
        <w:t>Mourshed</w:t>
      </w:r>
      <w:proofErr w:type="spellEnd"/>
      <w:r w:rsidR="00A638ED" w:rsidRPr="00A638ED">
        <w:t xml:space="preserve"> et al., 2011)</w:t>
      </w:r>
      <w:r w:rsidRPr="00A638ED">
        <w:t>.</w:t>
      </w:r>
    </w:p>
    <w:p w14:paraId="4A9A24AD" w14:textId="2EA880BD" w:rsidR="00822836" w:rsidRPr="00F50DBD" w:rsidRDefault="00822836" w:rsidP="00822836">
      <w:pPr>
        <w:rPr>
          <w:b/>
          <w:bCs/>
        </w:rPr>
      </w:pPr>
      <w:r w:rsidRPr="00F50DBD">
        <w:rPr>
          <w:b/>
          <w:bCs/>
        </w:rPr>
        <w:t xml:space="preserve">The Role of Media in </w:t>
      </w:r>
      <w:r>
        <w:rPr>
          <w:b/>
          <w:bCs/>
        </w:rPr>
        <w:t>Policy Implementation</w:t>
      </w:r>
    </w:p>
    <w:p w14:paraId="3BDDE4AA" w14:textId="73867744" w:rsidR="00822836" w:rsidRDefault="00822836" w:rsidP="00822836">
      <w:r w:rsidRPr="00822836">
        <w:t>The media plays a pivotal role in policy implementation by shaping societal attitudes toward education and career aspirations in Wales (Moore, 2020). While media representations often emphasize challenges and inequalities, they also celebrate achievements, influencing young people's ambitions (Bernier, 2011). Collaborating with media outlets to craft balanced narratives can enhance policy impact, inspiring youth while addressing structural barriers to their aspirations (St. Clair et al., 2011). Additionally, media campaigns can challenge stereotypes and promote awareness of diverse career pathways, including vocational and entrepreneurial options (Moore, 2020).</w:t>
      </w:r>
    </w:p>
    <w:p w14:paraId="5342DC87" w14:textId="63336B54" w:rsidR="00EC5579" w:rsidRPr="00EC5579" w:rsidRDefault="00EC5579" w:rsidP="00C34F7C">
      <w:pPr>
        <w:jc w:val="both"/>
        <w:rPr>
          <w:b/>
          <w:bCs/>
        </w:rPr>
      </w:pPr>
      <w:r w:rsidRPr="00EC5579">
        <w:rPr>
          <w:b/>
          <w:bCs/>
        </w:rPr>
        <w:t>Conclusion</w:t>
      </w:r>
    </w:p>
    <w:p w14:paraId="29A6B389" w14:textId="13C7324B" w:rsidR="009349AA" w:rsidRDefault="009349AA" w:rsidP="00C34F7C">
      <w:pPr>
        <w:jc w:val="both"/>
      </w:pPr>
      <w:r w:rsidRPr="003226FC">
        <w:rPr>
          <w:color w:val="FF0000"/>
        </w:rPr>
        <w:t>In summary, this review highlights the multifaceted nature of teenage career aspirations, shaped by personal, educational, and societal influences. While education plays a critical role in bridging the gap between aspirations and their attainment, systemic barriers such as socio-economic disparities, limited access to career information, and social stereotypes persist, often eroding aspirations among disadvantaged youth. Policy interventions, informed by either deficit or growth models, have had varying degrees of success, with the most effective approaches focusing on resilience, critical thinking, and exposure to diverse role models. However, challenges in policy implementation, including balancing innovation with tradition and ensuring equity in career guidance, have the potential to complicate efforts to support all students. As educational systems evolve, flexible, context-sensitive policies and the expansion of diverse pathways are essential for fostering aspirations that align with the diverse needs and realities of students in Wales</w:t>
      </w:r>
      <w:r w:rsidRPr="009349AA">
        <w:t>.</w:t>
      </w:r>
    </w:p>
    <w:p w14:paraId="58C48F5C" w14:textId="77777777" w:rsidR="00DB3B04" w:rsidRPr="00A638ED" w:rsidRDefault="00DB3B04" w:rsidP="00C34F7C">
      <w:pPr>
        <w:jc w:val="both"/>
      </w:pPr>
    </w:p>
    <w:p w14:paraId="676F3EEA" w14:textId="23649417" w:rsidR="00B902A5" w:rsidRPr="00DB3B04" w:rsidRDefault="003B5FE2" w:rsidP="00A4005D">
      <w:pPr>
        <w:jc w:val="center"/>
        <w:rPr>
          <w:b/>
          <w:bCs/>
        </w:rPr>
      </w:pPr>
      <w:r>
        <w:rPr>
          <w:b/>
          <w:bCs/>
        </w:rPr>
        <w:t>Representation in Policy Documentation</w:t>
      </w:r>
    </w:p>
    <w:p w14:paraId="2017347D" w14:textId="77777777" w:rsidR="00DB3B04" w:rsidRPr="008A06D1" w:rsidRDefault="00DB3B04" w:rsidP="00DB3B04">
      <w:pPr>
        <w:jc w:val="both"/>
      </w:pPr>
      <w:r w:rsidRPr="008A06D1">
        <w:t>The Welsh Government</w:t>
      </w:r>
      <w:r>
        <w:t xml:space="preserve">’s </w:t>
      </w:r>
      <w:r w:rsidRPr="008A06D1">
        <w:t xml:space="preserve">vision </w:t>
      </w:r>
      <w:r>
        <w:t>is</w:t>
      </w:r>
      <w:r w:rsidRPr="008A06D1">
        <w:t xml:space="preserve"> to create “</w:t>
      </w:r>
      <w:r w:rsidRPr="003A6B1F">
        <w:rPr>
          <w:i/>
          <w:iCs/>
        </w:rPr>
        <w:t>a truly excellent and equitable system, as a public and common good</w:t>
      </w:r>
      <w:r w:rsidRPr="008A06D1">
        <w:t>” (</w:t>
      </w:r>
      <w:r w:rsidRPr="005326D6">
        <w:rPr>
          <w:color w:val="FF0000"/>
        </w:rPr>
        <w:t>Welsh Government, 2023a, p.3</w:t>
      </w:r>
      <w:r w:rsidRPr="008A06D1">
        <w:t xml:space="preserve">). Its </w:t>
      </w:r>
      <w:r>
        <w:t xml:space="preserve">educational </w:t>
      </w:r>
      <w:r w:rsidRPr="008A06D1">
        <w:t xml:space="preserve">policies focus on removing </w:t>
      </w:r>
      <w:r w:rsidRPr="008A06D1">
        <w:lastRenderedPageBreak/>
        <w:t xml:space="preserve">barriers to learning and </w:t>
      </w:r>
      <w:r>
        <w:t>promoting</w:t>
      </w:r>
      <w:r w:rsidRPr="008A06D1">
        <w:t xml:space="preserve"> greater engagement in post-compulsory education and training</w:t>
      </w:r>
      <w:r>
        <w:t>, b</w:t>
      </w:r>
      <w:r w:rsidRPr="008A06D1">
        <w:t>alancing individual aspirations with the social and economic needs of Wales</w:t>
      </w:r>
      <w:r>
        <w:t xml:space="preserve"> </w:t>
      </w:r>
      <w:r w:rsidRPr="008A06D1">
        <w:t>(</w:t>
      </w:r>
      <w:r w:rsidRPr="005326D6">
        <w:rPr>
          <w:color w:val="FF0000"/>
        </w:rPr>
        <w:t>Welsh Government, 2015</w:t>
      </w:r>
      <w:r w:rsidRPr="008A06D1">
        <w:t>). However, the implementation of these policies presents both opportunities and challenge</w:t>
      </w:r>
      <w:r>
        <w:t>s.</w:t>
      </w:r>
    </w:p>
    <w:p w14:paraId="35455835" w14:textId="77777777" w:rsidR="00DB3B04" w:rsidRPr="008A06D1" w:rsidRDefault="00DB3B04" w:rsidP="00DB3B04">
      <w:pPr>
        <w:rPr>
          <w:b/>
          <w:bCs/>
        </w:rPr>
      </w:pPr>
      <w:r w:rsidRPr="008A06D1">
        <w:rPr>
          <w:b/>
          <w:bCs/>
        </w:rPr>
        <w:t>Policy Provisions and Their Framework</w:t>
      </w:r>
    </w:p>
    <w:p w14:paraId="4055B6F4" w14:textId="77777777" w:rsidR="00DB3B04" w:rsidRPr="008A06D1" w:rsidRDefault="00DB3B04" w:rsidP="00DB3B04">
      <w:pPr>
        <w:jc w:val="both"/>
      </w:pPr>
      <w:r w:rsidRPr="003A6B1F">
        <w:t>Central to th</w:t>
      </w:r>
      <w:r>
        <w:t xml:space="preserve">is </w:t>
      </w:r>
      <w:r w:rsidRPr="003A6B1F">
        <w:t xml:space="preserve">vision is the </w:t>
      </w:r>
      <w:r w:rsidRPr="005326D6">
        <w:rPr>
          <w:color w:val="FF0000"/>
        </w:rPr>
        <w:t xml:space="preserve">Curriculum for Wales (2022), </w:t>
      </w:r>
      <w:r w:rsidRPr="008A06D1">
        <w:t>which emphasi</w:t>
      </w:r>
      <w:r>
        <w:t>s</w:t>
      </w:r>
      <w:r w:rsidRPr="008A06D1">
        <w:t xml:space="preserve">es the development of broad, transferable skills to prepare learners for life beyond school. </w:t>
      </w:r>
      <w:r>
        <w:t>With a focus on</w:t>
      </w:r>
      <w:r w:rsidRPr="008A06D1">
        <w:t xml:space="preserve"> “four Purposes,” including the creation of ambitious, capable learners and enterprising citizens, the curriculum </w:t>
      </w:r>
      <w:r>
        <w:t xml:space="preserve">seeks to </w:t>
      </w:r>
      <w:r w:rsidRPr="008A06D1">
        <w:t>align educational</w:t>
      </w:r>
      <w:r>
        <w:t>, economic</w:t>
      </w:r>
      <w:r w:rsidRPr="008A06D1">
        <w:t xml:space="preserve"> </w:t>
      </w:r>
      <w:r>
        <w:t xml:space="preserve">and occupational </w:t>
      </w:r>
      <w:r w:rsidRPr="008A06D1">
        <w:t>outcomes (</w:t>
      </w:r>
      <w:r>
        <w:rPr>
          <w:color w:val="FF0000"/>
        </w:rPr>
        <w:t>Welsh Government, 2015</w:t>
      </w:r>
      <w:r w:rsidRPr="008A06D1">
        <w:t xml:space="preserve">). </w:t>
      </w:r>
      <w:r>
        <w:t>The</w:t>
      </w:r>
      <w:r w:rsidRPr="008A06D1">
        <w:t xml:space="preserve"> integration of Careers and Work-Related Experiences (CWRE) from ages 3 to 16, </w:t>
      </w:r>
      <w:r w:rsidRPr="005326D6">
        <w:t>aims to equip learners with the skills needed to navigate a rapidly changing job market</w:t>
      </w:r>
      <w:r>
        <w:t xml:space="preserve"> from a young age, while challenging stereotypes, broadening horizons and promoting </w:t>
      </w:r>
      <w:r w:rsidRPr="008A06D1">
        <w:t>lifelong learning (</w:t>
      </w:r>
      <w:r w:rsidRPr="00F14634">
        <w:rPr>
          <w:color w:val="FF0000"/>
        </w:rPr>
        <w:t>Welsh Government, 2024</w:t>
      </w:r>
      <w:r w:rsidRPr="008A06D1">
        <w:t>).</w:t>
      </w:r>
      <w:r>
        <w:t xml:space="preserve"> </w:t>
      </w:r>
    </w:p>
    <w:p w14:paraId="33589658" w14:textId="267FA5EA" w:rsidR="00DB3B04" w:rsidRPr="008A06D1" w:rsidRDefault="00DB3B04" w:rsidP="00DB3B04">
      <w:pPr>
        <w:jc w:val="both"/>
      </w:pPr>
      <w:r>
        <w:t>T</w:t>
      </w:r>
      <w:r w:rsidRPr="008A06D1">
        <w:t>he introduction of</w:t>
      </w:r>
      <w:r>
        <w:t xml:space="preserve"> </w:t>
      </w:r>
      <w:r w:rsidRPr="008A06D1">
        <w:t xml:space="preserve">"Made for Wales" qualifications, </w:t>
      </w:r>
      <w:r>
        <w:t>includes</w:t>
      </w:r>
      <w:r w:rsidRPr="008A06D1">
        <w:t xml:space="preserve"> </w:t>
      </w:r>
      <w:r>
        <w:t>a greater emphasis on vocational routes including new</w:t>
      </w:r>
      <w:r w:rsidRPr="008A06D1">
        <w:t xml:space="preserve"> Vocational Certificates in Education (VCEs)</w:t>
      </w:r>
      <w:r>
        <w:t>. This</w:t>
      </w:r>
      <w:r w:rsidRPr="008A06D1">
        <w:t xml:space="preserve"> reflects the government’s commitment to bridging the gap between learners’ needs and employer demands</w:t>
      </w:r>
      <w:r>
        <w:t xml:space="preserve"> </w:t>
      </w:r>
      <w:r w:rsidRPr="00CC6F95">
        <w:t>a</w:t>
      </w:r>
      <w:r>
        <w:t>s well as</w:t>
      </w:r>
      <w:r w:rsidRPr="00CC6F95">
        <w:t xml:space="preserve"> reduc</w:t>
      </w:r>
      <w:r>
        <w:t>ing</w:t>
      </w:r>
      <w:r w:rsidRPr="00CC6F95">
        <w:t xml:space="preserve"> skills gaps in Wales (</w:t>
      </w:r>
      <w:r w:rsidRPr="00CC6F95">
        <w:rPr>
          <w:color w:val="FF0000"/>
        </w:rPr>
        <w:t>Welsh Government, 2023b</w:t>
      </w:r>
      <w:r w:rsidRPr="00CC6F95">
        <w:t>).</w:t>
      </w:r>
      <w:r w:rsidRPr="008A06D1">
        <w:t xml:space="preserve"> Complementary initiatives, including the Seren Network for academically </w:t>
      </w:r>
      <w:r>
        <w:t>ambitious</w:t>
      </w:r>
      <w:r w:rsidRPr="008A06D1">
        <w:t xml:space="preserve"> students and the Youth Guarantee scheme</w:t>
      </w:r>
      <w:r>
        <w:t xml:space="preserve"> for more vulnerable </w:t>
      </w:r>
      <w:r w:rsidR="00D53A3E">
        <w:t>students</w:t>
      </w:r>
      <w:r w:rsidRPr="008A06D1">
        <w:t>, are tailored to support learners from diverse backgrounds and abilities, ensuring that opportunities are accessible to all (</w:t>
      </w:r>
      <w:r w:rsidRPr="00F14634">
        <w:rPr>
          <w:color w:val="FF0000"/>
        </w:rPr>
        <w:t>Seren Network, 2023; Welsh Government, 2021</w:t>
      </w:r>
      <w:r w:rsidRPr="008A06D1">
        <w:t>).</w:t>
      </w:r>
    </w:p>
    <w:p w14:paraId="688C706E" w14:textId="5C5E6EBC" w:rsidR="00DB3B04" w:rsidRPr="008A06D1" w:rsidRDefault="00DB3B04" w:rsidP="00DB3B04">
      <w:pPr>
        <w:jc w:val="both"/>
      </w:pPr>
      <w:r w:rsidRPr="008A06D1">
        <w:t>Post-16 education and training provision is further enhanced through the Apprenticeship Programme</w:t>
      </w:r>
      <w:r>
        <w:t xml:space="preserve"> (</w:t>
      </w:r>
      <w:r w:rsidRPr="0020713E">
        <w:rPr>
          <w:color w:val="FF0000"/>
        </w:rPr>
        <w:t>Welsh Government, 2021</w:t>
      </w:r>
      <w:r>
        <w:t>)</w:t>
      </w:r>
      <w:r w:rsidRPr="008A06D1">
        <w:t xml:space="preserve"> and the Credit and Qualifications Framework for Wales (CQFW</w:t>
      </w:r>
      <w:r w:rsidRPr="00D53A3E">
        <w:rPr>
          <w:highlight w:val="yellow"/>
        </w:rPr>
        <w:t>)</w:t>
      </w:r>
      <w:r w:rsidR="00D53A3E" w:rsidRPr="00D53A3E">
        <w:rPr>
          <w:highlight w:val="yellow"/>
        </w:rPr>
        <w:t xml:space="preserve"> (ref)</w:t>
      </w:r>
      <w:r w:rsidRPr="00D53A3E">
        <w:rPr>
          <w:highlight w:val="yellow"/>
        </w:rPr>
        <w:t>.</w:t>
      </w:r>
      <w:r w:rsidRPr="008A06D1">
        <w:t xml:space="preserve"> These initiatives provide practical pathways for learners to gain work experience and qualifications across a range of sectors</w:t>
      </w:r>
      <w:r>
        <w:t xml:space="preserve"> </w:t>
      </w:r>
      <w:r w:rsidRPr="00D13B6F">
        <w:t>(</w:t>
      </w:r>
      <w:r w:rsidRPr="00D13B6F">
        <w:rPr>
          <w:color w:val="FF0000"/>
        </w:rPr>
        <w:t>Welsh Government, 2024b</w:t>
      </w:r>
      <w:r w:rsidRPr="00D13B6F">
        <w:t>).</w:t>
      </w:r>
      <w:r w:rsidRPr="008A06D1">
        <w:t xml:space="preserve"> The flexibility of the CQFW aligns with the government’s vision of a contextual and responsive education system (</w:t>
      </w:r>
      <w:r w:rsidRPr="00F14634">
        <w:rPr>
          <w:color w:val="FF0000"/>
        </w:rPr>
        <w:t>OECD, 2024</w:t>
      </w:r>
      <w:r w:rsidRPr="008A06D1">
        <w:t>)</w:t>
      </w:r>
      <w:r w:rsidR="000E2A45">
        <w:t xml:space="preserve">, further empowering schools to </w:t>
      </w:r>
      <w:r w:rsidRPr="008A06D1">
        <w:t>design curricula that reflect local needs (</w:t>
      </w:r>
      <w:r w:rsidRPr="00F14634">
        <w:rPr>
          <w:color w:val="FF0000"/>
        </w:rPr>
        <w:t>Donaldson, 2015</w:t>
      </w:r>
      <w:r w:rsidRPr="008A06D1">
        <w:t>).</w:t>
      </w:r>
    </w:p>
    <w:p w14:paraId="6EC20A38" w14:textId="77777777" w:rsidR="00DB3B04" w:rsidRPr="008A06D1" w:rsidRDefault="00DB3B04" w:rsidP="00DB3B04">
      <w:pPr>
        <w:rPr>
          <w:b/>
          <w:bCs/>
        </w:rPr>
      </w:pPr>
      <w:r w:rsidRPr="008A06D1">
        <w:rPr>
          <w:b/>
          <w:bCs/>
        </w:rPr>
        <w:t>Strengths and Opportunities</w:t>
      </w:r>
    </w:p>
    <w:p w14:paraId="250EF384" w14:textId="601B2DF5" w:rsidR="00DB3B04" w:rsidRPr="00115175" w:rsidRDefault="00DB3B04" w:rsidP="00DB3B04">
      <w:pPr>
        <w:jc w:val="both"/>
      </w:pPr>
      <w:r w:rsidRPr="00D13B6F">
        <w:t xml:space="preserve">The Welsh Government's focus on combining vocational and academic pathways reflects a forward-thinking and inclusive </w:t>
      </w:r>
      <w:r>
        <w:t>approach</w:t>
      </w:r>
      <w:r w:rsidRPr="00D13B6F">
        <w:t xml:space="preserve">, </w:t>
      </w:r>
      <w:r w:rsidR="000D0B61">
        <w:t xml:space="preserve">and </w:t>
      </w:r>
      <w:r>
        <w:t xml:space="preserve">is </w:t>
      </w:r>
      <w:r w:rsidRPr="00D13B6F">
        <w:t>consistent with research supporting the aspirations of teenagers (</w:t>
      </w:r>
      <w:r w:rsidRPr="00D13B6F">
        <w:rPr>
          <w:color w:val="FF0000"/>
        </w:rPr>
        <w:t>Hughes et al., 2016</w:t>
      </w:r>
      <w:r w:rsidRPr="00D13B6F">
        <w:t>).</w:t>
      </w:r>
      <w:r>
        <w:t xml:space="preserve"> Furthermore, i</w:t>
      </w:r>
      <w:r w:rsidRPr="008A06D1">
        <w:t xml:space="preserve">nitiatives such as the CWRE framework and the </w:t>
      </w:r>
      <w:r w:rsidRPr="00F14634">
        <w:rPr>
          <w:color w:val="FF0000"/>
        </w:rPr>
        <w:t xml:space="preserve">Careers Wales Strategic Plan (2021-2026) </w:t>
      </w:r>
      <w:r w:rsidRPr="00115175">
        <w:t>exemplify</w:t>
      </w:r>
      <w:r>
        <w:t xml:space="preserve"> a positive approach to addressing aspiration realisation, particularly of </w:t>
      </w:r>
      <w:r w:rsidRPr="008A06D1">
        <w:t>vulnerable groups</w:t>
      </w:r>
      <w:r>
        <w:t xml:space="preserve"> (</w:t>
      </w:r>
      <w:r w:rsidRPr="00115175">
        <w:rPr>
          <w:color w:val="FF0000"/>
        </w:rPr>
        <w:t>Burgess, 2019</w:t>
      </w:r>
      <w:r>
        <w:t>)</w:t>
      </w:r>
      <w:r w:rsidRPr="008A06D1">
        <w:t xml:space="preserve">, including those </w:t>
      </w:r>
      <w:r>
        <w:t>at risk of becoming NEET.</w:t>
      </w:r>
      <w:r w:rsidRPr="008A06D1">
        <w:t xml:space="preserve"> The provision of toolkits and resources for schools reflects a commitment to supporting consistent implementation </w:t>
      </w:r>
      <w:r>
        <w:t xml:space="preserve">of this vision </w:t>
      </w:r>
      <w:r w:rsidRPr="008A06D1">
        <w:t xml:space="preserve">across the </w:t>
      </w:r>
      <w:r w:rsidRPr="00287246">
        <w:t>country (</w:t>
      </w:r>
      <w:r w:rsidRPr="00287246">
        <w:rPr>
          <w:color w:val="FF0000"/>
        </w:rPr>
        <w:t>Careers Wales, 2021</w:t>
      </w:r>
      <w:r w:rsidRPr="00287246">
        <w:t>).</w:t>
      </w:r>
    </w:p>
    <w:p w14:paraId="49A0DB74" w14:textId="77777777" w:rsidR="00DB3B04" w:rsidRPr="008A06D1" w:rsidRDefault="00DB3B04" w:rsidP="00DB3B04">
      <w:pPr>
        <w:jc w:val="both"/>
      </w:pPr>
      <w:r>
        <w:t>Research indicates that</w:t>
      </w:r>
      <w:r w:rsidRPr="00D13B6F">
        <w:t xml:space="preserve"> prioritisation of stakeholder collaboration</w:t>
      </w:r>
      <w:r>
        <w:t xml:space="preserve"> facilitates implementation</w:t>
      </w:r>
      <w:r w:rsidRPr="00D13B6F">
        <w:t xml:space="preserve"> </w:t>
      </w:r>
      <w:r>
        <w:t xml:space="preserve">of educational policy </w:t>
      </w:r>
      <w:r w:rsidRPr="00D13B6F">
        <w:t>(</w:t>
      </w:r>
      <w:r w:rsidRPr="00476AAE">
        <w:rPr>
          <w:color w:val="FF0000"/>
        </w:rPr>
        <w:t>Al-Thani, 2024</w:t>
      </w:r>
      <w:r w:rsidRPr="00D13B6F">
        <w:t>).</w:t>
      </w:r>
      <w:r>
        <w:t xml:space="preserve"> Through</w:t>
      </w:r>
      <w:r w:rsidRPr="008A06D1">
        <w:t xml:space="preserve"> aligning </w:t>
      </w:r>
      <w:r>
        <w:t>its policies</w:t>
      </w:r>
      <w:r w:rsidRPr="008A06D1">
        <w:t xml:space="preserve"> with the needs of employers, </w:t>
      </w:r>
      <w:r>
        <w:t>Welsh Government</w:t>
      </w:r>
      <w:r w:rsidRPr="008A06D1">
        <w:t xml:space="preserve"> aim</w:t>
      </w:r>
      <w:r>
        <w:t>s</w:t>
      </w:r>
      <w:r w:rsidRPr="008A06D1">
        <w:t xml:space="preserve"> to create a system that is both learner-c</w:t>
      </w:r>
      <w:r>
        <w:t>e</w:t>
      </w:r>
      <w:r w:rsidRPr="008A06D1">
        <w:t>nt</w:t>
      </w:r>
      <w:r>
        <w:t>ric</w:t>
      </w:r>
      <w:r w:rsidRPr="008A06D1">
        <w:t xml:space="preserve"> and responsive to labour market demands. </w:t>
      </w:r>
      <w:r>
        <w:t>Additionally</w:t>
      </w:r>
      <w:r w:rsidRPr="008A06D1">
        <w:t>, the emphasis on flexibility within the Curriculum for Wales</w:t>
      </w:r>
      <w:r>
        <w:t xml:space="preserve"> </w:t>
      </w:r>
      <w:r w:rsidRPr="008A06D1">
        <w:t xml:space="preserve">empowers schools to tailor learning experiences to local </w:t>
      </w:r>
      <w:r w:rsidRPr="0012624B">
        <w:t>contexts (</w:t>
      </w:r>
      <w:r w:rsidRPr="0012624B">
        <w:rPr>
          <w:color w:val="FF0000"/>
        </w:rPr>
        <w:t>Welsh Government, 2020</w:t>
      </w:r>
      <w:r w:rsidRPr="0012624B">
        <w:t>)</w:t>
      </w:r>
      <w:r>
        <w:t xml:space="preserve"> and </w:t>
      </w:r>
      <w:r w:rsidRPr="008A06D1">
        <w:t>reflects a shift away from prescriptive mandates</w:t>
      </w:r>
      <w:r>
        <w:t xml:space="preserve">. It is argued that policies that </w:t>
      </w:r>
      <w:r w:rsidRPr="008A06D1">
        <w:t xml:space="preserve">promote a culture </w:t>
      </w:r>
      <w:r w:rsidRPr="008A06D1">
        <w:lastRenderedPageBreak/>
        <w:t>of responsiveness and adaptability</w:t>
      </w:r>
      <w:r>
        <w:t xml:space="preserve"> are likely to positively impact system reform </w:t>
      </w:r>
      <w:r w:rsidRPr="0012624B">
        <w:t>(</w:t>
      </w:r>
      <w:proofErr w:type="spellStart"/>
      <w:r w:rsidRPr="0012624B">
        <w:rPr>
          <w:color w:val="FF0000"/>
        </w:rPr>
        <w:t>Mourshed</w:t>
      </w:r>
      <w:proofErr w:type="spellEnd"/>
      <w:r w:rsidRPr="0012624B">
        <w:rPr>
          <w:color w:val="FF0000"/>
        </w:rPr>
        <w:t xml:space="preserve"> et al., 2011</w:t>
      </w:r>
      <w:r w:rsidRPr="0012624B">
        <w:t>)</w:t>
      </w:r>
      <w:r>
        <w:t>.</w:t>
      </w:r>
    </w:p>
    <w:p w14:paraId="3B0FDC70" w14:textId="77777777" w:rsidR="00DB3B04" w:rsidRPr="008A06D1" w:rsidRDefault="00DB3B04" w:rsidP="00DB3B04">
      <w:pPr>
        <w:rPr>
          <w:b/>
          <w:bCs/>
        </w:rPr>
      </w:pPr>
      <w:r w:rsidRPr="007F5578">
        <w:rPr>
          <w:b/>
          <w:bCs/>
          <w:highlight w:val="yellow"/>
        </w:rPr>
        <w:t>Challenges and Areas for Improvement</w:t>
      </w:r>
    </w:p>
    <w:p w14:paraId="6A8892B8" w14:textId="77777777" w:rsidR="00DB3B04" w:rsidRDefault="00DB3B04" w:rsidP="00DB3B04">
      <w:pPr>
        <w:jc w:val="both"/>
      </w:pPr>
      <w:r w:rsidRPr="008A06D1">
        <w:t xml:space="preserve">Despite these strengths, challenges remain. One </w:t>
      </w:r>
      <w:r>
        <w:t>concern</w:t>
      </w:r>
      <w:r w:rsidRPr="008A06D1">
        <w:t xml:space="preserve"> is </w:t>
      </w:r>
      <w:r>
        <w:t>inconsistency</w:t>
      </w:r>
      <w:r w:rsidRPr="008A06D1">
        <w:t xml:space="preserve"> in policy implementation</w:t>
      </w:r>
      <w:r w:rsidRPr="007F5578">
        <w:t>.</w:t>
      </w:r>
      <w:r w:rsidRPr="008A06D1">
        <w:t xml:space="preserve"> </w:t>
      </w:r>
      <w:r>
        <w:t>It is argued that w</w:t>
      </w:r>
      <w:r w:rsidRPr="008A06D1">
        <w:t>ithout robust monitoring and clear guidelines</w:t>
      </w:r>
      <w:r w:rsidRPr="008C2D95">
        <w:t>,</w:t>
      </w:r>
      <w:r w:rsidRPr="008A06D1">
        <w:t xml:space="preserve"> schools in resource-poor areas may struggle to provide the same level of opportunities as their better-resourced counterparts, deepening existing inequalities </w:t>
      </w:r>
      <w:r w:rsidRPr="008C2D95">
        <w:t>(</w:t>
      </w:r>
      <w:r w:rsidRPr="008C2D95">
        <w:rPr>
          <w:color w:val="FF0000"/>
        </w:rPr>
        <w:t>Institute for Fiscal Studies (IFS), 2024</w:t>
      </w:r>
      <w:r w:rsidRPr="008C2D95">
        <w:t>). The</w:t>
      </w:r>
      <w:r>
        <w:t>refore, the</w:t>
      </w:r>
      <w:r w:rsidRPr="008C2D95">
        <w:t xml:space="preserve"> flexible nature of the Curriculum for Wales, while empowering, risks creating disparities in the quality and scope of career-related experiences offered by different schools.</w:t>
      </w:r>
      <w:r w:rsidRPr="000E73A8">
        <w:t xml:space="preserve"> </w:t>
      </w:r>
    </w:p>
    <w:p w14:paraId="14719B7A" w14:textId="77777777" w:rsidR="00DB3B04" w:rsidRDefault="00DB3B04" w:rsidP="00DB3B04">
      <w:pPr>
        <w:jc w:val="both"/>
      </w:pPr>
      <w:r w:rsidRPr="000E73A8">
        <w:t xml:space="preserve">Ambiguity in policy language </w:t>
      </w:r>
      <w:r>
        <w:t>could also pose</w:t>
      </w:r>
      <w:r w:rsidRPr="000E73A8">
        <w:t xml:space="preserve"> a barrier to effective implementation. </w:t>
      </w:r>
      <w:r>
        <w:t>V</w:t>
      </w:r>
      <w:r w:rsidRPr="000E73A8">
        <w:t xml:space="preserve">ague phrases such as such as “objectives </w:t>
      </w:r>
      <w:r w:rsidRPr="000E73A8">
        <w:rPr>
          <w:i/>
          <w:iCs/>
        </w:rPr>
        <w:t>can</w:t>
      </w:r>
      <w:r w:rsidRPr="000E73A8">
        <w:t xml:space="preserve"> be used by schools for…” and “this </w:t>
      </w:r>
      <w:r w:rsidRPr="000E73A8">
        <w:rPr>
          <w:i/>
          <w:iCs/>
        </w:rPr>
        <w:t>could</w:t>
      </w:r>
      <w:r w:rsidRPr="000E73A8">
        <w:t xml:space="preserve"> provide an opportunity…” (Welsh Government, 2023c, p25)</w:t>
      </w:r>
      <w:r>
        <w:t xml:space="preserve">, </w:t>
      </w:r>
      <w:r w:rsidRPr="000E73A8">
        <w:t>create uncertainty around expectations</w:t>
      </w:r>
      <w:r>
        <w:t xml:space="preserve"> (</w:t>
      </w:r>
      <w:proofErr w:type="spellStart"/>
      <w:r w:rsidRPr="007627A8">
        <w:rPr>
          <w:color w:val="FF0000"/>
        </w:rPr>
        <w:t>Viennet</w:t>
      </w:r>
      <w:proofErr w:type="spellEnd"/>
      <w:r w:rsidRPr="007627A8">
        <w:rPr>
          <w:color w:val="FF0000"/>
        </w:rPr>
        <w:t>, 2017</w:t>
      </w:r>
      <w:r w:rsidRPr="000E73A8">
        <w:t xml:space="preserve">). </w:t>
      </w:r>
      <w:r w:rsidRPr="007627A8">
        <w:t>While flexibility is valuable</w:t>
      </w:r>
      <w:r>
        <w:t xml:space="preserve"> (</w:t>
      </w:r>
      <w:proofErr w:type="spellStart"/>
      <w:r w:rsidRPr="007627A8">
        <w:rPr>
          <w:color w:val="FF0000"/>
        </w:rPr>
        <w:t>Mourshed</w:t>
      </w:r>
      <w:proofErr w:type="spellEnd"/>
      <w:r w:rsidRPr="007627A8">
        <w:rPr>
          <w:color w:val="FF0000"/>
        </w:rPr>
        <w:t xml:space="preserve"> et al., 2011</w:t>
      </w:r>
      <w:r>
        <w:t>) lack of clarity, allowing for varied interpretations</w:t>
      </w:r>
      <w:r w:rsidRPr="00E042E4">
        <w:t xml:space="preserve"> (</w:t>
      </w:r>
      <w:r w:rsidRPr="00E042E4">
        <w:rPr>
          <w:color w:val="FF0000"/>
        </w:rPr>
        <w:t>Darling-Hammond,1997</w:t>
      </w:r>
      <w:r w:rsidRPr="00E042E4">
        <w:t>)</w:t>
      </w:r>
      <w:r>
        <w:t xml:space="preserve">, </w:t>
      </w:r>
      <w:r w:rsidRPr="000E73A8">
        <w:t>could lead to incoherent and inconsistent delivery across Wales</w:t>
      </w:r>
      <w:r>
        <w:t xml:space="preserve">, </w:t>
      </w:r>
      <w:r w:rsidRPr="000E73A8">
        <w:t>undermining the government’s commitment to equity.</w:t>
      </w:r>
    </w:p>
    <w:p w14:paraId="656649BF" w14:textId="77777777" w:rsidR="00DB3B04" w:rsidRDefault="00DB3B04" w:rsidP="00DB3B04">
      <w:pPr>
        <w:jc w:val="both"/>
      </w:pPr>
      <w:r w:rsidRPr="008A06D1">
        <w:t xml:space="preserve">The dual </w:t>
      </w:r>
      <w:r>
        <w:t>priority</w:t>
      </w:r>
      <w:r w:rsidRPr="008A06D1">
        <w:t xml:space="preserve"> o</w:t>
      </w:r>
      <w:r>
        <w:t>f</w:t>
      </w:r>
      <w:r w:rsidRPr="008A06D1">
        <w:t xml:space="preserve"> </w:t>
      </w:r>
      <w:r>
        <w:t>promoting individual and societal growth</w:t>
      </w:r>
      <w:r w:rsidRPr="008A06D1">
        <w:t xml:space="preserve"> presents another challenge. </w:t>
      </w:r>
      <w:r>
        <w:t>I</w:t>
      </w:r>
      <w:r w:rsidRPr="003B0053">
        <w:t>t is warned that a dual policy-focus c</w:t>
      </w:r>
      <w:r>
        <w:t>an</w:t>
      </w:r>
      <w:r w:rsidRPr="003B0053">
        <w:t xml:space="preserve"> create </w:t>
      </w:r>
      <w:r>
        <w:t>policy-</w:t>
      </w:r>
      <w:r w:rsidRPr="003B0053">
        <w:t>tensions (</w:t>
      </w:r>
      <w:r w:rsidRPr="00410C07">
        <w:rPr>
          <w:color w:val="FF0000"/>
        </w:rPr>
        <w:t>Ball, 2021</w:t>
      </w:r>
      <w:r w:rsidRPr="003B0053">
        <w:t xml:space="preserve">). In </w:t>
      </w:r>
      <w:r>
        <w:t>the context of the current discussion</w:t>
      </w:r>
      <w:r w:rsidRPr="003B0053">
        <w:t>, overemphasis on vocational pathways could narrow the curriculum and limit learners’ exploration of diverse career options</w:t>
      </w:r>
      <w:r>
        <w:t xml:space="preserve"> (</w:t>
      </w:r>
      <w:r w:rsidRPr="00410C07">
        <w:rPr>
          <w:color w:val="FF0000"/>
        </w:rPr>
        <w:t>Young, 2011</w:t>
      </w:r>
      <w:r>
        <w:t xml:space="preserve">) </w:t>
      </w:r>
      <w:r w:rsidRPr="003B0053">
        <w:t>while a learner-centric approach might fail to address skills shortages, undermining economic goals. A</w:t>
      </w:r>
      <w:r>
        <w:t>s previously mentioned, achieving</w:t>
      </w:r>
      <w:r w:rsidRPr="003B0053">
        <w:t xml:space="preserve"> a balance between these objectives will require sustained collaboration among policymakers, educators, and employers (</w:t>
      </w:r>
      <w:r w:rsidRPr="00410C07">
        <w:rPr>
          <w:color w:val="FF0000"/>
        </w:rPr>
        <w:t>Al-Thani, 2024</w:t>
      </w:r>
      <w:r w:rsidRPr="003B0053">
        <w:t>).</w:t>
      </w:r>
    </w:p>
    <w:p w14:paraId="20280798" w14:textId="288D5A70" w:rsidR="00DB3B04" w:rsidRPr="008A06D1" w:rsidRDefault="00DB3B04" w:rsidP="00DB3B04">
      <w:pPr>
        <w:jc w:val="both"/>
      </w:pPr>
      <w:r w:rsidRPr="008A06D1">
        <w:t>The quality of vocational qualifications is another issue. Expanding vocational pathways necessitates substantial investment in resources, facilities, and staff training</w:t>
      </w:r>
      <w:r>
        <w:t xml:space="preserve"> </w:t>
      </w:r>
      <w:r w:rsidRPr="00FA1228">
        <w:t>(</w:t>
      </w:r>
      <w:r w:rsidRPr="00FA1228">
        <w:rPr>
          <w:color w:val="FF0000"/>
        </w:rPr>
        <w:t>Young, 2011</w:t>
      </w:r>
      <w:r w:rsidRPr="00FA1228">
        <w:t>).</w:t>
      </w:r>
      <w:r w:rsidRPr="008A06D1">
        <w:t xml:space="preserve"> Schools and colleges, particularly in underfunded areas, may struggle to meet these demands without targeted funding and robust quality assurance processes (</w:t>
      </w:r>
      <w:r>
        <w:rPr>
          <w:color w:val="FF0000"/>
        </w:rPr>
        <w:t>IFS, 2024</w:t>
      </w:r>
      <w:r w:rsidRPr="008A06D1">
        <w:t xml:space="preserve">). Ensuring that vocational qualifications maintain parity with academic pathways is </w:t>
      </w:r>
      <w:r w:rsidR="00FF04D5">
        <w:t xml:space="preserve">also regarded as </w:t>
      </w:r>
      <w:r w:rsidRPr="008A06D1">
        <w:t>essential for preserving the equity and coherence of the system (</w:t>
      </w:r>
      <w:r>
        <w:rPr>
          <w:color w:val="FF0000"/>
        </w:rPr>
        <w:t>Young, 2011</w:t>
      </w:r>
      <w:r w:rsidRPr="008A06D1">
        <w:t>).</w:t>
      </w:r>
    </w:p>
    <w:p w14:paraId="3AB81894" w14:textId="77777777" w:rsidR="00DB3B04" w:rsidRDefault="00DB3B04" w:rsidP="00DB3B04">
      <w:pPr>
        <w:jc w:val="both"/>
      </w:pPr>
      <w:r w:rsidRPr="008A06D1">
        <w:t xml:space="preserve">Additionally, the reliance on mentoring and bespoke support within schools raises questions about the skills and training of those delivering </w:t>
      </w:r>
      <w:r>
        <w:t>this provision.</w:t>
      </w:r>
      <w:r w:rsidRPr="008A06D1">
        <w:t xml:space="preserve"> Effective mentoring requires speciali</w:t>
      </w:r>
      <w:r>
        <w:t>s</w:t>
      </w:r>
      <w:r w:rsidRPr="008A06D1">
        <w:t>ed knowledge, interpersonal skills, and the ability to inspire and guide young people (</w:t>
      </w:r>
      <w:r w:rsidRPr="00B91BB3">
        <w:rPr>
          <w:color w:val="FF0000"/>
        </w:rPr>
        <w:t>Maloney et al., 2023</w:t>
      </w:r>
      <w:r w:rsidRPr="008A06D1">
        <w:t xml:space="preserve">). </w:t>
      </w:r>
      <w:r w:rsidRPr="00ED6E86">
        <w:t>Without adequate training and support, mentors may fail to deliver high-quality guidance, especially in delivery of the CWRE curriculum, potentially undermining the aspirations and outcomes of learners.</w:t>
      </w:r>
    </w:p>
    <w:p w14:paraId="4393AEBF" w14:textId="517B787A" w:rsidR="00DB3B04" w:rsidRDefault="00DB3B04" w:rsidP="00DB3B04">
      <w:pPr>
        <w:jc w:val="both"/>
      </w:pPr>
      <w:r>
        <w:t>Therefore, to ensure</w:t>
      </w:r>
      <w:r w:rsidRPr="004A1DC1">
        <w:t xml:space="preserve"> that the vision of a “truly excellent and equitable system”</w:t>
      </w:r>
      <w:r>
        <w:t xml:space="preserve"> </w:t>
      </w:r>
      <w:r w:rsidRPr="004A1DC1">
        <w:t>becomes a reality for all learners</w:t>
      </w:r>
      <w:r w:rsidR="00FF04D5">
        <w:t xml:space="preserve"> </w:t>
      </w:r>
      <w:r w:rsidR="00FF04D5" w:rsidRPr="00FF04D5">
        <w:t>(Welsh Government, 2023a)</w:t>
      </w:r>
      <w:r>
        <w:t>, Welsh</w:t>
      </w:r>
      <w:r w:rsidRPr="004A1DC1">
        <w:t xml:space="preserve"> government </w:t>
      </w:r>
      <w:r>
        <w:t>will need to</w:t>
      </w:r>
      <w:r w:rsidRPr="004A1DC1">
        <w:t xml:space="preserve"> address gaps in infrastructure, training, and monitoring, ensuring that every young person </w:t>
      </w:r>
      <w:r>
        <w:t xml:space="preserve">in Wales </w:t>
      </w:r>
      <w:r w:rsidRPr="004A1DC1">
        <w:t>has the support and opportunities they need to reali</w:t>
      </w:r>
      <w:r>
        <w:t>s</w:t>
      </w:r>
      <w:r w:rsidRPr="004A1DC1">
        <w:t>e their aspirations</w:t>
      </w:r>
      <w:r>
        <w:t>.</w:t>
      </w:r>
    </w:p>
    <w:p w14:paraId="41D87015" w14:textId="77777777" w:rsidR="00D02DC2" w:rsidRPr="004A1DC1" w:rsidRDefault="00D02DC2" w:rsidP="00DB3B04">
      <w:pPr>
        <w:jc w:val="both"/>
      </w:pPr>
    </w:p>
    <w:p w14:paraId="77AEC62F" w14:textId="77777777" w:rsidR="00AA5F2C" w:rsidRPr="00A8693E" w:rsidRDefault="00AA5F2C" w:rsidP="00AA5F2C">
      <w:r w:rsidRPr="00A8693E">
        <w:rPr>
          <w:b/>
          <w:bCs/>
        </w:rPr>
        <w:t>International Comparison: Lessons from Finland, Canada, and Germany</w:t>
      </w:r>
    </w:p>
    <w:p w14:paraId="06F5EB92" w14:textId="77777777" w:rsidR="00AA5F2C" w:rsidRDefault="00AA5F2C" w:rsidP="00AA5F2C">
      <w:pPr>
        <w:jc w:val="both"/>
      </w:pPr>
      <w:r w:rsidRPr="00161A15">
        <w:t xml:space="preserve">The increasing international interest in career education systems is attributed to governments' recognition of their benefits for individuals, society, and the economy (Kettunen, 2024). </w:t>
      </w:r>
      <w:r>
        <w:t>However</w:t>
      </w:r>
      <w:r w:rsidRPr="00557C31">
        <w:t xml:space="preserve">, </w:t>
      </w:r>
      <w:r w:rsidRPr="00557C31">
        <w:lastRenderedPageBreak/>
        <w:t xml:space="preserve">it is </w:t>
      </w:r>
      <w:r>
        <w:t>proposed</w:t>
      </w:r>
      <w:r w:rsidRPr="00557C31">
        <w:t xml:space="preserve"> that when taking inspiration from international models, it is </w:t>
      </w:r>
      <w:r>
        <w:t>important</w:t>
      </w:r>
      <w:r w:rsidRPr="00557C31">
        <w:t xml:space="preserve"> to </w:t>
      </w:r>
      <w:r>
        <w:t>acknowledge</w:t>
      </w:r>
      <w:r w:rsidRPr="005C4DDC">
        <w:t xml:space="preserve"> complex interplay of cultural expectations, economic realities, and educational frameworks that vary globally (</w:t>
      </w:r>
      <w:r>
        <w:t>Lewis, 2007</w:t>
      </w:r>
      <w:r w:rsidRPr="005C4DDC">
        <w:t>). These factors not only shape teenage aspirations but also affect the likelihood of achieving them.</w:t>
      </w:r>
    </w:p>
    <w:p w14:paraId="235AE222" w14:textId="77777777" w:rsidR="00AA5F2C" w:rsidRDefault="00AA5F2C" w:rsidP="00AA5F2C">
      <w:pPr>
        <w:jc w:val="both"/>
      </w:pPr>
      <w:r w:rsidRPr="00A8693E">
        <w:t xml:space="preserve">Wales’s educational reforms </w:t>
      </w:r>
      <w:r>
        <w:t>reflect</w:t>
      </w:r>
      <w:r w:rsidRPr="00A8693E">
        <w:t xml:space="preserve"> global trends in countries like Finland, Canada, and Germany which have gained recognition for their progressive approaches to</w:t>
      </w:r>
      <w:r>
        <w:t xml:space="preserve"> </w:t>
      </w:r>
      <w:r w:rsidRPr="00A8693E">
        <w:t>aligning education</w:t>
      </w:r>
      <w:r>
        <w:t>al structures</w:t>
      </w:r>
      <w:r w:rsidRPr="00A8693E">
        <w:t xml:space="preserve"> with future societal needs</w:t>
      </w:r>
      <w:r>
        <w:t xml:space="preserve"> (</w:t>
      </w:r>
      <w:r w:rsidRPr="004C0C84">
        <w:t>Stewart, 2012</w:t>
      </w:r>
      <w:r>
        <w:t>)</w:t>
      </w:r>
      <w:r w:rsidRPr="00A8693E">
        <w:t xml:space="preserve">. </w:t>
      </w:r>
      <w:r>
        <w:t xml:space="preserve">A closer examination of these examples, therefore, will provide an insight into the Welsh context, particularly in shaping </w:t>
      </w:r>
      <w:r w:rsidRPr="00A8693E">
        <w:t xml:space="preserve">policies that </w:t>
      </w:r>
      <w:r>
        <w:t xml:space="preserve">seek to </w:t>
      </w:r>
      <w:r w:rsidRPr="00A8693E">
        <w:t>balance equity, skills development, and career exploration.</w:t>
      </w:r>
    </w:p>
    <w:p w14:paraId="25757C2A" w14:textId="77777777" w:rsidR="00D9225C" w:rsidRDefault="00D9225C" w:rsidP="00AA5F2C">
      <w:pPr>
        <w:rPr>
          <w:b/>
          <w:bCs/>
        </w:rPr>
      </w:pPr>
    </w:p>
    <w:p w14:paraId="70A1FEA0" w14:textId="51D64DDA" w:rsidR="00AA5F2C" w:rsidRPr="0073553F" w:rsidRDefault="00AA5F2C" w:rsidP="00AA5F2C">
      <w:pPr>
        <w:rPr>
          <w:b/>
          <w:bCs/>
        </w:rPr>
      </w:pPr>
      <w:r w:rsidRPr="0073553F">
        <w:rPr>
          <w:b/>
          <w:bCs/>
        </w:rPr>
        <w:t>Finland’s focus on equity and career guidance.</w:t>
      </w:r>
    </w:p>
    <w:p w14:paraId="11B23CE2" w14:textId="77777777" w:rsidR="00AA5F2C" w:rsidRDefault="00AA5F2C" w:rsidP="00AA5F2C">
      <w:pPr>
        <w:jc w:val="both"/>
      </w:pPr>
      <w:r w:rsidRPr="0073553F">
        <w:t xml:space="preserve">Finland is </w:t>
      </w:r>
      <w:r>
        <w:t xml:space="preserve">recognised internationally </w:t>
      </w:r>
      <w:r w:rsidRPr="0073553F">
        <w:t>for its holistic approach to education, characteri</w:t>
      </w:r>
      <w:r>
        <w:t>s</w:t>
      </w:r>
      <w:r w:rsidRPr="0073553F">
        <w:t>ed by minimal standardi</w:t>
      </w:r>
      <w:r>
        <w:t>s</w:t>
      </w:r>
      <w:r w:rsidRPr="0073553F">
        <w:t xml:space="preserve">ed testing, </w:t>
      </w:r>
      <w:r>
        <w:t xml:space="preserve">a </w:t>
      </w:r>
      <w:r w:rsidRPr="0073553F">
        <w:t>flexible curricul</w:t>
      </w:r>
      <w:r>
        <w:t>um</w:t>
      </w:r>
      <w:r w:rsidRPr="0073553F">
        <w:t>, and emphasis on student well-being</w:t>
      </w:r>
      <w:r>
        <w:t xml:space="preserve"> </w:t>
      </w:r>
      <w:r w:rsidRPr="00FA4F00">
        <w:t>(Kettunen, 2024)</w:t>
      </w:r>
      <w:r w:rsidRPr="0073553F">
        <w:t xml:space="preserve">. </w:t>
      </w:r>
      <w:r>
        <w:t xml:space="preserve">The educational ideology of equality is rooted in the profound philosophy of Finnish society that all people must have equality of opportunity.  This includes access to high-quality education, guidance, counselling and </w:t>
      </w:r>
      <w:r w:rsidRPr="00B732F7">
        <w:t>educational support according to their personal capacity along the study path</w:t>
      </w:r>
      <w:r>
        <w:t xml:space="preserve"> (</w:t>
      </w:r>
      <w:r w:rsidRPr="0073553F">
        <w:t>Juutilainen, 2017</w:t>
      </w:r>
      <w:r>
        <w:t>)</w:t>
      </w:r>
      <w:r w:rsidRPr="00B732F7">
        <w:t>.</w:t>
      </w:r>
    </w:p>
    <w:p w14:paraId="7DD66E35" w14:textId="77777777" w:rsidR="00AA5F2C" w:rsidRDefault="00AA5F2C" w:rsidP="00AA5F2C">
      <w:pPr>
        <w:jc w:val="both"/>
      </w:pPr>
      <w:r>
        <w:t>Teenage c</w:t>
      </w:r>
      <w:r w:rsidRPr="00FA4F00">
        <w:t xml:space="preserve">areer aspirations are promoted through a </w:t>
      </w:r>
      <w:r>
        <w:t>comprehensive</w:t>
      </w:r>
      <w:r w:rsidRPr="00FA4F00">
        <w:t xml:space="preserve"> guidance framework, providing e</w:t>
      </w:r>
      <w:r>
        <w:t>ach</w:t>
      </w:r>
      <w:r w:rsidRPr="00FA4F00">
        <w:t xml:space="preserve"> student with access to early and ongoing career counselling throughout their education</w:t>
      </w:r>
      <w:r w:rsidRPr="005C4DDC">
        <w:t xml:space="preserve"> (Kettunen, 2024)</w:t>
      </w:r>
      <w:r w:rsidRPr="00FA4F00">
        <w:t xml:space="preserve">. Vocational pathways are integrated </w:t>
      </w:r>
      <w:r>
        <w:t xml:space="preserve">into the curriculum </w:t>
      </w:r>
      <w:r w:rsidRPr="00FA4F00">
        <w:t xml:space="preserve">and hold equal importance to academic routes, </w:t>
      </w:r>
      <w:r>
        <w:t>broadening exposure</w:t>
      </w:r>
      <w:r w:rsidRPr="00FA4F00">
        <w:t xml:space="preserve"> career options</w:t>
      </w:r>
      <w:r>
        <w:t xml:space="preserve">. </w:t>
      </w:r>
      <w:r w:rsidRPr="00FA4F00">
        <w:t>T</w:t>
      </w:r>
      <w:r>
        <w:t xml:space="preserve">o address concerns relating to policy consistency, </w:t>
      </w:r>
      <w:r w:rsidRPr="00461CED">
        <w:t>the Youth Guarantee Act of 2013 mandates that vocational institutions develop guidance counselling plans to align with this vision (Juutilainen, 2017).</w:t>
      </w:r>
    </w:p>
    <w:p w14:paraId="264EEBBB" w14:textId="77777777" w:rsidR="00AA5F2C" w:rsidRPr="00461CED" w:rsidRDefault="00AA5F2C" w:rsidP="00AA5F2C">
      <w:pPr>
        <w:jc w:val="both"/>
      </w:pPr>
      <w:r w:rsidRPr="0073553F">
        <w:t>This approach mirrors the ambitions of the Curriculum for Wales (2022), which prioriti</w:t>
      </w:r>
      <w:r>
        <w:t>s</w:t>
      </w:r>
      <w:r w:rsidRPr="0073553F">
        <w:t xml:space="preserve">es transferable skills, informed citizenship, and practical preparation for future careers. </w:t>
      </w:r>
      <w:r w:rsidRPr="00461CED">
        <w:t>Reflecting Finland's focus on equity and well-being, the Welsh curriculum seeks to narrow the attainment gap through policies that promote equality of opportunity</w:t>
      </w:r>
      <w:r>
        <w:t xml:space="preserve"> (Welsh Government, 2017)</w:t>
      </w:r>
      <w:r w:rsidRPr="00461CED">
        <w:t>.</w:t>
      </w:r>
      <w:r>
        <w:t xml:space="preserve"> Furthermore, </w:t>
      </w:r>
      <w:r w:rsidRPr="00461CED">
        <w:t>the alignment of the CWRE framework</w:t>
      </w:r>
      <w:r>
        <w:t xml:space="preserve"> (Welsh Government, 2020)</w:t>
      </w:r>
      <w:r w:rsidRPr="00461CED">
        <w:t xml:space="preserve"> with the Careers Wales Strategic Plan 2016-2022 places significant emphasis on personalised guidance and mentorship, aiming to support teenagers in their transition to employment, training, or further education.</w:t>
      </w:r>
    </w:p>
    <w:p w14:paraId="3CB61DCE" w14:textId="77777777" w:rsidR="00AA5F2C" w:rsidRPr="00461CED" w:rsidRDefault="00AA5F2C" w:rsidP="00AA5F2C">
      <w:pPr>
        <w:rPr>
          <w:b/>
          <w:bCs/>
        </w:rPr>
      </w:pPr>
      <w:r w:rsidRPr="00461CED">
        <w:rPr>
          <w:b/>
          <w:bCs/>
        </w:rPr>
        <w:t>Experiential learning in Canada.</w:t>
      </w:r>
    </w:p>
    <w:p w14:paraId="31A23C82" w14:textId="77777777" w:rsidR="00AA5F2C" w:rsidRDefault="00AA5F2C" w:rsidP="00AA5F2C">
      <w:pPr>
        <w:jc w:val="both"/>
      </w:pPr>
      <w:r w:rsidRPr="00461CED">
        <w:t xml:space="preserve">Canada’s emphasis on equity and community-focused education </w:t>
      </w:r>
      <w:r>
        <w:t xml:space="preserve">also </w:t>
      </w:r>
      <w:r w:rsidRPr="00461CED">
        <w:t xml:space="preserve">aligns with Wales’s goals. </w:t>
      </w:r>
      <w:r w:rsidRPr="00625901">
        <w:t xml:space="preserve">Throughout </w:t>
      </w:r>
      <w:r>
        <w:t>secondary</w:t>
      </w:r>
      <w:r w:rsidRPr="00625901">
        <w:t xml:space="preserve"> education, </w:t>
      </w:r>
      <w:r>
        <w:t xml:space="preserve">Canadian </w:t>
      </w:r>
      <w:r w:rsidRPr="00461CED">
        <w:t xml:space="preserve">students </w:t>
      </w:r>
      <w:r w:rsidRPr="00625901">
        <w:t xml:space="preserve">are encouraged </w:t>
      </w:r>
      <w:r w:rsidRPr="00461CED">
        <w:t xml:space="preserve">to explore specific career sectors while developing the transferable skills needed to navigate the </w:t>
      </w:r>
      <w:r w:rsidRPr="00625901">
        <w:t>rapidly changing labour market</w:t>
      </w:r>
      <w:r>
        <w:t xml:space="preserve"> </w:t>
      </w:r>
      <w:r w:rsidRPr="00625901">
        <w:rPr>
          <w:color w:val="FF0000"/>
        </w:rPr>
        <w:t xml:space="preserve">(ref). </w:t>
      </w:r>
      <w:r w:rsidRPr="00461CED">
        <w:t xml:space="preserve">In provinces </w:t>
      </w:r>
      <w:r>
        <w:t>such as</w:t>
      </w:r>
      <w:r w:rsidRPr="00461CED">
        <w:t xml:space="preserve"> Ontario, educational policies </w:t>
      </w:r>
      <w:r>
        <w:t>prioritise</w:t>
      </w:r>
      <w:r w:rsidRPr="00461CED">
        <w:t xml:space="preserve"> inclusivity and preparing students for </w:t>
      </w:r>
      <w:r>
        <w:t>life beyond school by emphasising on experiential learning</w:t>
      </w:r>
      <w:r w:rsidRPr="00461CED">
        <w:t xml:space="preserve">. </w:t>
      </w:r>
      <w:r w:rsidRPr="00625901">
        <w:t>It is maintained that this approach, which involves learning through active engagement in real-world environments, positively influences career success in specific fields (Tiessen et al., 2018).</w:t>
      </w:r>
      <w:r>
        <w:t xml:space="preserve"> </w:t>
      </w:r>
    </w:p>
    <w:p w14:paraId="37F80472" w14:textId="77777777" w:rsidR="00AA5F2C" w:rsidRPr="00461CED" w:rsidRDefault="00AA5F2C" w:rsidP="00AA5F2C">
      <w:pPr>
        <w:jc w:val="both"/>
      </w:pPr>
      <w:r w:rsidRPr="00461CED">
        <w:t>The Welsh Government’s commitment to expanding vocational pathways and encouraging career exploration echoes these initiatives. For instance, partnerships between schools and local industries in Wales are designed to provide students with practical insights into career opportunities</w:t>
      </w:r>
      <w:r>
        <w:t xml:space="preserve"> (Careers Wales, 2021)</w:t>
      </w:r>
      <w:r w:rsidRPr="00461CED">
        <w:t xml:space="preserve">, much like Canada’s efforts to integrate work-based learning </w:t>
      </w:r>
      <w:r w:rsidRPr="00461CED">
        <w:lastRenderedPageBreak/>
        <w:t>into secondary education.</w:t>
      </w:r>
      <w:r w:rsidRPr="00625901">
        <w:t xml:space="preserve"> </w:t>
      </w:r>
      <w:r w:rsidRPr="00461CED">
        <w:t>For example, the National Mission (</w:t>
      </w:r>
      <w:r>
        <w:t xml:space="preserve">Welsh Government, </w:t>
      </w:r>
      <w:r w:rsidRPr="00461CED">
        <w:t>2017) highlights the need for collaboration between schools, communities, and employers to ensure students are well-prepared for life beyond school. Similarly, the Curriculum for Wales encourages schools to engage with local businesses to provide real-world learning opportunities, reflecting international best practices in connecting education to economic and societal needs</w:t>
      </w:r>
      <w:r>
        <w:t xml:space="preserve"> (Welsh Government, 2020)</w:t>
      </w:r>
      <w:r w:rsidRPr="00461CED">
        <w:t>.</w:t>
      </w:r>
    </w:p>
    <w:p w14:paraId="6BAD0DFC" w14:textId="77777777" w:rsidR="00AA5F2C" w:rsidRPr="003452FF" w:rsidRDefault="00AA5F2C" w:rsidP="00AA5F2C">
      <w:pPr>
        <w:rPr>
          <w:b/>
          <w:bCs/>
        </w:rPr>
      </w:pPr>
      <w:r w:rsidRPr="003452FF">
        <w:rPr>
          <w:b/>
          <w:bCs/>
        </w:rPr>
        <w:t>Germany’s dual education system.</w:t>
      </w:r>
    </w:p>
    <w:p w14:paraId="68FE7B79" w14:textId="77777777" w:rsidR="00AA5F2C" w:rsidRPr="00094897" w:rsidRDefault="00AA5F2C" w:rsidP="00AA5F2C">
      <w:pPr>
        <w:jc w:val="both"/>
      </w:pPr>
      <w:r w:rsidRPr="00094897">
        <w:t>Germany’s dual education system combines classroom learning with practical work experience, blending public vocational schooling with training at private companies. Programs, lasting two to three and a half years, provide technical knowledge and hands-on experience in fields like crafts, industry, retail, and public services. This model, deeply rooted in German history and society, is supported by the state, industries, and social partners. It contributes to Germany’s low youth unemployment and equips students with high-level skills for their careers.</w:t>
      </w:r>
    </w:p>
    <w:p w14:paraId="05D3C5C6" w14:textId="77777777" w:rsidR="00AA5F2C" w:rsidRPr="00094897" w:rsidRDefault="00AA5F2C" w:rsidP="00AA5F2C">
      <w:pPr>
        <w:jc w:val="both"/>
      </w:pPr>
      <w:r w:rsidRPr="00094897">
        <w:t>Germany’s broader education system progresses through primary, secondary, and tertiary levels, emphasising foundational knowledge, career preparation, and lifelong learning. After primary education, typically ending in fourth or sixth grade, students are placed into different secondary school types based on academic performance and goals. Secondary education is split into lower (general) and upper levels, aimed at preparing students for vocational qualifications or higher education.</w:t>
      </w:r>
    </w:p>
    <w:p w14:paraId="2856F73A" w14:textId="77777777" w:rsidR="00AA5F2C" w:rsidRPr="00094897" w:rsidRDefault="00AA5F2C" w:rsidP="00AA5F2C">
      <w:pPr>
        <w:jc w:val="both"/>
      </w:pPr>
      <w:r w:rsidRPr="00094897">
        <w:t>While some critique this segregated system for potentially limiting social justice (</w:t>
      </w:r>
      <w:proofErr w:type="spellStart"/>
      <w:r w:rsidRPr="00094897">
        <w:t>Reupold</w:t>
      </w:r>
      <w:proofErr w:type="spellEnd"/>
      <w:r w:rsidRPr="00094897">
        <w:t xml:space="preserve"> et al., 2010), others argue it offers tailored learning environments that meet individual developmental needs (</w:t>
      </w:r>
      <w:proofErr w:type="spellStart"/>
      <w:r w:rsidRPr="00094897">
        <w:t>Ahrbeck</w:t>
      </w:r>
      <w:proofErr w:type="spellEnd"/>
      <w:r w:rsidRPr="00094897">
        <w:t xml:space="preserve"> et al., 2018). Together, these systems ensure Germany’s educational approach remains both career-focused and adaptable to students’ diverse needs and aspirations.</w:t>
      </w:r>
    </w:p>
    <w:p w14:paraId="2B572BB0" w14:textId="77777777" w:rsidR="00AA5F2C" w:rsidRPr="003452FF" w:rsidRDefault="00AA5F2C" w:rsidP="00AA5F2C">
      <w:pPr>
        <w:jc w:val="both"/>
      </w:pPr>
      <w:r w:rsidRPr="003452FF">
        <w:t xml:space="preserve">Wales’s education reform mirrors Germany’s emphasis on vocational pathways through initiatives like “Made for Wales” qualifications and the Credit and Qualifications Framework for Wales (CQFW). The CQFW promotes flexibility, enabling schools to design locally relevant curricula while bridging skills gaps. Complementary programs, such as the Seren Network and the Youth Guarantee scheme, ensure equitable access to opportunities for academically ambitious and vulnerable learners. Post-16 apprenticeship programs in Wales also integrate work experience with formal education, </w:t>
      </w:r>
      <w:r>
        <w:t>like</w:t>
      </w:r>
      <w:r w:rsidRPr="003452FF">
        <w:t xml:space="preserve"> Germany’s approach. Both systems highlight the importance of combining practical skills with foundational knowledge, fostering lifelong learning and workforce adaptability.</w:t>
      </w:r>
    </w:p>
    <w:p w14:paraId="4A33BA95" w14:textId="77777777" w:rsidR="00AA5F2C" w:rsidRPr="00094897" w:rsidRDefault="00AA5F2C" w:rsidP="00AA5F2C">
      <w:pPr>
        <w:jc w:val="both"/>
        <w:rPr>
          <w:b/>
          <w:bCs/>
        </w:rPr>
      </w:pPr>
      <w:r w:rsidRPr="00204C6A">
        <w:rPr>
          <w:b/>
          <w:bCs/>
          <w:highlight w:val="yellow"/>
        </w:rPr>
        <w:t>Conclusion:</w:t>
      </w:r>
    </w:p>
    <w:p w14:paraId="3D89B015" w14:textId="77777777" w:rsidR="00AA5F2C" w:rsidRPr="003452FF" w:rsidRDefault="00AA5F2C" w:rsidP="00AA5F2C">
      <w:pPr>
        <w:jc w:val="both"/>
      </w:pPr>
      <w:r w:rsidRPr="003452FF">
        <w:t>These international examples not only validate the direction of Welsh reforms but also highlight areas for continued development, such as scaling mentorship programs and further embedding work-based learning opportunities. By learning from these models, Wales can refine its approach to fostering teenage aspirations, ensuring that its policies are both globally informed and uniquely tailored to the Welsh context.</w:t>
      </w:r>
    </w:p>
    <w:p w14:paraId="4319487B" w14:textId="3D32CEE0" w:rsidR="00025701" w:rsidRDefault="00025701" w:rsidP="00A638ED">
      <w:pPr>
        <w:rPr>
          <w:color w:val="FF0000"/>
        </w:rPr>
      </w:pPr>
    </w:p>
    <w:p w14:paraId="55953E3B" w14:textId="77777777" w:rsidR="00326BC7" w:rsidRDefault="00326BC7">
      <w:pPr>
        <w:rPr>
          <w:b/>
          <w:bCs/>
        </w:rPr>
      </w:pPr>
      <w:r>
        <w:rPr>
          <w:b/>
          <w:bCs/>
        </w:rPr>
        <w:br w:type="page"/>
      </w:r>
    </w:p>
    <w:p w14:paraId="23A5A6F2" w14:textId="1EF91B33" w:rsidR="00326BC7" w:rsidRPr="00326BC7" w:rsidRDefault="00326BC7" w:rsidP="00326BC7">
      <w:pPr>
        <w:rPr>
          <w:b/>
          <w:bCs/>
        </w:rPr>
      </w:pPr>
      <w:r w:rsidRPr="00326BC7">
        <w:rPr>
          <w:b/>
          <w:bCs/>
        </w:rPr>
        <w:lastRenderedPageBreak/>
        <w:t>Key Themes in Teenage Career Aspirations: Discussion</w:t>
      </w:r>
    </w:p>
    <w:p w14:paraId="2502629D" w14:textId="77777777" w:rsidR="00326BC7" w:rsidRPr="00326BC7" w:rsidRDefault="00326BC7" w:rsidP="00326BC7">
      <w:r w:rsidRPr="00326BC7">
        <w:t>Throughout this review, several key themes have emerged. This section will draw together insights from the preceding sections and discuss implications for policymakers in Wales.</w:t>
      </w:r>
    </w:p>
    <w:p w14:paraId="678DEC90" w14:textId="77777777" w:rsidR="00326BC7" w:rsidRPr="00326BC7" w:rsidRDefault="00326BC7" w:rsidP="00326BC7">
      <w:pPr>
        <w:rPr>
          <w:b/>
          <w:bCs/>
        </w:rPr>
      </w:pPr>
      <w:r w:rsidRPr="00326BC7">
        <w:rPr>
          <w:b/>
          <w:bCs/>
        </w:rPr>
        <w:t>Influence of Socio-Economic and Educational Contexts on Teenage Aspirations</w:t>
      </w:r>
    </w:p>
    <w:p w14:paraId="4AB92DBF" w14:textId="77777777" w:rsidR="00326BC7" w:rsidRPr="00326BC7" w:rsidRDefault="00326BC7" w:rsidP="00326BC7">
      <w:r w:rsidRPr="00326BC7">
        <w:t>Research indicates that teenage career aspirations are shaped by personal, educational, and societal factors, with significant influences from socio-economic background and educational experiences (St Clair, et al., 2011). Limited access to resources, career role models, and information creates disparities, particularly among disadvantaged youth (Hughes et al., 2016). Such inequalities erode aspirations and hinder alignment with realistic career opportunities (St Clair et al., 2011). Addressing inequality, ensuring equitable access to career guidance, and challenging stereotypes—key strategies emphasised in the National Mission (2017) in Wales—are crucial for aligning aspirations with the realities of the labour market (Burgess, 2019).</w:t>
      </w:r>
    </w:p>
    <w:p w14:paraId="3D1CE5A2" w14:textId="77777777" w:rsidR="00326BC7" w:rsidRPr="00326BC7" w:rsidRDefault="00326BC7" w:rsidP="00326BC7">
      <w:pPr>
        <w:rPr>
          <w:b/>
          <w:bCs/>
        </w:rPr>
      </w:pPr>
      <w:r w:rsidRPr="00326BC7">
        <w:rPr>
          <w:b/>
          <w:bCs/>
        </w:rPr>
        <w:t>The Role of Education in Bridging the Aspiration-Attainment Gap</w:t>
      </w:r>
    </w:p>
    <w:p w14:paraId="18A24B40" w14:textId="77777777" w:rsidR="00326BC7" w:rsidRPr="00326BC7" w:rsidRDefault="00326BC7" w:rsidP="00326BC7">
      <w:r w:rsidRPr="00326BC7">
        <w:t>Education can act as both a barrier and a catalyst for career aspirations. Schools influence aspirations through curriculum design, role model exposure, and career guidance. However, there are concerns that education systems often fail to equip students with the necessary skills to pursue meaningful careers (Hughes et al., 2016). Psychological barriers, such as low self-esteem, also hinder progress (</w:t>
      </w:r>
      <w:proofErr w:type="spellStart"/>
      <w:r w:rsidRPr="00326BC7">
        <w:t>Chlosta</w:t>
      </w:r>
      <w:proofErr w:type="spellEnd"/>
      <w:r w:rsidRPr="00326BC7">
        <w:t xml:space="preserve"> et al., 2012). Expanding early career education, as demonstrated in the CWRE framework, and integrating vocational pathways, as outlined in Wales’s New Qualifications Framework, are regarded as essential. Providing accessible information and role models across academic and vocational routes are crucial to bridging the gap between aspirations and achievement (Guyon et al., 2021).</w:t>
      </w:r>
    </w:p>
    <w:p w14:paraId="252D9019" w14:textId="77777777" w:rsidR="00326BC7" w:rsidRPr="00326BC7" w:rsidRDefault="00326BC7" w:rsidP="00326BC7">
      <w:pPr>
        <w:rPr>
          <w:b/>
          <w:bCs/>
        </w:rPr>
      </w:pPr>
      <w:r w:rsidRPr="00326BC7">
        <w:rPr>
          <w:b/>
          <w:bCs/>
        </w:rPr>
        <w:t>Career Education, Mentorship, and Stakeholder Engagement</w:t>
      </w:r>
    </w:p>
    <w:p w14:paraId="5FFDCB3F" w14:textId="77777777" w:rsidR="00326BC7" w:rsidRPr="00326BC7" w:rsidRDefault="00326BC7" w:rsidP="00326BC7">
      <w:r w:rsidRPr="00326BC7">
        <w:t xml:space="preserve">It is evident that systematic career education and mentorship can broaden students' career expectations (Kettunen, 2024). Early exposure to career education, including the involvement of employers and mentors in the curriculum is beneficial to aligning aspirations with employer needs (Guyon et al., 2021), but resource disparities may limit equitable access to these opportunities (Moore, 2020). Policies targeting development of partnerships between schools, employers, and career mentors can promote diverse pathways, particularly vocational options. Strengthening mentorship programs and ensuring consistent quality across educational institutions are vital for providing students with practical insights and guidance (Morris, 2021). </w:t>
      </w:r>
    </w:p>
    <w:p w14:paraId="266B2A9F" w14:textId="77777777" w:rsidR="00326BC7" w:rsidRPr="00326BC7" w:rsidRDefault="00326BC7" w:rsidP="00326BC7">
      <w:pPr>
        <w:rPr>
          <w:b/>
          <w:bCs/>
        </w:rPr>
      </w:pPr>
      <w:r w:rsidRPr="00326BC7">
        <w:rPr>
          <w:b/>
          <w:bCs/>
        </w:rPr>
        <w:t>Challenges in Policy Implementation</w:t>
      </w:r>
    </w:p>
    <w:p w14:paraId="784EDD77" w14:textId="77777777" w:rsidR="00326BC7" w:rsidRPr="00326BC7" w:rsidRDefault="00326BC7" w:rsidP="00326BC7">
      <w:pPr>
        <w:rPr>
          <w:b/>
          <w:bCs/>
        </w:rPr>
      </w:pPr>
      <w:r w:rsidRPr="00326BC7">
        <w:t>Despite the ambition of educational reforms in Wales, challenges in policy implementation, such as inconsistencies across schools and unclear policy language, may hinder progress. Tensions between individual aspirations and broader societal goals may also increase policy tensions (Ball, 2021). Although a flexible approach is desirable (</w:t>
      </w:r>
      <w:proofErr w:type="spellStart"/>
      <w:r w:rsidRPr="00326BC7">
        <w:t>Mourshed</w:t>
      </w:r>
      <w:proofErr w:type="spellEnd"/>
      <w:r w:rsidRPr="00326BC7">
        <w:t xml:space="preserve"> et al., 2011), it is suggested that this should be supported by clear guidelines and robust monitoring systems (IFS, 2024) to strike a balance between national consistency and localized delivery. This is essential for providing equitable career support.</w:t>
      </w:r>
    </w:p>
    <w:p w14:paraId="049317EB" w14:textId="77777777" w:rsidR="00326BC7" w:rsidRPr="00326BC7" w:rsidRDefault="00326BC7" w:rsidP="00326BC7">
      <w:pPr>
        <w:rPr>
          <w:b/>
          <w:bCs/>
        </w:rPr>
      </w:pPr>
    </w:p>
    <w:p w14:paraId="1A094540" w14:textId="77777777" w:rsidR="00326BC7" w:rsidRPr="00326BC7" w:rsidRDefault="00326BC7" w:rsidP="00326BC7">
      <w:pPr>
        <w:rPr>
          <w:b/>
          <w:bCs/>
        </w:rPr>
      </w:pPr>
    </w:p>
    <w:p w14:paraId="70B26889" w14:textId="77777777" w:rsidR="00326BC7" w:rsidRPr="00326BC7" w:rsidRDefault="00326BC7" w:rsidP="00326BC7">
      <w:pPr>
        <w:rPr>
          <w:b/>
          <w:bCs/>
        </w:rPr>
      </w:pPr>
      <w:r w:rsidRPr="00326BC7">
        <w:rPr>
          <w:b/>
          <w:bCs/>
        </w:rPr>
        <w:lastRenderedPageBreak/>
        <w:t>International Lessons and Adaptations</w:t>
      </w:r>
    </w:p>
    <w:p w14:paraId="07614A22" w14:textId="77777777" w:rsidR="00326BC7" w:rsidRPr="00326BC7" w:rsidRDefault="00326BC7" w:rsidP="00326BC7">
      <w:r w:rsidRPr="00326BC7">
        <w:t>International models from Finland, Canada, and Germany offer valuable insights into career education. Finland’s focus on equity, Canada’s experiential learning strategies, and Germany’s dual education system can provide lessons for Wales in developing more inclusive and effective career education (Stewart, 2012). Wales can learn from these international systems by integrating elements such as strong mentorship programs, strengthening employer partnerships, and ensuring there is a robust framework to enhance vocational education. However, policies must be tailored to Wales’s unique socio-economic and cultural context to achieve meaningful impact (Lewis, 2007).</w:t>
      </w:r>
    </w:p>
    <w:p w14:paraId="3A659F4B" w14:textId="77777777" w:rsidR="00326BC7" w:rsidRPr="00326BC7" w:rsidRDefault="00326BC7" w:rsidP="00326BC7">
      <w:pPr>
        <w:rPr>
          <w:b/>
          <w:bCs/>
        </w:rPr>
      </w:pPr>
      <w:r w:rsidRPr="00326BC7">
        <w:rPr>
          <w:b/>
          <w:bCs/>
        </w:rPr>
        <w:t>Conclusion</w:t>
      </w:r>
    </w:p>
    <w:p w14:paraId="679CC8C6" w14:textId="77777777" w:rsidR="00326BC7" w:rsidRPr="00326BC7" w:rsidRDefault="00326BC7" w:rsidP="00326BC7">
      <w:r w:rsidRPr="00326BC7">
        <w:t>These themes highlight the need for a comprehensive and inclusive approach to policy implementation in Wales. Enhancing career-education, and strengthening collaboration between schools, employers and mentors will help to align teenage aspirations with labour market realities. Integrating lessons from successful international systems can also help Wales to develop a robust framework that ensures aspirations are both nurtured and attainable.</w:t>
      </w:r>
      <w:r w:rsidRPr="00326BC7">
        <w:br/>
      </w:r>
    </w:p>
    <w:p w14:paraId="04CF4D8B" w14:textId="77777777" w:rsidR="00326BC7" w:rsidRPr="00326BC7" w:rsidRDefault="00326BC7" w:rsidP="00326BC7">
      <w:pPr>
        <w:rPr>
          <w:b/>
          <w:bCs/>
        </w:rPr>
      </w:pPr>
      <w:r w:rsidRPr="00326BC7">
        <w:rPr>
          <w:b/>
          <w:bCs/>
        </w:rPr>
        <w:t>Conclusion and Recommendations for Educational Policy in Wales</w:t>
      </w:r>
    </w:p>
    <w:p w14:paraId="1FDE7968" w14:textId="77777777" w:rsidR="00326BC7" w:rsidRPr="00326BC7" w:rsidRDefault="00326BC7" w:rsidP="00326BC7">
      <w:r w:rsidRPr="00326BC7">
        <w:t>The Welsh Government’s policies reflect a strong commitment to creating an equitable and forward-looking education system that nurtures aspirations and addresses skills gaps. By embedding career-related experiences into the curriculum and expanding vocational pathways, the strategy has the potential to transform educational outcomes and support social mobility. However, significant challenges remain, including the need for clearer guidance, equitable resource distribution, and robust mentoring systems. Balancing flexibility with equity and accountability will be crucial to ensuring that the vision of a “truly excellent and equitable system” becomes a reality for all learners in Wales. To achieve this, the government must address gaps in infrastructure, training, and monitoring, ensuring that every young person has the support and opportunities they need to realise their aspirations.</w:t>
      </w:r>
    </w:p>
    <w:p w14:paraId="34E44F31" w14:textId="77777777" w:rsidR="00326BC7" w:rsidRPr="00326BC7" w:rsidRDefault="00326BC7" w:rsidP="00326BC7">
      <w:r w:rsidRPr="00326BC7">
        <w:t>Based on the research undertaken for this paper, the following recommendations are proposed:</w:t>
      </w:r>
    </w:p>
    <w:p w14:paraId="35BEDE6C" w14:textId="77777777" w:rsidR="00326BC7" w:rsidRPr="00326BC7" w:rsidRDefault="00326BC7" w:rsidP="00326BC7">
      <w:pPr>
        <w:numPr>
          <w:ilvl w:val="0"/>
          <w:numId w:val="5"/>
        </w:numPr>
      </w:pPr>
      <w:r w:rsidRPr="00326BC7">
        <w:rPr>
          <w:b/>
          <w:bCs/>
        </w:rPr>
        <w:t>Ensure Equitable Resource Distribution and Career Guidance Access:</w:t>
      </w:r>
      <w:r w:rsidRPr="00326BC7">
        <w:br/>
        <w:t xml:space="preserve">Address disparities by investing in infrastructure and resources to provide all schools with the tools they need to deliver high-quality career guidance. Targeted interventions for disadvantaged youth should include improved access to career role models, information, and practical opportunities. Clear guidance and consistent standards, as highlighted in the </w:t>
      </w:r>
      <w:r w:rsidRPr="00326BC7">
        <w:rPr>
          <w:i/>
          <w:iCs/>
        </w:rPr>
        <w:t>National Mission</w:t>
      </w:r>
      <w:r w:rsidRPr="00326BC7">
        <w:t xml:space="preserve"> (2017), are essential for ensuring equitable support across diverse socio-economic contexts.</w:t>
      </w:r>
    </w:p>
    <w:p w14:paraId="7667A3FB" w14:textId="77777777" w:rsidR="00326BC7" w:rsidRPr="00326BC7" w:rsidRDefault="00326BC7" w:rsidP="00326BC7"/>
    <w:p w14:paraId="010AD0B8" w14:textId="77777777" w:rsidR="00326BC7" w:rsidRPr="00326BC7" w:rsidRDefault="00326BC7" w:rsidP="00326BC7"/>
    <w:p w14:paraId="16F5D220" w14:textId="77777777" w:rsidR="00326BC7" w:rsidRPr="00326BC7" w:rsidRDefault="00326BC7" w:rsidP="00326BC7"/>
    <w:p w14:paraId="6F8AE0B4" w14:textId="77777777" w:rsidR="00326BC7" w:rsidRPr="00326BC7" w:rsidRDefault="00326BC7" w:rsidP="00326BC7"/>
    <w:p w14:paraId="3DDB3EE2" w14:textId="77777777" w:rsidR="00326BC7" w:rsidRPr="00326BC7" w:rsidRDefault="00326BC7" w:rsidP="00326BC7"/>
    <w:p w14:paraId="1F082C1C" w14:textId="77777777" w:rsidR="00326BC7" w:rsidRPr="00326BC7" w:rsidRDefault="00326BC7" w:rsidP="00326BC7"/>
    <w:p w14:paraId="1790F701" w14:textId="77777777" w:rsidR="00326BC7" w:rsidRPr="00326BC7" w:rsidRDefault="00326BC7" w:rsidP="00326BC7">
      <w:pPr>
        <w:numPr>
          <w:ilvl w:val="0"/>
          <w:numId w:val="5"/>
        </w:numPr>
      </w:pPr>
      <w:r w:rsidRPr="00326BC7">
        <w:rPr>
          <w:b/>
          <w:bCs/>
        </w:rPr>
        <w:lastRenderedPageBreak/>
        <w:t>Embed Career-Related Experiences and Expand Vocational Pathways:</w:t>
      </w:r>
      <w:r w:rsidRPr="00326BC7">
        <w:br/>
        <w:t>Prioritize the development of vocational pathways, supported by employer partnerships and the expansion of the CWRE framework. Ensuring all students have access to diverse role models and balanced exposure to both academic and vocational options will help bridge the aspiration-attainment gap and support skills development.</w:t>
      </w:r>
    </w:p>
    <w:p w14:paraId="2F60AA1F" w14:textId="77777777" w:rsidR="00326BC7" w:rsidRPr="00326BC7" w:rsidRDefault="00326BC7" w:rsidP="00326BC7">
      <w:pPr>
        <w:numPr>
          <w:ilvl w:val="0"/>
          <w:numId w:val="5"/>
        </w:numPr>
      </w:pPr>
      <w:r w:rsidRPr="00326BC7">
        <w:rPr>
          <w:b/>
          <w:bCs/>
        </w:rPr>
        <w:t>Develop Robust Mentoring Systems with Clear Monitoring and Accountability:</w:t>
      </w:r>
      <w:r w:rsidRPr="00326BC7">
        <w:br/>
        <w:t>Establish a nationwide mentorship framework to provide consistent, high-quality support for all learners. Partnerships between schools, employers, and mentors should be underpinned by clear guidelines, adequate training, and robust monitoring to ensure accountability and equitable delivery. Adopting elements of international best practices, such as Germany’s dual education system and Finland’s equity-focused mentorship programs, can help Wales build a mentoring infrastructure that supports aspirations while addressing skills gaps.</w:t>
      </w:r>
    </w:p>
    <w:p w14:paraId="2A6B290D" w14:textId="77777777" w:rsidR="00326BC7" w:rsidRPr="00326BC7" w:rsidRDefault="00326BC7" w:rsidP="00326BC7">
      <w:r w:rsidRPr="00326BC7">
        <w:t>These recommendations focus on addressing gaps in infrastructure, training, and monitoring while ensuring flexibility and equity remain central to the Welsh Government’s vision of an excellent and equitable education system.</w:t>
      </w:r>
    </w:p>
    <w:p w14:paraId="718808C7" w14:textId="77777777" w:rsidR="00326BC7" w:rsidRPr="001549BA" w:rsidRDefault="00326BC7" w:rsidP="001549BA"/>
    <w:sectPr w:rsidR="00326BC7" w:rsidRPr="001549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E744AC"/>
    <w:multiLevelType w:val="multilevel"/>
    <w:tmpl w:val="83E8D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0F776E"/>
    <w:multiLevelType w:val="multilevel"/>
    <w:tmpl w:val="32B812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5206CCA"/>
    <w:multiLevelType w:val="multilevel"/>
    <w:tmpl w:val="3912C19E"/>
    <w:lvl w:ilvl="0">
      <w:start w:val="1"/>
      <w:numFmt w:val="decimal"/>
      <w:lvlText w:val="%1."/>
      <w:lvlJc w:val="left"/>
      <w:pPr>
        <w:tabs>
          <w:tab w:val="num" w:pos="720"/>
        </w:tabs>
        <w:ind w:left="720" w:hanging="360"/>
      </w:pPr>
      <w:rPr>
        <w:rFonts w:asciiTheme="minorHAnsi" w:eastAsiaTheme="minorHAnsi" w:hAnsiTheme="minorHAnsi" w:cstheme="minorBidi"/>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6FC4B6D"/>
    <w:multiLevelType w:val="multilevel"/>
    <w:tmpl w:val="BA4C9B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5481A1F"/>
    <w:multiLevelType w:val="hybridMultilevel"/>
    <w:tmpl w:val="A5F2B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68295885">
    <w:abstractNumId w:val="1"/>
  </w:num>
  <w:num w:numId="2" w16cid:durableId="1679767866">
    <w:abstractNumId w:val="3"/>
  </w:num>
  <w:num w:numId="3" w16cid:durableId="568808456">
    <w:abstractNumId w:val="4"/>
  </w:num>
  <w:num w:numId="4" w16cid:durableId="1137070180">
    <w:abstractNumId w:val="0"/>
  </w:num>
  <w:num w:numId="5" w16cid:durableId="4469728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69E2"/>
    <w:rsid w:val="00023EF8"/>
    <w:rsid w:val="00025701"/>
    <w:rsid w:val="00053F30"/>
    <w:rsid w:val="0008042D"/>
    <w:rsid w:val="0009392E"/>
    <w:rsid w:val="00094EDD"/>
    <w:rsid w:val="000B3A01"/>
    <w:rsid w:val="000D0B61"/>
    <w:rsid w:val="000D32DE"/>
    <w:rsid w:val="000D6F9B"/>
    <w:rsid w:val="000D738A"/>
    <w:rsid w:val="000E213A"/>
    <w:rsid w:val="000E2A45"/>
    <w:rsid w:val="000E68AD"/>
    <w:rsid w:val="000F6458"/>
    <w:rsid w:val="00131186"/>
    <w:rsid w:val="00140B9E"/>
    <w:rsid w:val="001549BA"/>
    <w:rsid w:val="0018552B"/>
    <w:rsid w:val="00195B05"/>
    <w:rsid w:val="001A0B06"/>
    <w:rsid w:val="001D2066"/>
    <w:rsid w:val="001F4212"/>
    <w:rsid w:val="00200278"/>
    <w:rsid w:val="00204C6A"/>
    <w:rsid w:val="00212413"/>
    <w:rsid w:val="002638C1"/>
    <w:rsid w:val="002657BE"/>
    <w:rsid w:val="00272522"/>
    <w:rsid w:val="00273267"/>
    <w:rsid w:val="002864C8"/>
    <w:rsid w:val="002875C2"/>
    <w:rsid w:val="002D50F4"/>
    <w:rsid w:val="002F3766"/>
    <w:rsid w:val="003226FC"/>
    <w:rsid w:val="00326BC7"/>
    <w:rsid w:val="0034514C"/>
    <w:rsid w:val="00354374"/>
    <w:rsid w:val="00380F10"/>
    <w:rsid w:val="003A3EAC"/>
    <w:rsid w:val="003B5EC0"/>
    <w:rsid w:val="003B5FE2"/>
    <w:rsid w:val="003B7216"/>
    <w:rsid w:val="003D4416"/>
    <w:rsid w:val="003D7953"/>
    <w:rsid w:val="003E30B4"/>
    <w:rsid w:val="003F00F3"/>
    <w:rsid w:val="00407477"/>
    <w:rsid w:val="00407F78"/>
    <w:rsid w:val="00424437"/>
    <w:rsid w:val="00445780"/>
    <w:rsid w:val="00445E81"/>
    <w:rsid w:val="004E1C90"/>
    <w:rsid w:val="004F33C6"/>
    <w:rsid w:val="0051281D"/>
    <w:rsid w:val="0051792E"/>
    <w:rsid w:val="005668CF"/>
    <w:rsid w:val="005C7645"/>
    <w:rsid w:val="005C7FB4"/>
    <w:rsid w:val="005F3871"/>
    <w:rsid w:val="0061312D"/>
    <w:rsid w:val="00664923"/>
    <w:rsid w:val="00664AA3"/>
    <w:rsid w:val="006A11AD"/>
    <w:rsid w:val="006B42CA"/>
    <w:rsid w:val="00712312"/>
    <w:rsid w:val="00734194"/>
    <w:rsid w:val="00744EBA"/>
    <w:rsid w:val="00755395"/>
    <w:rsid w:val="0078447A"/>
    <w:rsid w:val="007928C1"/>
    <w:rsid w:val="007E5773"/>
    <w:rsid w:val="00812E90"/>
    <w:rsid w:val="00822836"/>
    <w:rsid w:val="008901CE"/>
    <w:rsid w:val="00894E4E"/>
    <w:rsid w:val="008C2F0D"/>
    <w:rsid w:val="008E1532"/>
    <w:rsid w:val="00921746"/>
    <w:rsid w:val="0093113E"/>
    <w:rsid w:val="009349AA"/>
    <w:rsid w:val="009457FB"/>
    <w:rsid w:val="00A0187B"/>
    <w:rsid w:val="00A12B91"/>
    <w:rsid w:val="00A266A7"/>
    <w:rsid w:val="00A4005D"/>
    <w:rsid w:val="00A44F49"/>
    <w:rsid w:val="00A638ED"/>
    <w:rsid w:val="00AA5849"/>
    <w:rsid w:val="00AA5F2C"/>
    <w:rsid w:val="00AB498A"/>
    <w:rsid w:val="00AF4135"/>
    <w:rsid w:val="00B0260F"/>
    <w:rsid w:val="00B15547"/>
    <w:rsid w:val="00B23E19"/>
    <w:rsid w:val="00B43B4F"/>
    <w:rsid w:val="00B46D08"/>
    <w:rsid w:val="00B83B3E"/>
    <w:rsid w:val="00B902A5"/>
    <w:rsid w:val="00BA1C95"/>
    <w:rsid w:val="00BA477F"/>
    <w:rsid w:val="00BA656C"/>
    <w:rsid w:val="00BB4CD1"/>
    <w:rsid w:val="00BC3DE0"/>
    <w:rsid w:val="00BD525D"/>
    <w:rsid w:val="00BD6A0A"/>
    <w:rsid w:val="00BE6D4F"/>
    <w:rsid w:val="00C30A0F"/>
    <w:rsid w:val="00C34F7C"/>
    <w:rsid w:val="00C51D0F"/>
    <w:rsid w:val="00C61077"/>
    <w:rsid w:val="00CB69E2"/>
    <w:rsid w:val="00CE6FC6"/>
    <w:rsid w:val="00D02DC2"/>
    <w:rsid w:val="00D06F7D"/>
    <w:rsid w:val="00D07E18"/>
    <w:rsid w:val="00D23451"/>
    <w:rsid w:val="00D53A3E"/>
    <w:rsid w:val="00D8497E"/>
    <w:rsid w:val="00D9225C"/>
    <w:rsid w:val="00DA6BBB"/>
    <w:rsid w:val="00DB3B04"/>
    <w:rsid w:val="00DE31A4"/>
    <w:rsid w:val="00E072C1"/>
    <w:rsid w:val="00E23DD0"/>
    <w:rsid w:val="00E86139"/>
    <w:rsid w:val="00EA524A"/>
    <w:rsid w:val="00EC5579"/>
    <w:rsid w:val="00EF17B5"/>
    <w:rsid w:val="00F00903"/>
    <w:rsid w:val="00F00B3E"/>
    <w:rsid w:val="00F04791"/>
    <w:rsid w:val="00F06D8D"/>
    <w:rsid w:val="00F50DBD"/>
    <w:rsid w:val="00F52A60"/>
    <w:rsid w:val="00F6234D"/>
    <w:rsid w:val="00F66630"/>
    <w:rsid w:val="00F81BB8"/>
    <w:rsid w:val="00FA2D9A"/>
    <w:rsid w:val="00FB6548"/>
    <w:rsid w:val="00FD5D86"/>
    <w:rsid w:val="00FF04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3BD5A"/>
  <w15:chartTrackingRefBased/>
  <w15:docId w15:val="{575047F0-3F34-4A51-81BB-27C2981077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57BE"/>
  </w:style>
  <w:style w:type="paragraph" w:styleId="Heading1">
    <w:name w:val="heading 1"/>
    <w:basedOn w:val="Normal"/>
    <w:next w:val="Normal"/>
    <w:link w:val="Heading1Char"/>
    <w:uiPriority w:val="9"/>
    <w:qFormat/>
    <w:rsid w:val="00CB69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69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69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69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69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69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69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69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69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69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69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69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69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69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69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69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69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69E2"/>
    <w:rPr>
      <w:rFonts w:eastAsiaTheme="majorEastAsia" w:cstheme="majorBidi"/>
      <w:color w:val="272727" w:themeColor="text1" w:themeTint="D8"/>
    </w:rPr>
  </w:style>
  <w:style w:type="paragraph" w:styleId="Title">
    <w:name w:val="Title"/>
    <w:basedOn w:val="Normal"/>
    <w:next w:val="Normal"/>
    <w:link w:val="TitleChar"/>
    <w:uiPriority w:val="10"/>
    <w:qFormat/>
    <w:rsid w:val="00CB69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69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69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69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69E2"/>
    <w:pPr>
      <w:spacing w:before="160"/>
      <w:jc w:val="center"/>
    </w:pPr>
    <w:rPr>
      <w:i/>
      <w:iCs/>
      <w:color w:val="404040" w:themeColor="text1" w:themeTint="BF"/>
    </w:rPr>
  </w:style>
  <w:style w:type="character" w:customStyle="1" w:styleId="QuoteChar">
    <w:name w:val="Quote Char"/>
    <w:basedOn w:val="DefaultParagraphFont"/>
    <w:link w:val="Quote"/>
    <w:uiPriority w:val="29"/>
    <w:rsid w:val="00CB69E2"/>
    <w:rPr>
      <w:i/>
      <w:iCs/>
      <w:color w:val="404040" w:themeColor="text1" w:themeTint="BF"/>
    </w:rPr>
  </w:style>
  <w:style w:type="paragraph" w:styleId="ListParagraph">
    <w:name w:val="List Paragraph"/>
    <w:basedOn w:val="Normal"/>
    <w:uiPriority w:val="34"/>
    <w:qFormat/>
    <w:rsid w:val="00CB69E2"/>
    <w:pPr>
      <w:ind w:left="720"/>
      <w:contextualSpacing/>
    </w:pPr>
  </w:style>
  <w:style w:type="character" w:styleId="IntenseEmphasis">
    <w:name w:val="Intense Emphasis"/>
    <w:basedOn w:val="DefaultParagraphFont"/>
    <w:uiPriority w:val="21"/>
    <w:qFormat/>
    <w:rsid w:val="00CB69E2"/>
    <w:rPr>
      <w:i/>
      <w:iCs/>
      <w:color w:val="0F4761" w:themeColor="accent1" w:themeShade="BF"/>
    </w:rPr>
  </w:style>
  <w:style w:type="paragraph" w:styleId="IntenseQuote">
    <w:name w:val="Intense Quote"/>
    <w:basedOn w:val="Normal"/>
    <w:next w:val="Normal"/>
    <w:link w:val="IntenseQuoteChar"/>
    <w:uiPriority w:val="30"/>
    <w:qFormat/>
    <w:rsid w:val="00CB69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69E2"/>
    <w:rPr>
      <w:i/>
      <w:iCs/>
      <w:color w:val="0F4761" w:themeColor="accent1" w:themeShade="BF"/>
    </w:rPr>
  </w:style>
  <w:style w:type="character" w:styleId="IntenseReference">
    <w:name w:val="Intense Reference"/>
    <w:basedOn w:val="DefaultParagraphFont"/>
    <w:uiPriority w:val="32"/>
    <w:qFormat/>
    <w:rsid w:val="00CB69E2"/>
    <w:rPr>
      <w:b/>
      <w:bCs/>
      <w:smallCaps/>
      <w:color w:val="0F4761" w:themeColor="accent1" w:themeShade="BF"/>
      <w:spacing w:val="5"/>
    </w:rPr>
  </w:style>
  <w:style w:type="character" w:styleId="Hyperlink">
    <w:name w:val="Hyperlink"/>
    <w:basedOn w:val="DefaultParagraphFont"/>
    <w:uiPriority w:val="99"/>
    <w:unhideWhenUsed/>
    <w:rsid w:val="00A44F49"/>
    <w:rPr>
      <w:color w:val="467886" w:themeColor="hyperlink"/>
      <w:u w:val="single"/>
    </w:rPr>
  </w:style>
  <w:style w:type="character" w:styleId="UnresolvedMention">
    <w:name w:val="Unresolved Mention"/>
    <w:basedOn w:val="DefaultParagraphFont"/>
    <w:uiPriority w:val="99"/>
    <w:semiHidden/>
    <w:unhideWhenUsed/>
    <w:rsid w:val="00A44F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6710031">
      <w:bodyDiv w:val="1"/>
      <w:marLeft w:val="0"/>
      <w:marRight w:val="0"/>
      <w:marTop w:val="0"/>
      <w:marBottom w:val="0"/>
      <w:divBdr>
        <w:top w:val="none" w:sz="0" w:space="0" w:color="auto"/>
        <w:left w:val="none" w:sz="0" w:space="0" w:color="auto"/>
        <w:bottom w:val="none" w:sz="0" w:space="0" w:color="auto"/>
        <w:right w:val="none" w:sz="0" w:space="0" w:color="auto"/>
      </w:divBdr>
    </w:div>
    <w:div w:id="1103919777">
      <w:bodyDiv w:val="1"/>
      <w:marLeft w:val="0"/>
      <w:marRight w:val="0"/>
      <w:marTop w:val="0"/>
      <w:marBottom w:val="0"/>
      <w:divBdr>
        <w:top w:val="none" w:sz="0" w:space="0" w:color="auto"/>
        <w:left w:val="none" w:sz="0" w:space="0" w:color="auto"/>
        <w:bottom w:val="none" w:sz="0" w:space="0" w:color="auto"/>
        <w:right w:val="none" w:sz="0" w:space="0" w:color="auto"/>
      </w:divBdr>
      <w:divsChild>
        <w:div w:id="456490969">
          <w:marLeft w:val="0"/>
          <w:marRight w:val="0"/>
          <w:marTop w:val="0"/>
          <w:marBottom w:val="0"/>
          <w:divBdr>
            <w:top w:val="none" w:sz="0" w:space="0" w:color="auto"/>
            <w:left w:val="none" w:sz="0" w:space="0" w:color="auto"/>
            <w:bottom w:val="none" w:sz="0" w:space="0" w:color="auto"/>
            <w:right w:val="none" w:sz="0" w:space="0" w:color="auto"/>
          </w:divBdr>
        </w:div>
        <w:div w:id="1333489893">
          <w:marLeft w:val="0"/>
          <w:marRight w:val="0"/>
          <w:marTop w:val="0"/>
          <w:marBottom w:val="0"/>
          <w:divBdr>
            <w:top w:val="none" w:sz="0" w:space="0" w:color="auto"/>
            <w:left w:val="none" w:sz="0" w:space="0" w:color="auto"/>
            <w:bottom w:val="none" w:sz="0" w:space="0" w:color="auto"/>
            <w:right w:val="none" w:sz="0" w:space="0" w:color="auto"/>
          </w:divBdr>
        </w:div>
        <w:div w:id="832141711">
          <w:marLeft w:val="0"/>
          <w:marRight w:val="0"/>
          <w:marTop w:val="0"/>
          <w:marBottom w:val="0"/>
          <w:divBdr>
            <w:top w:val="none" w:sz="0" w:space="0" w:color="auto"/>
            <w:left w:val="none" w:sz="0" w:space="0" w:color="auto"/>
            <w:bottom w:val="none" w:sz="0" w:space="0" w:color="auto"/>
            <w:right w:val="none" w:sz="0" w:space="0" w:color="auto"/>
          </w:divBdr>
        </w:div>
        <w:div w:id="34504564">
          <w:marLeft w:val="0"/>
          <w:marRight w:val="0"/>
          <w:marTop w:val="0"/>
          <w:marBottom w:val="0"/>
          <w:divBdr>
            <w:top w:val="none" w:sz="0" w:space="0" w:color="auto"/>
            <w:left w:val="none" w:sz="0" w:space="0" w:color="auto"/>
            <w:bottom w:val="none" w:sz="0" w:space="0" w:color="auto"/>
            <w:right w:val="none" w:sz="0" w:space="0" w:color="auto"/>
          </w:divBdr>
        </w:div>
      </w:divsChild>
    </w:div>
    <w:div w:id="1738898610">
      <w:bodyDiv w:val="1"/>
      <w:marLeft w:val="0"/>
      <w:marRight w:val="0"/>
      <w:marTop w:val="0"/>
      <w:marBottom w:val="0"/>
      <w:divBdr>
        <w:top w:val="none" w:sz="0" w:space="0" w:color="auto"/>
        <w:left w:val="none" w:sz="0" w:space="0" w:color="auto"/>
        <w:bottom w:val="none" w:sz="0" w:space="0" w:color="auto"/>
        <w:right w:val="none" w:sz="0" w:space="0" w:color="auto"/>
      </w:divBdr>
    </w:div>
    <w:div w:id="1790051429">
      <w:bodyDiv w:val="1"/>
      <w:marLeft w:val="0"/>
      <w:marRight w:val="0"/>
      <w:marTop w:val="0"/>
      <w:marBottom w:val="0"/>
      <w:divBdr>
        <w:top w:val="none" w:sz="0" w:space="0" w:color="auto"/>
        <w:left w:val="none" w:sz="0" w:space="0" w:color="auto"/>
        <w:bottom w:val="none" w:sz="0" w:space="0" w:color="auto"/>
        <w:right w:val="none" w:sz="0" w:space="0" w:color="auto"/>
      </w:divBdr>
    </w:div>
    <w:div w:id="2019848663">
      <w:bodyDiv w:val="1"/>
      <w:marLeft w:val="0"/>
      <w:marRight w:val="0"/>
      <w:marTop w:val="0"/>
      <w:marBottom w:val="0"/>
      <w:divBdr>
        <w:top w:val="none" w:sz="0" w:space="0" w:color="auto"/>
        <w:left w:val="none" w:sz="0" w:space="0" w:color="auto"/>
        <w:bottom w:val="none" w:sz="0" w:space="0" w:color="auto"/>
        <w:right w:val="none" w:sz="0" w:space="0" w:color="auto"/>
      </w:divBdr>
    </w:div>
    <w:div w:id="2062364355">
      <w:bodyDiv w:val="1"/>
      <w:marLeft w:val="0"/>
      <w:marRight w:val="0"/>
      <w:marTop w:val="0"/>
      <w:marBottom w:val="0"/>
      <w:divBdr>
        <w:top w:val="none" w:sz="0" w:space="0" w:color="auto"/>
        <w:left w:val="none" w:sz="0" w:space="0" w:color="auto"/>
        <w:bottom w:val="none" w:sz="0" w:space="0" w:color="auto"/>
        <w:right w:val="none" w:sz="0" w:space="0" w:color="auto"/>
      </w:divBdr>
      <w:divsChild>
        <w:div w:id="752555508">
          <w:marLeft w:val="0"/>
          <w:marRight w:val="0"/>
          <w:marTop w:val="0"/>
          <w:marBottom w:val="0"/>
          <w:divBdr>
            <w:top w:val="none" w:sz="0" w:space="0" w:color="auto"/>
            <w:left w:val="none" w:sz="0" w:space="0" w:color="auto"/>
            <w:bottom w:val="none" w:sz="0" w:space="0" w:color="auto"/>
            <w:right w:val="none" w:sz="0" w:space="0" w:color="auto"/>
          </w:divBdr>
        </w:div>
        <w:div w:id="842746497">
          <w:marLeft w:val="0"/>
          <w:marRight w:val="0"/>
          <w:marTop w:val="0"/>
          <w:marBottom w:val="0"/>
          <w:divBdr>
            <w:top w:val="none" w:sz="0" w:space="0" w:color="auto"/>
            <w:left w:val="none" w:sz="0" w:space="0" w:color="auto"/>
            <w:bottom w:val="none" w:sz="0" w:space="0" w:color="auto"/>
            <w:right w:val="none" w:sz="0" w:space="0" w:color="auto"/>
          </w:divBdr>
        </w:div>
        <w:div w:id="1251743463">
          <w:marLeft w:val="0"/>
          <w:marRight w:val="0"/>
          <w:marTop w:val="0"/>
          <w:marBottom w:val="0"/>
          <w:divBdr>
            <w:top w:val="none" w:sz="0" w:space="0" w:color="auto"/>
            <w:left w:val="none" w:sz="0" w:space="0" w:color="auto"/>
            <w:bottom w:val="none" w:sz="0" w:space="0" w:color="auto"/>
            <w:right w:val="none" w:sz="0" w:space="0" w:color="auto"/>
          </w:divBdr>
        </w:div>
        <w:div w:id="7783790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11</Pages>
  <Words>5308</Words>
  <Characters>30259</Characters>
  <Application>Microsoft Office Word</Application>
  <DocSecurity>0</DocSecurity>
  <Lines>252</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 bamsey</dc:creator>
  <cp:keywords/>
  <dc:description/>
  <cp:lastModifiedBy>jo bamsey</cp:lastModifiedBy>
  <cp:revision>5</cp:revision>
  <dcterms:created xsi:type="dcterms:W3CDTF">2025-01-04T18:04:00Z</dcterms:created>
  <dcterms:modified xsi:type="dcterms:W3CDTF">2025-01-05T14:28:00Z</dcterms:modified>
</cp:coreProperties>
</file>