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CF3A7" w14:textId="24C4DDFC" w:rsidR="00B14421" w:rsidRPr="002C00BA" w:rsidRDefault="004624FE" w:rsidP="002C00BA">
      <w:pPr>
        <w:pStyle w:val="Normal1"/>
        <w:jc w:val="center"/>
        <w:rPr>
          <w:rFonts w:ascii="Arial" w:hAnsi="Arial" w:cs="Arial"/>
          <w:bCs/>
          <w:sz w:val="36"/>
          <w:szCs w:val="36"/>
          <w:lang w:val="en-GB"/>
        </w:rPr>
      </w:pPr>
      <w:r w:rsidRPr="002C00BA">
        <w:rPr>
          <w:rFonts w:ascii="Arial" w:hAnsi="Arial" w:cs="Arial"/>
          <w:b/>
          <w:sz w:val="36"/>
          <w:szCs w:val="36"/>
          <w:lang w:val="en-GB"/>
        </w:rPr>
        <w:t xml:space="preserve">Module title: </w:t>
      </w:r>
      <w:r w:rsidRPr="002C00BA">
        <w:rPr>
          <w:rFonts w:ascii="Arial" w:hAnsi="Arial" w:cs="Arial"/>
          <w:bCs/>
          <w:sz w:val="36"/>
          <w:szCs w:val="36"/>
          <w:lang w:val="en-GB"/>
        </w:rPr>
        <w:t>Public Law</w:t>
      </w:r>
      <w:r w:rsidR="002C00BA" w:rsidRPr="002C00BA">
        <w:rPr>
          <w:rFonts w:ascii="Arial" w:hAnsi="Arial" w:cs="Arial"/>
          <w:bCs/>
          <w:sz w:val="36"/>
          <w:szCs w:val="36"/>
          <w:lang w:val="en-GB"/>
        </w:rPr>
        <w:t xml:space="preserve"> BMLW4007</w:t>
      </w:r>
    </w:p>
    <w:p w14:paraId="2F84C8DE" w14:textId="4EC4B0D6" w:rsidR="002C00BA" w:rsidRPr="002C00BA" w:rsidRDefault="002C00BA" w:rsidP="002C00BA">
      <w:pPr>
        <w:pStyle w:val="Normal1"/>
        <w:jc w:val="center"/>
        <w:rPr>
          <w:rFonts w:ascii="Arial" w:hAnsi="Arial" w:cs="Arial"/>
          <w:b/>
          <w:bCs/>
          <w:sz w:val="36"/>
          <w:szCs w:val="36"/>
        </w:rPr>
      </w:pPr>
      <w:r w:rsidRPr="002C00BA">
        <w:rPr>
          <w:rFonts w:ascii="Arial" w:hAnsi="Arial" w:cs="Arial"/>
          <w:b/>
          <w:bCs/>
          <w:sz w:val="36"/>
          <w:szCs w:val="36"/>
        </w:rPr>
        <w:t xml:space="preserve">Lecturer’s name: </w:t>
      </w:r>
      <w:r w:rsidR="00531982">
        <w:rPr>
          <w:rFonts w:ascii="Arial" w:hAnsi="Arial" w:cs="Arial"/>
          <w:sz w:val="36"/>
          <w:szCs w:val="36"/>
        </w:rPr>
        <w:t>Zita Draper</w:t>
      </w:r>
    </w:p>
    <w:p w14:paraId="052C1D8C" w14:textId="1AD9404A" w:rsidR="00B14421" w:rsidRPr="002C00BA" w:rsidRDefault="004624FE" w:rsidP="002C00BA">
      <w:pPr>
        <w:pStyle w:val="Normal1"/>
        <w:jc w:val="center"/>
        <w:rPr>
          <w:rFonts w:ascii="Arial" w:hAnsi="Arial" w:cs="Arial"/>
          <w:b/>
          <w:sz w:val="36"/>
          <w:szCs w:val="36"/>
          <w:lang w:val="en-GB"/>
        </w:rPr>
      </w:pPr>
      <w:r w:rsidRPr="002C00BA">
        <w:rPr>
          <w:rFonts w:ascii="Arial" w:hAnsi="Arial" w:cs="Arial"/>
          <w:b/>
          <w:sz w:val="36"/>
          <w:szCs w:val="36"/>
          <w:lang w:val="en-GB"/>
        </w:rPr>
        <w:t>Student name:</w:t>
      </w:r>
      <w:r w:rsidR="002C00BA" w:rsidRPr="002C00BA">
        <w:rPr>
          <w:rFonts w:ascii="Arial" w:hAnsi="Arial" w:cs="Arial"/>
          <w:b/>
          <w:sz w:val="36"/>
          <w:szCs w:val="36"/>
          <w:lang w:val="en-GB"/>
        </w:rPr>
        <w:t xml:space="preserve"> </w:t>
      </w:r>
      <w:r w:rsidR="002C00BA" w:rsidRPr="002C00BA">
        <w:rPr>
          <w:rFonts w:ascii="Arial" w:hAnsi="Arial" w:cs="Arial"/>
          <w:bCs/>
          <w:sz w:val="36"/>
          <w:szCs w:val="36"/>
          <w:lang w:val="en-GB"/>
        </w:rPr>
        <w:t>Andreea-Teodora Calin</w:t>
      </w:r>
    </w:p>
    <w:p w14:paraId="0876291A" w14:textId="059F260A" w:rsidR="00B14421" w:rsidRPr="00D100EA" w:rsidRDefault="004624FE" w:rsidP="002C00BA">
      <w:pPr>
        <w:pStyle w:val="Normal1"/>
        <w:jc w:val="center"/>
        <w:rPr>
          <w:lang w:val="en-GB"/>
        </w:rPr>
      </w:pPr>
      <w:r w:rsidRPr="002C00BA">
        <w:rPr>
          <w:rFonts w:ascii="Arial" w:hAnsi="Arial" w:cs="Arial"/>
          <w:b/>
          <w:sz w:val="36"/>
          <w:szCs w:val="36"/>
          <w:lang w:val="en-GB"/>
        </w:rPr>
        <w:t>Student ID:</w:t>
      </w:r>
      <w:r w:rsidR="002C00BA" w:rsidRPr="002C00BA">
        <w:rPr>
          <w:rFonts w:ascii="Arial" w:hAnsi="Arial" w:cs="Arial"/>
          <w:b/>
          <w:sz w:val="36"/>
          <w:szCs w:val="36"/>
          <w:lang w:val="en-GB"/>
        </w:rPr>
        <w:t xml:space="preserve"> </w:t>
      </w:r>
      <w:r w:rsidR="002C00BA" w:rsidRPr="002C00BA">
        <w:rPr>
          <w:rFonts w:ascii="Arial" w:hAnsi="Arial" w:cs="Arial"/>
          <w:bCs/>
          <w:sz w:val="36"/>
          <w:szCs w:val="36"/>
          <w:lang w:val="en-GB"/>
        </w:rPr>
        <w:t>2207380</w:t>
      </w:r>
      <w:r w:rsidRPr="00D100EA">
        <w:rPr>
          <w:lang w:val="en-GB"/>
        </w:rPr>
        <w:br w:type="page"/>
      </w:r>
    </w:p>
    <w:sdt>
      <w:sdtPr>
        <w:rPr>
          <w:rFonts w:ascii="Times New Roman" w:eastAsia="Times New Roman" w:hAnsi="Times New Roman" w:cs="Times New Roman"/>
          <w:b w:val="0"/>
          <w:bCs w:val="0"/>
          <w:color w:val="auto"/>
          <w:sz w:val="24"/>
          <w:szCs w:val="24"/>
        </w:rPr>
        <w:id w:val="9131551"/>
        <w:docPartObj>
          <w:docPartGallery w:val="Table of Contents"/>
          <w:docPartUnique/>
        </w:docPartObj>
      </w:sdtPr>
      <w:sdtContent>
        <w:p w14:paraId="3813887D" w14:textId="77777777" w:rsidR="00D100EA" w:rsidRDefault="00D100EA" w:rsidP="00D100EA">
          <w:pPr>
            <w:pStyle w:val="TOCHeading"/>
            <w:spacing w:line="360" w:lineRule="auto"/>
            <w:jc w:val="center"/>
          </w:pPr>
          <w:r w:rsidRPr="00D100EA">
            <w:rPr>
              <w:rFonts w:ascii="Times New Roman" w:hAnsi="Times New Roman" w:cs="Times New Roman"/>
              <w:color w:val="auto"/>
              <w:sz w:val="32"/>
              <w:szCs w:val="32"/>
            </w:rPr>
            <w:t>Table of Contents</w:t>
          </w:r>
        </w:p>
        <w:p w14:paraId="6067E62B" w14:textId="77777777" w:rsidR="00D100EA" w:rsidRDefault="00D100EA">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8136448" w:history="1">
            <w:r w:rsidRPr="009E2015">
              <w:rPr>
                <w:rStyle w:val="Hyperlink"/>
                <w:noProof/>
                <w:lang w:val="en-GB"/>
              </w:rPr>
              <w:t>1. “What is the Bill of Rights bill?”</w:t>
            </w:r>
            <w:r>
              <w:rPr>
                <w:noProof/>
                <w:webHidden/>
              </w:rPr>
              <w:tab/>
            </w:r>
            <w:r>
              <w:rPr>
                <w:noProof/>
                <w:webHidden/>
              </w:rPr>
              <w:fldChar w:fldCharType="begin"/>
            </w:r>
            <w:r>
              <w:rPr>
                <w:noProof/>
                <w:webHidden/>
              </w:rPr>
              <w:instrText xml:space="preserve"> PAGEREF _Toc128136448 \h </w:instrText>
            </w:r>
            <w:r>
              <w:rPr>
                <w:noProof/>
                <w:webHidden/>
              </w:rPr>
            </w:r>
            <w:r>
              <w:rPr>
                <w:noProof/>
                <w:webHidden/>
              </w:rPr>
              <w:fldChar w:fldCharType="separate"/>
            </w:r>
            <w:r>
              <w:rPr>
                <w:noProof/>
                <w:webHidden/>
              </w:rPr>
              <w:t>4</w:t>
            </w:r>
            <w:r>
              <w:rPr>
                <w:noProof/>
                <w:webHidden/>
              </w:rPr>
              <w:fldChar w:fldCharType="end"/>
            </w:r>
          </w:hyperlink>
        </w:p>
        <w:p w14:paraId="0CF5F9C2"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49" w:history="1">
            <w:r w:rsidR="00D100EA" w:rsidRPr="009E2015">
              <w:rPr>
                <w:rStyle w:val="Hyperlink"/>
                <w:noProof/>
                <w:lang w:val="en-GB"/>
              </w:rPr>
              <w:t>2. “What is the Human Rights Act 1998?”</w:t>
            </w:r>
            <w:r w:rsidR="00D100EA">
              <w:rPr>
                <w:noProof/>
                <w:webHidden/>
              </w:rPr>
              <w:tab/>
            </w:r>
            <w:r w:rsidR="00D100EA">
              <w:rPr>
                <w:noProof/>
                <w:webHidden/>
              </w:rPr>
              <w:fldChar w:fldCharType="begin"/>
            </w:r>
            <w:r w:rsidR="00D100EA">
              <w:rPr>
                <w:noProof/>
                <w:webHidden/>
              </w:rPr>
              <w:instrText xml:space="preserve"> PAGEREF _Toc128136449 \h </w:instrText>
            </w:r>
            <w:r w:rsidR="00D100EA">
              <w:rPr>
                <w:noProof/>
                <w:webHidden/>
              </w:rPr>
            </w:r>
            <w:r w:rsidR="00D100EA">
              <w:rPr>
                <w:noProof/>
                <w:webHidden/>
              </w:rPr>
              <w:fldChar w:fldCharType="separate"/>
            </w:r>
            <w:r w:rsidR="00D100EA">
              <w:rPr>
                <w:noProof/>
                <w:webHidden/>
              </w:rPr>
              <w:t>4</w:t>
            </w:r>
            <w:r w:rsidR="00D100EA">
              <w:rPr>
                <w:noProof/>
                <w:webHidden/>
              </w:rPr>
              <w:fldChar w:fldCharType="end"/>
            </w:r>
          </w:hyperlink>
        </w:p>
        <w:p w14:paraId="537B3DCC"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0" w:history="1">
            <w:r w:rsidR="00D100EA" w:rsidRPr="009E2015">
              <w:rPr>
                <w:rStyle w:val="Hyperlink"/>
                <w:noProof/>
                <w:lang w:val="en-GB"/>
              </w:rPr>
              <w:t>3. “What are the main aims and objectives of the Bill of Rights Bill?”</w:t>
            </w:r>
            <w:r w:rsidR="00D100EA">
              <w:rPr>
                <w:noProof/>
                <w:webHidden/>
              </w:rPr>
              <w:tab/>
            </w:r>
            <w:r w:rsidR="00D100EA">
              <w:rPr>
                <w:noProof/>
                <w:webHidden/>
              </w:rPr>
              <w:fldChar w:fldCharType="begin"/>
            </w:r>
            <w:r w:rsidR="00D100EA">
              <w:rPr>
                <w:noProof/>
                <w:webHidden/>
              </w:rPr>
              <w:instrText xml:space="preserve"> PAGEREF _Toc128136450 \h </w:instrText>
            </w:r>
            <w:r w:rsidR="00D100EA">
              <w:rPr>
                <w:noProof/>
                <w:webHidden/>
              </w:rPr>
            </w:r>
            <w:r w:rsidR="00D100EA">
              <w:rPr>
                <w:noProof/>
                <w:webHidden/>
              </w:rPr>
              <w:fldChar w:fldCharType="separate"/>
            </w:r>
            <w:r w:rsidR="00D100EA">
              <w:rPr>
                <w:noProof/>
                <w:webHidden/>
              </w:rPr>
              <w:t>4</w:t>
            </w:r>
            <w:r w:rsidR="00D100EA">
              <w:rPr>
                <w:noProof/>
                <w:webHidden/>
              </w:rPr>
              <w:fldChar w:fldCharType="end"/>
            </w:r>
          </w:hyperlink>
        </w:p>
        <w:p w14:paraId="39FEAF66"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1" w:history="1">
            <w:r w:rsidR="00D100EA" w:rsidRPr="009E2015">
              <w:rPr>
                <w:rStyle w:val="Hyperlink"/>
                <w:noProof/>
                <w:lang w:val="en-GB"/>
              </w:rPr>
              <w:t>4. “Why has the bill been created?”</w:t>
            </w:r>
            <w:r w:rsidR="00D100EA">
              <w:rPr>
                <w:noProof/>
                <w:webHidden/>
              </w:rPr>
              <w:tab/>
            </w:r>
            <w:r w:rsidR="00D100EA">
              <w:rPr>
                <w:noProof/>
                <w:webHidden/>
              </w:rPr>
              <w:fldChar w:fldCharType="begin"/>
            </w:r>
            <w:r w:rsidR="00D100EA">
              <w:rPr>
                <w:noProof/>
                <w:webHidden/>
              </w:rPr>
              <w:instrText xml:space="preserve"> PAGEREF _Toc128136451 \h </w:instrText>
            </w:r>
            <w:r w:rsidR="00D100EA">
              <w:rPr>
                <w:noProof/>
                <w:webHidden/>
              </w:rPr>
            </w:r>
            <w:r w:rsidR="00D100EA">
              <w:rPr>
                <w:noProof/>
                <w:webHidden/>
              </w:rPr>
              <w:fldChar w:fldCharType="separate"/>
            </w:r>
            <w:r w:rsidR="00D100EA">
              <w:rPr>
                <w:noProof/>
                <w:webHidden/>
              </w:rPr>
              <w:t>5</w:t>
            </w:r>
            <w:r w:rsidR="00D100EA">
              <w:rPr>
                <w:noProof/>
                <w:webHidden/>
              </w:rPr>
              <w:fldChar w:fldCharType="end"/>
            </w:r>
          </w:hyperlink>
        </w:p>
        <w:p w14:paraId="7A9BB24B"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2" w:history="1">
            <w:r w:rsidR="00D100EA" w:rsidRPr="009E2015">
              <w:rPr>
                <w:rStyle w:val="Hyperlink"/>
                <w:noProof/>
                <w:lang w:val="en-GB"/>
              </w:rPr>
              <w:t>5. “What changes will the bill make?”</w:t>
            </w:r>
            <w:r w:rsidR="00D100EA">
              <w:rPr>
                <w:noProof/>
                <w:webHidden/>
              </w:rPr>
              <w:tab/>
            </w:r>
            <w:r w:rsidR="00D100EA">
              <w:rPr>
                <w:noProof/>
                <w:webHidden/>
              </w:rPr>
              <w:fldChar w:fldCharType="begin"/>
            </w:r>
            <w:r w:rsidR="00D100EA">
              <w:rPr>
                <w:noProof/>
                <w:webHidden/>
              </w:rPr>
              <w:instrText xml:space="preserve"> PAGEREF _Toc128136452 \h </w:instrText>
            </w:r>
            <w:r w:rsidR="00D100EA">
              <w:rPr>
                <w:noProof/>
                <w:webHidden/>
              </w:rPr>
            </w:r>
            <w:r w:rsidR="00D100EA">
              <w:rPr>
                <w:noProof/>
                <w:webHidden/>
              </w:rPr>
              <w:fldChar w:fldCharType="separate"/>
            </w:r>
            <w:r w:rsidR="00D100EA">
              <w:rPr>
                <w:noProof/>
                <w:webHidden/>
              </w:rPr>
              <w:t>5</w:t>
            </w:r>
            <w:r w:rsidR="00D100EA">
              <w:rPr>
                <w:noProof/>
                <w:webHidden/>
              </w:rPr>
              <w:fldChar w:fldCharType="end"/>
            </w:r>
          </w:hyperlink>
        </w:p>
        <w:p w14:paraId="4213EA12"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3" w:history="1">
            <w:r w:rsidR="00D100EA" w:rsidRPr="009E2015">
              <w:rPr>
                <w:rStyle w:val="Hyperlink"/>
                <w:noProof/>
                <w:lang w:val="en-GB"/>
              </w:rPr>
              <w:t>6. “What will stay the same?”</w:t>
            </w:r>
            <w:r w:rsidR="00D100EA">
              <w:rPr>
                <w:noProof/>
                <w:webHidden/>
              </w:rPr>
              <w:tab/>
            </w:r>
            <w:r w:rsidR="00D100EA">
              <w:rPr>
                <w:noProof/>
                <w:webHidden/>
              </w:rPr>
              <w:fldChar w:fldCharType="begin"/>
            </w:r>
            <w:r w:rsidR="00D100EA">
              <w:rPr>
                <w:noProof/>
                <w:webHidden/>
              </w:rPr>
              <w:instrText xml:space="preserve"> PAGEREF _Toc128136453 \h </w:instrText>
            </w:r>
            <w:r w:rsidR="00D100EA">
              <w:rPr>
                <w:noProof/>
                <w:webHidden/>
              </w:rPr>
            </w:r>
            <w:r w:rsidR="00D100EA">
              <w:rPr>
                <w:noProof/>
                <w:webHidden/>
              </w:rPr>
              <w:fldChar w:fldCharType="separate"/>
            </w:r>
            <w:r w:rsidR="00D100EA">
              <w:rPr>
                <w:noProof/>
                <w:webHidden/>
              </w:rPr>
              <w:t>5</w:t>
            </w:r>
            <w:r w:rsidR="00D100EA">
              <w:rPr>
                <w:noProof/>
                <w:webHidden/>
              </w:rPr>
              <w:fldChar w:fldCharType="end"/>
            </w:r>
          </w:hyperlink>
        </w:p>
        <w:p w14:paraId="11079413"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4" w:history="1">
            <w:r w:rsidR="00D100EA" w:rsidRPr="009E2015">
              <w:rPr>
                <w:rStyle w:val="Hyperlink"/>
                <w:noProof/>
                <w:lang w:val="en-GB"/>
              </w:rPr>
              <w:t>7. “What are the advantages and disadvantages of these changes?”</w:t>
            </w:r>
            <w:r w:rsidR="00D100EA">
              <w:rPr>
                <w:noProof/>
                <w:webHidden/>
              </w:rPr>
              <w:tab/>
            </w:r>
            <w:r w:rsidR="00D100EA">
              <w:rPr>
                <w:noProof/>
                <w:webHidden/>
              </w:rPr>
              <w:fldChar w:fldCharType="begin"/>
            </w:r>
            <w:r w:rsidR="00D100EA">
              <w:rPr>
                <w:noProof/>
                <w:webHidden/>
              </w:rPr>
              <w:instrText xml:space="preserve"> PAGEREF _Toc128136454 \h </w:instrText>
            </w:r>
            <w:r w:rsidR="00D100EA">
              <w:rPr>
                <w:noProof/>
                <w:webHidden/>
              </w:rPr>
            </w:r>
            <w:r w:rsidR="00D100EA">
              <w:rPr>
                <w:noProof/>
                <w:webHidden/>
              </w:rPr>
              <w:fldChar w:fldCharType="separate"/>
            </w:r>
            <w:r w:rsidR="00D100EA">
              <w:rPr>
                <w:noProof/>
                <w:webHidden/>
              </w:rPr>
              <w:t>6</w:t>
            </w:r>
            <w:r w:rsidR="00D100EA">
              <w:rPr>
                <w:noProof/>
                <w:webHidden/>
              </w:rPr>
              <w:fldChar w:fldCharType="end"/>
            </w:r>
          </w:hyperlink>
        </w:p>
        <w:p w14:paraId="6AC86714"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5" w:history="1">
            <w:r w:rsidR="00D100EA" w:rsidRPr="009E2015">
              <w:rPr>
                <w:rStyle w:val="Hyperlink"/>
                <w:noProof/>
                <w:lang w:val="en-GB"/>
              </w:rPr>
              <w:t>8. Other reform suggestions</w:t>
            </w:r>
            <w:r w:rsidR="00D100EA">
              <w:rPr>
                <w:noProof/>
                <w:webHidden/>
              </w:rPr>
              <w:tab/>
            </w:r>
            <w:r w:rsidR="00D100EA">
              <w:rPr>
                <w:noProof/>
                <w:webHidden/>
              </w:rPr>
              <w:fldChar w:fldCharType="begin"/>
            </w:r>
            <w:r w:rsidR="00D100EA">
              <w:rPr>
                <w:noProof/>
                <w:webHidden/>
              </w:rPr>
              <w:instrText xml:space="preserve"> PAGEREF _Toc128136455 \h </w:instrText>
            </w:r>
            <w:r w:rsidR="00D100EA">
              <w:rPr>
                <w:noProof/>
                <w:webHidden/>
              </w:rPr>
            </w:r>
            <w:r w:rsidR="00D100EA">
              <w:rPr>
                <w:noProof/>
                <w:webHidden/>
              </w:rPr>
              <w:fldChar w:fldCharType="separate"/>
            </w:r>
            <w:r w:rsidR="00D100EA">
              <w:rPr>
                <w:noProof/>
                <w:webHidden/>
              </w:rPr>
              <w:t>6</w:t>
            </w:r>
            <w:r w:rsidR="00D100EA">
              <w:rPr>
                <w:noProof/>
                <w:webHidden/>
              </w:rPr>
              <w:fldChar w:fldCharType="end"/>
            </w:r>
          </w:hyperlink>
        </w:p>
        <w:p w14:paraId="252763BA" w14:textId="77777777" w:rsidR="00D100EA" w:rsidRDefault="00000000">
          <w:pPr>
            <w:pStyle w:val="TOC2"/>
            <w:tabs>
              <w:tab w:val="right" w:leader="dot" w:pos="9019"/>
            </w:tabs>
            <w:rPr>
              <w:rFonts w:asciiTheme="minorHAnsi" w:eastAsiaTheme="minorEastAsia" w:hAnsiTheme="minorHAnsi" w:cstheme="minorBidi"/>
              <w:noProof/>
              <w:sz w:val="22"/>
              <w:szCs w:val="22"/>
            </w:rPr>
          </w:pPr>
          <w:hyperlink w:anchor="_Toc128136456" w:history="1">
            <w:r w:rsidR="00D100EA" w:rsidRPr="009E2015">
              <w:rPr>
                <w:rStyle w:val="Hyperlink"/>
                <w:noProof/>
                <w:lang w:val="en-GB"/>
              </w:rPr>
              <w:t>European Communities Act 1872</w:t>
            </w:r>
            <w:r w:rsidR="00D100EA">
              <w:rPr>
                <w:noProof/>
                <w:webHidden/>
              </w:rPr>
              <w:tab/>
            </w:r>
            <w:r w:rsidR="00D100EA">
              <w:rPr>
                <w:noProof/>
                <w:webHidden/>
              </w:rPr>
              <w:fldChar w:fldCharType="begin"/>
            </w:r>
            <w:r w:rsidR="00D100EA">
              <w:rPr>
                <w:noProof/>
                <w:webHidden/>
              </w:rPr>
              <w:instrText xml:space="preserve"> PAGEREF _Toc128136456 \h </w:instrText>
            </w:r>
            <w:r w:rsidR="00D100EA">
              <w:rPr>
                <w:noProof/>
                <w:webHidden/>
              </w:rPr>
            </w:r>
            <w:r w:rsidR="00D100EA">
              <w:rPr>
                <w:noProof/>
                <w:webHidden/>
              </w:rPr>
              <w:fldChar w:fldCharType="separate"/>
            </w:r>
            <w:r w:rsidR="00D100EA">
              <w:rPr>
                <w:noProof/>
                <w:webHidden/>
              </w:rPr>
              <w:t>6</w:t>
            </w:r>
            <w:r w:rsidR="00D100EA">
              <w:rPr>
                <w:noProof/>
                <w:webHidden/>
              </w:rPr>
              <w:fldChar w:fldCharType="end"/>
            </w:r>
          </w:hyperlink>
        </w:p>
        <w:p w14:paraId="73299AFA" w14:textId="77777777" w:rsidR="00D100EA" w:rsidRDefault="00000000">
          <w:pPr>
            <w:pStyle w:val="TOC2"/>
            <w:tabs>
              <w:tab w:val="right" w:leader="dot" w:pos="9019"/>
            </w:tabs>
            <w:rPr>
              <w:rFonts w:asciiTheme="minorHAnsi" w:eastAsiaTheme="minorEastAsia" w:hAnsiTheme="minorHAnsi" w:cstheme="minorBidi"/>
              <w:noProof/>
              <w:sz w:val="22"/>
              <w:szCs w:val="22"/>
            </w:rPr>
          </w:pPr>
          <w:hyperlink w:anchor="_Toc128136457" w:history="1">
            <w:r w:rsidR="00D100EA" w:rsidRPr="009E2015">
              <w:rPr>
                <w:rStyle w:val="Hyperlink"/>
                <w:noProof/>
                <w:lang w:val="en-GB"/>
              </w:rPr>
              <w:t>European Union (Withdrawal) Act 2018</w:t>
            </w:r>
            <w:r w:rsidR="00D100EA">
              <w:rPr>
                <w:noProof/>
                <w:webHidden/>
              </w:rPr>
              <w:tab/>
            </w:r>
            <w:r w:rsidR="00D100EA">
              <w:rPr>
                <w:noProof/>
                <w:webHidden/>
              </w:rPr>
              <w:fldChar w:fldCharType="begin"/>
            </w:r>
            <w:r w:rsidR="00D100EA">
              <w:rPr>
                <w:noProof/>
                <w:webHidden/>
              </w:rPr>
              <w:instrText xml:space="preserve"> PAGEREF _Toc128136457 \h </w:instrText>
            </w:r>
            <w:r w:rsidR="00D100EA">
              <w:rPr>
                <w:noProof/>
                <w:webHidden/>
              </w:rPr>
            </w:r>
            <w:r w:rsidR="00D100EA">
              <w:rPr>
                <w:noProof/>
                <w:webHidden/>
              </w:rPr>
              <w:fldChar w:fldCharType="separate"/>
            </w:r>
            <w:r w:rsidR="00D100EA">
              <w:rPr>
                <w:noProof/>
                <w:webHidden/>
              </w:rPr>
              <w:t>6</w:t>
            </w:r>
            <w:r w:rsidR="00D100EA">
              <w:rPr>
                <w:noProof/>
                <w:webHidden/>
              </w:rPr>
              <w:fldChar w:fldCharType="end"/>
            </w:r>
          </w:hyperlink>
        </w:p>
        <w:p w14:paraId="1E2B62CE"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8" w:history="1">
            <w:r w:rsidR="00D100EA" w:rsidRPr="009E2015">
              <w:rPr>
                <w:rStyle w:val="Hyperlink"/>
                <w:noProof/>
                <w:lang w:val="en-GB"/>
              </w:rPr>
              <w:t>Summary/ Conclusion</w:t>
            </w:r>
            <w:r w:rsidR="00D100EA">
              <w:rPr>
                <w:noProof/>
                <w:webHidden/>
              </w:rPr>
              <w:tab/>
            </w:r>
            <w:r w:rsidR="00D100EA">
              <w:rPr>
                <w:noProof/>
                <w:webHidden/>
              </w:rPr>
              <w:fldChar w:fldCharType="begin"/>
            </w:r>
            <w:r w:rsidR="00D100EA">
              <w:rPr>
                <w:noProof/>
                <w:webHidden/>
              </w:rPr>
              <w:instrText xml:space="preserve"> PAGEREF _Toc128136458 \h </w:instrText>
            </w:r>
            <w:r w:rsidR="00D100EA">
              <w:rPr>
                <w:noProof/>
                <w:webHidden/>
              </w:rPr>
            </w:r>
            <w:r w:rsidR="00D100EA">
              <w:rPr>
                <w:noProof/>
                <w:webHidden/>
              </w:rPr>
              <w:fldChar w:fldCharType="separate"/>
            </w:r>
            <w:r w:rsidR="00D100EA">
              <w:rPr>
                <w:noProof/>
                <w:webHidden/>
              </w:rPr>
              <w:t>7</w:t>
            </w:r>
            <w:r w:rsidR="00D100EA">
              <w:rPr>
                <w:noProof/>
                <w:webHidden/>
              </w:rPr>
              <w:fldChar w:fldCharType="end"/>
            </w:r>
          </w:hyperlink>
        </w:p>
        <w:p w14:paraId="017A4797" w14:textId="77777777" w:rsidR="00D100EA" w:rsidRDefault="00000000">
          <w:pPr>
            <w:pStyle w:val="TOC1"/>
            <w:tabs>
              <w:tab w:val="right" w:leader="dot" w:pos="9019"/>
            </w:tabs>
            <w:rPr>
              <w:rFonts w:asciiTheme="minorHAnsi" w:eastAsiaTheme="minorEastAsia" w:hAnsiTheme="minorHAnsi" w:cstheme="minorBidi"/>
              <w:noProof/>
              <w:sz w:val="22"/>
              <w:szCs w:val="22"/>
            </w:rPr>
          </w:pPr>
          <w:hyperlink w:anchor="_Toc128136459" w:history="1">
            <w:r w:rsidR="00D100EA" w:rsidRPr="009E2015">
              <w:rPr>
                <w:rStyle w:val="Hyperlink"/>
                <w:noProof/>
                <w:lang w:val="en-GB"/>
              </w:rPr>
              <w:t>References</w:t>
            </w:r>
            <w:r w:rsidR="00D100EA">
              <w:rPr>
                <w:noProof/>
                <w:webHidden/>
              </w:rPr>
              <w:tab/>
            </w:r>
            <w:r w:rsidR="00D100EA">
              <w:rPr>
                <w:noProof/>
                <w:webHidden/>
              </w:rPr>
              <w:fldChar w:fldCharType="begin"/>
            </w:r>
            <w:r w:rsidR="00D100EA">
              <w:rPr>
                <w:noProof/>
                <w:webHidden/>
              </w:rPr>
              <w:instrText xml:space="preserve"> PAGEREF _Toc128136459 \h </w:instrText>
            </w:r>
            <w:r w:rsidR="00D100EA">
              <w:rPr>
                <w:noProof/>
                <w:webHidden/>
              </w:rPr>
            </w:r>
            <w:r w:rsidR="00D100EA">
              <w:rPr>
                <w:noProof/>
                <w:webHidden/>
              </w:rPr>
              <w:fldChar w:fldCharType="separate"/>
            </w:r>
            <w:r w:rsidR="00D100EA">
              <w:rPr>
                <w:noProof/>
                <w:webHidden/>
              </w:rPr>
              <w:t>8</w:t>
            </w:r>
            <w:r w:rsidR="00D100EA">
              <w:rPr>
                <w:noProof/>
                <w:webHidden/>
              </w:rPr>
              <w:fldChar w:fldCharType="end"/>
            </w:r>
          </w:hyperlink>
        </w:p>
        <w:p w14:paraId="4B191BA9" w14:textId="77777777" w:rsidR="00D100EA" w:rsidRDefault="00D100EA">
          <w:r>
            <w:fldChar w:fldCharType="end"/>
          </w:r>
        </w:p>
      </w:sdtContent>
    </w:sdt>
    <w:p w14:paraId="1D46F7E4" w14:textId="77777777" w:rsidR="00D100EA" w:rsidRDefault="00D100EA">
      <w:pPr>
        <w:rPr>
          <w:b/>
          <w:sz w:val="32"/>
          <w:szCs w:val="32"/>
          <w:lang w:val="en-GB"/>
        </w:rPr>
      </w:pPr>
      <w:r>
        <w:rPr>
          <w:b/>
          <w:sz w:val="32"/>
          <w:szCs w:val="32"/>
          <w:lang w:val="en-GB"/>
        </w:rPr>
        <w:br w:type="page"/>
      </w:r>
    </w:p>
    <w:p w14:paraId="46A0AE6F" w14:textId="77777777" w:rsidR="00B14421" w:rsidRPr="00D100EA" w:rsidRDefault="004624FE">
      <w:pPr>
        <w:pStyle w:val="Normal1"/>
        <w:rPr>
          <w:b/>
          <w:sz w:val="32"/>
          <w:szCs w:val="32"/>
          <w:lang w:val="en-GB"/>
        </w:rPr>
      </w:pPr>
      <w:r w:rsidRPr="00D100EA">
        <w:rPr>
          <w:b/>
          <w:sz w:val="32"/>
          <w:szCs w:val="32"/>
          <w:lang w:val="en-GB"/>
        </w:rPr>
        <w:lastRenderedPageBreak/>
        <w:t xml:space="preserve">Introduction </w:t>
      </w:r>
    </w:p>
    <w:p w14:paraId="1D50B28A" w14:textId="77777777" w:rsidR="00B14421" w:rsidRPr="00D100EA" w:rsidRDefault="004624FE">
      <w:pPr>
        <w:pStyle w:val="Normal1"/>
        <w:rPr>
          <w:lang w:val="en-GB"/>
        </w:rPr>
      </w:pPr>
      <w:r w:rsidRPr="00D100EA">
        <w:rPr>
          <w:lang w:val="en-GB"/>
        </w:rPr>
        <w:t xml:space="preserve">The study will focus on the “Bill of Rights Act” that was introduced to repeal and replace the “Human rights act 1998”. To understand it, the study will answer the questions asked on the bill. The study will also focus on what changes the bill will bring in relation to the laws offered by the “Human Rights Act 1998”. The answers will be provided to have a better understanding on the implications of the bill and what advantages and disadvantages it offers to the country. </w:t>
      </w:r>
    </w:p>
    <w:p w14:paraId="3BDE2649" w14:textId="77777777" w:rsidR="00B14421" w:rsidRPr="00D100EA" w:rsidRDefault="004624FE">
      <w:pPr>
        <w:pStyle w:val="Normal1"/>
        <w:rPr>
          <w:b/>
          <w:sz w:val="32"/>
          <w:szCs w:val="32"/>
          <w:lang w:val="en-GB"/>
        </w:rPr>
      </w:pPr>
      <w:r w:rsidRPr="00D100EA">
        <w:rPr>
          <w:lang w:val="en-GB"/>
        </w:rPr>
        <w:br w:type="page"/>
      </w:r>
    </w:p>
    <w:p w14:paraId="546F834E" w14:textId="77777777" w:rsidR="00B14421" w:rsidRPr="00D100EA" w:rsidRDefault="004624FE">
      <w:pPr>
        <w:pStyle w:val="Heading1"/>
        <w:rPr>
          <w:lang w:val="en-GB"/>
        </w:rPr>
      </w:pPr>
      <w:bookmarkStart w:id="0" w:name="_gz30jvtfhb3m" w:colFirst="0" w:colLast="0"/>
      <w:bookmarkStart w:id="1" w:name="_Toc128136448"/>
      <w:bookmarkEnd w:id="0"/>
      <w:r w:rsidRPr="00D100EA">
        <w:rPr>
          <w:lang w:val="en-GB"/>
        </w:rPr>
        <w:lastRenderedPageBreak/>
        <w:t>1. “What is the Bill of Rights bill?”</w:t>
      </w:r>
      <w:bookmarkEnd w:id="1"/>
    </w:p>
    <w:p w14:paraId="550D176F" w14:textId="77777777" w:rsidR="00B14421" w:rsidRPr="00D100EA" w:rsidRDefault="004624FE">
      <w:pPr>
        <w:pStyle w:val="Normal1"/>
        <w:rPr>
          <w:lang w:val="en-GB"/>
        </w:rPr>
      </w:pPr>
      <w:r w:rsidRPr="00D100EA">
        <w:rPr>
          <w:lang w:val="en-GB"/>
        </w:rPr>
        <w:t xml:space="preserve">The “Bill of Rights bill” is an act that was published and passed by the government of UK to replace and repeal the “Human Rights Act 1998”. The Act was introduced by the government on 22 June 2022 </w:t>
      </w:r>
      <w:r w:rsidRPr="00D100EA">
        <w:rPr>
          <w:highlight w:val="white"/>
          <w:lang w:val="en-GB"/>
        </w:rPr>
        <w:t>(Dawson, 2023)</w:t>
      </w:r>
      <w:r w:rsidRPr="00D100EA">
        <w:rPr>
          <w:lang w:val="en-GB"/>
        </w:rPr>
        <w:t xml:space="preserve">. The bill focuses on the fundamental rights of everyone within the borders of the UK. The bill re-clarifies the status of supreme court, </w:t>
      </w:r>
      <w:proofErr w:type="gramStart"/>
      <w:r w:rsidRPr="00D100EA">
        <w:rPr>
          <w:lang w:val="en-GB"/>
        </w:rPr>
        <w:t>parliament</w:t>
      </w:r>
      <w:proofErr w:type="gramEnd"/>
      <w:r w:rsidRPr="00D100EA">
        <w:rPr>
          <w:lang w:val="en-GB"/>
        </w:rPr>
        <w:t xml:space="preserve"> and European convention. The bill states that the flexibility to give an effect and meaning to the rights are given to the supreme court. It puts immense emphasis on the principle that the decision about the </w:t>
      </w:r>
      <w:r w:rsidR="004E2D0B" w:rsidRPr="00D100EA">
        <w:rPr>
          <w:lang w:val="en-GB"/>
        </w:rPr>
        <w:t>Convention rights</w:t>
      </w:r>
      <w:r w:rsidRPr="00D100EA">
        <w:rPr>
          <w:lang w:val="en-GB"/>
        </w:rPr>
        <w:t xml:space="preserve">, policy aims are made and developed by the Parliament. It states that the interim </w:t>
      </w:r>
      <w:r w:rsidR="004E2D0B" w:rsidRPr="00D100EA">
        <w:rPr>
          <w:lang w:val="en-GB"/>
        </w:rPr>
        <w:t xml:space="preserve">measure, </w:t>
      </w:r>
      <w:proofErr w:type="gramStart"/>
      <w:r w:rsidR="004E2D0B" w:rsidRPr="00D100EA">
        <w:rPr>
          <w:lang w:val="en-GB"/>
        </w:rPr>
        <w:t>decision</w:t>
      </w:r>
      <w:proofErr w:type="gramEnd"/>
      <w:r w:rsidRPr="00D100EA">
        <w:rPr>
          <w:lang w:val="en-GB"/>
        </w:rPr>
        <w:t xml:space="preserve"> and judgement made by the European court does not count in the domestic law. It will also not affect the right of Parliament for any legislation activities taken in the parliament.    </w:t>
      </w:r>
    </w:p>
    <w:p w14:paraId="7248DDD4" w14:textId="77777777" w:rsidR="00B14421" w:rsidRPr="00D100EA" w:rsidRDefault="004624FE">
      <w:pPr>
        <w:pStyle w:val="Heading1"/>
        <w:rPr>
          <w:lang w:val="en-GB"/>
        </w:rPr>
      </w:pPr>
      <w:bookmarkStart w:id="2" w:name="_r8v4zm9hzc9x" w:colFirst="0" w:colLast="0"/>
      <w:bookmarkStart w:id="3" w:name="_Toc128136449"/>
      <w:bookmarkEnd w:id="2"/>
      <w:r w:rsidRPr="00D100EA">
        <w:rPr>
          <w:lang w:val="en-GB"/>
        </w:rPr>
        <w:t>2. “What is the Human Rights Act 1998?”</w:t>
      </w:r>
      <w:bookmarkEnd w:id="3"/>
    </w:p>
    <w:p w14:paraId="70730C6B" w14:textId="77777777" w:rsidR="00B14421" w:rsidRPr="00D100EA" w:rsidRDefault="004624FE">
      <w:pPr>
        <w:pStyle w:val="Normal1"/>
        <w:rPr>
          <w:lang w:val="en-GB"/>
        </w:rPr>
      </w:pPr>
      <w:r w:rsidRPr="00D100EA">
        <w:rPr>
          <w:lang w:val="en-GB"/>
        </w:rPr>
        <w:t xml:space="preserve">The “Human Rights Act of 1998” shows and gives further emphasis to the freedoms and fundamental rights of everyone living in the United Kingdom. The Act was passed in October 2000 and deals with the different types of rights that are owed by an individual in the UK. The proposed Act has three major consequences with which it was developed and focused on making the legal procedures more effective. The first effect was that an individual can ask for Justice which embraces the rights which were set out by the European Convention. Another effect of the Act was that all the public bodies such as publicly funded or supported schools, hospitals, </w:t>
      </w:r>
      <w:proofErr w:type="gramStart"/>
      <w:r w:rsidRPr="00D100EA">
        <w:rPr>
          <w:lang w:val="en-GB"/>
        </w:rPr>
        <w:t>courts</w:t>
      </w:r>
      <w:proofErr w:type="gramEnd"/>
      <w:r w:rsidRPr="00D100EA">
        <w:rPr>
          <w:lang w:val="en-GB"/>
        </w:rPr>
        <w:t xml:space="preserve"> and police must respect all the rights of citizens (Tyrrell, 2022). The third major effect of the Act was that all new laws that are developed and passed by the parliament need to be compatible with the related laws passed by the European Convention.    </w:t>
      </w:r>
    </w:p>
    <w:p w14:paraId="08B04F33" w14:textId="77777777" w:rsidR="00B14421" w:rsidRPr="00D100EA" w:rsidRDefault="004624FE">
      <w:pPr>
        <w:pStyle w:val="Heading1"/>
        <w:rPr>
          <w:lang w:val="en-GB"/>
        </w:rPr>
      </w:pPr>
      <w:bookmarkStart w:id="4" w:name="_jfesxe9toe35" w:colFirst="0" w:colLast="0"/>
      <w:bookmarkStart w:id="5" w:name="_Toc128136450"/>
      <w:bookmarkEnd w:id="4"/>
      <w:r w:rsidRPr="00D100EA">
        <w:rPr>
          <w:lang w:val="en-GB"/>
        </w:rPr>
        <w:t>3. “What are the main aims and objectives of the Bill of Rights Bill?”</w:t>
      </w:r>
      <w:bookmarkEnd w:id="5"/>
    </w:p>
    <w:p w14:paraId="6EDB0169" w14:textId="77777777" w:rsidR="00B14421" w:rsidRPr="00D100EA" w:rsidRDefault="004624FE">
      <w:pPr>
        <w:pStyle w:val="Normal1"/>
        <w:rPr>
          <w:lang w:val="en-GB"/>
        </w:rPr>
      </w:pPr>
      <w:r w:rsidRPr="00D100EA">
        <w:rPr>
          <w:lang w:val="en-GB"/>
        </w:rPr>
        <w:t xml:space="preserve">The main objective of the “Bill of Rights bill” was to repeal and replace the “Human Rights Act 1998” to further strengthen the pharmacy and domestic institution of UK law. It gives the power to the court to associate the laws of human rights in the UK context. The Act aims to re-balance and clarify the relationship between courts, Parliament, and the European Court of Human Rights. By doing this it ensures the power to steer the effect and meaning of convention right is offered to the supreme court. A court other than the supreme court is not required to give effect to legislation (Parliament.uk, 2022). The Act also focuses on the freedom of speech along with the importance of rights and their protection. Other main aims of the bill include </w:t>
      </w:r>
      <w:r w:rsidRPr="00D100EA">
        <w:rPr>
          <w:lang w:val="en-GB"/>
        </w:rPr>
        <w:lastRenderedPageBreak/>
        <w:t xml:space="preserve">positive obligations and public protection. The Act also allows enforcing all the rights that are contained in the European convention domestically.      </w:t>
      </w:r>
    </w:p>
    <w:p w14:paraId="62D20796" w14:textId="77777777" w:rsidR="00B14421" w:rsidRPr="00D100EA" w:rsidRDefault="004624FE">
      <w:pPr>
        <w:pStyle w:val="Heading1"/>
        <w:rPr>
          <w:lang w:val="en-GB"/>
        </w:rPr>
      </w:pPr>
      <w:bookmarkStart w:id="6" w:name="_vhlh3quchyfy" w:colFirst="0" w:colLast="0"/>
      <w:bookmarkStart w:id="7" w:name="_Toc128136451"/>
      <w:bookmarkEnd w:id="6"/>
      <w:r w:rsidRPr="00D100EA">
        <w:rPr>
          <w:lang w:val="en-GB"/>
        </w:rPr>
        <w:t>4. “Why has the bill been created?”</w:t>
      </w:r>
      <w:bookmarkEnd w:id="7"/>
    </w:p>
    <w:p w14:paraId="2E79FBCE" w14:textId="77777777" w:rsidR="00B14421" w:rsidRPr="00D100EA" w:rsidRDefault="004624FE">
      <w:pPr>
        <w:pStyle w:val="Normal1"/>
        <w:rPr>
          <w:lang w:val="en-GB"/>
        </w:rPr>
      </w:pPr>
      <w:r w:rsidRPr="00D100EA">
        <w:rPr>
          <w:lang w:val="en-GB"/>
        </w:rPr>
        <w:t xml:space="preserve">The main purpose for creating the Act was to replace and repeal the Human rights act of 1998. By doing this, it strengthened and focused on the fundamental rights of the citizens. The “Bill of Rights bill” was created to establish the principles for frequent parliaments, freedom of speech and free election. Another reason for creating the bill was to link with the older legislation that was formed in the UK such as “English Bill of Rights 1689” and the “Scottish Claim of Rights 1689”. However, the creation of the bill has not brought any new laws but has made certain but significant changes related to human rights. The bill has been passed to give effect to the “European Convention of Human Rights” within the UK laws (Dr Alice Donald, 2023). The main criterion of the process was that the laws that will be changes or introduced needs to be compatible with the “Human rights </w:t>
      </w:r>
      <w:proofErr w:type="gramStart"/>
      <w:r w:rsidRPr="00D100EA">
        <w:rPr>
          <w:lang w:val="en-GB"/>
        </w:rPr>
        <w:t>Act”</w:t>
      </w:r>
      <w:proofErr w:type="gramEnd"/>
    </w:p>
    <w:p w14:paraId="18BDE069" w14:textId="77777777" w:rsidR="00B14421" w:rsidRPr="00D100EA" w:rsidRDefault="004624FE">
      <w:pPr>
        <w:pStyle w:val="Heading1"/>
        <w:rPr>
          <w:lang w:val="en-GB"/>
        </w:rPr>
      </w:pPr>
      <w:bookmarkStart w:id="8" w:name="_mupduqfqkmwe" w:colFirst="0" w:colLast="0"/>
      <w:bookmarkStart w:id="9" w:name="_Toc128136452"/>
      <w:bookmarkEnd w:id="8"/>
      <w:r w:rsidRPr="00D100EA">
        <w:rPr>
          <w:lang w:val="en-GB"/>
        </w:rPr>
        <w:t>5. “What changes will the bill make?”</w:t>
      </w:r>
      <w:bookmarkEnd w:id="9"/>
    </w:p>
    <w:p w14:paraId="4756D610" w14:textId="77777777" w:rsidR="00B14421" w:rsidRPr="00D100EA" w:rsidRDefault="004624FE">
      <w:pPr>
        <w:pStyle w:val="Normal1"/>
        <w:rPr>
          <w:lang w:val="en-GB"/>
        </w:rPr>
      </w:pPr>
      <w:r w:rsidRPr="00D100EA">
        <w:rPr>
          <w:lang w:val="en-GB"/>
        </w:rPr>
        <w:t xml:space="preserve">The major change brought by the “Bill of Rights bill” was the process through which human rights were enforced and protected. For the people to claim human rights, they should introduce the permission stage which requires them to prove the sufficient damage or disadvantage they have incurred. All these changes </w:t>
      </w:r>
      <w:proofErr w:type="gramStart"/>
      <w:r w:rsidRPr="00D100EA">
        <w:rPr>
          <w:lang w:val="en-GB"/>
        </w:rPr>
        <w:t>are considered to be</w:t>
      </w:r>
      <w:proofErr w:type="gramEnd"/>
      <w:r w:rsidRPr="00D100EA">
        <w:rPr>
          <w:lang w:val="en-GB"/>
        </w:rPr>
        <w:t xml:space="preserve"> necessary for wiping out “trivial class”. The replacement Human right act 1998 by the Bill of Rights bill was made to compensate for the criticism of the former. The implementation of the latter brought several changes in terms of law and regulations. The Government published the bill on 22 June 2022 with the aim of repealing and replacing the Human right act 1998 with the framework to enforce the rights offered by the European convention (Foster, 2022). The bill does not introduce any new laws but makes certain changes and gives effect to the laws of ECHR. It also triggers the ability to enable ministers along with the parliament to take any decision or </w:t>
      </w:r>
      <w:proofErr w:type="gramStart"/>
      <w:r w:rsidRPr="00D100EA">
        <w:rPr>
          <w:lang w:val="en-GB"/>
        </w:rPr>
        <w:t>make a decision</w:t>
      </w:r>
      <w:proofErr w:type="gramEnd"/>
      <w:r w:rsidRPr="00D100EA">
        <w:rPr>
          <w:lang w:val="en-GB"/>
        </w:rPr>
        <w:t xml:space="preserve"> to correct the legislation. The provisions made within the bill seek to lessen the obligations on the authorities of public with the purpose that they will take proactive steps for the safety of the rights. </w:t>
      </w:r>
    </w:p>
    <w:p w14:paraId="695F0D4F" w14:textId="77777777" w:rsidR="00B14421" w:rsidRPr="00D100EA" w:rsidRDefault="004624FE">
      <w:pPr>
        <w:pStyle w:val="Heading1"/>
        <w:rPr>
          <w:lang w:val="en-GB"/>
        </w:rPr>
      </w:pPr>
      <w:bookmarkStart w:id="10" w:name="_476vjpngtj53" w:colFirst="0" w:colLast="0"/>
      <w:bookmarkStart w:id="11" w:name="_Toc128136453"/>
      <w:bookmarkEnd w:id="10"/>
      <w:r w:rsidRPr="00D100EA">
        <w:rPr>
          <w:lang w:val="en-GB"/>
        </w:rPr>
        <w:t>6. “What will stay the same?”</w:t>
      </w:r>
      <w:bookmarkEnd w:id="11"/>
      <w:r w:rsidRPr="00D100EA">
        <w:rPr>
          <w:lang w:val="en-GB"/>
        </w:rPr>
        <w:t xml:space="preserve"> </w:t>
      </w:r>
    </w:p>
    <w:p w14:paraId="7E8E864F" w14:textId="77777777" w:rsidR="00B14421" w:rsidRPr="00D100EA" w:rsidRDefault="004624FE">
      <w:pPr>
        <w:pStyle w:val="Normal1"/>
        <w:rPr>
          <w:lang w:val="en-GB"/>
        </w:rPr>
      </w:pPr>
      <w:r w:rsidRPr="00D100EA">
        <w:rPr>
          <w:lang w:val="en-GB"/>
        </w:rPr>
        <w:t xml:space="preserve">With not many changes, the introduction of the “Bill of Rights bill” has kept various laws and regulations the same as earlier. The “freedom of speech” will stay the same as earlier and will be protected under the effect of ECHR. Higher courts in the UK will still get privilege to issue “declaration of incompatible”. There are many similarities between the “Bill of Rights bill” </w:t>
      </w:r>
      <w:r w:rsidRPr="00D100EA">
        <w:rPr>
          <w:lang w:val="en-GB"/>
        </w:rPr>
        <w:lastRenderedPageBreak/>
        <w:t xml:space="preserve">and the “Human Rights Act 1998” (Dr Alice Donald, 2023). The public authorities have the duty to act according to the law </w:t>
      </w:r>
      <w:proofErr w:type="gramStart"/>
      <w:r w:rsidRPr="00D100EA">
        <w:rPr>
          <w:lang w:val="en-GB"/>
        </w:rPr>
        <w:t>and also</w:t>
      </w:r>
      <w:proofErr w:type="gramEnd"/>
      <w:r w:rsidRPr="00D100EA">
        <w:rPr>
          <w:lang w:val="en-GB"/>
        </w:rPr>
        <w:t xml:space="preserve"> should be compatible with the “European Convention of Human Rights”. However, the changes can be brought through the requirements provided by the primary legislation.  </w:t>
      </w:r>
    </w:p>
    <w:p w14:paraId="3CC37325" w14:textId="77777777" w:rsidR="00B14421" w:rsidRPr="00D100EA" w:rsidRDefault="004624FE">
      <w:pPr>
        <w:pStyle w:val="Heading1"/>
        <w:rPr>
          <w:lang w:val="en-GB"/>
        </w:rPr>
      </w:pPr>
      <w:bookmarkStart w:id="12" w:name="_aekj5vxry2uq" w:colFirst="0" w:colLast="0"/>
      <w:bookmarkStart w:id="13" w:name="_Toc128136454"/>
      <w:bookmarkEnd w:id="12"/>
      <w:r w:rsidRPr="00D100EA">
        <w:rPr>
          <w:lang w:val="en-GB"/>
        </w:rPr>
        <w:t>7. “What are the advantages and disadvantages of these changes?”</w:t>
      </w:r>
      <w:bookmarkEnd w:id="13"/>
    </w:p>
    <w:p w14:paraId="31252264" w14:textId="77777777" w:rsidR="00B14421" w:rsidRPr="00D100EA" w:rsidRDefault="004624FE">
      <w:pPr>
        <w:pStyle w:val="Normal1"/>
        <w:rPr>
          <w:lang w:val="en-GB"/>
        </w:rPr>
      </w:pPr>
      <w:r w:rsidRPr="00D100EA">
        <w:rPr>
          <w:lang w:val="en-GB"/>
        </w:rPr>
        <w:t xml:space="preserve">There are advantages that can be witnessed as the bill is introduced with the purpose of replacing and repealing the “Human rights act 1998”. The bill will further strengthen human rights making it more favourable for people to claim. It will give enhanced power to the supreme court and the potential to make decisions and effect legislation. It will further strengthen freedom of speech and prevent trivial claims for human rights </w:t>
      </w:r>
      <w:r w:rsidRPr="00D100EA">
        <w:rPr>
          <w:highlight w:val="white"/>
          <w:lang w:val="en-GB"/>
        </w:rPr>
        <w:t>(Ministry of Justice, 2022)</w:t>
      </w:r>
      <w:r w:rsidRPr="00D100EA">
        <w:rPr>
          <w:lang w:val="en-GB"/>
        </w:rPr>
        <w:t xml:space="preserve">. However, the introduction of the Bill brought certain consequences that can be considered as a disadvantage. It discourages the UK courts from participating in the interpretation of Convention rights dynamically or expansively. The situation remains the same even if the interpretation refers to the departure from the EVtHR. The bill also reduces the certain rights of the </w:t>
      </w:r>
      <w:proofErr w:type="gramStart"/>
      <w:r w:rsidRPr="00D100EA">
        <w:rPr>
          <w:lang w:val="en-GB"/>
        </w:rPr>
        <w:t>particular segment</w:t>
      </w:r>
      <w:proofErr w:type="gramEnd"/>
      <w:r w:rsidRPr="00D100EA">
        <w:rPr>
          <w:lang w:val="en-GB"/>
        </w:rPr>
        <w:t xml:space="preserve"> of people and may also result in legal uncertainty. The bill has also been criticised stating that it will give rise to an acceptable class with human right abuses within the country. </w:t>
      </w:r>
    </w:p>
    <w:p w14:paraId="78A528E5" w14:textId="77777777" w:rsidR="00B14421" w:rsidRPr="00D100EA" w:rsidRDefault="004624FE">
      <w:pPr>
        <w:pStyle w:val="Heading1"/>
        <w:rPr>
          <w:lang w:val="en-GB"/>
        </w:rPr>
      </w:pPr>
      <w:bookmarkStart w:id="14" w:name="_55xjjk5xqdle" w:colFirst="0" w:colLast="0"/>
      <w:bookmarkStart w:id="15" w:name="_Toc128136455"/>
      <w:bookmarkEnd w:id="14"/>
      <w:r w:rsidRPr="00D100EA">
        <w:rPr>
          <w:lang w:val="en-GB"/>
        </w:rPr>
        <w:t>8. Other reform suggestions</w:t>
      </w:r>
      <w:bookmarkEnd w:id="15"/>
    </w:p>
    <w:p w14:paraId="731EDFD6" w14:textId="77777777" w:rsidR="00B14421" w:rsidRPr="00D100EA" w:rsidRDefault="004624FE">
      <w:pPr>
        <w:pStyle w:val="Heading2"/>
        <w:rPr>
          <w:lang w:val="en-GB"/>
        </w:rPr>
      </w:pPr>
      <w:bookmarkStart w:id="16" w:name="_ijf27g2viv2y" w:colFirst="0" w:colLast="0"/>
      <w:bookmarkStart w:id="17" w:name="_Toc128136456"/>
      <w:bookmarkEnd w:id="16"/>
      <w:r w:rsidRPr="00D100EA">
        <w:rPr>
          <w:lang w:val="en-GB"/>
        </w:rPr>
        <w:t>European Communities Act 1872</w:t>
      </w:r>
      <w:bookmarkEnd w:id="17"/>
    </w:p>
    <w:p w14:paraId="027DFE52" w14:textId="77777777" w:rsidR="00B14421" w:rsidRPr="00D100EA" w:rsidRDefault="004624FE">
      <w:pPr>
        <w:pStyle w:val="Normal1"/>
        <w:rPr>
          <w:lang w:val="en-GB"/>
        </w:rPr>
      </w:pPr>
      <w:r w:rsidRPr="00D100EA">
        <w:rPr>
          <w:lang w:val="en-GB"/>
        </w:rPr>
        <w:t xml:space="preserve">There are other reforms and acts that could be suggested for the welfare of the citizens and to make the process better in the government. The “European Communities Act 1872” was a legislation that took the United Kingdom within the Europe Union. This act gave supremacy to the EU laws over the laws developed and passed by the UK. The purpose of the act was to secure the approval of parliament for the “treaty of accession” by Edward Heath. </w:t>
      </w:r>
    </w:p>
    <w:p w14:paraId="369240B8" w14:textId="77777777" w:rsidR="00B14421" w:rsidRPr="00D100EA" w:rsidRDefault="004624FE">
      <w:pPr>
        <w:pStyle w:val="Heading2"/>
        <w:rPr>
          <w:lang w:val="en-GB"/>
        </w:rPr>
      </w:pPr>
      <w:bookmarkStart w:id="18" w:name="_6uvskvmo8fas" w:colFirst="0" w:colLast="0"/>
      <w:bookmarkStart w:id="19" w:name="_Toc128136457"/>
      <w:bookmarkEnd w:id="18"/>
      <w:r w:rsidRPr="00D100EA">
        <w:rPr>
          <w:lang w:val="en-GB"/>
        </w:rPr>
        <w:t>European Union (Withdrawal) Act 2018</w:t>
      </w:r>
      <w:bookmarkEnd w:id="19"/>
    </w:p>
    <w:p w14:paraId="23C99DC7" w14:textId="77777777" w:rsidR="00B14421" w:rsidRPr="00D100EA" w:rsidRDefault="004624FE">
      <w:pPr>
        <w:pStyle w:val="Normal1"/>
        <w:rPr>
          <w:lang w:val="en-GB"/>
        </w:rPr>
      </w:pPr>
      <w:r w:rsidRPr="00D100EA">
        <w:rPr>
          <w:lang w:val="en-GB"/>
        </w:rPr>
        <w:t xml:space="preserve">The “European Union (withdrawal) Act 2018” was passed to repeal the “European Communities Act 1872”. However, some part of the law was </w:t>
      </w:r>
      <w:proofErr w:type="gramStart"/>
      <w:r w:rsidRPr="00D100EA">
        <w:rPr>
          <w:lang w:val="en-GB"/>
        </w:rPr>
        <w:t>still kept</w:t>
      </w:r>
      <w:proofErr w:type="gramEnd"/>
      <w:r w:rsidRPr="00D100EA">
        <w:rPr>
          <w:lang w:val="en-GB"/>
        </w:rPr>
        <w:t xml:space="preserve"> in the new reforms and legislation. The law was able to create a new category for the domestic laws within the UK (Burns </w:t>
      </w:r>
      <w:r w:rsidRPr="00D100EA">
        <w:rPr>
          <w:i/>
          <w:lang w:val="en-GB"/>
        </w:rPr>
        <w:t>et al</w:t>
      </w:r>
      <w:r w:rsidRPr="00D100EA">
        <w:rPr>
          <w:lang w:val="en-GB"/>
        </w:rPr>
        <w:t xml:space="preserve">., 2020). The act will give further effect to the EU laws in the UK and its governmental system. </w:t>
      </w:r>
    </w:p>
    <w:p w14:paraId="08B697FD" w14:textId="77777777" w:rsidR="00B14421" w:rsidRPr="00D100EA" w:rsidRDefault="004624FE">
      <w:pPr>
        <w:pStyle w:val="Heading1"/>
        <w:rPr>
          <w:lang w:val="en-GB"/>
        </w:rPr>
      </w:pPr>
      <w:bookmarkStart w:id="20" w:name="_a263ovxckae3" w:colFirst="0" w:colLast="0"/>
      <w:bookmarkEnd w:id="20"/>
      <w:r w:rsidRPr="00D100EA">
        <w:rPr>
          <w:lang w:val="en-GB"/>
        </w:rPr>
        <w:br w:type="page"/>
      </w:r>
    </w:p>
    <w:p w14:paraId="5FF17D54" w14:textId="77777777" w:rsidR="00B14421" w:rsidRPr="00D100EA" w:rsidRDefault="004624FE">
      <w:pPr>
        <w:pStyle w:val="Heading1"/>
        <w:rPr>
          <w:lang w:val="en-GB"/>
        </w:rPr>
      </w:pPr>
      <w:bookmarkStart w:id="21" w:name="_gckrbwaaskdn" w:colFirst="0" w:colLast="0"/>
      <w:bookmarkStart w:id="22" w:name="_Toc128136458"/>
      <w:bookmarkEnd w:id="21"/>
      <w:r w:rsidRPr="00D100EA">
        <w:rPr>
          <w:lang w:val="en-GB"/>
        </w:rPr>
        <w:lastRenderedPageBreak/>
        <w:t>Summary/ Conclusion</w:t>
      </w:r>
      <w:bookmarkEnd w:id="22"/>
      <w:r w:rsidRPr="00D100EA">
        <w:rPr>
          <w:lang w:val="en-GB"/>
        </w:rPr>
        <w:t xml:space="preserve"> </w:t>
      </w:r>
    </w:p>
    <w:p w14:paraId="4E61F71A" w14:textId="77777777" w:rsidR="00B14421" w:rsidRPr="00D100EA" w:rsidRDefault="004624FE">
      <w:pPr>
        <w:pStyle w:val="Normal1"/>
        <w:rPr>
          <w:lang w:val="en-GB"/>
        </w:rPr>
      </w:pPr>
      <w:r w:rsidRPr="00D100EA">
        <w:rPr>
          <w:lang w:val="en-GB"/>
        </w:rPr>
        <w:t xml:space="preserve">In the above study, the information focused on the “Bill of Rights” bill that was passed on 22 June 2022. The above study answered questions that were related to the Act </w:t>
      </w:r>
      <w:proofErr w:type="gramStart"/>
      <w:r w:rsidRPr="00D100EA">
        <w:rPr>
          <w:lang w:val="en-GB"/>
        </w:rPr>
        <w:t>and also</w:t>
      </w:r>
      <w:proofErr w:type="gramEnd"/>
      <w:r w:rsidRPr="00D100EA">
        <w:rPr>
          <w:lang w:val="en-GB"/>
        </w:rPr>
        <w:t xml:space="preserve"> with the “Human rights act 1998”. The information was gathered to have a better understanding of the introduction of the bill and why it was necessary for the government to enforce it. Through the information gathered, the study focused on showing the changes brought by the bill and what remained the same. In addition to it, the study also focused on the advantages and disadvantages of the bill and how it affected the government.  </w:t>
      </w:r>
    </w:p>
    <w:p w14:paraId="1F517664" w14:textId="77777777" w:rsidR="00B14421" w:rsidRPr="00D100EA" w:rsidRDefault="004624FE">
      <w:pPr>
        <w:pStyle w:val="Normal1"/>
        <w:rPr>
          <w:b/>
          <w:sz w:val="32"/>
          <w:szCs w:val="32"/>
          <w:lang w:val="en-GB"/>
        </w:rPr>
      </w:pPr>
      <w:r w:rsidRPr="00D100EA">
        <w:rPr>
          <w:lang w:val="en-GB"/>
        </w:rPr>
        <w:br w:type="page"/>
      </w:r>
    </w:p>
    <w:p w14:paraId="13379AEB" w14:textId="77777777" w:rsidR="00B14421" w:rsidRPr="00D100EA" w:rsidRDefault="004624FE" w:rsidP="00D100EA">
      <w:pPr>
        <w:pStyle w:val="Heading1"/>
        <w:rPr>
          <w:lang w:val="en-GB"/>
        </w:rPr>
      </w:pPr>
      <w:bookmarkStart w:id="23" w:name="_Toc128136459"/>
      <w:r w:rsidRPr="00D100EA">
        <w:rPr>
          <w:lang w:val="en-GB"/>
        </w:rPr>
        <w:lastRenderedPageBreak/>
        <w:t>References</w:t>
      </w:r>
      <w:bookmarkEnd w:id="23"/>
      <w:r w:rsidRPr="00D100EA">
        <w:rPr>
          <w:lang w:val="en-GB"/>
        </w:rPr>
        <w:t xml:space="preserve"> </w:t>
      </w:r>
    </w:p>
    <w:p w14:paraId="573EF2E0" w14:textId="081F79EA" w:rsidR="00D100EA" w:rsidRDefault="00D100EA">
      <w:pPr>
        <w:pStyle w:val="Normal1"/>
        <w:rPr>
          <w:lang w:val="en-GB"/>
        </w:rPr>
      </w:pPr>
      <w:r w:rsidRPr="00D100EA">
        <w:rPr>
          <w:lang w:val="en-GB"/>
        </w:rPr>
        <w:t>Burns, C., Gravey, V., Jordan, A. and Zito, A., 2020. De-Europeanising or disengaging? EU environmental policy and Brexit. In The Future of European Union Environmental Politics and policy (pp. 85-106). Routledge.</w:t>
      </w:r>
    </w:p>
    <w:p w14:paraId="3A94BC55" w14:textId="77777777" w:rsidR="00AB0168" w:rsidRPr="00D100EA" w:rsidRDefault="00AB0168">
      <w:pPr>
        <w:pStyle w:val="Normal1"/>
        <w:rPr>
          <w:lang w:val="en-GB"/>
        </w:rPr>
      </w:pPr>
    </w:p>
    <w:p w14:paraId="24F85C7C" w14:textId="7709D6CD" w:rsidR="00D100EA" w:rsidRDefault="00D100EA">
      <w:pPr>
        <w:pStyle w:val="Normal1"/>
        <w:rPr>
          <w:lang w:val="en-GB"/>
        </w:rPr>
      </w:pPr>
      <w:r w:rsidRPr="00D100EA">
        <w:rPr>
          <w:lang w:val="en-GB"/>
        </w:rPr>
        <w:t>Dawson, J., 2023. Human Rights Act reform. [online] House of Commons Library. Available at</w:t>
      </w:r>
      <w:r w:rsidRPr="00EA09C5">
        <w:rPr>
          <w:color w:val="000000" w:themeColor="text1"/>
          <w:lang w:val="en-GB"/>
        </w:rPr>
        <w:t>:</w:t>
      </w:r>
      <w:r w:rsidR="00B96E24" w:rsidRPr="00EA09C5">
        <w:rPr>
          <w:color w:val="000000" w:themeColor="text1"/>
          <w:lang w:val="en-GB"/>
        </w:rPr>
        <w:t> </w:t>
      </w:r>
      <w:hyperlink r:id="rId7" w:history="1">
        <w:r w:rsidR="00B96E24" w:rsidRPr="00EA09C5">
          <w:rPr>
            <w:rStyle w:val="Hyperlink"/>
            <w:color w:val="000000" w:themeColor="text1"/>
            <w:u w:val="none"/>
            <w:lang w:val="en-GB"/>
          </w:rPr>
          <w:t>https://commonslibrary.parliament.uk/research- briefings/cbp-</w:t>
        </w:r>
      </w:hyperlink>
      <w:r w:rsidR="00B96E24">
        <w:rPr>
          <w:lang w:val="en-GB"/>
        </w:rPr>
        <w:t> </w:t>
      </w:r>
      <w:r w:rsidRPr="00D100EA">
        <w:rPr>
          <w:lang w:val="en-GB"/>
        </w:rPr>
        <w:t>9581/#:~:text=The%20Government%20has%20published%20a,Commons%20on%2022%20June%202022.</w:t>
      </w:r>
      <w:r w:rsidR="00B96E24">
        <w:rPr>
          <w:lang w:val="en-GB"/>
        </w:rPr>
        <w:t xml:space="preserve"> </w:t>
      </w:r>
      <w:r w:rsidRPr="00D100EA">
        <w:rPr>
          <w:lang w:val="en-GB"/>
        </w:rPr>
        <w:t>[Accessed 24 Feb. 2023].</w:t>
      </w:r>
    </w:p>
    <w:p w14:paraId="4F827314" w14:textId="77777777" w:rsidR="00AB0168" w:rsidRPr="00D100EA" w:rsidRDefault="00AB0168">
      <w:pPr>
        <w:pStyle w:val="Normal1"/>
        <w:rPr>
          <w:lang w:val="en-GB"/>
        </w:rPr>
      </w:pPr>
    </w:p>
    <w:p w14:paraId="6700C41B" w14:textId="30DABB6E" w:rsidR="00D100EA" w:rsidRDefault="00D100EA">
      <w:pPr>
        <w:pStyle w:val="Normal1"/>
        <w:rPr>
          <w:lang w:val="en-GB"/>
        </w:rPr>
      </w:pPr>
      <w:r w:rsidRPr="00D100EA">
        <w:rPr>
          <w:lang w:val="en-GB"/>
        </w:rPr>
        <w:t>Dr Alice Donald., 2023. The Bill of Rights Bill - UK in a changing Europe. [online] Available at: https://ukandeu.ac.uk/explainers/the-bill-of-rights-bill/ [Accessed 24 Feb. 2023].</w:t>
      </w:r>
    </w:p>
    <w:p w14:paraId="52552B06" w14:textId="77777777" w:rsidR="00AB0168" w:rsidRPr="00D100EA" w:rsidRDefault="00AB0168">
      <w:pPr>
        <w:pStyle w:val="Normal1"/>
        <w:rPr>
          <w:lang w:val="en-GB"/>
        </w:rPr>
      </w:pPr>
    </w:p>
    <w:p w14:paraId="53C378D3" w14:textId="28606AA2" w:rsidR="00AB0168" w:rsidRDefault="00D100EA">
      <w:pPr>
        <w:pStyle w:val="Normal1"/>
        <w:rPr>
          <w:lang w:val="en-GB"/>
        </w:rPr>
      </w:pPr>
      <w:r w:rsidRPr="00D100EA">
        <w:rPr>
          <w:lang w:val="en-GB"/>
        </w:rPr>
        <w:t>Foster, S., 2022. Reforming the Human Rights Act 1998 and the Bill of Rights Bill 2022. Coventry Law Journal, 27(1), pp.1-21.</w:t>
      </w:r>
    </w:p>
    <w:p w14:paraId="15E7A072" w14:textId="77777777" w:rsidR="00AB0168" w:rsidRPr="00D100EA" w:rsidRDefault="00AB0168">
      <w:pPr>
        <w:pStyle w:val="Normal1"/>
        <w:rPr>
          <w:lang w:val="en-GB"/>
        </w:rPr>
      </w:pPr>
    </w:p>
    <w:p w14:paraId="21D94158" w14:textId="7202F5DA" w:rsidR="00D100EA" w:rsidRDefault="00D100EA">
      <w:pPr>
        <w:pStyle w:val="Normal1"/>
        <w:rPr>
          <w:lang w:val="en-GB"/>
        </w:rPr>
      </w:pPr>
      <w:r w:rsidRPr="00D100EA">
        <w:rPr>
          <w:lang w:val="en-GB"/>
        </w:rPr>
        <w:t>Ministry of Justice., 2022. Bill of Rights to strengthen freedom of speech and curb bogus human</w:t>
      </w:r>
      <w:r w:rsidR="00A04D45">
        <w:rPr>
          <w:lang w:val="en-GB"/>
        </w:rPr>
        <w:t> </w:t>
      </w:r>
      <w:r w:rsidRPr="00D100EA">
        <w:rPr>
          <w:lang w:val="en-GB"/>
        </w:rPr>
        <w:t>rights</w:t>
      </w:r>
      <w:r w:rsidR="00A04D45">
        <w:rPr>
          <w:lang w:val="en-GB"/>
        </w:rPr>
        <w:t> </w:t>
      </w:r>
      <w:r w:rsidRPr="00D100EA">
        <w:rPr>
          <w:lang w:val="en-GB"/>
        </w:rPr>
        <w:t>claims.</w:t>
      </w:r>
      <w:r w:rsidR="00A04D45">
        <w:rPr>
          <w:lang w:val="en-GB"/>
        </w:rPr>
        <w:t> </w:t>
      </w:r>
      <w:r w:rsidRPr="00D100EA">
        <w:rPr>
          <w:lang w:val="en-GB"/>
        </w:rPr>
        <w:t>[online]</w:t>
      </w:r>
      <w:r w:rsidR="00A04D45">
        <w:rPr>
          <w:lang w:val="en-GB"/>
        </w:rPr>
        <w:t> </w:t>
      </w:r>
      <w:r w:rsidRPr="00D100EA">
        <w:rPr>
          <w:lang w:val="en-GB"/>
        </w:rPr>
        <w:t>GOV.UK.</w:t>
      </w:r>
      <w:r w:rsidR="00A04D45">
        <w:rPr>
          <w:lang w:val="en-GB"/>
        </w:rPr>
        <w:t> </w:t>
      </w:r>
      <w:r w:rsidRPr="00D100EA">
        <w:rPr>
          <w:lang w:val="en-GB"/>
        </w:rPr>
        <w:t>Available</w:t>
      </w:r>
      <w:r w:rsidR="00A04D45">
        <w:rPr>
          <w:lang w:val="en-GB"/>
        </w:rPr>
        <w:t> </w:t>
      </w:r>
      <w:r w:rsidRPr="00D100EA">
        <w:rPr>
          <w:lang w:val="en-GB"/>
        </w:rPr>
        <w:t>at:</w:t>
      </w:r>
      <w:hyperlink r:id="rId8" w:history="1">
        <w:r w:rsidR="00A04D45" w:rsidRPr="00A04D45">
          <w:rPr>
            <w:rStyle w:val="Hyperlink"/>
            <w:color w:val="000000" w:themeColor="text1"/>
            <w:u w:val="none"/>
            <w:lang w:val="en-GB"/>
          </w:rPr>
          <w:t>https://www.gov.uk/government/news/bill- of- rights- to- strengthen- freedom- of- speech- and- curb- bogus- human- rights-</w:t>
        </w:r>
      </w:hyperlink>
      <w:r w:rsidR="00A04D45" w:rsidRPr="00A04D45">
        <w:rPr>
          <w:color w:val="000000" w:themeColor="text1"/>
          <w:lang w:val="en-GB"/>
        </w:rPr>
        <w:t> </w:t>
      </w:r>
      <w:r w:rsidRPr="00D100EA">
        <w:rPr>
          <w:lang w:val="en-GB"/>
        </w:rPr>
        <w:t>claims#:~:text=The%20Bill%20will%20ensure%20courts,judges'%20time%20and%20taxpayer%20money. [Accessed 24 Feb. 2023].</w:t>
      </w:r>
    </w:p>
    <w:p w14:paraId="769E8E20" w14:textId="77777777" w:rsidR="00AB0168" w:rsidRPr="00D100EA" w:rsidRDefault="00AB0168">
      <w:pPr>
        <w:pStyle w:val="Normal1"/>
        <w:rPr>
          <w:lang w:val="en-GB"/>
        </w:rPr>
      </w:pPr>
    </w:p>
    <w:p w14:paraId="26AC9C65" w14:textId="3BBF4B0D" w:rsidR="00D100EA" w:rsidRDefault="00D100EA">
      <w:pPr>
        <w:pStyle w:val="Normal1"/>
        <w:rPr>
          <w:lang w:val="en-GB"/>
        </w:rPr>
      </w:pPr>
      <w:r w:rsidRPr="00D100EA">
        <w:rPr>
          <w:lang w:val="en-GB"/>
        </w:rPr>
        <w:t xml:space="preserve">Parliament.uk., 2022. Bill of Rights Bill - publications.parliament.uk. Available at: https://publications.parliament.uk/pa/bills/cbill/58-03/0117/220117lp.pdf (Accessed: February 23, 2023). </w:t>
      </w:r>
    </w:p>
    <w:p w14:paraId="34AEFB14" w14:textId="77777777" w:rsidR="00AB0168" w:rsidRPr="00D100EA" w:rsidRDefault="00AB0168">
      <w:pPr>
        <w:pStyle w:val="Normal1"/>
        <w:rPr>
          <w:lang w:val="en-GB"/>
        </w:rPr>
      </w:pPr>
    </w:p>
    <w:p w14:paraId="1A90D914" w14:textId="63E5E9E6" w:rsidR="00B14421" w:rsidRPr="00D100EA" w:rsidRDefault="00D100EA">
      <w:pPr>
        <w:pStyle w:val="Normal1"/>
        <w:rPr>
          <w:lang w:val="en-GB"/>
        </w:rPr>
      </w:pPr>
      <w:r w:rsidRPr="00D100EA">
        <w:rPr>
          <w:lang w:val="en-GB"/>
        </w:rPr>
        <w:t>Tyrrell, H., 2022. The Human Rights Act 1998: Two Decades Swimming Upstream. The New Labour Constitution: Twenty Years On.</w:t>
      </w:r>
    </w:p>
    <w:p w14:paraId="41E48EB6" w14:textId="77777777" w:rsidR="00B14421" w:rsidRPr="00D100EA" w:rsidRDefault="00B14421">
      <w:pPr>
        <w:pStyle w:val="Normal1"/>
        <w:rPr>
          <w:lang w:val="en-GB"/>
        </w:rPr>
      </w:pPr>
    </w:p>
    <w:p w14:paraId="7843A9AA" w14:textId="77777777" w:rsidR="00B14421" w:rsidRPr="00D100EA" w:rsidRDefault="00B14421">
      <w:pPr>
        <w:pStyle w:val="Normal1"/>
        <w:rPr>
          <w:lang w:val="en-GB"/>
        </w:rPr>
      </w:pPr>
    </w:p>
    <w:p w14:paraId="56D0DEE2" w14:textId="77777777" w:rsidR="00B14421" w:rsidRPr="00D100EA" w:rsidRDefault="00B14421">
      <w:pPr>
        <w:pStyle w:val="Normal1"/>
        <w:rPr>
          <w:lang w:val="en-GB"/>
        </w:rPr>
      </w:pPr>
    </w:p>
    <w:sectPr w:rsidR="00B14421" w:rsidRPr="00D100EA" w:rsidSect="00B1442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0CCA7" w14:textId="77777777" w:rsidR="00C745A0" w:rsidRDefault="00C745A0" w:rsidP="00D100EA">
      <w:pPr>
        <w:spacing w:line="240" w:lineRule="auto"/>
      </w:pPr>
      <w:r>
        <w:separator/>
      </w:r>
    </w:p>
  </w:endnote>
  <w:endnote w:type="continuationSeparator" w:id="0">
    <w:p w14:paraId="2B751B2C" w14:textId="77777777" w:rsidR="00C745A0" w:rsidRDefault="00C745A0" w:rsidP="00D100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31550"/>
      <w:docPartObj>
        <w:docPartGallery w:val="Page Numbers (Bottom of Page)"/>
        <w:docPartUnique/>
      </w:docPartObj>
    </w:sdtPr>
    <w:sdtContent>
      <w:p w14:paraId="7ED384E4" w14:textId="77777777" w:rsidR="00D100EA" w:rsidRDefault="00E45477">
        <w:pPr>
          <w:pStyle w:val="Footer"/>
          <w:jc w:val="right"/>
        </w:pPr>
        <w:r>
          <w:fldChar w:fldCharType="begin"/>
        </w:r>
        <w:r>
          <w:instrText xml:space="preserve"> PAGE   \* MERGEFORMAT </w:instrText>
        </w:r>
        <w:r>
          <w:fldChar w:fldCharType="separate"/>
        </w:r>
        <w:r w:rsidR="004E2D0B">
          <w:rPr>
            <w:noProof/>
          </w:rPr>
          <w:t>8</w:t>
        </w:r>
        <w:r>
          <w:rPr>
            <w:noProof/>
          </w:rPr>
          <w:fldChar w:fldCharType="end"/>
        </w:r>
      </w:p>
    </w:sdtContent>
  </w:sdt>
  <w:p w14:paraId="139E1FB5" w14:textId="77777777" w:rsidR="00D100EA" w:rsidRDefault="00D10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1CB04" w14:textId="77777777" w:rsidR="00C745A0" w:rsidRDefault="00C745A0" w:rsidP="00D100EA">
      <w:pPr>
        <w:spacing w:line="240" w:lineRule="auto"/>
      </w:pPr>
      <w:r>
        <w:separator/>
      </w:r>
    </w:p>
  </w:footnote>
  <w:footnote w:type="continuationSeparator" w:id="0">
    <w:p w14:paraId="0934D042" w14:textId="77777777" w:rsidR="00C745A0" w:rsidRDefault="00C745A0" w:rsidP="00D100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421"/>
    <w:rsid w:val="002C00BA"/>
    <w:rsid w:val="004624FE"/>
    <w:rsid w:val="004E2D0B"/>
    <w:rsid w:val="00531982"/>
    <w:rsid w:val="00A04D45"/>
    <w:rsid w:val="00AB0168"/>
    <w:rsid w:val="00B14421"/>
    <w:rsid w:val="00B96E24"/>
    <w:rsid w:val="00C745A0"/>
    <w:rsid w:val="00D100EA"/>
    <w:rsid w:val="00E45477"/>
    <w:rsid w:val="00EA0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F6E8D"/>
  <w15:docId w15:val="{004BA020-FC17-4C0A-AE7B-739AFF1B4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14421"/>
    <w:pPr>
      <w:keepNext/>
      <w:keepLines/>
      <w:outlineLvl w:val="0"/>
    </w:pPr>
    <w:rPr>
      <w:b/>
      <w:sz w:val="32"/>
      <w:szCs w:val="32"/>
    </w:rPr>
  </w:style>
  <w:style w:type="paragraph" w:styleId="Heading2">
    <w:name w:val="heading 2"/>
    <w:basedOn w:val="Normal1"/>
    <w:next w:val="Normal1"/>
    <w:rsid w:val="00B14421"/>
    <w:pPr>
      <w:keepNext/>
      <w:keepLines/>
      <w:outlineLvl w:val="1"/>
    </w:pPr>
    <w:rPr>
      <w:b/>
      <w:sz w:val="28"/>
      <w:szCs w:val="28"/>
    </w:rPr>
  </w:style>
  <w:style w:type="paragraph" w:styleId="Heading3">
    <w:name w:val="heading 3"/>
    <w:basedOn w:val="Normal1"/>
    <w:next w:val="Normal1"/>
    <w:rsid w:val="00B14421"/>
    <w:pPr>
      <w:keepNext/>
      <w:keepLines/>
      <w:spacing w:before="320" w:after="80"/>
      <w:outlineLvl w:val="2"/>
    </w:pPr>
    <w:rPr>
      <w:color w:val="434343"/>
      <w:sz w:val="28"/>
      <w:szCs w:val="28"/>
    </w:rPr>
  </w:style>
  <w:style w:type="paragraph" w:styleId="Heading4">
    <w:name w:val="heading 4"/>
    <w:basedOn w:val="Normal1"/>
    <w:next w:val="Normal1"/>
    <w:rsid w:val="00B14421"/>
    <w:pPr>
      <w:keepNext/>
      <w:keepLines/>
      <w:spacing w:before="280" w:after="80"/>
      <w:outlineLvl w:val="3"/>
    </w:pPr>
    <w:rPr>
      <w:color w:val="666666"/>
    </w:rPr>
  </w:style>
  <w:style w:type="paragraph" w:styleId="Heading5">
    <w:name w:val="heading 5"/>
    <w:basedOn w:val="Normal1"/>
    <w:next w:val="Normal1"/>
    <w:rsid w:val="00B14421"/>
    <w:pPr>
      <w:keepNext/>
      <w:keepLines/>
      <w:spacing w:before="240" w:after="80"/>
      <w:outlineLvl w:val="4"/>
    </w:pPr>
    <w:rPr>
      <w:color w:val="666666"/>
      <w:sz w:val="22"/>
      <w:szCs w:val="22"/>
    </w:rPr>
  </w:style>
  <w:style w:type="paragraph" w:styleId="Heading6">
    <w:name w:val="heading 6"/>
    <w:basedOn w:val="Normal1"/>
    <w:next w:val="Normal1"/>
    <w:rsid w:val="00B1442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4421"/>
  </w:style>
  <w:style w:type="paragraph" w:styleId="Title">
    <w:name w:val="Title"/>
    <w:basedOn w:val="Normal1"/>
    <w:next w:val="Normal1"/>
    <w:rsid w:val="00B14421"/>
    <w:pPr>
      <w:keepNext/>
      <w:keepLines/>
      <w:spacing w:after="60"/>
    </w:pPr>
    <w:rPr>
      <w:sz w:val="52"/>
      <w:szCs w:val="52"/>
    </w:rPr>
  </w:style>
  <w:style w:type="paragraph" w:styleId="Subtitle">
    <w:name w:val="Subtitle"/>
    <w:basedOn w:val="Normal1"/>
    <w:next w:val="Normal1"/>
    <w:rsid w:val="00B1442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D100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100EA"/>
  </w:style>
  <w:style w:type="paragraph" w:styleId="Footer">
    <w:name w:val="footer"/>
    <w:basedOn w:val="Normal"/>
    <w:link w:val="FooterChar"/>
    <w:uiPriority w:val="99"/>
    <w:unhideWhenUsed/>
    <w:rsid w:val="00D100EA"/>
    <w:pPr>
      <w:tabs>
        <w:tab w:val="center" w:pos="4680"/>
        <w:tab w:val="right" w:pos="9360"/>
      </w:tabs>
      <w:spacing w:line="240" w:lineRule="auto"/>
    </w:pPr>
  </w:style>
  <w:style w:type="character" w:customStyle="1" w:styleId="FooterChar">
    <w:name w:val="Footer Char"/>
    <w:basedOn w:val="DefaultParagraphFont"/>
    <w:link w:val="Footer"/>
    <w:uiPriority w:val="99"/>
    <w:rsid w:val="00D100EA"/>
  </w:style>
  <w:style w:type="paragraph" w:styleId="TOCHeading">
    <w:name w:val="TOC Heading"/>
    <w:basedOn w:val="Heading1"/>
    <w:next w:val="Normal"/>
    <w:uiPriority w:val="39"/>
    <w:semiHidden/>
    <w:unhideWhenUsed/>
    <w:qFormat/>
    <w:rsid w:val="00D100E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100EA"/>
    <w:pPr>
      <w:spacing w:after="100"/>
    </w:pPr>
  </w:style>
  <w:style w:type="paragraph" w:styleId="TOC2">
    <w:name w:val="toc 2"/>
    <w:basedOn w:val="Normal"/>
    <w:next w:val="Normal"/>
    <w:autoRedefine/>
    <w:uiPriority w:val="39"/>
    <w:unhideWhenUsed/>
    <w:rsid w:val="00D100EA"/>
    <w:pPr>
      <w:spacing w:after="100"/>
      <w:ind w:left="240"/>
    </w:pPr>
  </w:style>
  <w:style w:type="character" w:styleId="Hyperlink">
    <w:name w:val="Hyperlink"/>
    <w:basedOn w:val="DefaultParagraphFont"/>
    <w:uiPriority w:val="99"/>
    <w:unhideWhenUsed/>
    <w:rsid w:val="00D100EA"/>
    <w:rPr>
      <w:color w:val="0000FF" w:themeColor="hyperlink"/>
      <w:u w:val="single"/>
    </w:rPr>
  </w:style>
  <w:style w:type="paragraph" w:styleId="BalloonText">
    <w:name w:val="Balloon Text"/>
    <w:basedOn w:val="Normal"/>
    <w:link w:val="BalloonTextChar"/>
    <w:uiPriority w:val="99"/>
    <w:semiHidden/>
    <w:unhideWhenUsed/>
    <w:rsid w:val="00D100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0EA"/>
    <w:rPr>
      <w:rFonts w:ascii="Tahoma" w:hAnsi="Tahoma" w:cs="Tahoma"/>
      <w:sz w:val="16"/>
      <w:szCs w:val="16"/>
    </w:rPr>
  </w:style>
  <w:style w:type="character" w:styleId="UnresolvedMention">
    <w:name w:val="Unresolved Mention"/>
    <w:basedOn w:val="DefaultParagraphFont"/>
    <w:uiPriority w:val="99"/>
    <w:semiHidden/>
    <w:unhideWhenUsed/>
    <w:rsid w:val="00B96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6748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bill-&#160;of-&#160;rights-&#160;to-&#160;strengthen-&#160;freedom-&#160;of-&#160;speech-&#160;and-&#160;curb-&#160;bogus-&#160;human-&#160;rights-" TargetMode="External"/><Relationship Id="rId3" Type="http://schemas.openxmlformats.org/officeDocument/2006/relationships/settings" Target="settings.xml"/><Relationship Id="rId7" Type="http://schemas.openxmlformats.org/officeDocument/2006/relationships/hyperlink" Target="https://commonslibrary.parliament.uk/research-&#160;briefings/cb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ACABFD-160A-411D-B781-ACAEE8CC0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Andreea Calin (2207380)</cp:lastModifiedBy>
  <cp:revision>8</cp:revision>
  <dcterms:created xsi:type="dcterms:W3CDTF">2023-02-25T07:00:00Z</dcterms:created>
  <dcterms:modified xsi:type="dcterms:W3CDTF">2023-02-27T13:23:00Z</dcterms:modified>
</cp:coreProperties>
</file>