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1DC92" w14:textId="77777777" w:rsidR="00AF35C8" w:rsidRDefault="00AF35C8" w:rsidP="00AF35C8">
      <w:pPr>
        <w:rPr>
          <w:b/>
          <w:bCs/>
        </w:rPr>
      </w:pPr>
      <w:r w:rsidRPr="00AF35C8">
        <w:rPr>
          <w:b/>
          <w:bCs/>
        </w:rPr>
        <w:t>Lexie Watson – 2500866</w:t>
      </w:r>
    </w:p>
    <w:p w14:paraId="5A713BFF" w14:textId="0AF1B924" w:rsidR="00A3044E" w:rsidRPr="00AF35C8" w:rsidRDefault="00A3044E" w:rsidP="00A3044E">
      <w:pPr>
        <w:jc w:val="center"/>
        <w:rPr>
          <w:b/>
          <w:bCs/>
          <w:u w:val="single"/>
        </w:rPr>
      </w:pPr>
      <w:r w:rsidRPr="00A3044E">
        <w:rPr>
          <w:b/>
          <w:bCs/>
          <w:iCs/>
          <w:u w:val="single"/>
        </w:rPr>
        <w:t>Evaluate how the Criminal Justice System services victims and defendants through the criminal justice process</w:t>
      </w:r>
    </w:p>
    <w:p w14:paraId="4007AA40" w14:textId="77777777" w:rsidR="00AF35C8" w:rsidRPr="00AF35C8" w:rsidRDefault="00AF35C8" w:rsidP="00AF35C8">
      <w:r w:rsidRPr="00AF35C8">
        <w:t>The criminal justice system (CJS) in England and Wales is designed to deal with crime in a way that is fair to both victims and defendants. Its key aims are to protect individuals, uphold justice, and maintain public confidence. However, there is ongoing debate about whether the system successfully balances the needs of both groups. Victims often seek justice, support, and closure, while defendants are entitled to a fair trial and protection from wrongful conviction. Although reforms have been introduced to improve fairness, significant challenges remain. Issues such as delays, lack of support, and inequality suggest that the system does not always achieve its intended balance.</w:t>
      </w:r>
    </w:p>
    <w:p w14:paraId="011B3198" w14:textId="77777777" w:rsidR="00AF35C8" w:rsidRPr="00AF35C8" w:rsidRDefault="00AF35C8" w:rsidP="00AF35C8">
      <w:r w:rsidRPr="00AF35C8">
        <w:t>One of the most important stages for victims is the initial reporting of a crime. The police are usually the first point of contact, and their response can strongly influence the victim’s overall experience. Research indicates that victims do not always feel adequately supported at this stage. The Victims’ Commissioner (2022) found that many victims were dissatisfied with police communication and felt they were not kept properly informed about their case. Similarly, Smith (2020) found that victims of serious crimes, particularly sexual offences, often described the process as stressful and intrusive. This suggests that although policies aimed at supporting victims exist, they are not consistently implemented in practice, which can undermine trust in the system from the outset.</w:t>
      </w:r>
    </w:p>
    <w:p w14:paraId="0B4A4D9E" w14:textId="77777777" w:rsidR="00AF35C8" w:rsidRPr="00AF35C8" w:rsidRDefault="00AF35C8" w:rsidP="00AF35C8">
      <w:r w:rsidRPr="00AF35C8">
        <w:t>Efforts have been made to improve victim support through official guidance. The Code of Practice for Victims of Crime outlines the rights victims should receive, including updates on their case and access to support services (Crown Prosecution Service, 2021). However, awareness of these rights remains limited. The Ministry of Justice (2023) reports that many victims are unaware of the Victims’ Code or do not recall being informed about it. A further review by the Ministry of Justice (2022) also found that victims often lack a clear understanding of their entitlements. The College of Policing (2020) emphasises that effective communication is essential for victim satisfaction, yet this continues to be a weakness. This indicates a gap between policy and practice, suggesting that simply introducing rights is insufficient without proper implementation and awareness.</w:t>
      </w:r>
    </w:p>
    <w:p w14:paraId="3C905F1F" w14:textId="77777777" w:rsidR="00AF35C8" w:rsidRPr="00AF35C8" w:rsidRDefault="00AF35C8" w:rsidP="00AF35C8">
      <w:r w:rsidRPr="00AF35C8">
        <w:t xml:space="preserve">Delays within the criminal justice system are another significant issue affecting victims. The time taken for cases to reach court has increased considerably in recent years. The House of Commons Justice Committee (2023) highlights the growing backlog in criminal courts, meaning some victims wait years for their cases to be heard. These delays can cause emotional distress and may discourage victims from continuing with the process. The Victims’ Commissioner (2022) also found that long waiting times reduce confidence in the justice system. This suggests that delays not only affect individual experiences but also undermine the legitimacy of the </w:t>
      </w:r>
      <w:proofErr w:type="gramStart"/>
      <w:r w:rsidRPr="00AF35C8">
        <w:t>system as a whole</w:t>
      </w:r>
      <w:proofErr w:type="gramEnd"/>
      <w:r w:rsidRPr="00AF35C8">
        <w:t>.</w:t>
      </w:r>
    </w:p>
    <w:p w14:paraId="099DFA80" w14:textId="77777777" w:rsidR="00AF35C8" w:rsidRPr="00AF35C8" w:rsidRDefault="00AF35C8" w:rsidP="00AF35C8">
      <w:r w:rsidRPr="00AF35C8">
        <w:t xml:space="preserve">Despite these challenges, there have been improvements in how victims are supported during court proceedings. Special measures, such as giving evidence via video link or using intermediaries, aim to reduce stress and improve participation. Research by </w:t>
      </w:r>
      <w:proofErr w:type="spellStart"/>
      <w:r w:rsidRPr="00AF35C8">
        <w:t>Spruin</w:t>
      </w:r>
      <w:proofErr w:type="spellEnd"/>
      <w:r w:rsidRPr="00AF35C8">
        <w:t xml:space="preserve">, Woodhams and Perkins (2020) shows that these measures can increase victim confidence and reduce anxiety. The Home Office (2021) also supports their use, particularly in cases involving domestic abuse. However, access to these measures is not always consistent, meaning some victims still </w:t>
      </w:r>
      <w:r w:rsidRPr="00AF35C8">
        <w:lastRenderedPageBreak/>
        <w:t>face negative court experiences. This inconsistency highlights ongoing inequality in the level of support provided.</w:t>
      </w:r>
    </w:p>
    <w:p w14:paraId="0C9FAE36" w14:textId="77777777" w:rsidR="00AF35C8" w:rsidRPr="00AF35C8" w:rsidRDefault="00AF35C8" w:rsidP="00AF35C8">
      <w:r w:rsidRPr="00AF35C8">
        <w:t>The court process itself can be particularly difficult for victims, especially during cross-examination. Victims may feel that their credibility is being challenged in a way that is distressing and intrusive. This can lead to secondary victimisation, where the individual feels re-traumatised by the legal process (Equality and Human Rights Commission, 2020). While cross-examination is necessary to ensure a fair trial, this demonstrates the tension between protecting victims and safeguarding defendants’ rights. It suggests that achieving fairness for both parties simultaneously is inherently challenging.</w:t>
      </w:r>
    </w:p>
    <w:p w14:paraId="64EAF973" w14:textId="77777777" w:rsidR="00AF35C8" w:rsidRPr="00AF35C8" w:rsidRDefault="00AF35C8" w:rsidP="00AF35C8">
      <w:r w:rsidRPr="00AF35C8">
        <w:t>Defendants are protected by fundamental legal rights, including the presumption of innocence, the right to legal representation, and the right to a fair trial. These protections are essential in preventing wrongful convictions and ensuring justice is applied fairly (Fair Trials, 2021). However, evidence suggests that not all defendants experience these rights equally. The Ministry of Justice (2020) found that individuals from ethnic minority backgrounds are more likely to be remanded in custody and receive harsher sentences compared to White individuals. This indicates that systemic inequality remains an issue, raising concerns about whether the system delivers equal justice.</w:t>
      </w:r>
    </w:p>
    <w:p w14:paraId="25709495" w14:textId="77777777" w:rsidR="00AF35C8" w:rsidRPr="00AF35C8" w:rsidRDefault="00AF35C8" w:rsidP="00AF35C8">
      <w:r w:rsidRPr="00AF35C8">
        <w:t xml:space="preserve">Further research highlights </w:t>
      </w:r>
      <w:proofErr w:type="gramStart"/>
      <w:r w:rsidRPr="00AF35C8">
        <w:t>concerns</w:t>
      </w:r>
      <w:proofErr w:type="gramEnd"/>
      <w:r w:rsidRPr="00AF35C8">
        <w:t xml:space="preserve"> about bias in decision-making. Studies such as Roberts (2020) and reports by the Sentencing Council (2022) identify disparities in sentencing outcomes. These inequalities suggest that decisions may be influenced by factors unrelated to the offence itself, which undermines the principle of fairness. As a result, confidence in the justice system may be reduced, particularly among marginalised groups.</w:t>
      </w:r>
    </w:p>
    <w:p w14:paraId="6B00EFDE" w14:textId="77777777" w:rsidR="00AF35C8" w:rsidRPr="00AF35C8" w:rsidRDefault="00AF35C8" w:rsidP="00AF35C8">
      <w:r w:rsidRPr="00AF35C8">
        <w:t>The treatment of vulnerable defendants is another area of concern. Many individuals involved in the criminal justice system have mental health problems or learning difficulties. The Prison Reform Trust (2021) reports that a significant proportion of defendants have unmet mental health needs. Howard (2021) argues that vulnerable defendants may struggle to understand court proceedings and participate effectively in their defence. This raises serious questions about whether trials can truly be considered fair in such cases.</w:t>
      </w:r>
    </w:p>
    <w:p w14:paraId="1DFF0C64" w14:textId="77777777" w:rsidR="00AF35C8" w:rsidRPr="00AF35C8" w:rsidRDefault="00AF35C8" w:rsidP="00AF35C8">
      <w:r w:rsidRPr="00AF35C8">
        <w:t>Although support measures exist, such as intermediaries and adjusted procedures, they are not always applied consistently. Transform Justice (2022) found that many defendants do not receive the support they require, particularly in lower courts. This lack of consistency increases the risk of unfair outcomes and highlights weaknesses in the system’s ability to accommodate vulnerability.</w:t>
      </w:r>
    </w:p>
    <w:p w14:paraId="5C8B0BCD" w14:textId="77777777" w:rsidR="00AF35C8" w:rsidRPr="00AF35C8" w:rsidRDefault="00AF35C8" w:rsidP="00AF35C8">
      <w:r w:rsidRPr="00AF35C8">
        <w:t xml:space="preserve">Balancing the needs of victims and </w:t>
      </w:r>
      <w:proofErr w:type="gramStart"/>
      <w:r w:rsidRPr="00AF35C8">
        <w:t>defendants</w:t>
      </w:r>
      <w:proofErr w:type="gramEnd"/>
      <w:r w:rsidRPr="00AF35C8">
        <w:t xml:space="preserve"> remains one of the greatest challenges within the criminal justice system. Measures designed to support victims, such as restrictions on cross-examination or the use of pre-recorded evidence, can sometimes be viewed as limiting defendants’ ability to challenge evidence. Fair Trials (2021) emphasises the importance of maintaining a balance to ensure both parties are treated fairly. However, this balance is difficult to achieve in practice, as improving the experience for one group may have unintended consequences for the other.</w:t>
      </w:r>
    </w:p>
    <w:p w14:paraId="5D50AF82" w14:textId="77777777" w:rsidR="00AF35C8" w:rsidRPr="00AF35C8" w:rsidRDefault="00AF35C8" w:rsidP="00AF35C8">
      <w:r w:rsidRPr="00AF35C8">
        <w:t xml:space="preserve">Efficiency is another factor that impacts both victims and defendants. Due to high workloads and limited resources, the system often prioritises speed. This can lead to practices such as plea bargaining, where defendants plead guilty in exchange for a reduced sentence. Transform Justice (2022) highlights that this may place pressure on defendants and potentially lead to </w:t>
      </w:r>
      <w:r w:rsidRPr="00AF35C8">
        <w:lastRenderedPageBreak/>
        <w:t>unjust outcomes. At the same time, delays continue to frustrate victims, suggesting that the system struggles to balance efficiency with fairness.</w:t>
      </w:r>
    </w:p>
    <w:p w14:paraId="7B69E79D" w14:textId="77777777" w:rsidR="00AF35C8" w:rsidRPr="00AF35C8" w:rsidRDefault="00AF35C8" w:rsidP="00AF35C8">
      <w:r w:rsidRPr="00AF35C8">
        <w:t>Effective coordination between agencies is also essential. The criminal justice process involves multiple organisations, including the police, Crown Prosecution Service, courts, and support services. However, cooperation between these agencies is not always effective. The Victims’ Commissioner (2022) found that victims are often required to repeat their experiences multiple times, increasing stress. The Ministry of Justice (2023) also highlights that poor communication between agencies can contribute to delays and confusion. This lack of coordination negatively affects both victims and defendants and reduces confidence in the system.</w:t>
      </w:r>
    </w:p>
    <w:p w14:paraId="28E766A0" w14:textId="77777777" w:rsidR="00AF35C8" w:rsidRPr="00AF35C8" w:rsidRDefault="00AF35C8" w:rsidP="00AF35C8">
      <w:r w:rsidRPr="00AF35C8">
        <w:t>Access to justice is another important issue. Legal aid cuts have reduced the availability of support for some defendants, making it more difficult for them to obtain proper legal representation. Fair Trials (2021) argues that without adequate legal support, defendants may struggle to challenge the case against them effectively. This raises concerns about fairness, particularly for individuals from disadvantaged backgrounds. Similarly, victims from marginalised groups may face barriers when reporting crimes, including lack of trust in the police and fear of not being taken seriously (Equality and Human Rights Commission, 2020). This suggests that inequality affects both sides of the justice process.</w:t>
      </w:r>
    </w:p>
    <w:p w14:paraId="6F8328FD" w14:textId="77777777" w:rsidR="007E5027" w:rsidRPr="007E5027" w:rsidRDefault="007E5027" w:rsidP="007E5027">
      <w:r w:rsidRPr="007E5027">
        <w:t>In conclusion, the criminal justice system in England and Wales has made progress in supporting both victims and defendants, but it does not consistently achieve fairness. Victims benefit from increased rights and support measures, yet often face delays, poor communication, and distressing court experiences. Defendants are protected by important legal rights, but inequalities and insufficient support for vulnerable individuals undermine these protections. Overall, the system only partially succeeds in balancing the needs of both groups.</w:t>
      </w:r>
    </w:p>
    <w:p w14:paraId="15C87809" w14:textId="77777777" w:rsidR="007E5027" w:rsidRPr="007E5027" w:rsidRDefault="007E5027" w:rsidP="007E5027">
      <w:r w:rsidRPr="007E5027">
        <w:t>To improve, there must be greater consistency in support, improved communication between agencies, and a stronger focus on reducing inequality. Greater investment in resources, including legal aid and victim support services, is essential to reduce delays and improve overall experiences. In addition, enhanced training for criminal justice professionals could help address issues of bias and improve communication with both victims and defendants. Ultimately, a more effective system will require a holistic approach that prioritises fairness, transparency, and equal treatment for all individuals involved.</w:t>
      </w:r>
    </w:p>
    <w:p w14:paraId="7AC52AB6" w14:textId="5FFB57EA" w:rsidR="00AF35C8" w:rsidRPr="00AF35C8" w:rsidRDefault="00AF35C8" w:rsidP="00AF35C8"/>
    <w:p w14:paraId="79048F5C" w14:textId="77777777" w:rsidR="00AF35C8" w:rsidRPr="00AF35C8" w:rsidRDefault="00AF35C8" w:rsidP="00AF35C8">
      <w:r w:rsidRPr="00AF35C8">
        <w:rPr>
          <w:b/>
          <w:bCs/>
        </w:rPr>
        <w:t>Reference List</w:t>
      </w:r>
    </w:p>
    <w:p w14:paraId="3EFCB761" w14:textId="77777777" w:rsidR="00AF35C8" w:rsidRPr="00AF35C8" w:rsidRDefault="00AF35C8" w:rsidP="00CC1228">
      <w:r w:rsidRPr="00AF35C8">
        <w:t xml:space="preserve">College of Policing (2020) </w:t>
      </w:r>
      <w:r w:rsidRPr="00CC1228">
        <w:rPr>
          <w:i/>
          <w:iCs/>
        </w:rPr>
        <w:t>Authorised Professional Practice: Victims and witnesses</w:t>
      </w:r>
      <w:r w:rsidRPr="00AF35C8">
        <w:t xml:space="preserve">. Available at: </w:t>
      </w:r>
      <w:hyperlink r:id="rId5" w:history="1">
        <w:r w:rsidRPr="00AF35C8">
          <w:rPr>
            <w:rStyle w:val="Hyperlink"/>
          </w:rPr>
          <w:t>https://www.college.police.uk/app</w:t>
        </w:r>
      </w:hyperlink>
      <w:r w:rsidRPr="00AF35C8">
        <w:t xml:space="preserve"> (Accessed: 24 April 2026).</w:t>
      </w:r>
    </w:p>
    <w:p w14:paraId="0013E0EE" w14:textId="77777777" w:rsidR="00AF35C8" w:rsidRPr="00AF35C8" w:rsidRDefault="00AF35C8" w:rsidP="00CC1228">
      <w:r w:rsidRPr="00AF35C8">
        <w:t xml:space="preserve">Crown Prosecution Service (2021) </w:t>
      </w:r>
      <w:r w:rsidRPr="00CC1228">
        <w:rPr>
          <w:i/>
          <w:iCs/>
        </w:rPr>
        <w:t>Code of Practice for Victims of Crime</w:t>
      </w:r>
      <w:r w:rsidRPr="00AF35C8">
        <w:t xml:space="preserve">. Available at: </w:t>
      </w:r>
      <w:hyperlink r:id="rId6" w:history="1">
        <w:r w:rsidRPr="00AF35C8">
          <w:rPr>
            <w:rStyle w:val="Hyperlink"/>
          </w:rPr>
          <w:t>https://www.gov.uk/government/publications/the-code-of-practice-for-victims-of-crime</w:t>
        </w:r>
      </w:hyperlink>
      <w:r w:rsidRPr="00AF35C8">
        <w:t xml:space="preserve"> (Accessed: 25 April 2026).</w:t>
      </w:r>
    </w:p>
    <w:p w14:paraId="15A8B207" w14:textId="77777777" w:rsidR="00AF35C8" w:rsidRPr="00AF35C8" w:rsidRDefault="00AF35C8" w:rsidP="00CC1228">
      <w:r w:rsidRPr="00AF35C8">
        <w:t xml:space="preserve">Equality and Human Rights Commission (2020) </w:t>
      </w:r>
      <w:r w:rsidRPr="00CC1228">
        <w:rPr>
          <w:i/>
          <w:iCs/>
        </w:rPr>
        <w:t>Inclusive justice: A system designed for all</w:t>
      </w:r>
      <w:r w:rsidRPr="00AF35C8">
        <w:t xml:space="preserve">. Available at: </w:t>
      </w:r>
      <w:hyperlink r:id="rId7" w:history="1">
        <w:r w:rsidRPr="00AF35C8">
          <w:rPr>
            <w:rStyle w:val="Hyperlink"/>
          </w:rPr>
          <w:t>https://www.equalityhumanrights.com</w:t>
        </w:r>
      </w:hyperlink>
      <w:r w:rsidRPr="00AF35C8">
        <w:t xml:space="preserve"> (Accessed: 26 April 2026).</w:t>
      </w:r>
    </w:p>
    <w:p w14:paraId="03C2666D" w14:textId="77777777" w:rsidR="00AF35C8" w:rsidRPr="00AF35C8" w:rsidRDefault="00AF35C8" w:rsidP="00CC1228">
      <w:r w:rsidRPr="00AF35C8">
        <w:t xml:space="preserve">Fair Trials (2021) </w:t>
      </w:r>
      <w:r w:rsidRPr="00CC1228">
        <w:rPr>
          <w:i/>
          <w:iCs/>
        </w:rPr>
        <w:t>The right to a fair trial</w:t>
      </w:r>
      <w:r w:rsidRPr="00AF35C8">
        <w:t xml:space="preserve">. Available at: </w:t>
      </w:r>
      <w:hyperlink r:id="rId8" w:history="1">
        <w:r w:rsidRPr="00AF35C8">
          <w:rPr>
            <w:rStyle w:val="Hyperlink"/>
          </w:rPr>
          <w:t>https://www.fairtrials.org</w:t>
        </w:r>
      </w:hyperlink>
      <w:r w:rsidRPr="00AF35C8">
        <w:t xml:space="preserve"> (Accessed: 27 April 2026).</w:t>
      </w:r>
    </w:p>
    <w:p w14:paraId="53E0275A" w14:textId="77777777" w:rsidR="00AF35C8" w:rsidRPr="00AF35C8" w:rsidRDefault="00AF35C8" w:rsidP="00CC1228">
      <w:r w:rsidRPr="00AF35C8">
        <w:lastRenderedPageBreak/>
        <w:t xml:space="preserve">Home Office (2021) </w:t>
      </w:r>
      <w:r w:rsidRPr="00CC1228">
        <w:rPr>
          <w:i/>
          <w:iCs/>
        </w:rPr>
        <w:t xml:space="preserve">Tackling violence against women and </w:t>
      </w:r>
      <w:proofErr w:type="gramStart"/>
      <w:r w:rsidRPr="00CC1228">
        <w:rPr>
          <w:i/>
          <w:iCs/>
        </w:rPr>
        <w:t>girls</w:t>
      </w:r>
      <w:proofErr w:type="gramEnd"/>
      <w:r w:rsidRPr="00CC1228">
        <w:rPr>
          <w:i/>
          <w:iCs/>
        </w:rPr>
        <w:t xml:space="preserve"> strategy</w:t>
      </w:r>
      <w:r w:rsidRPr="00AF35C8">
        <w:t xml:space="preserve">. Available at: </w:t>
      </w:r>
      <w:hyperlink r:id="rId9" w:history="1">
        <w:r w:rsidRPr="00AF35C8">
          <w:rPr>
            <w:rStyle w:val="Hyperlink"/>
          </w:rPr>
          <w:t>https://www.gov.uk</w:t>
        </w:r>
      </w:hyperlink>
      <w:r w:rsidRPr="00AF35C8">
        <w:t xml:space="preserve"> (Accessed: 24 April 2026).</w:t>
      </w:r>
    </w:p>
    <w:p w14:paraId="5952817A" w14:textId="77777777" w:rsidR="00AF35C8" w:rsidRPr="00AF35C8" w:rsidRDefault="00AF35C8" w:rsidP="00CC1228">
      <w:r w:rsidRPr="00AF35C8">
        <w:t xml:space="preserve">House of Commons Justice Committee (2023) </w:t>
      </w:r>
      <w:r w:rsidRPr="00CC1228">
        <w:rPr>
          <w:i/>
          <w:iCs/>
        </w:rPr>
        <w:t>Court capacity and backlog</w:t>
      </w:r>
      <w:r w:rsidRPr="00AF35C8">
        <w:t xml:space="preserve">. Available at: </w:t>
      </w:r>
      <w:hyperlink r:id="rId10" w:history="1">
        <w:r w:rsidRPr="00AF35C8">
          <w:rPr>
            <w:rStyle w:val="Hyperlink"/>
          </w:rPr>
          <w:t>https://committees.parliament.uk</w:t>
        </w:r>
      </w:hyperlink>
      <w:r w:rsidRPr="00AF35C8">
        <w:t xml:space="preserve"> (Accessed: 25 April 2026).</w:t>
      </w:r>
    </w:p>
    <w:p w14:paraId="4D3E0E85" w14:textId="77777777" w:rsidR="00AF35C8" w:rsidRPr="00AF35C8" w:rsidRDefault="00AF35C8" w:rsidP="00CC1228">
      <w:r w:rsidRPr="00AF35C8">
        <w:t xml:space="preserve">Howard, H. (2021) ‘Effective participation of vulnerable defendants in court’, </w:t>
      </w:r>
      <w:r w:rsidRPr="00CC1228">
        <w:rPr>
          <w:i/>
          <w:iCs/>
        </w:rPr>
        <w:t>British Journal of Criminology</w:t>
      </w:r>
      <w:r w:rsidRPr="00AF35C8">
        <w:t>, 61(5), pp. 1234–1250.</w:t>
      </w:r>
    </w:p>
    <w:p w14:paraId="60BFDF0E" w14:textId="77777777" w:rsidR="00AF35C8" w:rsidRPr="00AF35C8" w:rsidRDefault="00AF35C8" w:rsidP="00CC1228">
      <w:r w:rsidRPr="00AF35C8">
        <w:t xml:space="preserve">Ministry of Justice (2020) </w:t>
      </w:r>
      <w:r w:rsidRPr="00CC1228">
        <w:rPr>
          <w:i/>
          <w:iCs/>
        </w:rPr>
        <w:t>Ethnicity and the criminal justice system</w:t>
      </w:r>
      <w:r w:rsidRPr="00AF35C8">
        <w:t xml:space="preserve">. Available at: </w:t>
      </w:r>
      <w:hyperlink r:id="rId11" w:history="1">
        <w:r w:rsidRPr="00AF35C8">
          <w:rPr>
            <w:rStyle w:val="Hyperlink"/>
          </w:rPr>
          <w:t>https://www.gov.uk</w:t>
        </w:r>
      </w:hyperlink>
      <w:r w:rsidRPr="00AF35C8">
        <w:t xml:space="preserve"> (Accessed: 24 April 2026).</w:t>
      </w:r>
    </w:p>
    <w:p w14:paraId="3BDCF4A7" w14:textId="77777777" w:rsidR="00AF35C8" w:rsidRPr="00AF35C8" w:rsidRDefault="00AF35C8" w:rsidP="00CC1228">
      <w:r w:rsidRPr="00AF35C8">
        <w:t xml:space="preserve">Ministry of Justice (2022) </w:t>
      </w:r>
      <w:r w:rsidRPr="00CC1228">
        <w:rPr>
          <w:i/>
          <w:iCs/>
        </w:rPr>
        <w:t>Victims’ Code review</w:t>
      </w:r>
      <w:r w:rsidRPr="00AF35C8">
        <w:t xml:space="preserve">. Available at: </w:t>
      </w:r>
      <w:hyperlink r:id="rId12" w:history="1">
        <w:r w:rsidRPr="00AF35C8">
          <w:rPr>
            <w:rStyle w:val="Hyperlink"/>
          </w:rPr>
          <w:t>https://www.gov.uk</w:t>
        </w:r>
      </w:hyperlink>
      <w:r w:rsidRPr="00AF35C8">
        <w:t xml:space="preserve"> (Accessed: 25 April 2026).</w:t>
      </w:r>
    </w:p>
    <w:p w14:paraId="26A278F8" w14:textId="77777777" w:rsidR="00AF35C8" w:rsidRPr="00AF35C8" w:rsidRDefault="00AF35C8" w:rsidP="00CC1228">
      <w:r w:rsidRPr="00AF35C8">
        <w:t xml:space="preserve">Ministry of Justice (2023) </w:t>
      </w:r>
      <w:r w:rsidRPr="00CC1228">
        <w:rPr>
          <w:i/>
          <w:iCs/>
        </w:rPr>
        <w:t>Criminal court statistics quarterly</w:t>
      </w:r>
      <w:r w:rsidRPr="00AF35C8">
        <w:t xml:space="preserve">. Available at: </w:t>
      </w:r>
      <w:hyperlink r:id="rId13" w:history="1">
        <w:r w:rsidRPr="00AF35C8">
          <w:rPr>
            <w:rStyle w:val="Hyperlink"/>
          </w:rPr>
          <w:t>https://www.gov.uk</w:t>
        </w:r>
      </w:hyperlink>
      <w:r w:rsidRPr="00AF35C8">
        <w:t xml:space="preserve"> (Accessed: 26 April 2026).</w:t>
      </w:r>
    </w:p>
    <w:p w14:paraId="420794D1" w14:textId="77777777" w:rsidR="00AF35C8" w:rsidRPr="00AF35C8" w:rsidRDefault="00AF35C8" w:rsidP="00CC1228">
      <w:r w:rsidRPr="00AF35C8">
        <w:t xml:space="preserve">Prison Reform Trust (2021) </w:t>
      </w:r>
      <w:r w:rsidRPr="00CC1228">
        <w:rPr>
          <w:i/>
          <w:iCs/>
        </w:rPr>
        <w:t>Mental health and the criminal justice system</w:t>
      </w:r>
      <w:r w:rsidRPr="00AF35C8">
        <w:t xml:space="preserve">. Available at: </w:t>
      </w:r>
      <w:hyperlink r:id="rId14" w:history="1">
        <w:r w:rsidRPr="00AF35C8">
          <w:rPr>
            <w:rStyle w:val="Hyperlink"/>
          </w:rPr>
          <w:t>https://prisonreformtrust.org.uk</w:t>
        </w:r>
      </w:hyperlink>
      <w:r w:rsidRPr="00AF35C8">
        <w:t xml:space="preserve"> (Accessed: 24 April 2026).</w:t>
      </w:r>
    </w:p>
    <w:p w14:paraId="37E4DDC8" w14:textId="77777777" w:rsidR="00AF35C8" w:rsidRPr="00AF35C8" w:rsidRDefault="00AF35C8" w:rsidP="00CC1228">
      <w:r w:rsidRPr="00AF35C8">
        <w:t xml:space="preserve">Roberts, J.V. (2020) ‘Sentencing and equality in the criminal justice system’, </w:t>
      </w:r>
      <w:r w:rsidRPr="00CC1228">
        <w:rPr>
          <w:i/>
          <w:iCs/>
        </w:rPr>
        <w:t>Criminal Law Review</w:t>
      </w:r>
      <w:r w:rsidRPr="00AF35C8">
        <w:t>, 5, pp. 345–360.</w:t>
      </w:r>
    </w:p>
    <w:p w14:paraId="621D22E9" w14:textId="77777777" w:rsidR="00AF35C8" w:rsidRPr="00AF35C8" w:rsidRDefault="00AF35C8" w:rsidP="00CC1228">
      <w:r w:rsidRPr="00AF35C8">
        <w:t xml:space="preserve">Sentencing Council (2022) </w:t>
      </w:r>
      <w:r w:rsidRPr="00CC1228">
        <w:rPr>
          <w:i/>
          <w:iCs/>
        </w:rPr>
        <w:t>Equality and diversity in sentencing</w:t>
      </w:r>
      <w:r w:rsidRPr="00AF35C8">
        <w:t xml:space="preserve">. Available at: </w:t>
      </w:r>
      <w:hyperlink r:id="rId15" w:history="1">
        <w:r w:rsidRPr="00AF35C8">
          <w:rPr>
            <w:rStyle w:val="Hyperlink"/>
          </w:rPr>
          <w:t>https://www.sentencingcouncil.org.uk</w:t>
        </w:r>
      </w:hyperlink>
      <w:r w:rsidRPr="00AF35C8">
        <w:t xml:space="preserve"> (Accessed: 25 April 2026).</w:t>
      </w:r>
    </w:p>
    <w:p w14:paraId="12D13C02" w14:textId="77777777" w:rsidR="00AF35C8" w:rsidRPr="00AF35C8" w:rsidRDefault="00AF35C8" w:rsidP="00CC1228">
      <w:r w:rsidRPr="00AF35C8">
        <w:t xml:space="preserve">Smith, O. (2020) ‘Victim experiences in sexual offence investigations’, </w:t>
      </w:r>
      <w:r w:rsidRPr="00CC1228">
        <w:rPr>
          <w:i/>
          <w:iCs/>
        </w:rPr>
        <w:t>Journal of Criminal Justice Studies</w:t>
      </w:r>
      <w:r w:rsidRPr="00AF35C8">
        <w:t>, 15(2), pp. 45–60.</w:t>
      </w:r>
    </w:p>
    <w:p w14:paraId="7FF7D9C3" w14:textId="77777777" w:rsidR="00AF35C8" w:rsidRPr="00AF35C8" w:rsidRDefault="00AF35C8" w:rsidP="00CC1228">
      <w:proofErr w:type="spellStart"/>
      <w:r w:rsidRPr="00AF35C8">
        <w:t>Spruin</w:t>
      </w:r>
      <w:proofErr w:type="spellEnd"/>
      <w:r w:rsidRPr="00AF35C8">
        <w:t xml:space="preserve">, E., Woodhams, J. and Perkins, D. (2020) ‘The use of facility dogs in supporting victims’, </w:t>
      </w:r>
      <w:r w:rsidRPr="00CC1228">
        <w:rPr>
          <w:i/>
          <w:iCs/>
        </w:rPr>
        <w:t>Social Sciences</w:t>
      </w:r>
      <w:r w:rsidRPr="00AF35C8">
        <w:t>, 9(6), pp. 1–15.</w:t>
      </w:r>
    </w:p>
    <w:p w14:paraId="626A0127" w14:textId="77777777" w:rsidR="00AF35C8" w:rsidRPr="00AF35C8" w:rsidRDefault="00AF35C8" w:rsidP="00CC1228">
      <w:r w:rsidRPr="00AF35C8">
        <w:t xml:space="preserve">Transform Justice (2022) </w:t>
      </w:r>
      <w:r w:rsidRPr="00CC1228">
        <w:rPr>
          <w:i/>
          <w:iCs/>
        </w:rPr>
        <w:t>Defendants on trial</w:t>
      </w:r>
      <w:r w:rsidRPr="00AF35C8">
        <w:t xml:space="preserve">. Available at: </w:t>
      </w:r>
      <w:hyperlink r:id="rId16" w:history="1">
        <w:r w:rsidRPr="00AF35C8">
          <w:rPr>
            <w:rStyle w:val="Hyperlink"/>
          </w:rPr>
          <w:t>https://www.transformjustice.org.uk</w:t>
        </w:r>
      </w:hyperlink>
      <w:r w:rsidRPr="00AF35C8">
        <w:t xml:space="preserve"> (Accessed: 27 April 2026).</w:t>
      </w:r>
    </w:p>
    <w:p w14:paraId="17BB23FD" w14:textId="77777777" w:rsidR="00AF35C8" w:rsidRPr="00AF35C8" w:rsidRDefault="00AF35C8" w:rsidP="00CC1228">
      <w:r w:rsidRPr="00AF35C8">
        <w:t xml:space="preserve">Victims’ Commissioner (2022) </w:t>
      </w:r>
      <w:r w:rsidRPr="00CC1228">
        <w:rPr>
          <w:i/>
          <w:iCs/>
        </w:rPr>
        <w:t>Victims’ experiences of the criminal justice system</w:t>
      </w:r>
      <w:r w:rsidRPr="00AF35C8">
        <w:t xml:space="preserve">. Available at: </w:t>
      </w:r>
      <w:hyperlink r:id="rId17" w:history="1">
        <w:r w:rsidRPr="00AF35C8">
          <w:rPr>
            <w:rStyle w:val="Hyperlink"/>
          </w:rPr>
          <w:t>https://victimscommissioner.org.uk</w:t>
        </w:r>
      </w:hyperlink>
      <w:r w:rsidRPr="00AF35C8">
        <w:t xml:space="preserve"> (Accessed: 24 April 2026).</w:t>
      </w:r>
    </w:p>
    <w:p w14:paraId="0E693EE4" w14:textId="7F8E2432" w:rsidR="00B34344" w:rsidRPr="00B34344" w:rsidRDefault="00B34344" w:rsidP="00B34344"/>
    <w:sectPr w:rsidR="00B34344" w:rsidRPr="00B343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544FE6"/>
    <w:multiLevelType w:val="hybridMultilevel"/>
    <w:tmpl w:val="FD7E6D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2915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B07"/>
    <w:rsid w:val="002D3EB3"/>
    <w:rsid w:val="00401307"/>
    <w:rsid w:val="004F3984"/>
    <w:rsid w:val="00684C2E"/>
    <w:rsid w:val="006E6B07"/>
    <w:rsid w:val="007267D5"/>
    <w:rsid w:val="00733C21"/>
    <w:rsid w:val="007E5027"/>
    <w:rsid w:val="007F1734"/>
    <w:rsid w:val="00872506"/>
    <w:rsid w:val="00A3044E"/>
    <w:rsid w:val="00A66FEA"/>
    <w:rsid w:val="00AF35C8"/>
    <w:rsid w:val="00B34344"/>
    <w:rsid w:val="00C20936"/>
    <w:rsid w:val="00CC1228"/>
    <w:rsid w:val="00D920E7"/>
    <w:rsid w:val="00E31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6A045"/>
  <w15:chartTrackingRefBased/>
  <w15:docId w15:val="{309BB8D2-3B5A-4A5C-8655-E9B5DEBAE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B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6B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6B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6B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6B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6B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6B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6B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6B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B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6B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6B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6B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6B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6B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6B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6B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6B07"/>
    <w:rPr>
      <w:rFonts w:eastAsiaTheme="majorEastAsia" w:cstheme="majorBidi"/>
      <w:color w:val="272727" w:themeColor="text1" w:themeTint="D8"/>
    </w:rPr>
  </w:style>
  <w:style w:type="paragraph" w:styleId="Title">
    <w:name w:val="Title"/>
    <w:basedOn w:val="Normal"/>
    <w:next w:val="Normal"/>
    <w:link w:val="TitleChar"/>
    <w:uiPriority w:val="10"/>
    <w:qFormat/>
    <w:rsid w:val="006E6B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B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B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B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6B07"/>
    <w:pPr>
      <w:spacing w:before="160"/>
      <w:jc w:val="center"/>
    </w:pPr>
    <w:rPr>
      <w:i/>
      <w:iCs/>
      <w:color w:val="404040" w:themeColor="text1" w:themeTint="BF"/>
    </w:rPr>
  </w:style>
  <w:style w:type="character" w:customStyle="1" w:styleId="QuoteChar">
    <w:name w:val="Quote Char"/>
    <w:basedOn w:val="DefaultParagraphFont"/>
    <w:link w:val="Quote"/>
    <w:uiPriority w:val="29"/>
    <w:rsid w:val="006E6B07"/>
    <w:rPr>
      <w:i/>
      <w:iCs/>
      <w:color w:val="404040" w:themeColor="text1" w:themeTint="BF"/>
    </w:rPr>
  </w:style>
  <w:style w:type="paragraph" w:styleId="ListParagraph">
    <w:name w:val="List Paragraph"/>
    <w:basedOn w:val="Normal"/>
    <w:uiPriority w:val="34"/>
    <w:qFormat/>
    <w:rsid w:val="006E6B07"/>
    <w:pPr>
      <w:ind w:left="720"/>
      <w:contextualSpacing/>
    </w:pPr>
  </w:style>
  <w:style w:type="character" w:styleId="IntenseEmphasis">
    <w:name w:val="Intense Emphasis"/>
    <w:basedOn w:val="DefaultParagraphFont"/>
    <w:uiPriority w:val="21"/>
    <w:qFormat/>
    <w:rsid w:val="006E6B07"/>
    <w:rPr>
      <w:i/>
      <w:iCs/>
      <w:color w:val="0F4761" w:themeColor="accent1" w:themeShade="BF"/>
    </w:rPr>
  </w:style>
  <w:style w:type="paragraph" w:styleId="IntenseQuote">
    <w:name w:val="Intense Quote"/>
    <w:basedOn w:val="Normal"/>
    <w:next w:val="Normal"/>
    <w:link w:val="IntenseQuoteChar"/>
    <w:uiPriority w:val="30"/>
    <w:qFormat/>
    <w:rsid w:val="006E6B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B07"/>
    <w:rPr>
      <w:i/>
      <w:iCs/>
      <w:color w:val="0F4761" w:themeColor="accent1" w:themeShade="BF"/>
    </w:rPr>
  </w:style>
  <w:style w:type="character" w:styleId="IntenseReference">
    <w:name w:val="Intense Reference"/>
    <w:basedOn w:val="DefaultParagraphFont"/>
    <w:uiPriority w:val="32"/>
    <w:qFormat/>
    <w:rsid w:val="006E6B07"/>
    <w:rPr>
      <w:b/>
      <w:bCs/>
      <w:smallCaps/>
      <w:color w:val="0F4761" w:themeColor="accent1" w:themeShade="BF"/>
      <w:spacing w:val="5"/>
    </w:rPr>
  </w:style>
  <w:style w:type="character" w:styleId="Hyperlink">
    <w:name w:val="Hyperlink"/>
    <w:basedOn w:val="DefaultParagraphFont"/>
    <w:uiPriority w:val="99"/>
    <w:unhideWhenUsed/>
    <w:rsid w:val="00872506"/>
    <w:rPr>
      <w:color w:val="467886" w:themeColor="hyperlink"/>
      <w:u w:val="single"/>
    </w:rPr>
  </w:style>
  <w:style w:type="character" w:styleId="UnresolvedMention">
    <w:name w:val="Unresolved Mention"/>
    <w:basedOn w:val="DefaultParagraphFont"/>
    <w:uiPriority w:val="99"/>
    <w:semiHidden/>
    <w:unhideWhenUsed/>
    <w:rsid w:val="00872506"/>
    <w:rPr>
      <w:color w:val="605E5C"/>
      <w:shd w:val="clear" w:color="auto" w:fill="E1DFDD"/>
    </w:rPr>
  </w:style>
  <w:style w:type="character" w:styleId="FollowedHyperlink">
    <w:name w:val="FollowedHyperlink"/>
    <w:basedOn w:val="DefaultParagraphFont"/>
    <w:uiPriority w:val="99"/>
    <w:semiHidden/>
    <w:unhideWhenUsed/>
    <w:rsid w:val="0087250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irtrials.org/" TargetMode="External"/><Relationship Id="rId13" Type="http://schemas.openxmlformats.org/officeDocument/2006/relationships/hyperlink" Target="https://www.gov.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qualityhumanrights.com/" TargetMode="External"/><Relationship Id="rId12" Type="http://schemas.openxmlformats.org/officeDocument/2006/relationships/hyperlink" Target="https://www.gov.uk/" TargetMode="External"/><Relationship Id="rId17" Type="http://schemas.openxmlformats.org/officeDocument/2006/relationships/hyperlink" Target="https://victimscommissioner.org.uk/" TargetMode="External"/><Relationship Id="rId2" Type="http://schemas.openxmlformats.org/officeDocument/2006/relationships/styles" Target="styles.xml"/><Relationship Id="rId16" Type="http://schemas.openxmlformats.org/officeDocument/2006/relationships/hyperlink" Target="https://www.transformjustice.org.uk/" TargetMode="External"/><Relationship Id="rId1" Type="http://schemas.openxmlformats.org/officeDocument/2006/relationships/numbering" Target="numbering.xml"/><Relationship Id="rId6" Type="http://schemas.openxmlformats.org/officeDocument/2006/relationships/hyperlink" Target="https://www.gov.uk/government/publications/the-code-of-practice-for-victims-of-crime" TargetMode="External"/><Relationship Id="rId11" Type="http://schemas.openxmlformats.org/officeDocument/2006/relationships/hyperlink" Target="https://www.gov.uk/" TargetMode="External"/><Relationship Id="rId5" Type="http://schemas.openxmlformats.org/officeDocument/2006/relationships/hyperlink" Target="https://www.college.police.uk/app" TargetMode="External"/><Relationship Id="rId15" Type="http://schemas.openxmlformats.org/officeDocument/2006/relationships/hyperlink" Target="https://www.sentencingcouncil.org.uk/" TargetMode="External"/><Relationship Id="rId10" Type="http://schemas.openxmlformats.org/officeDocument/2006/relationships/hyperlink" Target="https://committees.parliament.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 TargetMode="External"/><Relationship Id="rId14" Type="http://schemas.openxmlformats.org/officeDocument/2006/relationships/hyperlink" Target="https://prisonreformtrust.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1951</Words>
  <Characters>11126</Characters>
  <Application>Microsoft Office Word</Application>
  <DocSecurity>0</DocSecurity>
  <Lines>92</Lines>
  <Paragraphs>26</Paragraphs>
  <ScaleCrop>false</ScaleCrop>
  <Company/>
  <LinksUpToDate>false</LinksUpToDate>
  <CharactersWithSpaces>13051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lexie watson</dc:creator>
  <cp:keywords/>
  <dc:description/>
  <cp:lastModifiedBy>lexie watson</cp:lastModifiedBy>
  <cp:revision>15</cp:revision>
  <dcterms:created xsi:type="dcterms:W3CDTF">2026-04-30T15:10:00Z</dcterms:created>
  <dcterms:modified xsi:type="dcterms:W3CDTF">2026-04-30T15:54:00Z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f6e9b657-72d0-4927-9105-1d9e4e0dd22c</vt:lpwstr>
  </property>
</Properties>
</file>