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chart3.xml" ContentType="application/vnd.openxmlformats-officedocument.drawingml.chart+xml"/>
  <Override PartName="/word/drawings/drawing2.xml" ContentType="application/vnd.openxmlformats-officedocument.drawingml.chartshapes+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2378DD" w14:textId="77777777" w:rsidR="00861C5E" w:rsidRPr="00D741F3" w:rsidRDefault="00861C5E" w:rsidP="008A0307">
      <w:pPr>
        <w:pStyle w:val="Heading1"/>
        <w:rPr>
          <w:rFonts w:eastAsia="Aptos" w:cs="Times New Roman"/>
          <w:lang w:val="hu-HU"/>
        </w:rPr>
      </w:pPr>
    </w:p>
    <w:p w14:paraId="1C47C6DC" w14:textId="5A3FCF22" w:rsidR="00861C5E" w:rsidRPr="00013C34" w:rsidRDefault="00861C5E" w:rsidP="00861C5E">
      <w:pPr>
        <w:spacing w:after="0"/>
        <w:contextualSpacing/>
        <w:jc w:val="center"/>
        <w:rPr>
          <w:rFonts w:cs="Times New Roman"/>
          <w:szCs w:val="24"/>
        </w:rPr>
      </w:pPr>
      <w:r w:rsidRPr="00861C5E">
        <w:rPr>
          <w:rFonts w:cs="Times New Roman"/>
          <w:szCs w:val="24"/>
        </w:rPr>
        <w:t>Comparison of Shangri-L</w:t>
      </w:r>
      <w:r>
        <w:rPr>
          <w:rFonts w:cs="Times New Roman"/>
          <w:szCs w:val="24"/>
        </w:rPr>
        <w:t>a Hotels and Premier Inn Hotels</w:t>
      </w:r>
    </w:p>
    <w:p w14:paraId="08A4974E" w14:textId="77777777" w:rsidR="00861C5E" w:rsidRPr="00013C34" w:rsidRDefault="00861C5E" w:rsidP="00861C5E">
      <w:pPr>
        <w:spacing w:after="0"/>
        <w:contextualSpacing/>
        <w:jc w:val="center"/>
        <w:rPr>
          <w:rFonts w:cs="Times New Roman"/>
          <w:szCs w:val="24"/>
        </w:rPr>
      </w:pPr>
    </w:p>
    <w:p w14:paraId="2D4D3359" w14:textId="77777777" w:rsidR="00861C5E" w:rsidRPr="00013C34" w:rsidRDefault="00861C5E" w:rsidP="00861C5E">
      <w:pPr>
        <w:spacing w:after="0"/>
        <w:contextualSpacing/>
        <w:jc w:val="center"/>
        <w:rPr>
          <w:rFonts w:cs="Times New Roman"/>
          <w:szCs w:val="24"/>
        </w:rPr>
      </w:pPr>
    </w:p>
    <w:p w14:paraId="05B7B706" w14:textId="77777777" w:rsidR="00861C5E" w:rsidRPr="00013C34" w:rsidRDefault="00861C5E" w:rsidP="00861C5E">
      <w:pPr>
        <w:spacing w:after="0"/>
        <w:contextualSpacing/>
        <w:jc w:val="center"/>
        <w:rPr>
          <w:rFonts w:cs="Times New Roman"/>
          <w:szCs w:val="24"/>
        </w:rPr>
      </w:pPr>
    </w:p>
    <w:p w14:paraId="73F524E9" w14:textId="77777777" w:rsidR="00861C5E" w:rsidRPr="00013C34" w:rsidRDefault="00861C5E" w:rsidP="00861C5E">
      <w:pPr>
        <w:spacing w:after="0"/>
        <w:contextualSpacing/>
        <w:jc w:val="center"/>
        <w:rPr>
          <w:rFonts w:cs="Times New Roman"/>
          <w:szCs w:val="24"/>
        </w:rPr>
      </w:pPr>
    </w:p>
    <w:p w14:paraId="1E9606A4" w14:textId="77777777" w:rsidR="00861C5E" w:rsidRPr="00013C34" w:rsidRDefault="00861C5E" w:rsidP="00861C5E">
      <w:pPr>
        <w:spacing w:after="0"/>
        <w:contextualSpacing/>
        <w:jc w:val="center"/>
        <w:rPr>
          <w:rFonts w:cs="Times New Roman"/>
          <w:szCs w:val="24"/>
        </w:rPr>
      </w:pPr>
    </w:p>
    <w:p w14:paraId="7C898F20" w14:textId="77777777" w:rsidR="00861C5E" w:rsidRPr="00013C34" w:rsidRDefault="00861C5E" w:rsidP="00861C5E">
      <w:pPr>
        <w:spacing w:after="0"/>
        <w:contextualSpacing/>
        <w:jc w:val="center"/>
        <w:rPr>
          <w:rFonts w:cs="Times New Roman"/>
          <w:szCs w:val="24"/>
        </w:rPr>
      </w:pPr>
    </w:p>
    <w:p w14:paraId="4444BEC1" w14:textId="77777777" w:rsidR="00861C5E" w:rsidRPr="00013C34" w:rsidRDefault="00861C5E" w:rsidP="00861C5E">
      <w:pPr>
        <w:spacing w:after="0"/>
        <w:contextualSpacing/>
        <w:jc w:val="center"/>
        <w:rPr>
          <w:rFonts w:cs="Times New Roman"/>
          <w:szCs w:val="24"/>
        </w:rPr>
      </w:pPr>
    </w:p>
    <w:p w14:paraId="1C56BCD2" w14:textId="77777777" w:rsidR="00861C5E" w:rsidRPr="00013C34" w:rsidRDefault="00861C5E" w:rsidP="00861C5E">
      <w:pPr>
        <w:spacing w:after="0"/>
        <w:contextualSpacing/>
        <w:jc w:val="center"/>
        <w:rPr>
          <w:rFonts w:cs="Times New Roman"/>
          <w:szCs w:val="24"/>
        </w:rPr>
      </w:pPr>
      <w:r w:rsidRPr="00013C34">
        <w:rPr>
          <w:rFonts w:cs="Times New Roman"/>
          <w:szCs w:val="24"/>
        </w:rPr>
        <w:t>Student Name</w:t>
      </w:r>
      <w:r>
        <w:rPr>
          <w:rFonts w:cs="Times New Roman"/>
          <w:szCs w:val="24"/>
        </w:rPr>
        <w:t xml:space="preserve">: Jayson Anthony </w:t>
      </w:r>
      <w:proofErr w:type="spellStart"/>
      <w:r>
        <w:rPr>
          <w:rFonts w:cs="Times New Roman"/>
          <w:szCs w:val="24"/>
        </w:rPr>
        <w:t>Luba</w:t>
      </w:r>
      <w:proofErr w:type="spellEnd"/>
    </w:p>
    <w:p w14:paraId="46967B70" w14:textId="77777777" w:rsidR="00861C5E" w:rsidRPr="00013C34" w:rsidRDefault="00861C5E" w:rsidP="00861C5E">
      <w:pPr>
        <w:spacing w:after="0"/>
        <w:contextualSpacing/>
        <w:jc w:val="center"/>
        <w:rPr>
          <w:rFonts w:cs="Times New Roman"/>
          <w:szCs w:val="24"/>
        </w:rPr>
      </w:pPr>
      <w:r w:rsidRPr="00013C34">
        <w:rPr>
          <w:rFonts w:cs="Times New Roman"/>
          <w:szCs w:val="24"/>
        </w:rPr>
        <w:t>Student ID</w:t>
      </w:r>
      <w:r>
        <w:rPr>
          <w:rFonts w:cs="Times New Roman"/>
          <w:szCs w:val="24"/>
        </w:rPr>
        <w:t>: 2245377</w:t>
      </w:r>
    </w:p>
    <w:p w14:paraId="160A458A" w14:textId="77777777" w:rsidR="00861C5E" w:rsidRPr="00013C34" w:rsidRDefault="00861C5E" w:rsidP="00861C5E">
      <w:pPr>
        <w:spacing w:after="0"/>
        <w:contextualSpacing/>
        <w:jc w:val="center"/>
        <w:rPr>
          <w:rFonts w:cs="Times New Roman"/>
          <w:szCs w:val="24"/>
        </w:rPr>
      </w:pPr>
    </w:p>
    <w:p w14:paraId="231A8E69" w14:textId="77777777" w:rsidR="00861C5E" w:rsidRPr="00013C34" w:rsidRDefault="00861C5E" w:rsidP="00861C5E">
      <w:pPr>
        <w:spacing w:after="0"/>
        <w:contextualSpacing/>
        <w:jc w:val="center"/>
        <w:rPr>
          <w:rFonts w:cs="Times New Roman"/>
          <w:szCs w:val="24"/>
        </w:rPr>
      </w:pPr>
    </w:p>
    <w:p w14:paraId="4CD60C5D" w14:textId="77777777" w:rsidR="00861C5E" w:rsidRPr="00013C34" w:rsidRDefault="00861C5E" w:rsidP="00861C5E">
      <w:pPr>
        <w:spacing w:after="0"/>
        <w:contextualSpacing/>
        <w:jc w:val="center"/>
        <w:rPr>
          <w:rFonts w:cs="Times New Roman"/>
          <w:szCs w:val="24"/>
        </w:rPr>
      </w:pPr>
      <w:bookmarkStart w:id="0" w:name="_GoBack"/>
      <w:bookmarkEnd w:id="0"/>
    </w:p>
    <w:p w14:paraId="4AA52ACB" w14:textId="77777777" w:rsidR="00861C5E" w:rsidRPr="00013C34" w:rsidRDefault="00861C5E" w:rsidP="00861C5E">
      <w:pPr>
        <w:spacing w:after="0"/>
        <w:contextualSpacing/>
        <w:jc w:val="center"/>
        <w:rPr>
          <w:rFonts w:cs="Times New Roman"/>
          <w:szCs w:val="24"/>
        </w:rPr>
      </w:pPr>
    </w:p>
    <w:p w14:paraId="3D6793E0" w14:textId="77777777" w:rsidR="00861C5E" w:rsidRPr="00013C34" w:rsidRDefault="00861C5E" w:rsidP="00861C5E">
      <w:pPr>
        <w:spacing w:after="0"/>
        <w:contextualSpacing/>
        <w:rPr>
          <w:rFonts w:cs="Times New Roman"/>
          <w:szCs w:val="24"/>
        </w:rPr>
      </w:pPr>
    </w:p>
    <w:p w14:paraId="49A0C1F4" w14:textId="77777777" w:rsidR="00861C5E" w:rsidRPr="00013C34" w:rsidRDefault="00861C5E" w:rsidP="00861C5E">
      <w:pPr>
        <w:spacing w:after="0"/>
        <w:contextualSpacing/>
        <w:jc w:val="center"/>
        <w:rPr>
          <w:rFonts w:cs="Times New Roman"/>
          <w:szCs w:val="24"/>
        </w:rPr>
      </w:pPr>
    </w:p>
    <w:p w14:paraId="373D95B8" w14:textId="77777777" w:rsidR="00861C5E" w:rsidRPr="00013C34" w:rsidRDefault="00861C5E" w:rsidP="00861C5E">
      <w:pPr>
        <w:spacing w:after="0"/>
        <w:contextualSpacing/>
        <w:jc w:val="center"/>
        <w:rPr>
          <w:rFonts w:cs="Times New Roman"/>
          <w:szCs w:val="24"/>
        </w:rPr>
      </w:pPr>
    </w:p>
    <w:p w14:paraId="50A572C8" w14:textId="77777777" w:rsidR="00861C5E" w:rsidRPr="00013C34" w:rsidRDefault="00861C5E" w:rsidP="00861C5E">
      <w:pPr>
        <w:spacing w:after="0"/>
        <w:contextualSpacing/>
        <w:jc w:val="center"/>
        <w:rPr>
          <w:rFonts w:cs="Times New Roman"/>
          <w:szCs w:val="24"/>
        </w:rPr>
      </w:pPr>
    </w:p>
    <w:p w14:paraId="763152AC" w14:textId="77777777" w:rsidR="00861C5E" w:rsidRPr="00013C34" w:rsidRDefault="00861C5E" w:rsidP="00861C5E">
      <w:pPr>
        <w:spacing w:after="0"/>
        <w:contextualSpacing/>
        <w:jc w:val="center"/>
        <w:rPr>
          <w:rFonts w:cs="Times New Roman"/>
          <w:szCs w:val="24"/>
        </w:rPr>
      </w:pPr>
      <w:r w:rsidRPr="00013C34">
        <w:rPr>
          <w:rFonts w:cs="Times New Roman"/>
          <w:szCs w:val="24"/>
        </w:rPr>
        <w:t xml:space="preserve">Module Title </w:t>
      </w:r>
    </w:p>
    <w:p w14:paraId="5D3D7F87" w14:textId="041A591C" w:rsidR="00861C5E" w:rsidRPr="00013C34" w:rsidRDefault="00861C5E" w:rsidP="00861C5E">
      <w:pPr>
        <w:spacing w:after="0"/>
        <w:contextualSpacing/>
        <w:jc w:val="center"/>
        <w:rPr>
          <w:rFonts w:cs="Times New Roman"/>
          <w:szCs w:val="24"/>
        </w:rPr>
      </w:pPr>
      <w:r w:rsidRPr="00013C34">
        <w:rPr>
          <w:rFonts w:cs="Times New Roman"/>
          <w:szCs w:val="24"/>
        </w:rPr>
        <w:t xml:space="preserve"> BMIH500</w:t>
      </w:r>
      <w:r>
        <w:rPr>
          <w:rFonts w:cs="Times New Roman"/>
          <w:szCs w:val="24"/>
        </w:rPr>
        <w:t>7</w:t>
      </w:r>
      <w:r w:rsidRPr="00013C34">
        <w:rPr>
          <w:rFonts w:cs="Times New Roman"/>
          <w:szCs w:val="24"/>
        </w:rPr>
        <w:t xml:space="preserve"> </w:t>
      </w:r>
      <w:r w:rsidRPr="00861C5E">
        <w:rPr>
          <w:rFonts w:cs="Times New Roman"/>
          <w:szCs w:val="24"/>
        </w:rPr>
        <w:t>Financial Management for the Hotel Industry</w:t>
      </w:r>
    </w:p>
    <w:p w14:paraId="1B523F3A" w14:textId="5A0A7C7A" w:rsidR="00861C5E" w:rsidRDefault="00861C5E" w:rsidP="00861C5E">
      <w:pPr>
        <w:spacing w:after="0"/>
        <w:contextualSpacing/>
        <w:jc w:val="center"/>
        <w:rPr>
          <w:rFonts w:cs="Times New Roman"/>
          <w:szCs w:val="24"/>
        </w:rPr>
      </w:pPr>
      <w:r>
        <w:rPr>
          <w:rFonts w:cs="Times New Roman"/>
          <w:szCs w:val="24"/>
        </w:rPr>
        <w:t xml:space="preserve"> L</w:t>
      </w:r>
      <w:r w:rsidRPr="00013C34">
        <w:rPr>
          <w:rFonts w:cs="Times New Roman"/>
          <w:szCs w:val="24"/>
        </w:rPr>
        <w:t>ecturer’s name</w:t>
      </w:r>
      <w:r>
        <w:rPr>
          <w:rFonts w:cs="Times New Roman"/>
          <w:szCs w:val="24"/>
        </w:rPr>
        <w:t xml:space="preserve">: </w:t>
      </w:r>
      <w:r w:rsidRPr="00861C5E">
        <w:rPr>
          <w:rFonts w:cs="Times New Roman"/>
          <w:szCs w:val="24"/>
        </w:rPr>
        <w:t>Tristan Hawkins</w:t>
      </w:r>
    </w:p>
    <w:p w14:paraId="326BBA4E" w14:textId="0B0BF671" w:rsidR="00C635BB" w:rsidRDefault="009D023D" w:rsidP="00861C5E">
      <w:pPr>
        <w:spacing w:after="0"/>
        <w:contextualSpacing/>
        <w:jc w:val="center"/>
        <w:rPr>
          <w:rFonts w:cs="Times New Roman"/>
          <w:szCs w:val="24"/>
        </w:rPr>
      </w:pPr>
      <w:r>
        <w:rPr>
          <w:rFonts w:cs="Times New Roman"/>
          <w:szCs w:val="24"/>
        </w:rPr>
        <w:t>Word count: 2197</w:t>
      </w:r>
    </w:p>
    <w:p w14:paraId="0D6F616D" w14:textId="77777777" w:rsidR="00861C5E" w:rsidRDefault="00861C5E" w:rsidP="00861C5E">
      <w:pPr>
        <w:rPr>
          <w:rFonts w:cs="Times New Roman"/>
          <w:szCs w:val="24"/>
        </w:rPr>
      </w:pPr>
    </w:p>
    <w:p w14:paraId="04F9597C" w14:textId="77777777" w:rsidR="00861C5E" w:rsidRDefault="00861C5E" w:rsidP="00861C5E">
      <w:pPr>
        <w:rPr>
          <w:rFonts w:cs="Times New Roman"/>
          <w:szCs w:val="24"/>
        </w:rPr>
      </w:pPr>
    </w:p>
    <w:p w14:paraId="4F36D09B" w14:textId="0C96BA22" w:rsidR="00861C5E" w:rsidRPr="00E06282" w:rsidRDefault="00861C5E" w:rsidP="00861C5E">
      <w:pPr>
        <w:rPr>
          <w:rFonts w:cs="Times New Roman"/>
          <w:szCs w:val="24"/>
        </w:rPr>
      </w:pPr>
      <w:r w:rsidRPr="00E06282">
        <w:rPr>
          <w:rFonts w:cs="Times New Roman"/>
          <w:szCs w:val="24"/>
        </w:rPr>
        <w:t>Basic Acknowledgement format of AI tool use</w:t>
      </w:r>
    </w:p>
    <w:p w14:paraId="29C24E5E" w14:textId="77777777" w:rsidR="00861C5E" w:rsidRDefault="00861C5E" w:rsidP="00861C5E">
      <w:pPr>
        <w:spacing w:after="0"/>
        <w:contextualSpacing/>
        <w:rPr>
          <w:rFonts w:cs="Times New Roman"/>
          <w:szCs w:val="24"/>
        </w:rPr>
      </w:pPr>
      <w:r w:rsidRPr="00E06282">
        <w:rPr>
          <w:rFonts w:cs="Times New Roman"/>
          <w:szCs w:val="24"/>
        </w:rPr>
        <w:t>I confirm that I have not presented any AI generated text as my own work.</w:t>
      </w:r>
    </w:p>
    <w:p w14:paraId="2CD76605" w14:textId="1E454611" w:rsidR="7A171026" w:rsidRPr="002A41F6" w:rsidRDefault="00861C5E" w:rsidP="00861C5E">
      <w:pPr>
        <w:pStyle w:val="Heading1"/>
        <w:rPr>
          <w:rFonts w:cs="Times New Roman"/>
        </w:rPr>
      </w:pPr>
      <w:r>
        <w:rPr>
          <w:rFonts w:cs="Times New Roman"/>
          <w:sz w:val="24"/>
          <w:szCs w:val="24"/>
        </w:rPr>
        <w:br w:type="page"/>
      </w:r>
      <w:r w:rsidR="7A171026" w:rsidRPr="002A41F6">
        <w:rPr>
          <w:rFonts w:eastAsia="Aptos" w:cs="Times New Roman"/>
        </w:rPr>
        <w:lastRenderedPageBreak/>
        <w:t>Comparative Analysis of Shangri-La Hotels and Premier Inn Hotels</w:t>
      </w:r>
    </w:p>
    <w:p w14:paraId="5DB875BE" w14:textId="0CB492DE" w:rsidR="56AFB528" w:rsidRDefault="00190F8D" w:rsidP="56AFB528">
      <w:pPr>
        <w:rPr>
          <w:rFonts w:eastAsia="Aptos" w:cs="Times New Roman"/>
        </w:rPr>
      </w:pPr>
      <w:r>
        <w:rPr>
          <w:rFonts w:eastAsia="Aptos" w:cs="Times New Roman"/>
        </w:rPr>
        <w:t>This article aims</w:t>
      </w:r>
      <w:r w:rsidR="002A41F6" w:rsidRPr="002A41F6">
        <w:rPr>
          <w:rFonts w:eastAsia="Aptos" w:cs="Times New Roman"/>
        </w:rPr>
        <w:t xml:space="preserve"> to produce an in-depth examination based on two international hotel chains, Shangri-la and Premier Inn. Shangri-La targets high-end luxury, Premier Inn is concentrated on price-based quality. </w:t>
      </w:r>
      <w:r w:rsidR="00EC7DEE" w:rsidRPr="00EC7DEE">
        <w:rPr>
          <w:rFonts w:eastAsia="Aptos" w:cs="Times New Roman"/>
        </w:rPr>
        <w:t xml:space="preserve">Both chains have been </w:t>
      </w:r>
      <w:r w:rsidR="00F64162" w:rsidRPr="00EC7DEE">
        <w:rPr>
          <w:rFonts w:eastAsia="Aptos" w:cs="Times New Roman"/>
        </w:rPr>
        <w:t>analyzed</w:t>
      </w:r>
      <w:r w:rsidR="00EC7DEE" w:rsidRPr="00EC7DEE">
        <w:rPr>
          <w:rFonts w:eastAsia="Aptos" w:cs="Times New Roman"/>
        </w:rPr>
        <w:t xml:space="preserve"> in terms of revenue growth, market share and potential, particularly in the light of recent COVID-19 related news.</w:t>
      </w:r>
      <w:r w:rsidR="002A41F6" w:rsidRPr="002A41F6">
        <w:rPr>
          <w:rFonts w:eastAsia="Aptos" w:cs="Times New Roman"/>
        </w:rPr>
        <w:t xml:space="preserve"> This report will try to assess the relative post-crisis performance of both companies, looking at which hotel chain rebalanced more effectively in light of altered market conditions and a restructured economy following the Covid-19 storm</w:t>
      </w:r>
      <w:r w:rsidR="56AFB528" w:rsidRPr="002A41F6">
        <w:rPr>
          <w:rFonts w:eastAsia="Aptos" w:cs="Times New Roman"/>
        </w:rPr>
        <w:t>.</w:t>
      </w:r>
    </w:p>
    <w:p w14:paraId="7205A98E" w14:textId="37219AB5" w:rsidR="00CC7C97" w:rsidRDefault="001213E3" w:rsidP="001213E3">
      <w:pPr>
        <w:pStyle w:val="Heading1"/>
      </w:pPr>
      <w:r>
        <w:t>Shangri-</w:t>
      </w:r>
      <w:r w:rsidR="00CC7C97">
        <w:t>La</w:t>
      </w:r>
      <w:r>
        <w:t xml:space="preserve"> Hotels</w:t>
      </w:r>
    </w:p>
    <w:p w14:paraId="13FF41B0" w14:textId="60C7A041" w:rsidR="0091053C" w:rsidRPr="0091053C" w:rsidRDefault="0091053C" w:rsidP="0091053C">
      <w:r w:rsidRPr="0091053C">
        <w:t xml:space="preserve">Shangri-La Hotels is a hotel chain that deals in luxury accommodation and specialized, personal services for the affluent </w:t>
      </w:r>
      <w:r>
        <w:t>traveler</w:t>
      </w:r>
      <w:r w:rsidRPr="0091053C">
        <w:t xml:space="preserve">. The brand </w:t>
      </w:r>
      <w:r>
        <w:t>focuses</w:t>
      </w:r>
      <w:r w:rsidRPr="0091053C">
        <w:t xml:space="preserve"> on unique, culturally enriched experiences featuring luxurious amenities and personalized service. It has sought differentiation from </w:t>
      </w:r>
      <w:r>
        <w:t xml:space="preserve">the </w:t>
      </w:r>
      <w:r w:rsidRPr="0091053C">
        <w:t>competition and tries to offer memorable, premium experiences that can justify high pricing for the company.</w:t>
      </w:r>
    </w:p>
    <w:p w14:paraId="0EF8B58F" w14:textId="21A25EFE" w:rsidR="001213E3" w:rsidRDefault="001213E3" w:rsidP="004D3FD8">
      <w:pPr>
        <w:pStyle w:val="Heading2"/>
      </w:pPr>
      <w:r>
        <w:t>Market position</w:t>
      </w:r>
    </w:p>
    <w:p w14:paraId="712479A4" w14:textId="18D497BB" w:rsidR="00CD4278" w:rsidRDefault="00DD055C" w:rsidP="004D3FD8">
      <w:r w:rsidRPr="00DD055C">
        <w:t>Shangri-La Hotels is a leading luxury hotel brand in the world, especially in Asia, Europe and the Middle East.</w:t>
      </w:r>
      <w:r w:rsidR="004D3FD8" w:rsidRPr="004D3FD8">
        <w:t xml:space="preserve"> </w:t>
      </w:r>
    </w:p>
    <w:p w14:paraId="1894F499" w14:textId="77777777" w:rsidR="00CD4278" w:rsidRDefault="00CD4278" w:rsidP="00CD4278">
      <w:pPr>
        <w:keepNext/>
        <w:jc w:val="center"/>
      </w:pPr>
      <w:r>
        <w:rPr>
          <w:noProof/>
          <w:lang w:val="en-GB" w:eastAsia="en-GB"/>
        </w:rPr>
        <mc:AlternateContent>
          <mc:Choice Requires="wps">
            <w:drawing>
              <wp:anchor distT="0" distB="0" distL="114300" distR="114300" simplePos="0" relativeHeight="251661312" behindDoc="0" locked="0" layoutInCell="1" allowOverlap="1" wp14:anchorId="3EB09619" wp14:editId="066FEEC1">
                <wp:simplePos x="0" y="0"/>
                <wp:positionH relativeFrom="column">
                  <wp:posOffset>1978872</wp:posOffset>
                </wp:positionH>
                <wp:positionV relativeFrom="paragraph">
                  <wp:posOffset>1189144</wp:posOffset>
                </wp:positionV>
                <wp:extent cx="355600" cy="397722"/>
                <wp:effectExtent l="0" t="0" r="6350" b="2540"/>
                <wp:wrapNone/>
                <wp:docPr id="2055680166" name="Téglalap 1"/>
                <wp:cNvGraphicFramePr/>
                <a:graphic xmlns:a="http://schemas.openxmlformats.org/drawingml/2006/main">
                  <a:graphicData uri="http://schemas.microsoft.com/office/word/2010/wordprocessingShape">
                    <wps:wsp>
                      <wps:cNvSpPr/>
                      <wps:spPr>
                        <a:xfrm>
                          <a:off x="0" y="0"/>
                          <a:ext cx="355600" cy="397722"/>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Téglalap 1" o:spid="_x0000_s1026" style="position:absolute;margin-left:155.8pt;margin-top:93.65pt;width:28pt;height:3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" fillcolor="white [3212]" stroked="f" strokeweight="1pt"/>
            </w:pict>
          </mc:Fallback>
        </mc:AlternateContent>
      </w:r>
      <w:r>
        <w:rPr>
          <w:noProof/>
          <w:lang w:val="en-GB" w:eastAsia="en-GB"/>
        </w:rPr>
        <w:drawing>
          <wp:inline distT="0" distB="0" distL="0" distR="0" wp14:anchorId="3751F781" wp14:editId="47C671C7">
            <wp:extent cx="3866021" cy="2370667"/>
            <wp:effectExtent l="0" t="0" r="1270" b="0"/>
            <wp:docPr id="409451390" name="Picture 195611187" descr="A képen szöveg, diagram, képernyőkép, so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11187" name="Picture 195611187" descr="A képen szöveg, diagram, képernyőkép, sor látható&#10;&#10;Automatikusan generált leírás"/>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882363" cy="2380688"/>
                    </a:xfrm>
                    <a:prstGeom prst="rect">
                      <a:avLst/>
                    </a:prstGeom>
                  </pic:spPr>
                </pic:pic>
              </a:graphicData>
            </a:graphic>
          </wp:inline>
        </w:drawing>
      </w:r>
    </w:p>
    <w:p w14:paraId="7EE39D55" w14:textId="14251831" w:rsidR="00CD4278" w:rsidRDefault="00CD4278" w:rsidP="00CD4278">
      <w:pPr>
        <w:pStyle w:val="Caption"/>
        <w:jc w:val="center"/>
      </w:pPr>
      <w:r>
        <w:fldChar w:fldCharType="begin"/>
      </w:r>
      <w:r>
        <w:instrText xml:space="preserve"> SEQ Figure \* ARABIC </w:instrText>
      </w:r>
      <w:r>
        <w:fldChar w:fldCharType="separate"/>
      </w:r>
      <w:r w:rsidR="00DA0D33">
        <w:rPr>
          <w:noProof/>
        </w:rPr>
        <w:t>1</w:t>
      </w:r>
      <w:r>
        <w:fldChar w:fldCharType="end"/>
      </w:r>
      <w:r>
        <w:t>. Figure</w:t>
      </w:r>
      <w:r w:rsidR="00E95389">
        <w:t xml:space="preserve">: </w:t>
      </w:r>
      <w:r w:rsidR="00E95389" w:rsidRPr="00E95389">
        <w:t>Bowman's Strategy Clock applied to Shangri-La Hotels based on Bowman’s Strategy Clock (Bowman, 1998).</w:t>
      </w:r>
    </w:p>
    <w:p w14:paraId="1A042C80" w14:textId="617CC746" w:rsidR="00ED2823" w:rsidRPr="004D3FD8" w:rsidRDefault="004D3FD8" w:rsidP="00CD4278">
      <w:r w:rsidRPr="004D3FD8">
        <w:lastRenderedPageBreak/>
        <w:t>This brand follows a different focus by targeting premium service provisions, personalized experience, and cultural exposure to appeal to the wealthy international traveler segment</w:t>
      </w:r>
      <w:r w:rsidR="003B0558">
        <w:t xml:space="preserve"> </w:t>
      </w:r>
      <w:r w:rsidR="003B0558" w:rsidRPr="003B0558">
        <w:t xml:space="preserve">(Martin Roll, 2023; MBA </w:t>
      </w:r>
      <w:proofErr w:type="spellStart"/>
      <w:r w:rsidR="003B0558" w:rsidRPr="003B0558">
        <w:t>Skool</w:t>
      </w:r>
      <w:proofErr w:type="spellEnd"/>
      <w:r w:rsidR="003B0558" w:rsidRPr="003B0558">
        <w:t>, 2024)</w:t>
      </w:r>
      <w:r w:rsidRPr="004D3FD8">
        <w:t>. Some of the competitors for this luxury hotel chain include Four Seasons and Mandarin Oriental, which have an edge in the rapidly growing Asian markets. In the meantime, super-luxury offerings and exclusive guest experiences are worth their high prices, earning them high-net-worth guests</w:t>
      </w:r>
      <w:r w:rsidR="00B07400">
        <w:t xml:space="preserve"> </w:t>
      </w:r>
      <w:r w:rsidR="00B07400" w:rsidRPr="00B07400">
        <w:t xml:space="preserve">(MBA </w:t>
      </w:r>
      <w:proofErr w:type="spellStart"/>
      <w:r w:rsidR="00B07400" w:rsidRPr="00B07400">
        <w:t>Skool</w:t>
      </w:r>
      <w:proofErr w:type="spellEnd"/>
      <w:r w:rsidR="00B07400" w:rsidRPr="00B07400">
        <w:t>, 2024)</w:t>
      </w:r>
      <w:r w:rsidRPr="004D3FD8">
        <w:t>. More than that, Shangri-La tries to be very sustainable and social to win environmentally conscious guests</w:t>
      </w:r>
      <w:r w:rsidR="009404BE">
        <w:t xml:space="preserve">, can be seen </w:t>
      </w:r>
      <w:r w:rsidR="00E95389">
        <w:t>in</w:t>
      </w:r>
      <w:r w:rsidR="009404BE">
        <w:t xml:space="preserve"> Figure 1</w:t>
      </w:r>
      <w:r w:rsidR="002F43C1">
        <w:t>.</w:t>
      </w:r>
      <w:r w:rsidR="00E60D13">
        <w:t xml:space="preserve"> </w:t>
      </w:r>
      <w:r w:rsidR="00E60D13" w:rsidRPr="00E60D13">
        <w:t>(Marketing91, 2024)</w:t>
      </w:r>
      <w:r w:rsidRPr="004D3FD8">
        <w:t>. Such efforts have made Shangri-La very competitive in the global luxury hotel market</w:t>
      </w:r>
      <w:r w:rsidR="00B40AF9">
        <w:t xml:space="preserve"> </w:t>
      </w:r>
      <w:r w:rsidR="00B40AF9" w:rsidRPr="00B40AF9">
        <w:t>(Han et al., 2009)</w:t>
      </w:r>
      <w:r w:rsidRPr="004D3FD8">
        <w:t>.</w:t>
      </w:r>
    </w:p>
    <w:p w14:paraId="5E80DAF5" w14:textId="72AA6BDB" w:rsidR="001213E3" w:rsidRDefault="001213E3" w:rsidP="00E766FA">
      <w:pPr>
        <w:pStyle w:val="Heading2"/>
      </w:pPr>
      <w:r>
        <w:t>Revenue</w:t>
      </w:r>
    </w:p>
    <w:p w14:paraId="00067DAD" w14:textId="686953A9" w:rsidR="004C0C89" w:rsidRPr="00E766FA" w:rsidRDefault="00EC7DEE" w:rsidP="00E766FA">
      <w:pPr>
        <w:rPr>
          <w:rFonts w:eastAsia="Aptos" w:cs="Times New Roman"/>
        </w:rPr>
      </w:pPr>
      <w:r w:rsidRPr="00EC7DEE">
        <w:rPr>
          <w:rFonts w:eastAsia="Aptos" w:cs="Times New Roman"/>
        </w:rPr>
        <w:t>Revenue Figure for Shangri-La Hotels 2018-2023 shows the market strategy of the hotel chain during its struggles, including change in the group’s three major revenue streams, Hotel Operations, Subsidiary Services, and Property Development for Sale.</w:t>
      </w:r>
    </w:p>
    <w:p w14:paraId="0E826864" w14:textId="77777777" w:rsidR="002644AE" w:rsidRDefault="00E96B11" w:rsidP="002644AE">
      <w:pPr>
        <w:pStyle w:val="ListParagraph"/>
        <w:keepNext/>
        <w:jc w:val="center"/>
      </w:pPr>
      <w:r>
        <w:rPr>
          <w:noProof/>
          <w:lang w:val="en-GB" w:eastAsia="en-GB"/>
        </w:rPr>
        <w:drawing>
          <wp:inline distT="0" distB="0" distL="0" distR="0" wp14:anchorId="419DA32D" wp14:editId="7E010C1B">
            <wp:extent cx="4869180" cy="2644140"/>
            <wp:effectExtent l="0" t="0" r="7620" b="3810"/>
            <wp:docPr id="402911728" name="Diagram 1">
              <a:extLst xmlns:a="http://schemas.openxmlformats.org/drawingml/2006/main">
                <a:ext uri="{FF2B5EF4-FFF2-40B4-BE49-F238E27FC236}">
                  <a16:creationId xmlns:arto="http://schemas.microsoft.com/office/word/2006/arto"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16="http://schemas.microsoft.com/office/drawing/2014/main" id="{E41DEC90-F330-6257-50B2-8448651F41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F5E90A" w14:textId="0A7B5B08" w:rsidR="00E96B11" w:rsidRDefault="002644AE" w:rsidP="002644AE">
      <w:pPr>
        <w:pStyle w:val="Caption"/>
        <w:jc w:val="center"/>
        <w:rPr>
          <w:rFonts w:eastAsia="Aptos" w:cs="Times New Roman"/>
        </w:rPr>
      </w:pPr>
      <w:r>
        <w:rPr>
          <w:rFonts w:eastAsia="Aptos" w:cs="Times New Roman"/>
        </w:rPr>
        <w:fldChar w:fldCharType="begin"/>
      </w:r>
      <w:r>
        <w:rPr>
          <w:rFonts w:eastAsia="Aptos" w:cs="Times New Roman"/>
        </w:rPr>
        <w:instrText xml:space="preserve"> SEQ Figure \* ARABIC </w:instrText>
      </w:r>
      <w:r>
        <w:rPr>
          <w:rFonts w:eastAsia="Aptos" w:cs="Times New Roman"/>
        </w:rPr>
        <w:fldChar w:fldCharType="separate"/>
      </w:r>
      <w:r w:rsidR="00DA0D33">
        <w:rPr>
          <w:rFonts w:eastAsia="Aptos" w:cs="Times New Roman"/>
          <w:noProof/>
        </w:rPr>
        <w:t>2</w:t>
      </w:r>
      <w:r>
        <w:rPr>
          <w:rFonts w:eastAsia="Aptos" w:cs="Times New Roman"/>
        </w:rPr>
        <w:fldChar w:fldCharType="end"/>
      </w:r>
      <w:r>
        <w:t>. Figure</w:t>
      </w:r>
      <w:r w:rsidR="008E756D">
        <w:t>: Annual revenue for Shangri-La Hotels</w:t>
      </w:r>
    </w:p>
    <w:p w14:paraId="40B3439F" w14:textId="70C01D18" w:rsidR="00E766FA" w:rsidRDefault="004C0C89" w:rsidP="00E766FA">
      <w:pPr>
        <w:rPr>
          <w:rFonts w:eastAsia="Aptos" w:cs="Times New Roman"/>
        </w:rPr>
      </w:pPr>
      <w:r w:rsidRPr="00E766FA">
        <w:rPr>
          <w:rFonts w:eastAsia="Aptos" w:cs="Times New Roman"/>
        </w:rPr>
        <w:t>The primary segment, the hotel services, continuously provides the highest revenue for Shangri-La, although this too suffered severe setbacks during the pandemic period of 2020, when global travel was curbed. This was part of a larger trend across the industry, where hotel real estate, together with retail, faced some of the greatest disruptions during the pandemic</w:t>
      </w:r>
      <w:r w:rsidR="00F06390">
        <w:rPr>
          <w:rFonts w:eastAsia="Aptos" w:cs="Times New Roman"/>
        </w:rPr>
        <w:t>, can be seen in Figure 2</w:t>
      </w:r>
      <w:r w:rsidRPr="00E766FA">
        <w:rPr>
          <w:rFonts w:eastAsia="Aptos" w:cs="Times New Roman"/>
        </w:rPr>
        <w:t xml:space="preserve">​. </w:t>
      </w:r>
      <w:r w:rsidR="003D36FB" w:rsidRPr="00E766FA">
        <w:rPr>
          <w:rFonts w:eastAsia="Aptos" w:cs="Times New Roman"/>
        </w:rPr>
        <w:t xml:space="preserve">Hospitality real estate </w:t>
      </w:r>
      <w:r w:rsidRPr="00E766FA">
        <w:rPr>
          <w:rFonts w:eastAsia="Aptos" w:cs="Times New Roman"/>
        </w:rPr>
        <w:t>is very vulnerable to any economic turmoil</w:t>
      </w:r>
      <w:r w:rsidR="003D36FB" w:rsidRPr="00E766FA">
        <w:rPr>
          <w:rFonts w:eastAsia="Aptos" w:cs="Times New Roman"/>
        </w:rPr>
        <w:t xml:space="preserve"> (Singh and Wang, 2021)</w:t>
      </w:r>
      <w:r w:rsidRPr="00E766FA">
        <w:rPr>
          <w:rFonts w:eastAsia="Aptos" w:cs="Times New Roman"/>
        </w:rPr>
        <w:t xml:space="preserve">, which then increased the vulnerability of the hotel business in Shangri-La during this period​. In 2023, however, the segment </w:t>
      </w:r>
      <w:r w:rsidR="00823884" w:rsidRPr="00E766FA">
        <w:rPr>
          <w:rFonts w:eastAsia="Aptos" w:cs="Times New Roman"/>
        </w:rPr>
        <w:t>recovered</w:t>
      </w:r>
      <w:r w:rsidRPr="00E766FA">
        <w:rPr>
          <w:rFonts w:eastAsia="Aptos" w:cs="Times New Roman"/>
        </w:rPr>
        <w:t xml:space="preserve">, an indicator that the company business has gradually regained its previous pre-pandemic levels, as relevant to the </w:t>
      </w:r>
      <w:r w:rsidRPr="00E766FA">
        <w:rPr>
          <w:rFonts w:eastAsia="Aptos" w:cs="Times New Roman"/>
        </w:rPr>
        <w:lastRenderedPageBreak/>
        <w:t>resilience and adaptation strategies of the whole industry.</w:t>
      </w:r>
      <w:r w:rsidR="00E766FA">
        <w:rPr>
          <w:rFonts w:eastAsia="Aptos" w:cs="Times New Roman"/>
        </w:rPr>
        <w:t xml:space="preserve"> </w:t>
      </w:r>
      <w:r w:rsidR="00823884" w:rsidRPr="00E766FA">
        <w:rPr>
          <w:rFonts w:eastAsia="Aptos" w:cs="Times New Roman"/>
        </w:rPr>
        <w:t xml:space="preserve">Subsidiary revenue at Shangri-La, including property management, was therefore more stable. These services were less vulnerable to disruption in the short term than some other parts of the hospitality business and thus held up more consistently throughout the pandemic </w:t>
      </w:r>
      <w:r w:rsidR="00DC2B46" w:rsidRPr="00E766FA">
        <w:rPr>
          <w:rFonts w:eastAsia="Aptos" w:cs="Times New Roman"/>
        </w:rPr>
        <w:t xml:space="preserve">(Day, 2011; </w:t>
      </w:r>
      <w:proofErr w:type="spellStart"/>
      <w:r w:rsidR="00DC2B46" w:rsidRPr="00E766FA">
        <w:rPr>
          <w:rFonts w:eastAsia="Aptos" w:cs="Times New Roman"/>
        </w:rPr>
        <w:t>Filimonau</w:t>
      </w:r>
      <w:proofErr w:type="spellEnd"/>
      <w:r w:rsidR="00DC2B46" w:rsidRPr="00E766FA">
        <w:rPr>
          <w:rFonts w:eastAsia="Aptos" w:cs="Times New Roman"/>
        </w:rPr>
        <w:t xml:space="preserve"> et al., 2020).</w:t>
      </w:r>
    </w:p>
    <w:p w14:paraId="17C5D4CA" w14:textId="0A7EE210" w:rsidR="00DC2B46" w:rsidRPr="00E766FA" w:rsidRDefault="00DC2B46" w:rsidP="00E766FA">
      <w:pPr>
        <w:rPr>
          <w:rFonts w:eastAsia="Aptos" w:cs="Times New Roman"/>
        </w:rPr>
      </w:pPr>
      <w:r w:rsidRPr="00E766FA">
        <w:rPr>
          <w:rFonts w:eastAsia="Aptos" w:cs="Times New Roman"/>
        </w:rPr>
        <w:t xml:space="preserve">The peak of this stream came in 2019, supported by such projects as One Galle Face in Sri Lanka and the </w:t>
      </w:r>
      <w:proofErr w:type="spellStart"/>
      <w:r w:rsidRPr="00E766FA">
        <w:rPr>
          <w:rFonts w:eastAsia="Aptos" w:cs="Times New Roman"/>
        </w:rPr>
        <w:t>Yavis</w:t>
      </w:r>
      <w:proofErr w:type="spellEnd"/>
      <w:r w:rsidRPr="00E766FA">
        <w:rPr>
          <w:rFonts w:eastAsia="Aptos" w:cs="Times New Roman"/>
        </w:rPr>
        <w:t xml:space="preserve"> project in China. In 2020-2023, it fell back because the real estate market was dragged down by a wait-and-see attitude amid uncertainties over measures by the government and economic recovery pace. Demand and development were lowered through interventions by the government itself and lockdowns (Huang et al., 2020; Dube et al., 2021).</w:t>
      </w:r>
    </w:p>
    <w:p w14:paraId="7B190CD3" w14:textId="01D8BFB5" w:rsidR="00DC2B46" w:rsidRPr="00E766FA" w:rsidRDefault="00DC2B46" w:rsidP="00E766FA">
      <w:pPr>
        <w:rPr>
          <w:rFonts w:eastAsia="Aptos" w:cs="Times New Roman"/>
        </w:rPr>
      </w:pPr>
      <w:r w:rsidRPr="00E766FA">
        <w:rPr>
          <w:rFonts w:eastAsia="Aptos" w:cs="Times New Roman"/>
        </w:rPr>
        <w:t>These emerging trends in Shangri-La's revenue are indicative of how COVID-19 has been a strong impetus for change within the global hospitality sector. Companies are adopting resilience strategies, hence diversifying their operations</w:t>
      </w:r>
      <w:r w:rsidR="007425C7" w:rsidRPr="00E766FA">
        <w:rPr>
          <w:rFonts w:eastAsia="Aptos" w:cs="Times New Roman"/>
        </w:rPr>
        <w:t xml:space="preserve"> (Singh and Wang, 2021; </w:t>
      </w:r>
      <w:proofErr w:type="spellStart"/>
      <w:r w:rsidR="007425C7" w:rsidRPr="00E766FA">
        <w:rPr>
          <w:rFonts w:eastAsia="Aptos" w:cs="Times New Roman"/>
        </w:rPr>
        <w:t>Filimonau</w:t>
      </w:r>
      <w:proofErr w:type="spellEnd"/>
      <w:r w:rsidR="007425C7" w:rsidRPr="00E766FA">
        <w:rPr>
          <w:rFonts w:eastAsia="Aptos" w:cs="Times New Roman"/>
        </w:rPr>
        <w:t xml:space="preserve"> et al., 2020)</w:t>
      </w:r>
      <w:r w:rsidRPr="00E766FA">
        <w:rPr>
          <w:rFonts w:eastAsia="Aptos" w:cs="Times New Roman"/>
        </w:rPr>
        <w:t>.</w:t>
      </w:r>
    </w:p>
    <w:p w14:paraId="7AF3766A" w14:textId="40F22072" w:rsidR="006D7B72" w:rsidRPr="002644AE" w:rsidRDefault="001C1C5E" w:rsidP="002644AE">
      <w:pPr>
        <w:pStyle w:val="Heading2"/>
      </w:pPr>
      <w:r>
        <w:t>Supply - Demand</w:t>
      </w:r>
    </w:p>
    <w:p w14:paraId="28D7F3A1" w14:textId="77777777" w:rsidR="002644AE" w:rsidRDefault="00C3334C" w:rsidP="00C3334C">
      <w:pPr>
        <w:rPr>
          <w:rFonts w:eastAsia="Aptos" w:cs="Times New Roman"/>
        </w:rPr>
      </w:pPr>
      <w:r w:rsidRPr="00C3334C">
        <w:rPr>
          <w:rFonts w:eastAsia="Aptos" w:cs="Times New Roman"/>
        </w:rPr>
        <w:t>The following chart presents the picture of most relevant trends over several years in Shangri-La's supply-and-demand dynamics and pricing. Room supply moved within a fairly narrow zone between 35,300 and 36,800 rooms, meaning the chain focused on preserving the standard capacity with the ability to make minimal adjustments by building new hotels or renovating existing ones</w:t>
      </w:r>
      <w:r w:rsidR="00355871">
        <w:rPr>
          <w:rFonts w:eastAsia="Aptos" w:cs="Times New Roman"/>
        </w:rPr>
        <w:t xml:space="preserve"> </w:t>
      </w:r>
      <w:r w:rsidR="00355871" w:rsidRPr="00355871">
        <w:rPr>
          <w:rFonts w:eastAsia="Aptos" w:cs="Times New Roman"/>
        </w:rPr>
        <w:t>(The Strategy Story, 2023; Marketing91, 2024)</w:t>
      </w:r>
      <w:r w:rsidRPr="00C3334C">
        <w:rPr>
          <w:rFonts w:eastAsia="Aptos" w:cs="Times New Roman"/>
        </w:rPr>
        <w:t>​.</w:t>
      </w:r>
    </w:p>
    <w:p w14:paraId="1060DEE9" w14:textId="77777777" w:rsidR="002644AE" w:rsidRDefault="002644AE" w:rsidP="002644AE">
      <w:pPr>
        <w:keepNext/>
        <w:jc w:val="center"/>
      </w:pPr>
      <w:r>
        <w:rPr>
          <w:noProof/>
          <w:lang w:val="en-GB" w:eastAsia="en-GB"/>
        </w:rPr>
        <w:drawing>
          <wp:inline distT="0" distB="0" distL="0" distR="0" wp14:anchorId="6FE73036" wp14:editId="13316F3F">
            <wp:extent cx="4572000" cy="2743200"/>
            <wp:effectExtent l="0" t="0" r="0" b="0"/>
            <wp:docPr id="1356156671" name="Diagram 1">
              <a:extLst xmlns:a="http://schemas.openxmlformats.org/drawingml/2006/main">
                <a:ext uri="{FF2B5EF4-FFF2-40B4-BE49-F238E27FC236}">
                  <a16:creationId xmlns:arto="http://schemas.microsoft.com/office/word/2006/arto"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16="http://schemas.microsoft.com/office/drawing/2014/main" id="{4B0E988D-B2F2-6E56-317B-5651051FC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F2CF38" w14:textId="47087625" w:rsidR="002644AE" w:rsidRDefault="002644AE" w:rsidP="007646CC">
      <w:pPr>
        <w:pStyle w:val="Caption"/>
        <w:jc w:val="center"/>
        <w:rPr>
          <w:rFonts w:eastAsia="Aptos" w:cs="Times New Roman"/>
        </w:rPr>
      </w:pPr>
      <w:r>
        <w:rPr>
          <w:rFonts w:eastAsia="Aptos" w:cs="Times New Roman"/>
        </w:rPr>
        <w:fldChar w:fldCharType="begin"/>
      </w:r>
      <w:r>
        <w:rPr>
          <w:rFonts w:eastAsia="Aptos" w:cs="Times New Roman"/>
        </w:rPr>
        <w:instrText xml:space="preserve"> SEQ Figure \* ARABIC </w:instrText>
      </w:r>
      <w:r>
        <w:rPr>
          <w:rFonts w:eastAsia="Aptos" w:cs="Times New Roman"/>
        </w:rPr>
        <w:fldChar w:fldCharType="separate"/>
      </w:r>
      <w:r w:rsidR="00DA0D33">
        <w:rPr>
          <w:rFonts w:eastAsia="Aptos" w:cs="Times New Roman"/>
          <w:noProof/>
        </w:rPr>
        <w:t>3</w:t>
      </w:r>
      <w:r>
        <w:rPr>
          <w:rFonts w:eastAsia="Aptos" w:cs="Times New Roman"/>
        </w:rPr>
        <w:fldChar w:fldCharType="end"/>
      </w:r>
      <w:r>
        <w:t>. Figure</w:t>
      </w:r>
      <w:r w:rsidR="00931436">
        <w:t xml:space="preserve">: Occupancy rated and Room prices in </w:t>
      </w:r>
      <w:r w:rsidR="003113BA">
        <w:t>Shangri-La Hotels</w:t>
      </w:r>
    </w:p>
    <w:p w14:paraId="350EE67C" w14:textId="7464FE89" w:rsidR="00C3334C" w:rsidRDefault="00C3334C" w:rsidP="00C3334C">
      <w:pPr>
        <w:rPr>
          <w:rFonts w:eastAsia="Aptos" w:cs="Times New Roman"/>
        </w:rPr>
      </w:pPr>
      <w:r w:rsidRPr="00C3334C">
        <w:rPr>
          <w:rFonts w:eastAsia="Aptos" w:cs="Times New Roman"/>
        </w:rPr>
        <w:lastRenderedPageBreak/>
        <w:t>However, its occupancy rate showed a lot of difference, especially during those odd occasions when it recorded a low demand of as low as 33%, possibly due to external circumstances such as the COVID-19 pandemic</w:t>
      </w:r>
      <w:r w:rsidR="008E0BF3">
        <w:rPr>
          <w:rFonts w:eastAsia="Aptos" w:cs="Times New Roman"/>
        </w:rPr>
        <w:t>, as shown in Figure 3</w:t>
      </w:r>
      <w:r w:rsidRPr="00C3334C">
        <w:rPr>
          <w:rFonts w:eastAsia="Aptos" w:cs="Times New Roman"/>
        </w:rPr>
        <w:t>. The fall in demand during this period corresponds pretty well with developments all over the world, at a time when, in fact, luxury hotels took major blows owing to the prohibition of travel and an economic crisis</w:t>
      </w:r>
      <w:r w:rsidR="00355871">
        <w:rPr>
          <w:rFonts w:eastAsia="Aptos" w:cs="Times New Roman"/>
        </w:rPr>
        <w:t xml:space="preserve"> </w:t>
      </w:r>
      <w:r w:rsidR="00355871" w:rsidRPr="00355871">
        <w:rPr>
          <w:rFonts w:eastAsia="Aptos" w:cs="Times New Roman"/>
        </w:rPr>
        <w:t xml:space="preserve">(PLOS, 2021; </w:t>
      </w:r>
      <w:proofErr w:type="spellStart"/>
      <w:r w:rsidR="00355871" w:rsidRPr="00355871">
        <w:rPr>
          <w:rFonts w:eastAsia="Aptos" w:cs="Times New Roman"/>
        </w:rPr>
        <w:t>ScholarWorks</w:t>
      </w:r>
      <w:proofErr w:type="spellEnd"/>
      <w:r w:rsidR="00355871" w:rsidRPr="00355871">
        <w:rPr>
          <w:rFonts w:eastAsia="Aptos" w:cs="Times New Roman"/>
        </w:rPr>
        <w:t>, 2021)</w:t>
      </w:r>
      <w:r w:rsidRPr="00C3334C">
        <w:rPr>
          <w:rFonts w:eastAsia="Aptos" w:cs="Times New Roman"/>
        </w:rPr>
        <w:t xml:space="preserve">. With the improvement in travel, the occupancy rate rose gradually to 62%, reflective of </w:t>
      </w:r>
      <w:r w:rsidR="0043241A">
        <w:rPr>
          <w:rFonts w:eastAsia="Aptos" w:cs="Times New Roman"/>
        </w:rPr>
        <w:t xml:space="preserve">a </w:t>
      </w:r>
      <w:r w:rsidRPr="00C3334C">
        <w:rPr>
          <w:rFonts w:eastAsia="Aptos" w:cs="Times New Roman"/>
        </w:rPr>
        <w:t>recovery in demand for high-end hospitality services.</w:t>
      </w:r>
    </w:p>
    <w:p w14:paraId="0D14BF27" w14:textId="6D768131" w:rsidR="00C3334C" w:rsidRPr="00C3334C" w:rsidRDefault="00C3334C" w:rsidP="00C3334C">
      <w:pPr>
        <w:rPr>
          <w:rFonts w:eastAsia="Aptos" w:cs="Times New Roman"/>
        </w:rPr>
      </w:pPr>
      <w:r w:rsidRPr="00C3334C">
        <w:rPr>
          <w:rFonts w:eastAsia="Aptos" w:cs="Times New Roman"/>
        </w:rPr>
        <w:t>On the other hand, the hotel's pricing policy responded to the shift in demand. It fell to 121 US$ for the period of low occupancy in order to stimulate demand, rising gradually with the return of demand to 173 US$. This is what a flexible pricing policy looks like for luxury hotels when room rates adjust according to occupancy to bring in the maximum revenue while preserving premium positioning</w:t>
      </w:r>
      <w:r w:rsidR="00355871">
        <w:rPr>
          <w:rFonts w:eastAsia="Aptos" w:cs="Times New Roman"/>
        </w:rPr>
        <w:t xml:space="preserve"> </w:t>
      </w:r>
      <w:r w:rsidR="00355871" w:rsidRPr="00355871">
        <w:rPr>
          <w:rFonts w:eastAsia="Aptos" w:cs="Times New Roman"/>
        </w:rPr>
        <w:t xml:space="preserve">(Marketing91, 2024; Martin Roll, 2023; MBA </w:t>
      </w:r>
      <w:proofErr w:type="spellStart"/>
      <w:r w:rsidR="00355871" w:rsidRPr="00355871">
        <w:rPr>
          <w:rFonts w:eastAsia="Aptos" w:cs="Times New Roman"/>
        </w:rPr>
        <w:t>Skool</w:t>
      </w:r>
      <w:proofErr w:type="spellEnd"/>
      <w:r w:rsidR="00355871" w:rsidRPr="00355871">
        <w:rPr>
          <w:rFonts w:eastAsia="Aptos" w:cs="Times New Roman"/>
        </w:rPr>
        <w:t>, 2024)</w:t>
      </w:r>
      <w:r w:rsidRPr="00C3334C">
        <w:rPr>
          <w:rFonts w:eastAsia="Aptos" w:cs="Times New Roman"/>
        </w:rPr>
        <w:t>​. Such a strategy ensures competitiveness in market conditions with fluctuations.</w:t>
      </w:r>
    </w:p>
    <w:p w14:paraId="3FD3097F" w14:textId="2324E6BB" w:rsidR="00C52289" w:rsidRDefault="00C52289" w:rsidP="00C52289">
      <w:pPr>
        <w:pStyle w:val="Heading2"/>
      </w:pPr>
      <w:r>
        <w:t>Sustainability</w:t>
      </w:r>
    </w:p>
    <w:p w14:paraId="510BDA6F" w14:textId="3D248869" w:rsidR="005126FD" w:rsidRDefault="005126FD" w:rsidP="005126FD">
      <w:pPr>
        <w:rPr>
          <w:rFonts w:eastAsia="Aptos" w:cs="Times New Roman"/>
        </w:rPr>
      </w:pPr>
      <w:r w:rsidRPr="005126FD">
        <w:rPr>
          <w:rFonts w:eastAsia="Aptos" w:cs="Times New Roman"/>
        </w:rPr>
        <w:t>It means much more significant growth opportunities exist for Shangri-La Hotels, particularly in the emerging markets of Africa and South America, since demand for luxury experiences is on the rise. Its strong presence in Asia and the Middle East gives it a distinct advantage in high-end tourism. On another note, it also utilized technology in personalizing services and improving operations</w:t>
      </w:r>
      <w:r>
        <w:rPr>
          <w:rFonts w:eastAsia="Aptos" w:cs="Times New Roman"/>
        </w:rPr>
        <w:t xml:space="preserve"> </w:t>
      </w:r>
      <w:r w:rsidRPr="005126FD">
        <w:rPr>
          <w:rFonts w:eastAsia="Aptos" w:cs="Times New Roman"/>
        </w:rPr>
        <w:t xml:space="preserve">(Marketing91, 2024; Martin Roll, 2023). Shangri-La has engaged in several sustainability-related initiatives, such as energy and waste reduction under the ISO 14001 Environmental Management System. </w:t>
      </w:r>
      <w:r w:rsidR="00DD055C" w:rsidRPr="00DD055C">
        <w:rPr>
          <w:rFonts w:eastAsia="Aptos" w:cs="Times New Roman"/>
        </w:rPr>
        <w:t xml:space="preserve">Their CSR initiative "Embrace" provides local community involvement and bolsters the brand’s ethical reputation within the luxury industry (MBA </w:t>
      </w:r>
      <w:proofErr w:type="spellStart"/>
      <w:r w:rsidR="00DD055C" w:rsidRPr="00DD055C">
        <w:rPr>
          <w:rFonts w:eastAsia="Aptos" w:cs="Times New Roman"/>
        </w:rPr>
        <w:t>Skool</w:t>
      </w:r>
      <w:proofErr w:type="spellEnd"/>
      <w:r w:rsidR="00DD055C" w:rsidRPr="00DD055C">
        <w:rPr>
          <w:rFonts w:eastAsia="Aptos" w:cs="Times New Roman"/>
        </w:rPr>
        <w:t>, 2024).</w:t>
      </w:r>
      <w:r w:rsidR="00F676FD">
        <w:rPr>
          <w:rFonts w:eastAsia="Aptos" w:cs="Times New Roman"/>
        </w:rPr>
        <w:t xml:space="preserve"> </w:t>
      </w:r>
    </w:p>
    <w:p w14:paraId="6D544719" w14:textId="730D072C" w:rsidR="00EE6851" w:rsidRDefault="00EE6851" w:rsidP="00CD4278">
      <w:pPr>
        <w:pStyle w:val="Heading2"/>
      </w:pPr>
      <w:r>
        <w:t>Recommendation</w:t>
      </w:r>
    </w:p>
    <w:p w14:paraId="05028761" w14:textId="619C5FB5" w:rsidR="00EE6851" w:rsidRDefault="00DD055C" w:rsidP="005126FD">
      <w:pPr>
        <w:rPr>
          <w:rFonts w:eastAsia="Aptos" w:cs="Times New Roman"/>
        </w:rPr>
      </w:pPr>
      <w:r w:rsidRPr="00DD055C">
        <w:rPr>
          <w:rFonts w:eastAsia="Aptos" w:cs="Times New Roman"/>
        </w:rPr>
        <w:t>On top of Asia and Europe, Shangri-La needs to grow those emerging luxury markets in Africa and South America because that demand will only continue to rise sustainable.</w:t>
      </w:r>
      <w:r w:rsidRPr="00DD055C">
        <w:t xml:space="preserve"> </w:t>
      </w:r>
      <w:r w:rsidRPr="00DD055C">
        <w:rPr>
          <w:rFonts w:eastAsia="Aptos" w:cs="Times New Roman"/>
        </w:rPr>
        <w:t>On top of Asia and Europe, Shangri-La needs to grow those emerging luxury markets in Africa and South America because that demand will only continue to rise sustainable.</w:t>
      </w:r>
      <w:r>
        <w:rPr>
          <w:rFonts w:eastAsia="Aptos" w:cs="Times New Roman"/>
        </w:rPr>
        <w:t xml:space="preserve"> </w:t>
      </w:r>
      <w:r w:rsidR="00982012" w:rsidRPr="00982012">
        <w:rPr>
          <w:rFonts w:eastAsia="Aptos" w:cs="Times New Roman"/>
        </w:rPr>
        <w:t>Such expansion will also diversify its revenue streams from the previous concentration in Asia and Europe to leverage growing affluence across those regions</w:t>
      </w:r>
      <w:r w:rsidR="00982012">
        <w:rPr>
          <w:rFonts w:eastAsia="Aptos" w:cs="Times New Roman"/>
        </w:rPr>
        <w:t xml:space="preserve"> </w:t>
      </w:r>
      <w:r w:rsidR="00982012" w:rsidRPr="00982012">
        <w:rPr>
          <w:rFonts w:eastAsia="Aptos" w:cs="Times New Roman"/>
        </w:rPr>
        <w:t xml:space="preserve">(Martin Roll, 2023). Shangri-La, with the power of strong sustainability, would likely draw more ecological tourists-one of the </w:t>
      </w:r>
      <w:r w:rsidR="00982012" w:rsidRPr="00982012">
        <w:rPr>
          <w:rFonts w:eastAsia="Aptos" w:cs="Times New Roman"/>
        </w:rPr>
        <w:lastRenderedPageBreak/>
        <w:t>important market segments in these regions-through energy efficiency and community-based CSR. Success will depend on careful market entry strategies, mitigating risks associated with regulatory environments and economic volatility</w:t>
      </w:r>
      <w:r w:rsidR="00982012">
        <w:rPr>
          <w:rFonts w:eastAsia="Aptos" w:cs="Times New Roman"/>
        </w:rPr>
        <w:t xml:space="preserve"> </w:t>
      </w:r>
      <w:r w:rsidR="00982012" w:rsidRPr="00982012">
        <w:rPr>
          <w:rFonts w:eastAsia="Aptos" w:cs="Times New Roman"/>
        </w:rPr>
        <w:t>(</w:t>
      </w:r>
      <w:proofErr w:type="spellStart"/>
      <w:r w:rsidR="00982012" w:rsidRPr="00982012">
        <w:rPr>
          <w:rFonts w:eastAsia="Aptos" w:cs="Times New Roman"/>
        </w:rPr>
        <w:t>Filimonau</w:t>
      </w:r>
      <w:proofErr w:type="spellEnd"/>
      <w:r w:rsidR="00982012" w:rsidRPr="00982012">
        <w:rPr>
          <w:rFonts w:eastAsia="Aptos" w:cs="Times New Roman"/>
        </w:rPr>
        <w:t xml:space="preserve"> et al., 2020).</w:t>
      </w:r>
    </w:p>
    <w:p w14:paraId="265B9110" w14:textId="527F7E5E" w:rsidR="001213E3" w:rsidRDefault="001213E3" w:rsidP="00EE0465">
      <w:pPr>
        <w:pStyle w:val="Heading1"/>
      </w:pPr>
      <w:r>
        <w:t>Premier Inn</w:t>
      </w:r>
    </w:p>
    <w:p w14:paraId="18F9E1C5" w14:textId="331AB391" w:rsidR="00EE0465" w:rsidRPr="00EE0465" w:rsidRDefault="00EE0465" w:rsidP="00EE0465">
      <w:r w:rsidRPr="00EE0465">
        <w:t xml:space="preserve">Premier Inn is a low-budget hotel chain </w:t>
      </w:r>
      <w:r>
        <w:t>that clearly focuses</w:t>
      </w:r>
      <w:r w:rsidRPr="00EE0465">
        <w:t xml:space="preserve"> on offering qualitative, yet very affordable, alternatives to travelers on low budgets. Cost leadership is the heart of its strategy, which shall </w:t>
      </w:r>
      <w:r>
        <w:t>provide</w:t>
      </w:r>
      <w:r w:rsidRPr="00EE0465">
        <w:t xml:space="preserve"> good service and value at inexpensive prices.</w:t>
      </w:r>
    </w:p>
    <w:p w14:paraId="06A905B2" w14:textId="77777777" w:rsidR="00EE0465" w:rsidRDefault="00EE0465" w:rsidP="00CD4278">
      <w:pPr>
        <w:pStyle w:val="Heading2"/>
      </w:pPr>
      <w:r>
        <w:t>Market position</w:t>
      </w:r>
    </w:p>
    <w:p w14:paraId="649BC15C" w14:textId="7645CA8C" w:rsidR="00ED2823" w:rsidRDefault="00781653" w:rsidP="00781653">
      <w:pPr>
        <w:rPr>
          <w:rFonts w:eastAsia="Aptos" w:cs="Times New Roman"/>
        </w:rPr>
      </w:pPr>
      <w:r w:rsidRPr="00781653">
        <w:rPr>
          <w:rFonts w:eastAsia="Aptos" w:cs="Times New Roman"/>
        </w:rPr>
        <w:t xml:space="preserve">Premier Inn is a well-established, leading economy hotel brand in the UK and Ireland, with </w:t>
      </w:r>
      <w:r>
        <w:rPr>
          <w:rFonts w:eastAsia="Aptos" w:cs="Times New Roman"/>
        </w:rPr>
        <w:t>over</w:t>
      </w:r>
      <w:r w:rsidRPr="00781653">
        <w:rPr>
          <w:rFonts w:eastAsia="Aptos" w:cs="Times New Roman"/>
        </w:rPr>
        <w:t xml:space="preserve"> 800 open locations in these two markets. The company focuses its efforts on providing value-for-money, good-quality hotels with consistent and reliable services targeted principally at budget travelers and business customers</w:t>
      </w:r>
      <w:r w:rsidR="005D37BC">
        <w:rPr>
          <w:rFonts w:eastAsia="Aptos" w:cs="Times New Roman"/>
        </w:rPr>
        <w:t xml:space="preserve">, as seen on </w:t>
      </w:r>
      <w:r w:rsidR="005D37BC" w:rsidRPr="005D37BC">
        <w:rPr>
          <w:rFonts w:eastAsia="Aptos" w:cs="Times New Roman"/>
        </w:rPr>
        <w:t>Bowman's Strategy Clock</w:t>
      </w:r>
      <w:r w:rsidR="00B2003E">
        <w:rPr>
          <w:rFonts w:eastAsia="Aptos" w:cs="Times New Roman"/>
        </w:rPr>
        <w:t xml:space="preserve"> in Figure 4.</w:t>
      </w:r>
      <w:r w:rsidR="005D37BC" w:rsidRPr="005D37BC">
        <w:rPr>
          <w:rFonts w:eastAsia="Aptos" w:cs="Times New Roman"/>
        </w:rPr>
        <w:t xml:space="preserve"> (Bowman, 1998</w:t>
      </w:r>
      <w:r w:rsidR="005D37BC">
        <w:rPr>
          <w:rFonts w:eastAsia="Aptos" w:cs="Times New Roman"/>
        </w:rPr>
        <w:t xml:space="preserve">, </w:t>
      </w:r>
      <w:r w:rsidRPr="00781653">
        <w:rPr>
          <w:rFonts w:eastAsia="Aptos" w:cs="Times New Roman"/>
        </w:rPr>
        <w:t>Whitbread 2023; AHLA, 2023</w:t>
      </w:r>
      <w:r>
        <w:rPr>
          <w:rFonts w:eastAsia="Aptos" w:cs="Times New Roman"/>
        </w:rPr>
        <w:t>)</w:t>
      </w:r>
      <w:r w:rsidRPr="00781653">
        <w:rPr>
          <w:rFonts w:eastAsia="Aptos" w:cs="Times New Roman"/>
        </w:rPr>
        <w:t>.</w:t>
      </w:r>
      <w:r>
        <w:rPr>
          <w:rFonts w:eastAsia="Aptos" w:cs="Times New Roman"/>
        </w:rPr>
        <w:t xml:space="preserve"> </w:t>
      </w:r>
      <w:r w:rsidRPr="00781653">
        <w:rPr>
          <w:rFonts w:eastAsia="Aptos" w:cs="Times New Roman"/>
        </w:rPr>
        <w:t>In the last two years, Premier Inn has already entered the market in Germany, where the group opened a series of hotels and continues to develop further projects. That does indicate how the brand would like to access the second-largest economy in Europe and be even more established outside of the UK. A German launch for the brand therefore extends its strategy to become one of the major budget hotel brands in the European market, targeting both business and leisure demand for hotels</w:t>
      </w:r>
      <w:r>
        <w:rPr>
          <w:rFonts w:eastAsia="Aptos" w:cs="Times New Roman"/>
        </w:rPr>
        <w:t xml:space="preserve"> </w:t>
      </w:r>
      <w:r w:rsidRPr="00781653">
        <w:rPr>
          <w:rFonts w:eastAsia="Aptos" w:cs="Times New Roman"/>
        </w:rPr>
        <w:t>(Whitbread, 2023).</w:t>
      </w:r>
      <w:r w:rsidR="009D023D">
        <w:rPr>
          <w:rFonts w:eastAsia="Aptos" w:cs="Times New Roman"/>
        </w:rPr>
        <w:t xml:space="preserve"> </w:t>
      </w:r>
      <w:r w:rsidR="009D023D">
        <w:t>According to McKinsey, budget hotels have shown a faster recovery post-pandemic due to their ability to cater to domestic and essential travel segments, which remained stable even during times of restricted global travel</w:t>
      </w:r>
      <w:proofErr w:type="gramStart"/>
      <w:r w:rsidR="009D023D">
        <w:t>​</w:t>
      </w:r>
      <w:r w:rsidR="009D023D">
        <w:t xml:space="preserve"> </w:t>
      </w:r>
      <w:r w:rsidR="009D023D">
        <w:t>(</w:t>
      </w:r>
      <w:proofErr w:type="gramEnd"/>
      <w:r w:rsidR="009D023D">
        <w:t>McKinsey &amp; Company, 2021)</w:t>
      </w:r>
      <w:r w:rsidR="009D023D">
        <w:t>.</w:t>
      </w:r>
    </w:p>
    <w:p w14:paraId="7FFB820E" w14:textId="77777777" w:rsidR="00D47557" w:rsidRDefault="00ED2823" w:rsidP="00D47557">
      <w:pPr>
        <w:keepNext/>
        <w:jc w:val="center"/>
      </w:pPr>
      <w:r>
        <w:rPr>
          <w:noProof/>
          <w:lang w:val="en-GB" w:eastAsia="en-GB"/>
        </w:rPr>
        <w:lastRenderedPageBreak/>
        <mc:AlternateContent>
          <mc:Choice Requires="wps">
            <w:drawing>
              <wp:anchor distT="0" distB="0" distL="114300" distR="114300" simplePos="0" relativeHeight="251659264" behindDoc="0" locked="0" layoutInCell="1" allowOverlap="1" wp14:anchorId="3F437F2D" wp14:editId="5BCA2A39">
                <wp:simplePos x="0" y="0"/>
                <wp:positionH relativeFrom="column">
                  <wp:posOffset>2784899</wp:posOffset>
                </wp:positionH>
                <wp:positionV relativeFrom="paragraph">
                  <wp:posOffset>375920</wp:posOffset>
                </wp:positionV>
                <wp:extent cx="483870" cy="270510"/>
                <wp:effectExtent l="0" t="0" r="0" b="0"/>
                <wp:wrapNone/>
                <wp:docPr id="297829642" name="Téglalap 1"/>
                <wp:cNvGraphicFramePr/>
                <a:graphic xmlns:a="http://schemas.openxmlformats.org/drawingml/2006/main">
                  <a:graphicData uri="http://schemas.microsoft.com/office/word/2010/wordprocessingShape">
                    <wps:wsp>
                      <wps:cNvSpPr/>
                      <wps:spPr>
                        <a:xfrm>
                          <a:off x="0" y="0"/>
                          <a:ext cx="483870" cy="27051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Téglalap 1" o:spid="_x0000_s1026" style="position:absolute;margin-left:219.3pt;margin-top:29.6pt;width:38.1pt;height:2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" fillcolor="white [3212]" stroked="f" strokeweight="1pt"/>
            </w:pict>
          </mc:Fallback>
        </mc:AlternateContent>
      </w:r>
      <w:r>
        <w:rPr>
          <w:noProof/>
          <w:lang w:val="en-GB" w:eastAsia="en-GB"/>
        </w:rPr>
        <w:drawing>
          <wp:inline distT="0" distB="0" distL="0" distR="0" wp14:anchorId="03181984" wp14:editId="4E977FA5">
            <wp:extent cx="3990975" cy="2447290"/>
            <wp:effectExtent l="0" t="0" r="9525" b="0"/>
            <wp:docPr id="1179397642" name="Picture 195611187" descr="A képen szöveg, diagram, képernyőkép, sor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11187" name="Picture 195611187" descr="A képen szöveg, diagram, képernyőkép, sor látható&#10;&#10;Automatikusan generált leírás"/>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990975" cy="2447290"/>
                    </a:xfrm>
                    <a:prstGeom prst="rect">
                      <a:avLst/>
                    </a:prstGeom>
                  </pic:spPr>
                </pic:pic>
              </a:graphicData>
            </a:graphic>
          </wp:inline>
        </w:drawing>
      </w:r>
    </w:p>
    <w:p w14:paraId="637593BC" w14:textId="4C15EC73" w:rsidR="00ED2823" w:rsidRDefault="00D47557" w:rsidP="00D47557">
      <w:pPr>
        <w:pStyle w:val="Caption"/>
        <w:jc w:val="center"/>
        <w:rPr>
          <w:rFonts w:eastAsia="Aptos" w:cs="Times New Roman"/>
        </w:rPr>
      </w:pPr>
      <w:r>
        <w:rPr>
          <w:rFonts w:eastAsia="Aptos" w:cs="Times New Roman"/>
        </w:rPr>
        <w:fldChar w:fldCharType="begin"/>
      </w:r>
      <w:r>
        <w:rPr>
          <w:rFonts w:eastAsia="Aptos" w:cs="Times New Roman"/>
        </w:rPr>
        <w:instrText xml:space="preserve"> SEQ Figure \* ARABIC </w:instrText>
      </w:r>
      <w:r>
        <w:rPr>
          <w:rFonts w:eastAsia="Aptos" w:cs="Times New Roman"/>
        </w:rPr>
        <w:fldChar w:fldCharType="separate"/>
      </w:r>
      <w:r w:rsidR="00DA0D33">
        <w:rPr>
          <w:rFonts w:eastAsia="Aptos" w:cs="Times New Roman"/>
          <w:noProof/>
        </w:rPr>
        <w:t>4</w:t>
      </w:r>
      <w:r>
        <w:rPr>
          <w:rFonts w:eastAsia="Aptos" w:cs="Times New Roman"/>
        </w:rPr>
        <w:fldChar w:fldCharType="end"/>
      </w:r>
      <w:r>
        <w:t>. Figure</w:t>
      </w:r>
      <w:r w:rsidR="00E44A37">
        <w:t xml:space="preserve">: </w:t>
      </w:r>
      <w:r w:rsidR="00E44A37" w:rsidRPr="00E44A37">
        <w:t>Bowman's Strategy Clock applied to Premier Inn</w:t>
      </w:r>
    </w:p>
    <w:p w14:paraId="18282BC5" w14:textId="4655C50E" w:rsidR="00781653" w:rsidRPr="00781653" w:rsidRDefault="00781653" w:rsidP="00781653">
      <w:pPr>
        <w:rPr>
          <w:rFonts w:eastAsia="Aptos" w:cs="Times New Roman"/>
        </w:rPr>
      </w:pPr>
      <w:r w:rsidRPr="00781653">
        <w:rPr>
          <w:rFonts w:eastAsia="Aptos" w:cs="Times New Roman"/>
        </w:rPr>
        <w:t>Premier Inn differentiates itself by using a cost leadership strategy wherein it ensures competitive prices with satisfactory standards of service.</w:t>
      </w:r>
      <w:r w:rsidR="00305658">
        <w:rPr>
          <w:rFonts w:eastAsia="Aptos" w:cs="Times New Roman"/>
        </w:rPr>
        <w:t xml:space="preserve"> </w:t>
      </w:r>
      <w:r w:rsidRPr="00781653">
        <w:rPr>
          <w:rFonts w:eastAsia="Aptos" w:cs="Times New Roman"/>
        </w:rPr>
        <w:t>The key competitors in the budget hotel category include Travelodge and Ibis. It also pays attention to operational efficiency in managing a standardized service delivery that allows guests to expect a similar experience across all properties. In addition, sustainability initiatives, such as energy-efficient operations and effective waste reduction programs, further add beauty to the offering that is Premier Inn-especially for environmentally sensitive travelers (Marketing91, 2024).</w:t>
      </w:r>
    </w:p>
    <w:p w14:paraId="1D4C278D" w14:textId="77777777" w:rsidR="00EE0465" w:rsidRPr="00EC7DEE" w:rsidRDefault="00EE0465" w:rsidP="00CD4278">
      <w:pPr>
        <w:pStyle w:val="Heading2"/>
        <w:rPr>
          <w:b w:val="0"/>
        </w:rPr>
      </w:pPr>
      <w:r>
        <w:t>Revenue</w:t>
      </w:r>
    </w:p>
    <w:p w14:paraId="46F6F8C2" w14:textId="099EC6C6" w:rsidR="00D47557" w:rsidRDefault="00EC7DEE" w:rsidP="00866EB3">
      <w:pPr>
        <w:rPr>
          <w:rFonts w:eastAsia="Aptos" w:cs="Times New Roman"/>
        </w:rPr>
      </w:pPr>
      <w:r w:rsidRPr="00EC7DEE">
        <w:rPr>
          <w:rFonts w:eastAsia="Aptos" w:cs="Times New Roman"/>
        </w:rPr>
        <w:t xml:space="preserve">Premier Inn’s 2018-2023 revenue growth is obvious in that it experienced a recovery in profit growth following the catastrophic effects of the pandemic (Figure 5). </w:t>
      </w:r>
      <w:proofErr w:type="gramStart"/>
      <w:r w:rsidRPr="00EC7DEE">
        <w:rPr>
          <w:rFonts w:eastAsia="Aptos" w:cs="Times New Roman"/>
        </w:rPr>
        <w:t>This gradual revenue growth especially in 2023 are</w:t>
      </w:r>
      <w:proofErr w:type="gramEnd"/>
      <w:r w:rsidRPr="00EC7DEE">
        <w:rPr>
          <w:rFonts w:eastAsia="Aptos" w:cs="Times New Roman"/>
        </w:rPr>
        <w:t xml:space="preserve"> indicative of Premier Inn’s flexibility to evolving market conditions.</w:t>
      </w:r>
      <w:r w:rsidR="0019471E" w:rsidRPr="0019471E">
        <w:rPr>
          <w:rFonts w:eastAsia="Aptos" w:cs="Times New Roman"/>
        </w:rPr>
        <w:t xml:space="preserve"> The brand’s focus on the domestic market in the UK has provided a solid foundation, even during downturns, enabling it to stabilize revenue after the pandemic (Whitbread, 2023).</w:t>
      </w:r>
      <w:r w:rsidR="0019471E">
        <w:rPr>
          <w:rFonts w:eastAsia="Aptos" w:cs="Times New Roman"/>
        </w:rPr>
        <w:t xml:space="preserve"> </w:t>
      </w:r>
      <w:r w:rsidR="0019471E" w:rsidRPr="0019471E">
        <w:rPr>
          <w:rFonts w:eastAsia="Aptos" w:cs="Times New Roman"/>
        </w:rPr>
        <w:t>Budget travel has definitely been one of the drivers for the recovery of Premier Inn in the post-pandemic market. As global economies struggled at the start of the recession, a high demand for budget travel-accommodation brands such as Premier Inn was still witnessed, as people looked for cheaper options during their trips.</w:t>
      </w:r>
    </w:p>
    <w:p w14:paraId="0DE74DD3" w14:textId="77777777" w:rsidR="00D47557" w:rsidRDefault="00D47557" w:rsidP="00D47557">
      <w:pPr>
        <w:keepNext/>
        <w:jc w:val="center"/>
      </w:pPr>
      <w:r>
        <w:rPr>
          <w:noProof/>
          <w:lang w:val="en-GB" w:eastAsia="en-GB"/>
        </w:rPr>
        <w:lastRenderedPageBreak/>
        <w:drawing>
          <wp:inline distT="0" distB="0" distL="0" distR="0" wp14:anchorId="49F46B39" wp14:editId="5A33ABA9">
            <wp:extent cx="5496261" cy="3258670"/>
            <wp:effectExtent l="0" t="0" r="9525" b="18415"/>
            <wp:docPr id="1252484496" name="Diagram 1">
              <a:extLst xmlns:a="http://schemas.openxmlformats.org/drawingml/2006/main">
                <a:ext uri="{FF2B5EF4-FFF2-40B4-BE49-F238E27FC236}">
                  <a16:creationId xmlns:arto="http://schemas.microsoft.com/office/word/2006/arto"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16="http://schemas.microsoft.com/office/drawing/2014/main" id="{C93E4B34-2590-4F50-A870-6485B100B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2F5AEF" w14:textId="2B620C79" w:rsidR="00D47557" w:rsidRDefault="00D47557" w:rsidP="00D47557">
      <w:pPr>
        <w:pStyle w:val="Caption"/>
        <w:jc w:val="center"/>
        <w:rPr>
          <w:rFonts w:eastAsia="Aptos" w:cs="Times New Roman"/>
        </w:rPr>
      </w:pPr>
      <w:r>
        <w:rPr>
          <w:rFonts w:eastAsia="Aptos" w:cs="Times New Roman"/>
        </w:rPr>
        <w:fldChar w:fldCharType="begin"/>
      </w:r>
      <w:r>
        <w:rPr>
          <w:rFonts w:eastAsia="Aptos" w:cs="Times New Roman"/>
        </w:rPr>
        <w:instrText xml:space="preserve"> SEQ Figure \* ARABIC </w:instrText>
      </w:r>
      <w:r>
        <w:rPr>
          <w:rFonts w:eastAsia="Aptos" w:cs="Times New Roman"/>
        </w:rPr>
        <w:fldChar w:fldCharType="separate"/>
      </w:r>
      <w:r w:rsidR="00DA0D33">
        <w:rPr>
          <w:rFonts w:eastAsia="Aptos" w:cs="Times New Roman"/>
          <w:noProof/>
        </w:rPr>
        <w:t>5</w:t>
      </w:r>
      <w:r>
        <w:rPr>
          <w:rFonts w:eastAsia="Aptos" w:cs="Times New Roman"/>
        </w:rPr>
        <w:fldChar w:fldCharType="end"/>
      </w:r>
      <w:r>
        <w:t>. Figure</w:t>
      </w:r>
      <w:r w:rsidR="00A716D3">
        <w:t>: Annual revenue for Premier Inn</w:t>
      </w:r>
    </w:p>
    <w:p w14:paraId="76CD491B" w14:textId="272F7F32" w:rsidR="00866EB3" w:rsidRPr="00866EB3" w:rsidRDefault="0019471E" w:rsidP="00866EB3">
      <w:pPr>
        <w:rPr>
          <w:rFonts w:eastAsia="Aptos" w:cs="Times New Roman"/>
        </w:rPr>
      </w:pPr>
      <w:r w:rsidRPr="0019471E">
        <w:rPr>
          <w:rFonts w:eastAsia="Aptos" w:cs="Times New Roman"/>
        </w:rPr>
        <w:t>Studies and developments on recovery post-pandemic indicate that budget hotels recover faster than the luxury segment since the budget hotels would capture the crucial bit of domestic travel like corporate stays and staycations.</w:t>
      </w:r>
      <w:r>
        <w:rPr>
          <w:rFonts w:eastAsia="Aptos" w:cs="Times New Roman"/>
        </w:rPr>
        <w:t xml:space="preserve"> </w:t>
      </w:r>
      <w:r w:rsidRPr="0019471E">
        <w:rPr>
          <w:rFonts w:eastAsia="Aptos" w:cs="Times New Roman"/>
        </w:rPr>
        <w:t>International expansion, particularly into Germany, represents a prime growth area for Premier Inn. Rising revenues emanating from the German market demonstrate successful entry and expansion for the brand. In that respect, it puts Premier Inn in an even better position to expand its market share of the budget markets in Europe, especially considering the European market's recovery of growing demand for travel (Whitbread, 2023). The brand has a strong operational model and proved its ability to scale, so further expansion into European markets could yield a good return over the next couple of years (BCG, 2020).</w:t>
      </w:r>
    </w:p>
    <w:p w14:paraId="5B393F09" w14:textId="010E0A29" w:rsidR="00C246CF" w:rsidRDefault="00EE0465" w:rsidP="00CD4278">
      <w:pPr>
        <w:pStyle w:val="Heading2"/>
      </w:pPr>
      <w:r>
        <w:t>Supply-Demand</w:t>
      </w:r>
    </w:p>
    <w:p w14:paraId="0F03A2B7" w14:textId="2E4F7995" w:rsidR="00D47557" w:rsidRDefault="002E46D0" w:rsidP="00866EB3">
      <w:pPr>
        <w:rPr>
          <w:rFonts w:eastAsia="Aptos" w:cs="Times New Roman"/>
        </w:rPr>
      </w:pPr>
      <w:r>
        <w:rPr>
          <w:rFonts w:eastAsia="Aptos" w:cs="Times New Roman"/>
        </w:rPr>
        <w:t>As Figure 6. illustrates, o</w:t>
      </w:r>
      <w:r w:rsidR="00C246CF" w:rsidRPr="00C246CF">
        <w:rPr>
          <w:rFonts w:eastAsia="Aptos" w:cs="Times New Roman"/>
        </w:rPr>
        <w:t>ccupancy rates and pricing data for Premier Inn, from 2018 to 2023, show the strength of the brand in the market and strategic adjustment. While occupancy rates went down in 2021 with COVID-19 travel restrictions, Premier Inn performed well in 2023 and recovered to levels of approximately 80%, similar to the pre-pandemic levels. This gain can be attributed to the strong demand for budget accommodation; this segment usually gains faster in all economic recoveries</w:t>
      </w:r>
      <w:r w:rsidR="00C246CF">
        <w:rPr>
          <w:rFonts w:eastAsia="Aptos" w:cs="Times New Roman"/>
        </w:rPr>
        <w:t xml:space="preserve"> (</w:t>
      </w:r>
      <w:r w:rsidR="00C246CF" w:rsidRPr="00C246CF">
        <w:rPr>
          <w:rFonts w:eastAsia="Aptos" w:cs="Times New Roman"/>
        </w:rPr>
        <w:t>BCG, 2020, Whitbread, 2023</w:t>
      </w:r>
      <w:r w:rsidR="00C246CF">
        <w:rPr>
          <w:rFonts w:eastAsia="Aptos" w:cs="Times New Roman"/>
        </w:rPr>
        <w:t>)</w:t>
      </w:r>
      <w:r w:rsidR="00C246CF" w:rsidRPr="00C246CF">
        <w:rPr>
          <w:rFonts w:eastAsia="Aptos" w:cs="Times New Roman"/>
        </w:rPr>
        <w:t>.</w:t>
      </w:r>
      <w:r w:rsidR="00B26AB6">
        <w:rPr>
          <w:rFonts w:eastAsia="Aptos" w:cs="Times New Roman"/>
        </w:rPr>
        <w:t xml:space="preserve"> </w:t>
      </w:r>
      <w:r w:rsidR="00C246CF" w:rsidRPr="00C246CF">
        <w:rPr>
          <w:rFonts w:eastAsia="Aptos" w:cs="Times New Roman"/>
        </w:rPr>
        <w:t xml:space="preserve">One keen observation would relate to how the flexibility that Premier Inn had in terms of pricing served as an important determinant in stimulating demand during periods of low occupancy. For example, the decline </w:t>
      </w:r>
      <w:r w:rsidR="00C246CF" w:rsidRPr="00C246CF">
        <w:rPr>
          <w:rFonts w:eastAsia="Aptos" w:cs="Times New Roman"/>
        </w:rPr>
        <w:lastRenderedPageBreak/>
        <w:t xml:space="preserve">in room rates to about £50 in 2021 may have attracted the thriftier traveler in the </w:t>
      </w:r>
      <w:r w:rsidR="00F35DF1">
        <w:rPr>
          <w:rFonts w:eastAsia="Aptos" w:cs="Times New Roman"/>
        </w:rPr>
        <w:t>downturn</w:t>
      </w:r>
      <w:r w:rsidR="00C246CF" w:rsidRPr="00C246CF">
        <w:rPr>
          <w:rFonts w:eastAsia="Aptos" w:cs="Times New Roman"/>
        </w:rPr>
        <w:t xml:space="preserve"> strategy adopted by most economy hotels when disrupted in the short term (PLOS, 2021). </w:t>
      </w:r>
    </w:p>
    <w:p w14:paraId="2B6DE08E" w14:textId="77777777" w:rsidR="00D47557" w:rsidRDefault="00D47557" w:rsidP="00D47557">
      <w:pPr>
        <w:keepNext/>
        <w:jc w:val="center"/>
      </w:pPr>
      <w:r>
        <w:rPr>
          <w:noProof/>
          <w:lang w:val="en-GB" w:eastAsia="en-GB"/>
        </w:rPr>
        <w:drawing>
          <wp:inline distT="0" distB="0" distL="0" distR="0" wp14:anchorId="450D0098" wp14:editId="1EDC9A77">
            <wp:extent cx="4572000" cy="2743200"/>
            <wp:effectExtent l="0" t="0" r="0" b="0"/>
            <wp:docPr id="1542853728" name="Diagram 1">
              <a:extLst xmlns:a="http://schemas.openxmlformats.org/drawingml/2006/main">
                <a:ext uri="{FF2B5EF4-FFF2-40B4-BE49-F238E27FC236}">
                  <a16:creationId xmlns:arto="http://schemas.microsoft.com/office/word/2006/arto"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a16="http://schemas.microsoft.com/office/drawing/2014/main" id="{B9985351-047B-E1E9-BF82-0663029EF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1A57EA" w14:textId="278B75AF" w:rsidR="00D47557" w:rsidRDefault="00D47557" w:rsidP="00D47557">
      <w:pPr>
        <w:pStyle w:val="Caption"/>
        <w:jc w:val="center"/>
        <w:rPr>
          <w:rFonts w:eastAsia="Aptos" w:cs="Times New Roman"/>
        </w:rPr>
      </w:pPr>
      <w:r>
        <w:rPr>
          <w:rFonts w:eastAsia="Aptos" w:cs="Times New Roman"/>
        </w:rPr>
        <w:fldChar w:fldCharType="begin"/>
      </w:r>
      <w:r>
        <w:rPr>
          <w:rFonts w:eastAsia="Aptos" w:cs="Times New Roman"/>
        </w:rPr>
        <w:instrText xml:space="preserve"> SEQ Figure \* ARABIC </w:instrText>
      </w:r>
      <w:r>
        <w:rPr>
          <w:rFonts w:eastAsia="Aptos" w:cs="Times New Roman"/>
        </w:rPr>
        <w:fldChar w:fldCharType="separate"/>
      </w:r>
      <w:r w:rsidR="00DA0D33">
        <w:rPr>
          <w:rFonts w:eastAsia="Aptos" w:cs="Times New Roman"/>
          <w:noProof/>
        </w:rPr>
        <w:t>6</w:t>
      </w:r>
      <w:r>
        <w:rPr>
          <w:rFonts w:eastAsia="Aptos" w:cs="Times New Roman"/>
        </w:rPr>
        <w:fldChar w:fldCharType="end"/>
      </w:r>
      <w:r>
        <w:t>. Figure</w:t>
      </w:r>
      <w:r w:rsidR="002E46D0">
        <w:t>: Occupancy rated and Room prices in Premier Inn</w:t>
      </w:r>
    </w:p>
    <w:p w14:paraId="6AB03E7A" w14:textId="19860FD7" w:rsidR="00C246CF" w:rsidRDefault="00C246CF" w:rsidP="00866EB3">
      <w:pPr>
        <w:rPr>
          <w:rFonts w:eastAsia="Aptos" w:cs="Times New Roman"/>
        </w:rPr>
      </w:pPr>
      <w:r w:rsidRPr="00C246CF">
        <w:rPr>
          <w:rFonts w:eastAsia="Aptos" w:cs="Times New Roman"/>
        </w:rPr>
        <w:t>As demand finally improved, the brand was able to ramp up prices, starting to stabilize at £73 in 2023, which would indicate a return to more stable conditions in the marketplace (Whitbread, 2023).</w:t>
      </w:r>
      <w:r>
        <w:rPr>
          <w:rFonts w:eastAsia="Aptos" w:cs="Times New Roman"/>
        </w:rPr>
        <w:t xml:space="preserve"> </w:t>
      </w:r>
      <w:r w:rsidRPr="00C246CF">
        <w:rPr>
          <w:rFonts w:eastAsia="Aptos" w:cs="Times New Roman"/>
        </w:rPr>
        <w:t>Other supportive factors include that Premier Inn has a stable supply of rooms, which will help it not to be affected by fluctuations in demand. Thus, the brand has achieved significant economies of scale through selective expansion, especially in Germany, while continuing to maintain consistent availability and capitalize on the trends of domestic travel</w:t>
      </w:r>
      <w:r w:rsidRPr="00C246CF">
        <w:t xml:space="preserve"> </w:t>
      </w:r>
      <w:r w:rsidRPr="00C246CF">
        <w:rPr>
          <w:rFonts w:eastAsia="Aptos" w:cs="Times New Roman"/>
        </w:rPr>
        <w:t>(AHLA, 2023; Whitbread, 2023).</w:t>
      </w:r>
    </w:p>
    <w:p w14:paraId="35836EEE" w14:textId="659F9A6D" w:rsidR="00866EB3" w:rsidRPr="00866EB3" w:rsidRDefault="00866EB3" w:rsidP="00866EB3">
      <w:pPr>
        <w:rPr>
          <w:rFonts w:eastAsia="Aptos" w:cs="Times New Roman"/>
        </w:rPr>
      </w:pPr>
    </w:p>
    <w:p w14:paraId="796239DB" w14:textId="77777777" w:rsidR="00EE0465" w:rsidRPr="001213E3" w:rsidRDefault="00EE0465" w:rsidP="00CD4278">
      <w:pPr>
        <w:pStyle w:val="Heading2"/>
      </w:pPr>
      <w:r>
        <w:t>Sustainability</w:t>
      </w:r>
    </w:p>
    <w:p w14:paraId="3C0C283C" w14:textId="154F1D7C" w:rsidR="00A27AAB" w:rsidRPr="00C57998" w:rsidRDefault="00A27AAB" w:rsidP="00A27AAB">
      <w:pPr>
        <w:rPr>
          <w:rFonts w:cs="Times New Roman"/>
          <w:b/>
        </w:rPr>
      </w:pPr>
      <w:r w:rsidRPr="00A27AAB">
        <w:rPr>
          <w:rFonts w:cs="Times New Roman"/>
        </w:rPr>
        <w:t xml:space="preserve">The scope for growth at Premier Inn appears to be within its steady penetration of Germany and other European markets. Because of this, it finds itself well placed through the cost leadership strategy to exploit growing demand for budget accommodation, particularly when the economy is looking less than robust. With such a strong basis in the UK, Premier Inn can </w:t>
      </w:r>
      <w:proofErr w:type="spellStart"/>
      <w:r w:rsidRPr="00A27AAB">
        <w:rPr>
          <w:rFonts w:cs="Times New Roman"/>
        </w:rPr>
        <w:t>capitalise</w:t>
      </w:r>
      <w:proofErr w:type="spellEnd"/>
      <w:r w:rsidRPr="00A27AAB">
        <w:rPr>
          <w:rFonts w:cs="Times New Roman"/>
        </w:rPr>
        <w:t xml:space="preserve"> on operational efficiency and scale as the company pursues new avenues of growth in international markets such as Germany, which has already started to yield promising results (Whitbread, 2023; AHLA, 2023).</w:t>
      </w:r>
      <w:r>
        <w:rPr>
          <w:rFonts w:cs="Times New Roman"/>
        </w:rPr>
        <w:t xml:space="preserve"> </w:t>
      </w:r>
      <w:r w:rsidR="00B0368E" w:rsidRPr="00B0368E">
        <w:rPr>
          <w:rFonts w:cs="Times New Roman"/>
        </w:rPr>
        <w:t xml:space="preserve">The development of technology enables Premier Inn to provide its customers personalized services, automated booking process which further improves customer satisfaction and reduces expenses for its patrons. This tech-centric </w:t>
      </w:r>
      <w:r w:rsidR="00B0368E" w:rsidRPr="00B0368E">
        <w:rPr>
          <w:rFonts w:cs="Times New Roman"/>
        </w:rPr>
        <w:lastRenderedPageBreak/>
        <w:t xml:space="preserve">approach adds to a high degree of efficiency, making Premier Inn an upstart in the budget hotel space (BCG, 2020). </w:t>
      </w:r>
      <w:r w:rsidR="00D741F3" w:rsidRPr="00D741F3">
        <w:rPr>
          <w:rFonts w:cs="Times New Roman"/>
        </w:rPr>
        <w:t>They are committed to zero carbon dioxide emissions by 2050 through waste reduction measures. This will promote Premier Inn to environmentally conscious consumers.</w:t>
      </w:r>
    </w:p>
    <w:p w14:paraId="73E30EF0" w14:textId="77777777" w:rsidR="003469E7" w:rsidRDefault="003469E7" w:rsidP="003469E7">
      <w:pPr>
        <w:pStyle w:val="Heading1"/>
      </w:pPr>
      <w:r w:rsidRPr="5F94C4C9">
        <w:rPr>
          <w:rFonts w:eastAsia="Aptos"/>
        </w:rPr>
        <w:t>Conclusion</w:t>
      </w:r>
    </w:p>
    <w:p w14:paraId="68C0F423" w14:textId="77777777" w:rsidR="003469E7" w:rsidRDefault="003469E7" w:rsidP="003469E7">
      <w:r w:rsidRPr="00422FFB">
        <w:t>In general,</w:t>
      </w:r>
      <w:r>
        <w:t xml:space="preserve"> and </w:t>
      </w:r>
      <w:r w:rsidRPr="00422FFB">
        <w:t>in the wake of COVID-19 the two chains put an emphasis on flexibility, sustainability and knowing the market, factors that are essential for retaining competitiveness and profit in the hospitality sector.</w:t>
      </w:r>
    </w:p>
    <w:p w14:paraId="3BFBF799" w14:textId="16F9D671" w:rsidR="006038F5" w:rsidRPr="00B0368E" w:rsidRDefault="006038F5" w:rsidP="00CD4278">
      <w:pPr>
        <w:pStyle w:val="Heading2"/>
        <w:rPr>
          <w:b w:val="0"/>
        </w:rPr>
      </w:pPr>
      <w:r>
        <w:t>Recommendation</w:t>
      </w:r>
    </w:p>
    <w:p w14:paraId="5A2B7188" w14:textId="32EAE101" w:rsidR="006038F5" w:rsidRPr="00A27AAB" w:rsidRDefault="00B0368E" w:rsidP="00A27AAB">
      <w:pPr>
        <w:rPr>
          <w:rFonts w:cs="Times New Roman"/>
        </w:rPr>
      </w:pPr>
      <w:r w:rsidRPr="00B0368E">
        <w:rPr>
          <w:rFonts w:cs="Times New Roman"/>
        </w:rPr>
        <w:t xml:space="preserve">Rapidly expand Premier Inn in Germany and Europe, targeting price-conscious post-COVID-19 travellers looking for cheap but quality accommodation. </w:t>
      </w:r>
      <w:r w:rsidR="00EC7DEE" w:rsidRPr="00EC7DEE">
        <w:rPr>
          <w:rFonts w:cs="Times New Roman"/>
        </w:rPr>
        <w:t>What’s more, with Germany’s revenues growing, this would further diversify Premier Inn’s reliance on the UK and profit from the European travel market which is in its own expansion.</w:t>
      </w:r>
      <w:r w:rsidR="006038F5" w:rsidRPr="006038F5">
        <w:rPr>
          <w:rFonts w:cs="Times New Roman"/>
        </w:rPr>
        <w:t xml:space="preserve"> In this regard, digital transformation for Premier Inn should focus on smoothing the booking systems and customized services to improve the experience of customers while improving productivity at the operational level. This is also relevant to the increasing demand for budget travel options across Europe</w:t>
      </w:r>
      <w:r w:rsidR="006038F5">
        <w:rPr>
          <w:rFonts w:cs="Times New Roman"/>
        </w:rPr>
        <w:t xml:space="preserve"> (</w:t>
      </w:r>
      <w:r w:rsidR="006038F5" w:rsidRPr="006038F5">
        <w:rPr>
          <w:rFonts w:cs="Times New Roman"/>
        </w:rPr>
        <w:t>AHLA</w:t>
      </w:r>
      <w:r w:rsidR="006038F5">
        <w:rPr>
          <w:rFonts w:cs="Times New Roman"/>
        </w:rPr>
        <w:t>,</w:t>
      </w:r>
      <w:r w:rsidR="006038F5" w:rsidRPr="006038F5">
        <w:rPr>
          <w:rFonts w:cs="Times New Roman"/>
        </w:rPr>
        <w:t xml:space="preserve"> 2023).</w:t>
      </w:r>
    </w:p>
    <w:p w14:paraId="63C14B56" w14:textId="3F7624BA" w:rsidR="541D3215" w:rsidRDefault="000856FB" w:rsidP="008A0307">
      <w:pPr>
        <w:pStyle w:val="Heading1"/>
        <w:rPr>
          <w:rFonts w:eastAsia="Aptos"/>
        </w:rPr>
      </w:pPr>
      <w:r>
        <w:rPr>
          <w:rFonts w:eastAsia="Aptos"/>
        </w:rPr>
        <w:t>Reference</w:t>
      </w:r>
      <w:r w:rsidR="00C635BB">
        <w:rPr>
          <w:rFonts w:eastAsia="Aptos"/>
        </w:rPr>
        <w:t>s</w:t>
      </w:r>
    </w:p>
    <w:p w14:paraId="50071F12" w14:textId="565E756E" w:rsidR="000856FB" w:rsidRDefault="000856FB" w:rsidP="000856FB">
      <w:proofErr w:type="gramStart"/>
      <w:r>
        <w:rPr>
          <w:rFonts w:hAnsi="Symbol"/>
        </w:rPr>
        <w:t></w:t>
      </w:r>
      <w:r>
        <w:t xml:space="preserve"> Carroll, A.B. (1979) 'A three-dimensional conceptual model of corporate performance', </w:t>
      </w:r>
      <w:r>
        <w:rPr>
          <w:rStyle w:val="Emphasis"/>
        </w:rPr>
        <w:t>Academy of Management Review</w:t>
      </w:r>
      <w:r>
        <w:t>, 4(4), pp. 497–505.</w:t>
      </w:r>
      <w:proofErr w:type="gramEnd"/>
    </w:p>
    <w:p w14:paraId="3C3FCB42" w14:textId="52CF1808" w:rsidR="000856FB" w:rsidRDefault="000856FB" w:rsidP="000856FB">
      <w:r>
        <w:rPr>
          <w:rFonts w:hAnsi="Symbol"/>
        </w:rPr>
        <w:t></w:t>
      </w:r>
      <w:r>
        <w:t xml:space="preserve"> Day, G.S. (2011) 'Closing the marketing capabilities gap', </w:t>
      </w:r>
      <w:r>
        <w:rPr>
          <w:rStyle w:val="Emphasis"/>
        </w:rPr>
        <w:t>Journal of Marketing</w:t>
      </w:r>
      <w:r>
        <w:t>, 75(4), pp. 183–195.</w:t>
      </w:r>
    </w:p>
    <w:p w14:paraId="76657505" w14:textId="705ED5BC" w:rsidR="000856FB" w:rsidRDefault="000856FB" w:rsidP="000856FB">
      <w:proofErr w:type="gramStart"/>
      <w:r>
        <w:rPr>
          <w:rFonts w:hAnsi="Symbol"/>
        </w:rPr>
        <w:t></w:t>
      </w:r>
      <w:r>
        <w:t xml:space="preserve"> </w:t>
      </w:r>
      <w:proofErr w:type="spellStart"/>
      <w:r>
        <w:t>Dube</w:t>
      </w:r>
      <w:proofErr w:type="spellEnd"/>
      <w:r>
        <w:t xml:space="preserve">, K., </w:t>
      </w:r>
      <w:proofErr w:type="spellStart"/>
      <w:r>
        <w:t>Nhamo</w:t>
      </w:r>
      <w:proofErr w:type="spellEnd"/>
      <w:r>
        <w:t xml:space="preserve">, G. and </w:t>
      </w:r>
      <w:proofErr w:type="spellStart"/>
      <w:r>
        <w:t>Chikodzi</w:t>
      </w:r>
      <w:proofErr w:type="spellEnd"/>
      <w:r>
        <w:t xml:space="preserve">, D. (2021) 'COVID-19 cripples global restaurant and hospitality industry', </w:t>
      </w:r>
      <w:r>
        <w:rPr>
          <w:rStyle w:val="Emphasis"/>
        </w:rPr>
        <w:t>Current Issues in Tourism</w:t>
      </w:r>
      <w:r>
        <w:t>, 24(11), pp. 1487–1490.</w:t>
      </w:r>
      <w:proofErr w:type="gramEnd"/>
    </w:p>
    <w:p w14:paraId="2D473D0D" w14:textId="48BF3A08" w:rsidR="000856FB" w:rsidRDefault="000856FB" w:rsidP="000856FB">
      <w:r>
        <w:rPr>
          <w:rFonts w:hAnsi="Symbol"/>
        </w:rPr>
        <w:t></w:t>
      </w:r>
      <w:r>
        <w:t xml:space="preserve"> </w:t>
      </w:r>
      <w:proofErr w:type="spellStart"/>
      <w:r>
        <w:t>Ertuna</w:t>
      </w:r>
      <w:proofErr w:type="spellEnd"/>
      <w:r>
        <w:t xml:space="preserve">, B., </w:t>
      </w:r>
      <w:proofErr w:type="spellStart"/>
      <w:r>
        <w:t>Karatas-Ozkan</w:t>
      </w:r>
      <w:proofErr w:type="spellEnd"/>
      <w:r>
        <w:t xml:space="preserve">, M. and </w:t>
      </w:r>
      <w:proofErr w:type="spellStart"/>
      <w:r>
        <w:t>Yamak</w:t>
      </w:r>
      <w:proofErr w:type="spellEnd"/>
      <w:r>
        <w:t xml:space="preserve">, S. (2019) 'Diffusion of sustainability and CSR discourse in hospitality industry: Dynamics of local context', </w:t>
      </w:r>
      <w:r>
        <w:rPr>
          <w:rStyle w:val="Emphasis"/>
        </w:rPr>
        <w:t>International Journal of Contemporary Hospitality Management</w:t>
      </w:r>
      <w:r>
        <w:t>, 31(6), pp. 2564–2581.</w:t>
      </w:r>
    </w:p>
    <w:p w14:paraId="20FDD558" w14:textId="5B98CAE8" w:rsidR="000856FB" w:rsidRDefault="000856FB" w:rsidP="000856FB">
      <w:proofErr w:type="gramStart"/>
      <w:r>
        <w:rPr>
          <w:rFonts w:hAnsi="Symbol"/>
        </w:rPr>
        <w:lastRenderedPageBreak/>
        <w:t></w:t>
      </w:r>
      <w:r>
        <w:t xml:space="preserve"> </w:t>
      </w:r>
      <w:proofErr w:type="spellStart"/>
      <w:r>
        <w:t>Filimonau</w:t>
      </w:r>
      <w:proofErr w:type="spellEnd"/>
      <w:r>
        <w:t xml:space="preserve">, V., </w:t>
      </w:r>
      <w:proofErr w:type="spellStart"/>
      <w:r>
        <w:t>Derqui</w:t>
      </w:r>
      <w:proofErr w:type="spellEnd"/>
      <w:r>
        <w:t xml:space="preserve">, B. and </w:t>
      </w:r>
      <w:proofErr w:type="spellStart"/>
      <w:r>
        <w:t>Matute</w:t>
      </w:r>
      <w:proofErr w:type="spellEnd"/>
      <w:r>
        <w:t xml:space="preserve">, J. (2020) 'The COVID-19 pandemic and </w:t>
      </w:r>
      <w:proofErr w:type="spellStart"/>
      <w:r>
        <w:t>organisational</w:t>
      </w:r>
      <w:proofErr w:type="spellEnd"/>
      <w:r>
        <w:t xml:space="preserve"> commitment of senior hotel managers', </w:t>
      </w:r>
      <w:r>
        <w:rPr>
          <w:rStyle w:val="Emphasis"/>
        </w:rPr>
        <w:t>International Journal of Hospitality Management</w:t>
      </w:r>
      <w:r>
        <w:t>, 91, p. 102659.</w:t>
      </w:r>
      <w:proofErr w:type="gramEnd"/>
    </w:p>
    <w:p w14:paraId="44EE5E98" w14:textId="62937887" w:rsidR="000856FB" w:rsidRDefault="000856FB" w:rsidP="000856FB">
      <w:r>
        <w:rPr>
          <w:rFonts w:hAnsi="Symbol"/>
        </w:rPr>
        <w:t></w:t>
      </w:r>
      <w:r>
        <w:t xml:space="preserve"> </w:t>
      </w:r>
      <w:proofErr w:type="spellStart"/>
      <w:r>
        <w:t>Guzzo</w:t>
      </w:r>
      <w:proofErr w:type="spellEnd"/>
      <w:r>
        <w:t xml:space="preserve">, R.F., Abbott, J. and Madera, J.M. (2020) 'A micro-level view of CSR: A hospitality management systematic literature review', </w:t>
      </w:r>
      <w:r>
        <w:rPr>
          <w:rStyle w:val="Emphasis"/>
        </w:rPr>
        <w:t>Cornell Hospitality Quarterly</w:t>
      </w:r>
      <w:r>
        <w:t>, 61(2), pp. 155–171.</w:t>
      </w:r>
    </w:p>
    <w:p w14:paraId="07AFCDF4" w14:textId="3F99D0A1" w:rsidR="000856FB" w:rsidRDefault="000856FB" w:rsidP="000856FB">
      <w:r>
        <w:rPr>
          <w:rFonts w:hAnsi="Symbol"/>
        </w:rPr>
        <w:t></w:t>
      </w:r>
      <w:r>
        <w:t xml:space="preserve"> Han, H., Hsu, L.T.J. and Lee, J.S. (2009) 'Empirical investigation of green hotel customers’ eco-friendly decision-making process', </w:t>
      </w:r>
      <w:r>
        <w:rPr>
          <w:rStyle w:val="Emphasis"/>
        </w:rPr>
        <w:t>International Journal of Hospitality Management</w:t>
      </w:r>
      <w:r>
        <w:t>, 28(4), pp. 519–528.</w:t>
      </w:r>
    </w:p>
    <w:p w14:paraId="7E7CD038" w14:textId="5ED925A1" w:rsidR="000856FB" w:rsidRDefault="000856FB" w:rsidP="000856FB">
      <w:proofErr w:type="gramStart"/>
      <w:r>
        <w:rPr>
          <w:rFonts w:hAnsi="Symbol"/>
        </w:rPr>
        <w:t></w:t>
      </w:r>
      <w:r>
        <w:t xml:space="preserve"> Huang, C. et al. (2020) 'COVID-19 impact on hospitality labor markets', </w:t>
      </w:r>
      <w:r>
        <w:rPr>
          <w:rStyle w:val="Emphasis"/>
        </w:rPr>
        <w:t>Journal of Travel Research</w:t>
      </w:r>
      <w:r>
        <w:t>, 51(2), pp. 142–153.</w:t>
      </w:r>
      <w:proofErr w:type="gramEnd"/>
    </w:p>
    <w:p w14:paraId="154CF898" w14:textId="44DC8AEF" w:rsidR="000856FB" w:rsidRDefault="000856FB" w:rsidP="000856FB">
      <w:r>
        <w:rPr>
          <w:rFonts w:hAnsi="Symbol"/>
        </w:rPr>
        <w:t></w:t>
      </w:r>
      <w:r>
        <w:t xml:space="preserve"> </w:t>
      </w:r>
      <w:proofErr w:type="spellStart"/>
      <w:r>
        <w:t>Kaur</w:t>
      </w:r>
      <w:proofErr w:type="spellEnd"/>
      <w:r>
        <w:t xml:space="preserve">, P., </w:t>
      </w:r>
      <w:proofErr w:type="spellStart"/>
      <w:r>
        <w:t>Talwar</w:t>
      </w:r>
      <w:proofErr w:type="spellEnd"/>
      <w:r>
        <w:t xml:space="preserve">, S. and </w:t>
      </w:r>
      <w:proofErr w:type="spellStart"/>
      <w:r>
        <w:t>Srivastava</w:t>
      </w:r>
      <w:proofErr w:type="spellEnd"/>
      <w:r>
        <w:t xml:space="preserve">, S. (2022) 'CSR and hospitality sector: Charting new frontiers for restaurant businesses', </w:t>
      </w:r>
      <w:r>
        <w:rPr>
          <w:rStyle w:val="Emphasis"/>
        </w:rPr>
        <w:t>Journal of Business Research</w:t>
      </w:r>
      <w:r>
        <w:t>, 135, pp. 140–150.</w:t>
      </w:r>
    </w:p>
    <w:p w14:paraId="44E9A99F" w14:textId="71FF082B" w:rsidR="000856FB" w:rsidRDefault="000856FB" w:rsidP="000856FB">
      <w:proofErr w:type="gramStart"/>
      <w:r>
        <w:rPr>
          <w:rFonts w:hAnsi="Symbol"/>
        </w:rPr>
        <w:t></w:t>
      </w:r>
      <w:r>
        <w:t xml:space="preserve"> Roll, M. (2023) 'Shangri-La Hotels &amp; Resorts - Bringing Asian Hospitality to the World', </w:t>
      </w:r>
      <w:r>
        <w:rPr>
          <w:rStyle w:val="Emphasis"/>
        </w:rPr>
        <w:t>Martin Roll</w:t>
      </w:r>
      <w:r>
        <w:t>.</w:t>
      </w:r>
      <w:proofErr w:type="gramEnd"/>
      <w:r>
        <w:t xml:space="preserve"> Available at: </w:t>
      </w:r>
      <w:hyperlink r:id="rId13" w:tgtFrame="_new" w:history="1">
        <w:r>
          <w:rPr>
            <w:rStyle w:val="Hyperlink"/>
          </w:rPr>
          <w:t>https://www.martinroll.com/resources/articles/strategy/shangri-la-hotels-resorts/</w:t>
        </w:r>
      </w:hyperlink>
      <w:r>
        <w:t xml:space="preserve"> (Accessed: 16 October 2024).</w:t>
      </w:r>
    </w:p>
    <w:p w14:paraId="531D20C3" w14:textId="6995234D" w:rsidR="000856FB" w:rsidRDefault="000856FB" w:rsidP="000856FB">
      <w:proofErr w:type="gramStart"/>
      <w:r>
        <w:rPr>
          <w:rFonts w:hAnsi="Symbol"/>
        </w:rPr>
        <w:t></w:t>
      </w:r>
      <w:r>
        <w:t xml:space="preserve"> MBA </w:t>
      </w:r>
      <w:proofErr w:type="spellStart"/>
      <w:r>
        <w:t>Skool</w:t>
      </w:r>
      <w:proofErr w:type="spellEnd"/>
      <w:r>
        <w:t xml:space="preserve"> (2024) 'Shangri-La Hotels marketing mix &amp; strategy'.</w:t>
      </w:r>
      <w:proofErr w:type="gramEnd"/>
      <w:r>
        <w:t xml:space="preserve"> Available at: </w:t>
      </w:r>
      <w:hyperlink r:id="rId14" w:tgtFrame="_new" w:history="1">
        <w:r>
          <w:rPr>
            <w:rStyle w:val="Hyperlink"/>
          </w:rPr>
          <w:t>https://www.mbaskool.com/</w:t>
        </w:r>
      </w:hyperlink>
      <w:r>
        <w:t xml:space="preserve"> (Accessed: 16 October 2024).</w:t>
      </w:r>
    </w:p>
    <w:p w14:paraId="1F7EB72D" w14:textId="1511566B" w:rsidR="000856FB" w:rsidRDefault="000856FB" w:rsidP="000856FB">
      <w:proofErr w:type="gramStart"/>
      <w:r>
        <w:rPr>
          <w:rFonts w:hAnsi="Symbol"/>
        </w:rPr>
        <w:t></w:t>
      </w:r>
      <w:r>
        <w:t xml:space="preserve"> Marketing91 (2024) 'Marketing mix of Shangri-La Hotels and Resorts'.</w:t>
      </w:r>
      <w:proofErr w:type="gramEnd"/>
      <w:r>
        <w:t xml:space="preserve"> Available at: </w:t>
      </w:r>
      <w:hyperlink r:id="rId15" w:tgtFrame="_new" w:history="1">
        <w:r>
          <w:rPr>
            <w:rStyle w:val="Hyperlink"/>
          </w:rPr>
          <w:t>https://www.marketing91.com/</w:t>
        </w:r>
      </w:hyperlink>
      <w:r>
        <w:t xml:space="preserve"> (Accessed: 16 October 2024).</w:t>
      </w:r>
    </w:p>
    <w:p w14:paraId="5B46071F" w14:textId="603FF5B8" w:rsidR="000856FB" w:rsidRDefault="000856FB" w:rsidP="000856FB">
      <w:r>
        <w:rPr>
          <w:rFonts w:hAnsi="Symbol"/>
        </w:rPr>
        <w:t></w:t>
      </w:r>
      <w:r>
        <w:t xml:space="preserve"> </w:t>
      </w:r>
      <w:proofErr w:type="spellStart"/>
      <w:r>
        <w:t>Mingtiandi</w:t>
      </w:r>
      <w:proofErr w:type="spellEnd"/>
      <w:r>
        <w:t xml:space="preserve"> (2023) 'Shangri-La returned to profit with 47% revenue jump'. Available at: </w:t>
      </w:r>
      <w:hyperlink r:id="rId16" w:tgtFrame="_new" w:history="1">
        <w:r>
          <w:rPr>
            <w:rStyle w:val="Hyperlink"/>
          </w:rPr>
          <w:t>https://www.mingtiandi.com</w:t>
        </w:r>
      </w:hyperlink>
      <w:r>
        <w:t xml:space="preserve"> (Accessed: 30 September 2024).</w:t>
      </w:r>
    </w:p>
    <w:p w14:paraId="288C1EEF" w14:textId="4684358D" w:rsidR="000856FB" w:rsidRDefault="000856FB" w:rsidP="000856FB">
      <w:proofErr w:type="gramStart"/>
      <w:r>
        <w:rPr>
          <w:rFonts w:hAnsi="Symbol"/>
        </w:rPr>
        <w:t></w:t>
      </w:r>
      <w:r>
        <w:t xml:space="preserve"> OECD (2022) </w:t>
      </w:r>
      <w:r>
        <w:rPr>
          <w:rStyle w:val="Emphasis"/>
        </w:rPr>
        <w:t>OECD Tourism Trends and Policies 2022</w:t>
      </w:r>
      <w:r>
        <w:t>.</w:t>
      </w:r>
      <w:proofErr w:type="gramEnd"/>
      <w:r>
        <w:t xml:space="preserve"> Available at: </w:t>
      </w:r>
      <w:hyperlink r:id="rId17" w:tgtFrame="_new" w:history="1">
        <w:r>
          <w:rPr>
            <w:rStyle w:val="Hyperlink"/>
          </w:rPr>
          <w:t>https://www.oecd.org/industry/tourism/oecd-tourism-trends-and-policies-2022.htm</w:t>
        </w:r>
      </w:hyperlink>
      <w:r>
        <w:t xml:space="preserve"> (Accessed: 4 October 2024).</w:t>
      </w:r>
    </w:p>
    <w:p w14:paraId="228B752B" w14:textId="3C6C5060" w:rsidR="000856FB" w:rsidRDefault="000856FB" w:rsidP="000856FB">
      <w:proofErr w:type="gramStart"/>
      <w:r>
        <w:rPr>
          <w:rFonts w:hAnsi="Symbol"/>
        </w:rPr>
        <w:t></w:t>
      </w:r>
      <w:r>
        <w:t xml:space="preserve"> PLOS (2021) 'Impact of COVID-19 on hospitality', </w:t>
      </w:r>
      <w:r>
        <w:rPr>
          <w:rStyle w:val="Emphasis"/>
        </w:rPr>
        <w:t>PLOS ONE</w:t>
      </w:r>
      <w:r>
        <w:t>.</w:t>
      </w:r>
      <w:proofErr w:type="gramEnd"/>
      <w:r>
        <w:t xml:space="preserve"> Available at: </w:t>
      </w:r>
      <w:hyperlink r:id="rId18" w:tgtFrame="_new" w:history="1">
        <w:r>
          <w:rPr>
            <w:rStyle w:val="Hyperlink"/>
          </w:rPr>
          <w:t>https://journals.plos.org/plosone/article</w:t>
        </w:r>
      </w:hyperlink>
      <w:r>
        <w:t xml:space="preserve"> (Accessed: 16 October 2024).</w:t>
      </w:r>
    </w:p>
    <w:p w14:paraId="5B1AAAE4" w14:textId="7292C83C" w:rsidR="000856FB" w:rsidRDefault="000856FB" w:rsidP="000856FB">
      <w:proofErr w:type="gramStart"/>
      <w:r>
        <w:rPr>
          <w:rFonts w:hAnsi="Symbol"/>
        </w:rPr>
        <w:t></w:t>
      </w:r>
      <w:r>
        <w:rPr>
          <w:rFonts w:hAnsi="Symbol"/>
        </w:rPr>
        <w:t xml:space="preserve"> </w:t>
      </w:r>
      <w:proofErr w:type="spellStart"/>
      <w:r>
        <w:t>ScholarWorks</w:t>
      </w:r>
      <w:proofErr w:type="spellEnd"/>
      <w:r>
        <w:t xml:space="preserve"> (2021) 'Impact of COVID-19 on the hospitality industry', </w:t>
      </w:r>
      <w:proofErr w:type="spellStart"/>
      <w:r>
        <w:rPr>
          <w:rStyle w:val="Emphasis"/>
        </w:rPr>
        <w:t>ScholarWorks</w:t>
      </w:r>
      <w:proofErr w:type="spellEnd"/>
      <w:r>
        <w:t>.</w:t>
      </w:r>
      <w:proofErr w:type="gramEnd"/>
      <w:r>
        <w:t xml:space="preserve"> Available at: </w:t>
      </w:r>
      <w:hyperlink r:id="rId19" w:tgtFrame="_new" w:history="1">
        <w:r>
          <w:rPr>
            <w:rStyle w:val="Hyperlink"/>
          </w:rPr>
          <w:t>https://scholarworks.waldenu.edu</w:t>
        </w:r>
      </w:hyperlink>
      <w:r>
        <w:t xml:space="preserve"> (Accessed: 3 October 2024).</w:t>
      </w:r>
    </w:p>
    <w:p w14:paraId="291AD67B" w14:textId="052730A1" w:rsidR="000856FB" w:rsidRDefault="000856FB" w:rsidP="000856FB">
      <w:r>
        <w:rPr>
          <w:rFonts w:hAnsi="Symbol"/>
        </w:rPr>
        <w:lastRenderedPageBreak/>
        <w:t></w:t>
      </w:r>
      <w:r>
        <w:t xml:space="preserve"> Singh, A.J. and Wang, B. (2021) 'Impact of COVID-19 on the hospitality industry and implications for operations and asset management', </w:t>
      </w:r>
      <w:r>
        <w:rPr>
          <w:rStyle w:val="Emphasis"/>
        </w:rPr>
        <w:t>Boston Hospitality Review</w:t>
      </w:r>
      <w:r>
        <w:t>.</w:t>
      </w:r>
    </w:p>
    <w:p w14:paraId="05A2E482" w14:textId="5AB27712" w:rsidR="000856FB" w:rsidRDefault="000856FB" w:rsidP="000856FB">
      <w:r>
        <w:rPr>
          <w:rFonts w:hAnsi="Symbol"/>
        </w:rPr>
        <w:t></w:t>
      </w:r>
      <w:r>
        <w:t xml:space="preserve">UNWTO (2023) 'Tourism on track for full recovery as new data shows strong start to 2023'. Available at: </w:t>
      </w:r>
      <w:hyperlink r:id="rId20" w:tgtFrame="_new" w:history="1">
        <w:r>
          <w:rPr>
            <w:rStyle w:val="Hyperlink"/>
          </w:rPr>
          <w:t>https://www.unwto.org/news/tourism-on-track-for-full-recovery-as-new-data-shows-strong-start-to-2023</w:t>
        </w:r>
      </w:hyperlink>
      <w:r>
        <w:t xml:space="preserve"> (Accessed: 4 October 2024).</w:t>
      </w:r>
    </w:p>
    <w:p w14:paraId="2D845CAD" w14:textId="30D2FCB8" w:rsidR="5F94C4C9" w:rsidRDefault="000856FB" w:rsidP="000856FB">
      <w:pPr>
        <w:spacing w:before="240" w:after="240"/>
      </w:pPr>
      <w:proofErr w:type="gramStart"/>
      <w:r>
        <w:rPr>
          <w:rFonts w:hAnsi="Symbol"/>
        </w:rPr>
        <w:t></w:t>
      </w:r>
      <w:r>
        <w:t xml:space="preserve"> Whitbread PLC (2023) </w:t>
      </w:r>
      <w:r>
        <w:rPr>
          <w:rStyle w:val="Emphasis"/>
        </w:rPr>
        <w:t>Annual Report and Accounts 2023</w:t>
      </w:r>
      <w:r>
        <w:t>.</w:t>
      </w:r>
      <w:proofErr w:type="gramEnd"/>
      <w:r>
        <w:t xml:space="preserve"> Available at: </w:t>
      </w:r>
      <w:hyperlink r:id="rId21" w:tgtFrame="_new" w:history="1">
        <w:r>
          <w:rPr>
            <w:rStyle w:val="Hyperlink"/>
          </w:rPr>
          <w:t>https://www.whitbread.co.uk/investors/reports/</w:t>
        </w:r>
      </w:hyperlink>
      <w:r>
        <w:t xml:space="preserve"> (Accessed: 17 October 2024).</w:t>
      </w:r>
    </w:p>
    <w:p w14:paraId="3C035291" w14:textId="6424DB15" w:rsidR="009D023D" w:rsidRPr="002A41F6" w:rsidRDefault="009D023D" w:rsidP="000856FB">
      <w:pPr>
        <w:spacing w:before="240" w:after="240"/>
        <w:rPr>
          <w:highlight w:val="yellow"/>
        </w:rPr>
      </w:pPr>
      <w:proofErr w:type="gramStart"/>
      <w:r>
        <w:rPr>
          <w:rFonts w:hAnsi="Symbol"/>
        </w:rPr>
        <w:t></w:t>
      </w:r>
      <w:r>
        <w:rPr>
          <w:rFonts w:hAnsi="Symbol"/>
        </w:rPr>
        <w:t xml:space="preserve"> </w:t>
      </w:r>
      <w:r>
        <w:t>McKinsey &amp; Company (2021) 'COVID-19's effect on the hotel industry'.</w:t>
      </w:r>
      <w:proofErr w:type="gramEnd"/>
      <w:r>
        <w:t xml:space="preserve"> Available at: </w:t>
      </w:r>
      <w:hyperlink r:id="rId22" w:tgtFrame="_new" w:history="1">
        <w:r>
          <w:rPr>
            <w:rStyle w:val="Hyperlink"/>
          </w:rPr>
          <w:t>www.mckinsey.com</w:t>
        </w:r>
      </w:hyperlink>
      <w:r>
        <w:t xml:space="preserve"> (Accessed: 12</w:t>
      </w:r>
      <w:r>
        <w:t xml:space="preserve"> October 2024).</w:t>
      </w:r>
    </w:p>
    <w:p w14:paraId="655443CF" w14:textId="77777777" w:rsidR="00FE6F30" w:rsidRPr="002A41F6" w:rsidRDefault="00FE6F30">
      <w:pPr>
        <w:rPr>
          <w:highlight w:val="yellow"/>
        </w:rPr>
      </w:pPr>
    </w:p>
    <w:sectPr w:rsidR="00FE6F30" w:rsidRPr="002A41F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D5DA81" w14:textId="77777777" w:rsidR="00DA6B0D" w:rsidRDefault="00DA6B0D" w:rsidP="00B6374C">
      <w:pPr>
        <w:spacing w:after="0" w:line="240" w:lineRule="auto"/>
      </w:pPr>
      <w:r>
        <w:separator/>
      </w:r>
    </w:p>
  </w:endnote>
  <w:endnote w:type="continuationSeparator" w:id="0">
    <w:p w14:paraId="2F13B03D" w14:textId="77777777" w:rsidR="00DA6B0D" w:rsidRDefault="00DA6B0D" w:rsidP="00B63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游ゴシック Light">
    <w:panose1 w:val="00000000000000000000"/>
    <w:charset w:val="80"/>
    <w:family w:val="roman"/>
    <w:notTrueType/>
    <w:pitch w:val="default"/>
  </w:font>
  <w:font w:name="Aptos Display">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游ゴシック">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3B60ED" w14:textId="77777777" w:rsidR="00DA6B0D" w:rsidRDefault="00DA6B0D" w:rsidP="00B6374C">
      <w:pPr>
        <w:spacing w:after="0" w:line="240" w:lineRule="auto"/>
      </w:pPr>
      <w:r>
        <w:separator/>
      </w:r>
    </w:p>
  </w:footnote>
  <w:footnote w:type="continuationSeparator" w:id="0">
    <w:p w14:paraId="5840A936" w14:textId="77777777" w:rsidR="00DA6B0D" w:rsidRDefault="00DA6B0D" w:rsidP="00B6374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8C7CC"/>
    <w:multiLevelType w:val="hybridMultilevel"/>
    <w:tmpl w:val="FFFFFFFF"/>
    <w:lvl w:ilvl="0" w:tplc="F47CF3A6">
      <w:start w:val="1"/>
      <w:numFmt w:val="decimal"/>
      <w:lvlText w:val="%1."/>
      <w:lvlJc w:val="left"/>
      <w:pPr>
        <w:ind w:left="720" w:hanging="360"/>
      </w:pPr>
    </w:lvl>
    <w:lvl w:ilvl="1" w:tplc="DBAABCD8">
      <w:start w:val="1"/>
      <w:numFmt w:val="lowerLetter"/>
      <w:lvlText w:val="%2."/>
      <w:lvlJc w:val="left"/>
      <w:pPr>
        <w:ind w:left="1440" w:hanging="360"/>
      </w:pPr>
    </w:lvl>
    <w:lvl w:ilvl="2" w:tplc="3E1063DA">
      <w:start w:val="1"/>
      <w:numFmt w:val="lowerRoman"/>
      <w:lvlText w:val="%3."/>
      <w:lvlJc w:val="right"/>
      <w:pPr>
        <w:ind w:left="2160" w:hanging="180"/>
      </w:pPr>
    </w:lvl>
    <w:lvl w:ilvl="3" w:tplc="F67C952E">
      <w:start w:val="1"/>
      <w:numFmt w:val="decimal"/>
      <w:lvlText w:val="%4."/>
      <w:lvlJc w:val="left"/>
      <w:pPr>
        <w:ind w:left="2880" w:hanging="360"/>
      </w:pPr>
    </w:lvl>
    <w:lvl w:ilvl="4" w:tplc="83ACBE70">
      <w:start w:val="1"/>
      <w:numFmt w:val="lowerLetter"/>
      <w:lvlText w:val="%5."/>
      <w:lvlJc w:val="left"/>
      <w:pPr>
        <w:ind w:left="3600" w:hanging="360"/>
      </w:pPr>
    </w:lvl>
    <w:lvl w:ilvl="5" w:tplc="738E9DD0">
      <w:start w:val="1"/>
      <w:numFmt w:val="lowerRoman"/>
      <w:lvlText w:val="%6."/>
      <w:lvlJc w:val="right"/>
      <w:pPr>
        <w:ind w:left="4320" w:hanging="180"/>
      </w:pPr>
    </w:lvl>
    <w:lvl w:ilvl="6" w:tplc="A014AC2E">
      <w:start w:val="1"/>
      <w:numFmt w:val="decimal"/>
      <w:lvlText w:val="%7."/>
      <w:lvlJc w:val="left"/>
      <w:pPr>
        <w:ind w:left="5040" w:hanging="360"/>
      </w:pPr>
    </w:lvl>
    <w:lvl w:ilvl="7" w:tplc="E5D23B7E">
      <w:start w:val="1"/>
      <w:numFmt w:val="lowerLetter"/>
      <w:lvlText w:val="%8."/>
      <w:lvlJc w:val="left"/>
      <w:pPr>
        <w:ind w:left="5760" w:hanging="360"/>
      </w:pPr>
    </w:lvl>
    <w:lvl w:ilvl="8" w:tplc="9DEA86A2">
      <w:start w:val="1"/>
      <w:numFmt w:val="lowerRoman"/>
      <w:lvlText w:val="%9."/>
      <w:lvlJc w:val="right"/>
      <w:pPr>
        <w:ind w:left="6480" w:hanging="180"/>
      </w:pPr>
    </w:lvl>
  </w:abstractNum>
  <w:abstractNum w:abstractNumId="1">
    <w:nsid w:val="08F9FDD3"/>
    <w:multiLevelType w:val="hybridMultilevel"/>
    <w:tmpl w:val="FFFFFFFF"/>
    <w:lvl w:ilvl="0" w:tplc="41A60AF6">
      <w:start w:val="1"/>
      <w:numFmt w:val="bullet"/>
      <w:lvlText w:val=""/>
      <w:lvlJc w:val="left"/>
      <w:pPr>
        <w:ind w:left="720" w:hanging="360"/>
      </w:pPr>
      <w:rPr>
        <w:rFonts w:ascii="Symbol" w:hAnsi="Symbol" w:hint="default"/>
      </w:rPr>
    </w:lvl>
    <w:lvl w:ilvl="1" w:tplc="D7BE22E6">
      <w:start w:val="1"/>
      <w:numFmt w:val="bullet"/>
      <w:lvlText w:val="o"/>
      <w:lvlJc w:val="left"/>
      <w:pPr>
        <w:ind w:left="1440" w:hanging="360"/>
      </w:pPr>
      <w:rPr>
        <w:rFonts w:ascii="Courier New" w:hAnsi="Courier New" w:hint="default"/>
      </w:rPr>
    </w:lvl>
    <w:lvl w:ilvl="2" w:tplc="5CF45ACC">
      <w:start w:val="1"/>
      <w:numFmt w:val="bullet"/>
      <w:lvlText w:val=""/>
      <w:lvlJc w:val="left"/>
      <w:pPr>
        <w:ind w:left="2160" w:hanging="360"/>
      </w:pPr>
      <w:rPr>
        <w:rFonts w:ascii="Wingdings" w:hAnsi="Wingdings" w:hint="default"/>
      </w:rPr>
    </w:lvl>
    <w:lvl w:ilvl="3" w:tplc="DD8AB944">
      <w:start w:val="1"/>
      <w:numFmt w:val="bullet"/>
      <w:lvlText w:val=""/>
      <w:lvlJc w:val="left"/>
      <w:pPr>
        <w:ind w:left="2880" w:hanging="360"/>
      </w:pPr>
      <w:rPr>
        <w:rFonts w:ascii="Symbol" w:hAnsi="Symbol" w:hint="default"/>
      </w:rPr>
    </w:lvl>
    <w:lvl w:ilvl="4" w:tplc="E17ABC56">
      <w:start w:val="1"/>
      <w:numFmt w:val="bullet"/>
      <w:lvlText w:val="o"/>
      <w:lvlJc w:val="left"/>
      <w:pPr>
        <w:ind w:left="3600" w:hanging="360"/>
      </w:pPr>
      <w:rPr>
        <w:rFonts w:ascii="Courier New" w:hAnsi="Courier New" w:hint="default"/>
      </w:rPr>
    </w:lvl>
    <w:lvl w:ilvl="5" w:tplc="A1B04B36">
      <w:start w:val="1"/>
      <w:numFmt w:val="bullet"/>
      <w:lvlText w:val=""/>
      <w:lvlJc w:val="left"/>
      <w:pPr>
        <w:ind w:left="4320" w:hanging="360"/>
      </w:pPr>
      <w:rPr>
        <w:rFonts w:ascii="Wingdings" w:hAnsi="Wingdings" w:hint="default"/>
      </w:rPr>
    </w:lvl>
    <w:lvl w:ilvl="6" w:tplc="C7209ACA">
      <w:start w:val="1"/>
      <w:numFmt w:val="bullet"/>
      <w:lvlText w:val=""/>
      <w:lvlJc w:val="left"/>
      <w:pPr>
        <w:ind w:left="5040" w:hanging="360"/>
      </w:pPr>
      <w:rPr>
        <w:rFonts w:ascii="Symbol" w:hAnsi="Symbol" w:hint="default"/>
      </w:rPr>
    </w:lvl>
    <w:lvl w:ilvl="7" w:tplc="BF3E309A">
      <w:start w:val="1"/>
      <w:numFmt w:val="bullet"/>
      <w:lvlText w:val="o"/>
      <w:lvlJc w:val="left"/>
      <w:pPr>
        <w:ind w:left="5760" w:hanging="360"/>
      </w:pPr>
      <w:rPr>
        <w:rFonts w:ascii="Courier New" w:hAnsi="Courier New" w:hint="default"/>
      </w:rPr>
    </w:lvl>
    <w:lvl w:ilvl="8" w:tplc="FA80879E">
      <w:start w:val="1"/>
      <w:numFmt w:val="bullet"/>
      <w:lvlText w:val=""/>
      <w:lvlJc w:val="left"/>
      <w:pPr>
        <w:ind w:left="6480" w:hanging="360"/>
      </w:pPr>
      <w:rPr>
        <w:rFonts w:ascii="Wingdings" w:hAnsi="Wingdings" w:hint="default"/>
      </w:rPr>
    </w:lvl>
  </w:abstractNum>
  <w:abstractNum w:abstractNumId="2">
    <w:nsid w:val="09D26CA4"/>
    <w:multiLevelType w:val="hybridMultilevel"/>
    <w:tmpl w:val="FFFFFFFF"/>
    <w:lvl w:ilvl="0" w:tplc="7D047538">
      <w:start w:val="1"/>
      <w:numFmt w:val="bullet"/>
      <w:lvlText w:val=""/>
      <w:lvlJc w:val="left"/>
      <w:pPr>
        <w:ind w:left="720" w:hanging="360"/>
      </w:pPr>
      <w:rPr>
        <w:rFonts w:ascii="Symbol" w:hAnsi="Symbol" w:hint="default"/>
      </w:rPr>
    </w:lvl>
    <w:lvl w:ilvl="1" w:tplc="75BC419C">
      <w:start w:val="1"/>
      <w:numFmt w:val="bullet"/>
      <w:lvlText w:val="o"/>
      <w:lvlJc w:val="left"/>
      <w:pPr>
        <w:ind w:left="1440" w:hanging="360"/>
      </w:pPr>
      <w:rPr>
        <w:rFonts w:ascii="Courier New" w:hAnsi="Courier New" w:hint="default"/>
      </w:rPr>
    </w:lvl>
    <w:lvl w:ilvl="2" w:tplc="706C7300">
      <w:start w:val="1"/>
      <w:numFmt w:val="bullet"/>
      <w:lvlText w:val=""/>
      <w:lvlJc w:val="left"/>
      <w:pPr>
        <w:ind w:left="2160" w:hanging="360"/>
      </w:pPr>
      <w:rPr>
        <w:rFonts w:ascii="Wingdings" w:hAnsi="Wingdings" w:hint="default"/>
      </w:rPr>
    </w:lvl>
    <w:lvl w:ilvl="3" w:tplc="4838E620">
      <w:start w:val="1"/>
      <w:numFmt w:val="bullet"/>
      <w:lvlText w:val=""/>
      <w:lvlJc w:val="left"/>
      <w:pPr>
        <w:ind w:left="2880" w:hanging="360"/>
      </w:pPr>
      <w:rPr>
        <w:rFonts w:ascii="Symbol" w:hAnsi="Symbol" w:hint="default"/>
      </w:rPr>
    </w:lvl>
    <w:lvl w:ilvl="4" w:tplc="020CEFE4">
      <w:start w:val="1"/>
      <w:numFmt w:val="bullet"/>
      <w:lvlText w:val="o"/>
      <w:lvlJc w:val="left"/>
      <w:pPr>
        <w:ind w:left="3600" w:hanging="360"/>
      </w:pPr>
      <w:rPr>
        <w:rFonts w:ascii="Courier New" w:hAnsi="Courier New" w:hint="default"/>
      </w:rPr>
    </w:lvl>
    <w:lvl w:ilvl="5" w:tplc="C130E134">
      <w:start w:val="1"/>
      <w:numFmt w:val="bullet"/>
      <w:lvlText w:val=""/>
      <w:lvlJc w:val="left"/>
      <w:pPr>
        <w:ind w:left="4320" w:hanging="360"/>
      </w:pPr>
      <w:rPr>
        <w:rFonts w:ascii="Wingdings" w:hAnsi="Wingdings" w:hint="default"/>
      </w:rPr>
    </w:lvl>
    <w:lvl w:ilvl="6" w:tplc="2F4E225A">
      <w:start w:val="1"/>
      <w:numFmt w:val="bullet"/>
      <w:lvlText w:val=""/>
      <w:lvlJc w:val="left"/>
      <w:pPr>
        <w:ind w:left="5040" w:hanging="360"/>
      </w:pPr>
      <w:rPr>
        <w:rFonts w:ascii="Symbol" w:hAnsi="Symbol" w:hint="default"/>
      </w:rPr>
    </w:lvl>
    <w:lvl w:ilvl="7" w:tplc="58203D4C">
      <w:start w:val="1"/>
      <w:numFmt w:val="bullet"/>
      <w:lvlText w:val="o"/>
      <w:lvlJc w:val="left"/>
      <w:pPr>
        <w:ind w:left="5760" w:hanging="360"/>
      </w:pPr>
      <w:rPr>
        <w:rFonts w:ascii="Courier New" w:hAnsi="Courier New" w:hint="default"/>
      </w:rPr>
    </w:lvl>
    <w:lvl w:ilvl="8" w:tplc="F62ECB02">
      <w:start w:val="1"/>
      <w:numFmt w:val="bullet"/>
      <w:lvlText w:val=""/>
      <w:lvlJc w:val="left"/>
      <w:pPr>
        <w:ind w:left="6480" w:hanging="360"/>
      </w:pPr>
      <w:rPr>
        <w:rFonts w:ascii="Wingdings" w:hAnsi="Wingdings" w:hint="default"/>
      </w:rPr>
    </w:lvl>
  </w:abstractNum>
  <w:abstractNum w:abstractNumId="3">
    <w:nsid w:val="0CF65E70"/>
    <w:multiLevelType w:val="hybridMultilevel"/>
    <w:tmpl w:val="8FF67A4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nsid w:val="0F9E745A"/>
    <w:multiLevelType w:val="hybridMultilevel"/>
    <w:tmpl w:val="FFFFFFFF"/>
    <w:lvl w:ilvl="0" w:tplc="160E677E">
      <w:start w:val="1"/>
      <w:numFmt w:val="decimal"/>
      <w:lvlText w:val="%1."/>
      <w:lvlJc w:val="left"/>
      <w:pPr>
        <w:ind w:left="720" w:hanging="360"/>
      </w:pPr>
    </w:lvl>
    <w:lvl w:ilvl="1" w:tplc="BDA4DB5C">
      <w:start w:val="1"/>
      <w:numFmt w:val="lowerLetter"/>
      <w:lvlText w:val="%2."/>
      <w:lvlJc w:val="left"/>
      <w:pPr>
        <w:ind w:left="1440" w:hanging="360"/>
      </w:pPr>
    </w:lvl>
    <w:lvl w:ilvl="2" w:tplc="FD7654AC">
      <w:start w:val="1"/>
      <w:numFmt w:val="lowerRoman"/>
      <w:lvlText w:val="%3."/>
      <w:lvlJc w:val="right"/>
      <w:pPr>
        <w:ind w:left="2160" w:hanging="180"/>
      </w:pPr>
    </w:lvl>
    <w:lvl w:ilvl="3" w:tplc="E628465A">
      <w:start w:val="1"/>
      <w:numFmt w:val="decimal"/>
      <w:lvlText w:val="%4."/>
      <w:lvlJc w:val="left"/>
      <w:pPr>
        <w:ind w:left="2880" w:hanging="360"/>
      </w:pPr>
    </w:lvl>
    <w:lvl w:ilvl="4" w:tplc="45FAED8E">
      <w:start w:val="1"/>
      <w:numFmt w:val="lowerLetter"/>
      <w:lvlText w:val="%5."/>
      <w:lvlJc w:val="left"/>
      <w:pPr>
        <w:ind w:left="3600" w:hanging="360"/>
      </w:pPr>
    </w:lvl>
    <w:lvl w:ilvl="5" w:tplc="0C08D4B4">
      <w:start w:val="1"/>
      <w:numFmt w:val="lowerRoman"/>
      <w:lvlText w:val="%6."/>
      <w:lvlJc w:val="right"/>
      <w:pPr>
        <w:ind w:left="4320" w:hanging="180"/>
      </w:pPr>
    </w:lvl>
    <w:lvl w:ilvl="6" w:tplc="AB3004C8">
      <w:start w:val="1"/>
      <w:numFmt w:val="decimal"/>
      <w:lvlText w:val="%7."/>
      <w:lvlJc w:val="left"/>
      <w:pPr>
        <w:ind w:left="5040" w:hanging="360"/>
      </w:pPr>
    </w:lvl>
    <w:lvl w:ilvl="7" w:tplc="D670108E">
      <w:start w:val="1"/>
      <w:numFmt w:val="lowerLetter"/>
      <w:lvlText w:val="%8."/>
      <w:lvlJc w:val="left"/>
      <w:pPr>
        <w:ind w:left="5760" w:hanging="360"/>
      </w:pPr>
    </w:lvl>
    <w:lvl w:ilvl="8" w:tplc="924E2CD6">
      <w:start w:val="1"/>
      <w:numFmt w:val="lowerRoman"/>
      <w:lvlText w:val="%9."/>
      <w:lvlJc w:val="right"/>
      <w:pPr>
        <w:ind w:left="6480" w:hanging="180"/>
      </w:pPr>
    </w:lvl>
  </w:abstractNum>
  <w:abstractNum w:abstractNumId="5">
    <w:nsid w:val="156703C0"/>
    <w:multiLevelType w:val="hybridMultilevel"/>
    <w:tmpl w:val="FFFFFFFF"/>
    <w:lvl w:ilvl="0" w:tplc="9F5636B6">
      <w:start w:val="1"/>
      <w:numFmt w:val="bullet"/>
      <w:lvlText w:val=""/>
      <w:lvlJc w:val="left"/>
      <w:pPr>
        <w:ind w:left="720" w:hanging="360"/>
      </w:pPr>
      <w:rPr>
        <w:rFonts w:ascii="Symbol" w:hAnsi="Symbol" w:hint="default"/>
      </w:rPr>
    </w:lvl>
    <w:lvl w:ilvl="1" w:tplc="6DE677F4">
      <w:start w:val="1"/>
      <w:numFmt w:val="bullet"/>
      <w:lvlText w:val=""/>
      <w:lvlJc w:val="left"/>
      <w:pPr>
        <w:ind w:left="1440" w:hanging="360"/>
      </w:pPr>
      <w:rPr>
        <w:rFonts w:ascii="Symbol" w:hAnsi="Symbol" w:hint="default"/>
      </w:rPr>
    </w:lvl>
    <w:lvl w:ilvl="2" w:tplc="279040B6">
      <w:start w:val="1"/>
      <w:numFmt w:val="bullet"/>
      <w:lvlText w:val=""/>
      <w:lvlJc w:val="left"/>
      <w:pPr>
        <w:ind w:left="2160" w:hanging="360"/>
      </w:pPr>
      <w:rPr>
        <w:rFonts w:ascii="Wingdings" w:hAnsi="Wingdings" w:hint="default"/>
      </w:rPr>
    </w:lvl>
    <w:lvl w:ilvl="3" w:tplc="1C2AC542">
      <w:start w:val="1"/>
      <w:numFmt w:val="bullet"/>
      <w:lvlText w:val=""/>
      <w:lvlJc w:val="left"/>
      <w:pPr>
        <w:ind w:left="2880" w:hanging="360"/>
      </w:pPr>
      <w:rPr>
        <w:rFonts w:ascii="Symbol" w:hAnsi="Symbol" w:hint="default"/>
      </w:rPr>
    </w:lvl>
    <w:lvl w:ilvl="4" w:tplc="3176D9DE">
      <w:start w:val="1"/>
      <w:numFmt w:val="bullet"/>
      <w:lvlText w:val="o"/>
      <w:lvlJc w:val="left"/>
      <w:pPr>
        <w:ind w:left="3600" w:hanging="360"/>
      </w:pPr>
      <w:rPr>
        <w:rFonts w:ascii="Courier New" w:hAnsi="Courier New" w:hint="default"/>
      </w:rPr>
    </w:lvl>
    <w:lvl w:ilvl="5" w:tplc="AF3E77DC">
      <w:start w:val="1"/>
      <w:numFmt w:val="bullet"/>
      <w:lvlText w:val=""/>
      <w:lvlJc w:val="left"/>
      <w:pPr>
        <w:ind w:left="4320" w:hanging="360"/>
      </w:pPr>
      <w:rPr>
        <w:rFonts w:ascii="Wingdings" w:hAnsi="Wingdings" w:hint="default"/>
      </w:rPr>
    </w:lvl>
    <w:lvl w:ilvl="6" w:tplc="9A5656CC">
      <w:start w:val="1"/>
      <w:numFmt w:val="bullet"/>
      <w:lvlText w:val=""/>
      <w:lvlJc w:val="left"/>
      <w:pPr>
        <w:ind w:left="5040" w:hanging="360"/>
      </w:pPr>
      <w:rPr>
        <w:rFonts w:ascii="Symbol" w:hAnsi="Symbol" w:hint="default"/>
      </w:rPr>
    </w:lvl>
    <w:lvl w:ilvl="7" w:tplc="5760770A">
      <w:start w:val="1"/>
      <w:numFmt w:val="bullet"/>
      <w:lvlText w:val="o"/>
      <w:lvlJc w:val="left"/>
      <w:pPr>
        <w:ind w:left="5760" w:hanging="360"/>
      </w:pPr>
      <w:rPr>
        <w:rFonts w:ascii="Courier New" w:hAnsi="Courier New" w:hint="default"/>
      </w:rPr>
    </w:lvl>
    <w:lvl w:ilvl="8" w:tplc="462EE876">
      <w:start w:val="1"/>
      <w:numFmt w:val="bullet"/>
      <w:lvlText w:val=""/>
      <w:lvlJc w:val="left"/>
      <w:pPr>
        <w:ind w:left="6480" w:hanging="360"/>
      </w:pPr>
      <w:rPr>
        <w:rFonts w:ascii="Wingdings" w:hAnsi="Wingdings" w:hint="default"/>
      </w:rPr>
    </w:lvl>
  </w:abstractNum>
  <w:abstractNum w:abstractNumId="6">
    <w:nsid w:val="2F934DF5"/>
    <w:multiLevelType w:val="hybridMultilevel"/>
    <w:tmpl w:val="D3782A5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7">
    <w:nsid w:val="3313ECD0"/>
    <w:multiLevelType w:val="hybridMultilevel"/>
    <w:tmpl w:val="FFFFFFFF"/>
    <w:lvl w:ilvl="0" w:tplc="8CF40124">
      <w:start w:val="1"/>
      <w:numFmt w:val="decimal"/>
      <w:lvlText w:val="%1."/>
      <w:lvlJc w:val="left"/>
      <w:pPr>
        <w:ind w:left="720" w:hanging="360"/>
      </w:pPr>
    </w:lvl>
    <w:lvl w:ilvl="1" w:tplc="0788312A">
      <w:start w:val="1"/>
      <w:numFmt w:val="lowerLetter"/>
      <w:lvlText w:val="%2."/>
      <w:lvlJc w:val="left"/>
      <w:pPr>
        <w:ind w:left="1440" w:hanging="360"/>
      </w:pPr>
    </w:lvl>
    <w:lvl w:ilvl="2" w:tplc="976A3A5A">
      <w:start w:val="1"/>
      <w:numFmt w:val="lowerRoman"/>
      <w:lvlText w:val="%3."/>
      <w:lvlJc w:val="right"/>
      <w:pPr>
        <w:ind w:left="2160" w:hanging="180"/>
      </w:pPr>
    </w:lvl>
    <w:lvl w:ilvl="3" w:tplc="E1563570">
      <w:start w:val="1"/>
      <w:numFmt w:val="decimal"/>
      <w:lvlText w:val="%4."/>
      <w:lvlJc w:val="left"/>
      <w:pPr>
        <w:ind w:left="2880" w:hanging="360"/>
      </w:pPr>
    </w:lvl>
    <w:lvl w:ilvl="4" w:tplc="55DC72E0">
      <w:start w:val="1"/>
      <w:numFmt w:val="lowerLetter"/>
      <w:lvlText w:val="%5."/>
      <w:lvlJc w:val="left"/>
      <w:pPr>
        <w:ind w:left="3600" w:hanging="360"/>
      </w:pPr>
    </w:lvl>
    <w:lvl w:ilvl="5" w:tplc="78CE0802">
      <w:start w:val="1"/>
      <w:numFmt w:val="lowerRoman"/>
      <w:lvlText w:val="%6."/>
      <w:lvlJc w:val="right"/>
      <w:pPr>
        <w:ind w:left="4320" w:hanging="180"/>
      </w:pPr>
    </w:lvl>
    <w:lvl w:ilvl="6" w:tplc="8F6A442E">
      <w:start w:val="1"/>
      <w:numFmt w:val="decimal"/>
      <w:lvlText w:val="%7."/>
      <w:lvlJc w:val="left"/>
      <w:pPr>
        <w:ind w:left="5040" w:hanging="360"/>
      </w:pPr>
    </w:lvl>
    <w:lvl w:ilvl="7" w:tplc="F57C3A4A">
      <w:start w:val="1"/>
      <w:numFmt w:val="lowerLetter"/>
      <w:lvlText w:val="%8."/>
      <w:lvlJc w:val="left"/>
      <w:pPr>
        <w:ind w:left="5760" w:hanging="360"/>
      </w:pPr>
    </w:lvl>
    <w:lvl w:ilvl="8" w:tplc="BBAE7744">
      <w:start w:val="1"/>
      <w:numFmt w:val="lowerRoman"/>
      <w:lvlText w:val="%9."/>
      <w:lvlJc w:val="right"/>
      <w:pPr>
        <w:ind w:left="6480" w:hanging="180"/>
      </w:pPr>
    </w:lvl>
  </w:abstractNum>
  <w:abstractNum w:abstractNumId="8">
    <w:nsid w:val="334E6C7D"/>
    <w:multiLevelType w:val="hybridMultilevel"/>
    <w:tmpl w:val="8D7A06D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9">
    <w:nsid w:val="36B3563B"/>
    <w:multiLevelType w:val="hybridMultilevel"/>
    <w:tmpl w:val="FFFFFFFF"/>
    <w:lvl w:ilvl="0" w:tplc="99AE1ADC">
      <w:start w:val="1"/>
      <w:numFmt w:val="bullet"/>
      <w:lvlText w:val=""/>
      <w:lvlJc w:val="left"/>
      <w:pPr>
        <w:ind w:left="720" w:hanging="360"/>
      </w:pPr>
      <w:rPr>
        <w:rFonts w:ascii="Symbol" w:hAnsi="Symbol" w:hint="default"/>
      </w:rPr>
    </w:lvl>
    <w:lvl w:ilvl="1" w:tplc="C93819FE">
      <w:start w:val="1"/>
      <w:numFmt w:val="bullet"/>
      <w:lvlText w:val="o"/>
      <w:lvlJc w:val="left"/>
      <w:pPr>
        <w:ind w:left="1440" w:hanging="360"/>
      </w:pPr>
      <w:rPr>
        <w:rFonts w:ascii="Courier New" w:hAnsi="Courier New" w:hint="default"/>
      </w:rPr>
    </w:lvl>
    <w:lvl w:ilvl="2" w:tplc="6966C76E">
      <w:start w:val="1"/>
      <w:numFmt w:val="bullet"/>
      <w:lvlText w:val=""/>
      <w:lvlJc w:val="left"/>
      <w:pPr>
        <w:ind w:left="2160" w:hanging="360"/>
      </w:pPr>
      <w:rPr>
        <w:rFonts w:ascii="Wingdings" w:hAnsi="Wingdings" w:hint="default"/>
      </w:rPr>
    </w:lvl>
    <w:lvl w:ilvl="3" w:tplc="42B22D82">
      <w:start w:val="1"/>
      <w:numFmt w:val="bullet"/>
      <w:lvlText w:val=""/>
      <w:lvlJc w:val="left"/>
      <w:pPr>
        <w:ind w:left="2880" w:hanging="360"/>
      </w:pPr>
      <w:rPr>
        <w:rFonts w:ascii="Symbol" w:hAnsi="Symbol" w:hint="default"/>
      </w:rPr>
    </w:lvl>
    <w:lvl w:ilvl="4" w:tplc="571051C4">
      <w:start w:val="1"/>
      <w:numFmt w:val="bullet"/>
      <w:lvlText w:val="o"/>
      <w:lvlJc w:val="left"/>
      <w:pPr>
        <w:ind w:left="3600" w:hanging="360"/>
      </w:pPr>
      <w:rPr>
        <w:rFonts w:ascii="Courier New" w:hAnsi="Courier New" w:hint="default"/>
      </w:rPr>
    </w:lvl>
    <w:lvl w:ilvl="5" w:tplc="51884E20">
      <w:start w:val="1"/>
      <w:numFmt w:val="bullet"/>
      <w:lvlText w:val=""/>
      <w:lvlJc w:val="left"/>
      <w:pPr>
        <w:ind w:left="4320" w:hanging="360"/>
      </w:pPr>
      <w:rPr>
        <w:rFonts w:ascii="Wingdings" w:hAnsi="Wingdings" w:hint="default"/>
      </w:rPr>
    </w:lvl>
    <w:lvl w:ilvl="6" w:tplc="AF0CCCAA">
      <w:start w:val="1"/>
      <w:numFmt w:val="bullet"/>
      <w:lvlText w:val=""/>
      <w:lvlJc w:val="left"/>
      <w:pPr>
        <w:ind w:left="5040" w:hanging="360"/>
      </w:pPr>
      <w:rPr>
        <w:rFonts w:ascii="Symbol" w:hAnsi="Symbol" w:hint="default"/>
      </w:rPr>
    </w:lvl>
    <w:lvl w:ilvl="7" w:tplc="25B866B4">
      <w:start w:val="1"/>
      <w:numFmt w:val="bullet"/>
      <w:lvlText w:val="o"/>
      <w:lvlJc w:val="left"/>
      <w:pPr>
        <w:ind w:left="5760" w:hanging="360"/>
      </w:pPr>
      <w:rPr>
        <w:rFonts w:ascii="Courier New" w:hAnsi="Courier New" w:hint="default"/>
      </w:rPr>
    </w:lvl>
    <w:lvl w:ilvl="8" w:tplc="9A2620F8">
      <w:start w:val="1"/>
      <w:numFmt w:val="bullet"/>
      <w:lvlText w:val=""/>
      <w:lvlJc w:val="left"/>
      <w:pPr>
        <w:ind w:left="6480" w:hanging="360"/>
      </w:pPr>
      <w:rPr>
        <w:rFonts w:ascii="Wingdings" w:hAnsi="Wingdings" w:hint="default"/>
      </w:rPr>
    </w:lvl>
  </w:abstractNum>
  <w:abstractNum w:abstractNumId="10">
    <w:nsid w:val="3BAE3C0E"/>
    <w:multiLevelType w:val="hybridMultilevel"/>
    <w:tmpl w:val="61C88A4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1">
    <w:nsid w:val="45825029"/>
    <w:multiLevelType w:val="hybridMultilevel"/>
    <w:tmpl w:val="24308778"/>
    <w:lvl w:ilvl="0" w:tplc="040E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nsid w:val="4E292EC0"/>
    <w:multiLevelType w:val="hybridMultilevel"/>
    <w:tmpl w:val="FFFFFFFF"/>
    <w:lvl w:ilvl="0" w:tplc="4A96E0C6">
      <w:start w:val="1"/>
      <w:numFmt w:val="decimal"/>
      <w:lvlText w:val="%1."/>
      <w:lvlJc w:val="left"/>
      <w:pPr>
        <w:ind w:left="720" w:hanging="360"/>
      </w:pPr>
    </w:lvl>
    <w:lvl w:ilvl="1" w:tplc="A8A6895C">
      <w:start w:val="1"/>
      <w:numFmt w:val="lowerLetter"/>
      <w:lvlText w:val="%2."/>
      <w:lvlJc w:val="left"/>
      <w:pPr>
        <w:ind w:left="1440" w:hanging="360"/>
      </w:pPr>
    </w:lvl>
    <w:lvl w:ilvl="2" w:tplc="3842B5D8">
      <w:start w:val="1"/>
      <w:numFmt w:val="lowerRoman"/>
      <w:lvlText w:val="%3."/>
      <w:lvlJc w:val="right"/>
      <w:pPr>
        <w:ind w:left="2160" w:hanging="180"/>
      </w:pPr>
    </w:lvl>
    <w:lvl w:ilvl="3" w:tplc="CDEA1634">
      <w:start w:val="1"/>
      <w:numFmt w:val="decimal"/>
      <w:lvlText w:val="%4."/>
      <w:lvlJc w:val="left"/>
      <w:pPr>
        <w:ind w:left="2880" w:hanging="360"/>
      </w:pPr>
    </w:lvl>
    <w:lvl w:ilvl="4" w:tplc="2AAA1178">
      <w:start w:val="1"/>
      <w:numFmt w:val="lowerLetter"/>
      <w:lvlText w:val="%5."/>
      <w:lvlJc w:val="left"/>
      <w:pPr>
        <w:ind w:left="3600" w:hanging="360"/>
      </w:pPr>
    </w:lvl>
    <w:lvl w:ilvl="5" w:tplc="8234A93A">
      <w:start w:val="1"/>
      <w:numFmt w:val="lowerRoman"/>
      <w:lvlText w:val="%6."/>
      <w:lvlJc w:val="right"/>
      <w:pPr>
        <w:ind w:left="4320" w:hanging="180"/>
      </w:pPr>
    </w:lvl>
    <w:lvl w:ilvl="6" w:tplc="A14662BE">
      <w:start w:val="1"/>
      <w:numFmt w:val="decimal"/>
      <w:lvlText w:val="%7."/>
      <w:lvlJc w:val="left"/>
      <w:pPr>
        <w:ind w:left="5040" w:hanging="360"/>
      </w:pPr>
    </w:lvl>
    <w:lvl w:ilvl="7" w:tplc="767CFF1A">
      <w:start w:val="1"/>
      <w:numFmt w:val="lowerLetter"/>
      <w:lvlText w:val="%8."/>
      <w:lvlJc w:val="left"/>
      <w:pPr>
        <w:ind w:left="5760" w:hanging="360"/>
      </w:pPr>
    </w:lvl>
    <w:lvl w:ilvl="8" w:tplc="3F14442C">
      <w:start w:val="1"/>
      <w:numFmt w:val="lowerRoman"/>
      <w:lvlText w:val="%9."/>
      <w:lvlJc w:val="right"/>
      <w:pPr>
        <w:ind w:left="6480" w:hanging="180"/>
      </w:pPr>
    </w:lvl>
  </w:abstractNum>
  <w:abstractNum w:abstractNumId="13">
    <w:nsid w:val="4E76406D"/>
    <w:multiLevelType w:val="hybridMultilevel"/>
    <w:tmpl w:val="9FFAD71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4">
    <w:nsid w:val="5447F289"/>
    <w:multiLevelType w:val="hybridMultilevel"/>
    <w:tmpl w:val="FFFFFFFF"/>
    <w:lvl w:ilvl="0" w:tplc="C40A4EA2">
      <w:start w:val="1"/>
      <w:numFmt w:val="bullet"/>
      <w:lvlText w:val=""/>
      <w:lvlJc w:val="left"/>
      <w:pPr>
        <w:ind w:left="720" w:hanging="360"/>
      </w:pPr>
      <w:rPr>
        <w:rFonts w:ascii="Symbol" w:hAnsi="Symbol" w:hint="default"/>
      </w:rPr>
    </w:lvl>
    <w:lvl w:ilvl="1" w:tplc="F7BA64D0">
      <w:start w:val="1"/>
      <w:numFmt w:val="bullet"/>
      <w:lvlText w:val="o"/>
      <w:lvlJc w:val="left"/>
      <w:pPr>
        <w:ind w:left="1440" w:hanging="360"/>
      </w:pPr>
      <w:rPr>
        <w:rFonts w:ascii="Courier New" w:hAnsi="Courier New" w:hint="default"/>
      </w:rPr>
    </w:lvl>
    <w:lvl w:ilvl="2" w:tplc="DD942144">
      <w:start w:val="1"/>
      <w:numFmt w:val="bullet"/>
      <w:lvlText w:val=""/>
      <w:lvlJc w:val="left"/>
      <w:pPr>
        <w:ind w:left="2160" w:hanging="360"/>
      </w:pPr>
      <w:rPr>
        <w:rFonts w:ascii="Wingdings" w:hAnsi="Wingdings" w:hint="default"/>
      </w:rPr>
    </w:lvl>
    <w:lvl w:ilvl="3" w:tplc="A7A4C9B0">
      <w:start w:val="1"/>
      <w:numFmt w:val="bullet"/>
      <w:lvlText w:val=""/>
      <w:lvlJc w:val="left"/>
      <w:pPr>
        <w:ind w:left="2880" w:hanging="360"/>
      </w:pPr>
      <w:rPr>
        <w:rFonts w:ascii="Symbol" w:hAnsi="Symbol" w:hint="default"/>
      </w:rPr>
    </w:lvl>
    <w:lvl w:ilvl="4" w:tplc="0526F5F4">
      <w:start w:val="1"/>
      <w:numFmt w:val="bullet"/>
      <w:lvlText w:val="o"/>
      <w:lvlJc w:val="left"/>
      <w:pPr>
        <w:ind w:left="3600" w:hanging="360"/>
      </w:pPr>
      <w:rPr>
        <w:rFonts w:ascii="Courier New" w:hAnsi="Courier New" w:hint="default"/>
      </w:rPr>
    </w:lvl>
    <w:lvl w:ilvl="5" w:tplc="1614709A">
      <w:start w:val="1"/>
      <w:numFmt w:val="bullet"/>
      <w:lvlText w:val=""/>
      <w:lvlJc w:val="left"/>
      <w:pPr>
        <w:ind w:left="4320" w:hanging="360"/>
      </w:pPr>
      <w:rPr>
        <w:rFonts w:ascii="Wingdings" w:hAnsi="Wingdings" w:hint="default"/>
      </w:rPr>
    </w:lvl>
    <w:lvl w:ilvl="6" w:tplc="35209D70">
      <w:start w:val="1"/>
      <w:numFmt w:val="bullet"/>
      <w:lvlText w:val=""/>
      <w:lvlJc w:val="left"/>
      <w:pPr>
        <w:ind w:left="5040" w:hanging="360"/>
      </w:pPr>
      <w:rPr>
        <w:rFonts w:ascii="Symbol" w:hAnsi="Symbol" w:hint="default"/>
      </w:rPr>
    </w:lvl>
    <w:lvl w:ilvl="7" w:tplc="789C5872">
      <w:start w:val="1"/>
      <w:numFmt w:val="bullet"/>
      <w:lvlText w:val="o"/>
      <w:lvlJc w:val="left"/>
      <w:pPr>
        <w:ind w:left="5760" w:hanging="360"/>
      </w:pPr>
      <w:rPr>
        <w:rFonts w:ascii="Courier New" w:hAnsi="Courier New" w:hint="default"/>
      </w:rPr>
    </w:lvl>
    <w:lvl w:ilvl="8" w:tplc="9FBA184E">
      <w:start w:val="1"/>
      <w:numFmt w:val="bullet"/>
      <w:lvlText w:val=""/>
      <w:lvlJc w:val="left"/>
      <w:pPr>
        <w:ind w:left="6480" w:hanging="360"/>
      </w:pPr>
      <w:rPr>
        <w:rFonts w:ascii="Wingdings" w:hAnsi="Wingdings" w:hint="default"/>
      </w:rPr>
    </w:lvl>
  </w:abstractNum>
  <w:abstractNum w:abstractNumId="15">
    <w:nsid w:val="548A0251"/>
    <w:multiLevelType w:val="hybridMultilevel"/>
    <w:tmpl w:val="31D054EE"/>
    <w:lvl w:ilvl="0" w:tplc="040E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nsid w:val="59502A6B"/>
    <w:multiLevelType w:val="hybridMultilevel"/>
    <w:tmpl w:val="1A0C8F9A"/>
    <w:lvl w:ilvl="0" w:tplc="040E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nsid w:val="67A466FB"/>
    <w:multiLevelType w:val="hybridMultilevel"/>
    <w:tmpl w:val="FFFFFFFF"/>
    <w:lvl w:ilvl="0" w:tplc="E6920B7A">
      <w:start w:val="1"/>
      <w:numFmt w:val="bullet"/>
      <w:lvlText w:val=""/>
      <w:lvlJc w:val="left"/>
      <w:pPr>
        <w:ind w:left="720" w:hanging="360"/>
      </w:pPr>
      <w:rPr>
        <w:rFonts w:ascii="Symbol" w:hAnsi="Symbol" w:hint="default"/>
      </w:rPr>
    </w:lvl>
    <w:lvl w:ilvl="1" w:tplc="B94C3E38">
      <w:start w:val="1"/>
      <w:numFmt w:val="bullet"/>
      <w:lvlText w:val="o"/>
      <w:lvlJc w:val="left"/>
      <w:pPr>
        <w:ind w:left="1440" w:hanging="360"/>
      </w:pPr>
      <w:rPr>
        <w:rFonts w:ascii="Courier New" w:hAnsi="Courier New" w:hint="default"/>
      </w:rPr>
    </w:lvl>
    <w:lvl w:ilvl="2" w:tplc="4CA82E18">
      <w:start w:val="1"/>
      <w:numFmt w:val="bullet"/>
      <w:lvlText w:val=""/>
      <w:lvlJc w:val="left"/>
      <w:pPr>
        <w:ind w:left="2160" w:hanging="360"/>
      </w:pPr>
      <w:rPr>
        <w:rFonts w:ascii="Wingdings" w:hAnsi="Wingdings" w:hint="default"/>
      </w:rPr>
    </w:lvl>
    <w:lvl w:ilvl="3" w:tplc="A36CDCE4">
      <w:start w:val="1"/>
      <w:numFmt w:val="bullet"/>
      <w:lvlText w:val=""/>
      <w:lvlJc w:val="left"/>
      <w:pPr>
        <w:ind w:left="2880" w:hanging="360"/>
      </w:pPr>
      <w:rPr>
        <w:rFonts w:ascii="Symbol" w:hAnsi="Symbol" w:hint="default"/>
      </w:rPr>
    </w:lvl>
    <w:lvl w:ilvl="4" w:tplc="BB2AB23C">
      <w:start w:val="1"/>
      <w:numFmt w:val="bullet"/>
      <w:lvlText w:val="o"/>
      <w:lvlJc w:val="left"/>
      <w:pPr>
        <w:ind w:left="3600" w:hanging="360"/>
      </w:pPr>
      <w:rPr>
        <w:rFonts w:ascii="Courier New" w:hAnsi="Courier New" w:hint="default"/>
      </w:rPr>
    </w:lvl>
    <w:lvl w:ilvl="5" w:tplc="31501E62">
      <w:start w:val="1"/>
      <w:numFmt w:val="bullet"/>
      <w:lvlText w:val=""/>
      <w:lvlJc w:val="left"/>
      <w:pPr>
        <w:ind w:left="4320" w:hanging="360"/>
      </w:pPr>
      <w:rPr>
        <w:rFonts w:ascii="Wingdings" w:hAnsi="Wingdings" w:hint="default"/>
      </w:rPr>
    </w:lvl>
    <w:lvl w:ilvl="6" w:tplc="E702FBA4">
      <w:start w:val="1"/>
      <w:numFmt w:val="bullet"/>
      <w:lvlText w:val=""/>
      <w:lvlJc w:val="left"/>
      <w:pPr>
        <w:ind w:left="5040" w:hanging="360"/>
      </w:pPr>
      <w:rPr>
        <w:rFonts w:ascii="Symbol" w:hAnsi="Symbol" w:hint="default"/>
      </w:rPr>
    </w:lvl>
    <w:lvl w:ilvl="7" w:tplc="7AA228EC">
      <w:start w:val="1"/>
      <w:numFmt w:val="bullet"/>
      <w:lvlText w:val="o"/>
      <w:lvlJc w:val="left"/>
      <w:pPr>
        <w:ind w:left="5760" w:hanging="360"/>
      </w:pPr>
      <w:rPr>
        <w:rFonts w:ascii="Courier New" w:hAnsi="Courier New" w:hint="default"/>
      </w:rPr>
    </w:lvl>
    <w:lvl w:ilvl="8" w:tplc="4C689E34">
      <w:start w:val="1"/>
      <w:numFmt w:val="bullet"/>
      <w:lvlText w:val=""/>
      <w:lvlJc w:val="left"/>
      <w:pPr>
        <w:ind w:left="6480" w:hanging="360"/>
      </w:pPr>
      <w:rPr>
        <w:rFonts w:ascii="Wingdings" w:hAnsi="Wingdings" w:hint="default"/>
      </w:rPr>
    </w:lvl>
  </w:abstractNum>
  <w:abstractNum w:abstractNumId="18">
    <w:nsid w:val="6C4903A3"/>
    <w:multiLevelType w:val="hybridMultilevel"/>
    <w:tmpl w:val="BEB22DF6"/>
    <w:lvl w:ilvl="0" w:tplc="040E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nsid w:val="7F693DCF"/>
    <w:multiLevelType w:val="hybridMultilevel"/>
    <w:tmpl w:val="FFFFFFFF"/>
    <w:lvl w:ilvl="0" w:tplc="4C5A835A">
      <w:start w:val="1"/>
      <w:numFmt w:val="bullet"/>
      <w:lvlText w:val=""/>
      <w:lvlJc w:val="left"/>
      <w:pPr>
        <w:ind w:left="720" w:hanging="360"/>
      </w:pPr>
      <w:rPr>
        <w:rFonts w:ascii="Symbol" w:hAnsi="Symbol" w:hint="default"/>
      </w:rPr>
    </w:lvl>
    <w:lvl w:ilvl="1" w:tplc="A19ED2F0">
      <w:start w:val="1"/>
      <w:numFmt w:val="bullet"/>
      <w:lvlText w:val="o"/>
      <w:lvlJc w:val="left"/>
      <w:pPr>
        <w:ind w:left="1440" w:hanging="360"/>
      </w:pPr>
      <w:rPr>
        <w:rFonts w:ascii="Courier New" w:hAnsi="Courier New" w:hint="default"/>
      </w:rPr>
    </w:lvl>
    <w:lvl w:ilvl="2" w:tplc="BA6C4B96">
      <w:start w:val="1"/>
      <w:numFmt w:val="bullet"/>
      <w:lvlText w:val=""/>
      <w:lvlJc w:val="left"/>
      <w:pPr>
        <w:ind w:left="2160" w:hanging="360"/>
      </w:pPr>
      <w:rPr>
        <w:rFonts w:ascii="Wingdings" w:hAnsi="Wingdings" w:hint="default"/>
      </w:rPr>
    </w:lvl>
    <w:lvl w:ilvl="3" w:tplc="285A53EC">
      <w:start w:val="1"/>
      <w:numFmt w:val="bullet"/>
      <w:lvlText w:val=""/>
      <w:lvlJc w:val="left"/>
      <w:pPr>
        <w:ind w:left="2880" w:hanging="360"/>
      </w:pPr>
      <w:rPr>
        <w:rFonts w:ascii="Symbol" w:hAnsi="Symbol" w:hint="default"/>
      </w:rPr>
    </w:lvl>
    <w:lvl w:ilvl="4" w:tplc="0314511A">
      <w:start w:val="1"/>
      <w:numFmt w:val="bullet"/>
      <w:lvlText w:val="o"/>
      <w:lvlJc w:val="left"/>
      <w:pPr>
        <w:ind w:left="3600" w:hanging="360"/>
      </w:pPr>
      <w:rPr>
        <w:rFonts w:ascii="Courier New" w:hAnsi="Courier New" w:hint="default"/>
      </w:rPr>
    </w:lvl>
    <w:lvl w:ilvl="5" w:tplc="E6B8B068">
      <w:start w:val="1"/>
      <w:numFmt w:val="bullet"/>
      <w:lvlText w:val=""/>
      <w:lvlJc w:val="left"/>
      <w:pPr>
        <w:ind w:left="4320" w:hanging="360"/>
      </w:pPr>
      <w:rPr>
        <w:rFonts w:ascii="Wingdings" w:hAnsi="Wingdings" w:hint="default"/>
      </w:rPr>
    </w:lvl>
    <w:lvl w:ilvl="6" w:tplc="1B9A547E">
      <w:start w:val="1"/>
      <w:numFmt w:val="bullet"/>
      <w:lvlText w:val=""/>
      <w:lvlJc w:val="left"/>
      <w:pPr>
        <w:ind w:left="5040" w:hanging="360"/>
      </w:pPr>
      <w:rPr>
        <w:rFonts w:ascii="Symbol" w:hAnsi="Symbol" w:hint="default"/>
      </w:rPr>
    </w:lvl>
    <w:lvl w:ilvl="7" w:tplc="B9187586">
      <w:start w:val="1"/>
      <w:numFmt w:val="bullet"/>
      <w:lvlText w:val="o"/>
      <w:lvlJc w:val="left"/>
      <w:pPr>
        <w:ind w:left="5760" w:hanging="360"/>
      </w:pPr>
      <w:rPr>
        <w:rFonts w:ascii="Courier New" w:hAnsi="Courier New" w:hint="default"/>
      </w:rPr>
    </w:lvl>
    <w:lvl w:ilvl="8" w:tplc="F8768AA6">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4"/>
  </w:num>
  <w:num w:numId="4">
    <w:abstractNumId w:val="7"/>
  </w:num>
  <w:num w:numId="5">
    <w:abstractNumId w:val="19"/>
  </w:num>
  <w:num w:numId="6">
    <w:abstractNumId w:val="14"/>
  </w:num>
  <w:num w:numId="7">
    <w:abstractNumId w:val="17"/>
  </w:num>
  <w:num w:numId="8">
    <w:abstractNumId w:val="2"/>
  </w:num>
  <w:num w:numId="9">
    <w:abstractNumId w:val="9"/>
  </w:num>
  <w:num w:numId="10">
    <w:abstractNumId w:val="5"/>
  </w:num>
  <w:num w:numId="11">
    <w:abstractNumId w:val="0"/>
  </w:num>
  <w:num w:numId="12">
    <w:abstractNumId w:val="6"/>
  </w:num>
  <w:num w:numId="13">
    <w:abstractNumId w:val="8"/>
  </w:num>
  <w:num w:numId="14">
    <w:abstractNumId w:val="10"/>
  </w:num>
  <w:num w:numId="15">
    <w:abstractNumId w:val="13"/>
  </w:num>
  <w:num w:numId="16">
    <w:abstractNumId w:val="15"/>
  </w:num>
  <w:num w:numId="17">
    <w:abstractNumId w:val="11"/>
  </w:num>
  <w:num w:numId="18">
    <w:abstractNumId w:val="18"/>
  </w:num>
  <w:num w:numId="19">
    <w:abstractNumId w:val="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4204"/>
    <w:rsid w:val="0001344B"/>
    <w:rsid w:val="00023F47"/>
    <w:rsid w:val="00024153"/>
    <w:rsid w:val="0005373F"/>
    <w:rsid w:val="00057576"/>
    <w:rsid w:val="00080A01"/>
    <w:rsid w:val="000856FB"/>
    <w:rsid w:val="000A7187"/>
    <w:rsid w:val="000E6EB1"/>
    <w:rsid w:val="000F2B87"/>
    <w:rsid w:val="001213E3"/>
    <w:rsid w:val="001553B5"/>
    <w:rsid w:val="00160188"/>
    <w:rsid w:val="001767B6"/>
    <w:rsid w:val="00190F8D"/>
    <w:rsid w:val="0019471E"/>
    <w:rsid w:val="001A4DA2"/>
    <w:rsid w:val="001B7274"/>
    <w:rsid w:val="001C1BC3"/>
    <w:rsid w:val="001C1C5E"/>
    <w:rsid w:val="001D76B1"/>
    <w:rsid w:val="001F5726"/>
    <w:rsid w:val="00201E06"/>
    <w:rsid w:val="00215926"/>
    <w:rsid w:val="00237369"/>
    <w:rsid w:val="00247A95"/>
    <w:rsid w:val="00250564"/>
    <w:rsid w:val="00253188"/>
    <w:rsid w:val="002644AE"/>
    <w:rsid w:val="002675B4"/>
    <w:rsid w:val="0027752A"/>
    <w:rsid w:val="0028580C"/>
    <w:rsid w:val="002A41F6"/>
    <w:rsid w:val="002E1D0C"/>
    <w:rsid w:val="002E46D0"/>
    <w:rsid w:val="002F43C1"/>
    <w:rsid w:val="002F47B3"/>
    <w:rsid w:val="00300652"/>
    <w:rsid w:val="00305658"/>
    <w:rsid w:val="003113BA"/>
    <w:rsid w:val="00322CFC"/>
    <w:rsid w:val="0032717C"/>
    <w:rsid w:val="003469E7"/>
    <w:rsid w:val="00347A96"/>
    <w:rsid w:val="00355871"/>
    <w:rsid w:val="00356424"/>
    <w:rsid w:val="00356929"/>
    <w:rsid w:val="00365D3F"/>
    <w:rsid w:val="003727E0"/>
    <w:rsid w:val="00384A81"/>
    <w:rsid w:val="00386C29"/>
    <w:rsid w:val="003879BD"/>
    <w:rsid w:val="00393F6C"/>
    <w:rsid w:val="003B0558"/>
    <w:rsid w:val="003B1EE8"/>
    <w:rsid w:val="003D00AE"/>
    <w:rsid w:val="003D21E7"/>
    <w:rsid w:val="003D3167"/>
    <w:rsid w:val="003D34E2"/>
    <w:rsid w:val="003D36FB"/>
    <w:rsid w:val="003D5201"/>
    <w:rsid w:val="003D7968"/>
    <w:rsid w:val="003E0D35"/>
    <w:rsid w:val="003E6B0D"/>
    <w:rsid w:val="00401335"/>
    <w:rsid w:val="004026BA"/>
    <w:rsid w:val="00413BE9"/>
    <w:rsid w:val="0043241A"/>
    <w:rsid w:val="00452EC3"/>
    <w:rsid w:val="0046009C"/>
    <w:rsid w:val="004A5961"/>
    <w:rsid w:val="004B1A7C"/>
    <w:rsid w:val="004C0C89"/>
    <w:rsid w:val="004C4DB0"/>
    <w:rsid w:val="004C6071"/>
    <w:rsid w:val="004D3FD8"/>
    <w:rsid w:val="004E739C"/>
    <w:rsid w:val="004F0C06"/>
    <w:rsid w:val="00506632"/>
    <w:rsid w:val="005126FD"/>
    <w:rsid w:val="00526A06"/>
    <w:rsid w:val="005821F3"/>
    <w:rsid w:val="00582ECF"/>
    <w:rsid w:val="00590DD4"/>
    <w:rsid w:val="00595B5E"/>
    <w:rsid w:val="005C2310"/>
    <w:rsid w:val="005C4734"/>
    <w:rsid w:val="005D37BC"/>
    <w:rsid w:val="005F7357"/>
    <w:rsid w:val="005F78E6"/>
    <w:rsid w:val="006038F5"/>
    <w:rsid w:val="006167AE"/>
    <w:rsid w:val="0062353C"/>
    <w:rsid w:val="00631ED7"/>
    <w:rsid w:val="00663053"/>
    <w:rsid w:val="00664A8F"/>
    <w:rsid w:val="00681482"/>
    <w:rsid w:val="0068308E"/>
    <w:rsid w:val="006B1113"/>
    <w:rsid w:val="006B16AD"/>
    <w:rsid w:val="006C56DA"/>
    <w:rsid w:val="006D7B72"/>
    <w:rsid w:val="006E5180"/>
    <w:rsid w:val="0072208A"/>
    <w:rsid w:val="00736068"/>
    <w:rsid w:val="007425C7"/>
    <w:rsid w:val="007646CC"/>
    <w:rsid w:val="00765F74"/>
    <w:rsid w:val="00781653"/>
    <w:rsid w:val="007A7D97"/>
    <w:rsid w:val="007B018C"/>
    <w:rsid w:val="007B25AE"/>
    <w:rsid w:val="007B6F64"/>
    <w:rsid w:val="007B7F73"/>
    <w:rsid w:val="007D5F13"/>
    <w:rsid w:val="007E5AAE"/>
    <w:rsid w:val="007F51FE"/>
    <w:rsid w:val="007F663A"/>
    <w:rsid w:val="0081072D"/>
    <w:rsid w:val="0081404E"/>
    <w:rsid w:val="0081611F"/>
    <w:rsid w:val="00822588"/>
    <w:rsid w:val="00823884"/>
    <w:rsid w:val="00835F07"/>
    <w:rsid w:val="00836A52"/>
    <w:rsid w:val="00844DB1"/>
    <w:rsid w:val="00856B37"/>
    <w:rsid w:val="00861C5E"/>
    <w:rsid w:val="00866EB3"/>
    <w:rsid w:val="008757BF"/>
    <w:rsid w:val="00884403"/>
    <w:rsid w:val="00892C08"/>
    <w:rsid w:val="008A0307"/>
    <w:rsid w:val="008B4969"/>
    <w:rsid w:val="008B6E69"/>
    <w:rsid w:val="008C4067"/>
    <w:rsid w:val="008D03CB"/>
    <w:rsid w:val="008E0BF3"/>
    <w:rsid w:val="008E5849"/>
    <w:rsid w:val="008E756D"/>
    <w:rsid w:val="008F6EFC"/>
    <w:rsid w:val="008F78CA"/>
    <w:rsid w:val="00900B0E"/>
    <w:rsid w:val="0091053C"/>
    <w:rsid w:val="00926959"/>
    <w:rsid w:val="00931436"/>
    <w:rsid w:val="009404BE"/>
    <w:rsid w:val="0094695D"/>
    <w:rsid w:val="00950080"/>
    <w:rsid w:val="0095317D"/>
    <w:rsid w:val="009631B0"/>
    <w:rsid w:val="009714C3"/>
    <w:rsid w:val="00980387"/>
    <w:rsid w:val="00982012"/>
    <w:rsid w:val="00984E06"/>
    <w:rsid w:val="009D023D"/>
    <w:rsid w:val="009D3C0A"/>
    <w:rsid w:val="00A000CA"/>
    <w:rsid w:val="00A02853"/>
    <w:rsid w:val="00A27AAB"/>
    <w:rsid w:val="00A53ADD"/>
    <w:rsid w:val="00A716D3"/>
    <w:rsid w:val="00A74823"/>
    <w:rsid w:val="00A777B0"/>
    <w:rsid w:val="00AB6934"/>
    <w:rsid w:val="00AB6E83"/>
    <w:rsid w:val="00AC1192"/>
    <w:rsid w:val="00AD5D3E"/>
    <w:rsid w:val="00B0368E"/>
    <w:rsid w:val="00B046D2"/>
    <w:rsid w:val="00B07400"/>
    <w:rsid w:val="00B11A69"/>
    <w:rsid w:val="00B2003E"/>
    <w:rsid w:val="00B26AB6"/>
    <w:rsid w:val="00B40AF9"/>
    <w:rsid w:val="00B418C1"/>
    <w:rsid w:val="00B448D5"/>
    <w:rsid w:val="00B6374C"/>
    <w:rsid w:val="00B94204"/>
    <w:rsid w:val="00BA4802"/>
    <w:rsid w:val="00BB7B63"/>
    <w:rsid w:val="00BC27A8"/>
    <w:rsid w:val="00BC2E65"/>
    <w:rsid w:val="00BC48D7"/>
    <w:rsid w:val="00BD4EE8"/>
    <w:rsid w:val="00C00F8A"/>
    <w:rsid w:val="00C02192"/>
    <w:rsid w:val="00C026FA"/>
    <w:rsid w:val="00C033E9"/>
    <w:rsid w:val="00C10595"/>
    <w:rsid w:val="00C10C29"/>
    <w:rsid w:val="00C246CF"/>
    <w:rsid w:val="00C32424"/>
    <w:rsid w:val="00C3334C"/>
    <w:rsid w:val="00C52289"/>
    <w:rsid w:val="00C57998"/>
    <w:rsid w:val="00C635BB"/>
    <w:rsid w:val="00C66DE3"/>
    <w:rsid w:val="00C67F58"/>
    <w:rsid w:val="00C728D2"/>
    <w:rsid w:val="00C90A5C"/>
    <w:rsid w:val="00CA4AB4"/>
    <w:rsid w:val="00CC0310"/>
    <w:rsid w:val="00CC7C97"/>
    <w:rsid w:val="00CD4278"/>
    <w:rsid w:val="00CE32AC"/>
    <w:rsid w:val="00D056A5"/>
    <w:rsid w:val="00D078AE"/>
    <w:rsid w:val="00D07ED0"/>
    <w:rsid w:val="00D47557"/>
    <w:rsid w:val="00D52945"/>
    <w:rsid w:val="00D54F3D"/>
    <w:rsid w:val="00D651D7"/>
    <w:rsid w:val="00D7272B"/>
    <w:rsid w:val="00D741F3"/>
    <w:rsid w:val="00D82ADB"/>
    <w:rsid w:val="00D961AD"/>
    <w:rsid w:val="00DA0D33"/>
    <w:rsid w:val="00DA6B0D"/>
    <w:rsid w:val="00DC0340"/>
    <w:rsid w:val="00DC2B46"/>
    <w:rsid w:val="00DC4FDB"/>
    <w:rsid w:val="00DD055C"/>
    <w:rsid w:val="00DD63DC"/>
    <w:rsid w:val="00DE3C8F"/>
    <w:rsid w:val="00DE3CD4"/>
    <w:rsid w:val="00DF2280"/>
    <w:rsid w:val="00DF65D0"/>
    <w:rsid w:val="00E041D6"/>
    <w:rsid w:val="00E04CA6"/>
    <w:rsid w:val="00E15D6C"/>
    <w:rsid w:val="00E24FBC"/>
    <w:rsid w:val="00E31F43"/>
    <w:rsid w:val="00E36C30"/>
    <w:rsid w:val="00E4199F"/>
    <w:rsid w:val="00E43C2C"/>
    <w:rsid w:val="00E44A37"/>
    <w:rsid w:val="00E60D13"/>
    <w:rsid w:val="00E70AB7"/>
    <w:rsid w:val="00E766FA"/>
    <w:rsid w:val="00E94F70"/>
    <w:rsid w:val="00E95389"/>
    <w:rsid w:val="00E96B11"/>
    <w:rsid w:val="00EC42EF"/>
    <w:rsid w:val="00EC7DEE"/>
    <w:rsid w:val="00ED020D"/>
    <w:rsid w:val="00ED2823"/>
    <w:rsid w:val="00EE0465"/>
    <w:rsid w:val="00EE4B67"/>
    <w:rsid w:val="00EE6851"/>
    <w:rsid w:val="00EF5E24"/>
    <w:rsid w:val="00F02BC5"/>
    <w:rsid w:val="00F06390"/>
    <w:rsid w:val="00F15743"/>
    <w:rsid w:val="00F35DF1"/>
    <w:rsid w:val="00F42A2D"/>
    <w:rsid w:val="00F46554"/>
    <w:rsid w:val="00F50CDC"/>
    <w:rsid w:val="00F54184"/>
    <w:rsid w:val="00F62EEF"/>
    <w:rsid w:val="00F64162"/>
    <w:rsid w:val="00F655FD"/>
    <w:rsid w:val="00F676FD"/>
    <w:rsid w:val="00F81923"/>
    <w:rsid w:val="00F9313D"/>
    <w:rsid w:val="00FA469C"/>
    <w:rsid w:val="00FB16D6"/>
    <w:rsid w:val="00FE1DDC"/>
    <w:rsid w:val="00FE6F30"/>
    <w:rsid w:val="02754274"/>
    <w:rsid w:val="027DE2FB"/>
    <w:rsid w:val="03742D31"/>
    <w:rsid w:val="0EBF8AB8"/>
    <w:rsid w:val="0F1F13DC"/>
    <w:rsid w:val="0F66F5A0"/>
    <w:rsid w:val="13474CD8"/>
    <w:rsid w:val="1537193E"/>
    <w:rsid w:val="172DDAC1"/>
    <w:rsid w:val="1802CFD1"/>
    <w:rsid w:val="189912CC"/>
    <w:rsid w:val="19B5C8D8"/>
    <w:rsid w:val="1AC5B94E"/>
    <w:rsid w:val="1B7A2167"/>
    <w:rsid w:val="1C4B2187"/>
    <w:rsid w:val="1FBB493B"/>
    <w:rsid w:val="20B801A0"/>
    <w:rsid w:val="2363C9EF"/>
    <w:rsid w:val="24D9A368"/>
    <w:rsid w:val="25AB98D9"/>
    <w:rsid w:val="26D28B63"/>
    <w:rsid w:val="2B6C860C"/>
    <w:rsid w:val="2E551E26"/>
    <w:rsid w:val="320ABBB4"/>
    <w:rsid w:val="32B26F60"/>
    <w:rsid w:val="347AD001"/>
    <w:rsid w:val="43363451"/>
    <w:rsid w:val="460AF8E4"/>
    <w:rsid w:val="47AB8635"/>
    <w:rsid w:val="48888724"/>
    <w:rsid w:val="49AEB5DB"/>
    <w:rsid w:val="4A2F2224"/>
    <w:rsid w:val="500382BA"/>
    <w:rsid w:val="50786C08"/>
    <w:rsid w:val="541D3215"/>
    <w:rsid w:val="557CE361"/>
    <w:rsid w:val="565B41D1"/>
    <w:rsid w:val="56AFB528"/>
    <w:rsid w:val="57E95299"/>
    <w:rsid w:val="590688D3"/>
    <w:rsid w:val="5DF4BFC3"/>
    <w:rsid w:val="5F94C4C9"/>
    <w:rsid w:val="624C2E3A"/>
    <w:rsid w:val="63648F04"/>
    <w:rsid w:val="66376F44"/>
    <w:rsid w:val="664779A4"/>
    <w:rsid w:val="670C035B"/>
    <w:rsid w:val="6897C504"/>
    <w:rsid w:val="68DE236E"/>
    <w:rsid w:val="69CD96C1"/>
    <w:rsid w:val="6C25A88C"/>
    <w:rsid w:val="6CB9F528"/>
    <w:rsid w:val="6DC15111"/>
    <w:rsid w:val="70F74CC8"/>
    <w:rsid w:val="7181BE1D"/>
    <w:rsid w:val="73F4FABF"/>
    <w:rsid w:val="7733A484"/>
    <w:rsid w:val="790B04B2"/>
    <w:rsid w:val="79CB34BE"/>
    <w:rsid w:val="7A171026"/>
    <w:rsid w:val="7AF024BA"/>
    <w:rsid w:val="7CDECCED"/>
  </w:rsids>
  <m:mathPr>
    <m:mathFont m:val="Cambria Math"/>
    <m:brkBin m:val="before"/>
    <m:brkBinSub m:val="--"/>
    <m:smallFrac m:val="0"/>
    <m:dispDef/>
    <m:lMargin m:val="0"/>
    <m:rMargin m:val="0"/>
    <m:defJc m:val="centerGroup"/>
    <m:wrapIndent m:val="1440"/>
    <m:intLim m:val="subSup"/>
    <m:naryLim m:val="undOvr"/>
  </m:mathPr>
  <w:themeFontLang w:val="hu-HU"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943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5926"/>
    <w:pPr>
      <w:spacing w:line="360" w:lineRule="auto"/>
      <w:jc w:val="both"/>
    </w:pPr>
    <w:rPr>
      <w:rFonts w:ascii="Times New Roman" w:hAnsi="Times New Roman"/>
      <w:sz w:val="24"/>
      <w:lang w:val="en-US"/>
    </w:rPr>
  </w:style>
  <w:style w:type="paragraph" w:styleId="Heading1">
    <w:name w:val="heading 1"/>
    <w:basedOn w:val="Normal"/>
    <w:next w:val="Normal"/>
    <w:uiPriority w:val="9"/>
    <w:qFormat/>
    <w:rsid w:val="007D5F13"/>
    <w:pPr>
      <w:keepNext/>
      <w:keepLines/>
      <w:spacing w:before="360" w:after="80"/>
      <w:outlineLvl w:val="0"/>
    </w:pPr>
    <w:rPr>
      <w:rFonts w:eastAsiaTheme="majorEastAsia" w:cstheme="majorBidi"/>
      <w:b/>
      <w:sz w:val="40"/>
      <w:szCs w:val="40"/>
    </w:rPr>
  </w:style>
  <w:style w:type="paragraph" w:styleId="Heading2">
    <w:name w:val="heading 2"/>
    <w:basedOn w:val="Normal"/>
    <w:next w:val="Normal"/>
    <w:uiPriority w:val="9"/>
    <w:unhideWhenUsed/>
    <w:qFormat/>
    <w:rsid w:val="00CD4278"/>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uiPriority w:val="9"/>
    <w:semiHidden/>
    <w:unhideWhenUsed/>
    <w:qFormat/>
    <w:rsid w:val="00B942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semiHidden/>
    <w:unhideWhenUsed/>
    <w:qFormat/>
    <w:rsid w:val="00B942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semiHidden/>
    <w:unhideWhenUsed/>
    <w:qFormat/>
    <w:rsid w:val="00B942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uiPriority w:val="9"/>
    <w:semiHidden/>
    <w:unhideWhenUsed/>
    <w:qFormat/>
    <w:rsid w:val="00B942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uiPriority w:val="9"/>
    <w:semiHidden/>
    <w:unhideWhenUsed/>
    <w:qFormat/>
    <w:rsid w:val="00B942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uiPriority w:val="9"/>
    <w:semiHidden/>
    <w:unhideWhenUsed/>
    <w:qFormat/>
    <w:rsid w:val="00B942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uiPriority w:val="9"/>
    <w:semiHidden/>
    <w:unhideWhenUsed/>
    <w:qFormat/>
    <w:rsid w:val="00B942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4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DD4"/>
    <w:rPr>
      <w:rFonts w:asciiTheme="majorHAnsi" w:eastAsiaTheme="majorEastAsia" w:hAnsiTheme="majorHAnsi" w:cstheme="majorBidi"/>
      <w:spacing w:val="-10"/>
      <w:kern w:val="28"/>
      <w:sz w:val="56"/>
      <w:szCs w:val="56"/>
    </w:rPr>
  </w:style>
  <w:style w:type="character" w:customStyle="1" w:styleId="UnresolvedMention">
    <w:name w:val="Unresolved Mention"/>
    <w:basedOn w:val="DefaultParagraphFont"/>
    <w:uiPriority w:val="99"/>
    <w:semiHidden/>
    <w:unhideWhenUsed/>
    <w:rsid w:val="002F47B3"/>
    <w:rPr>
      <w:color w:val="605E5C"/>
      <w:shd w:val="clear" w:color="auto" w:fill="E1DFDD"/>
    </w:rPr>
  </w:style>
  <w:style w:type="paragraph" w:styleId="Subtitle">
    <w:name w:val="Subtitle"/>
    <w:basedOn w:val="Normal"/>
    <w:next w:val="Normal"/>
    <w:link w:val="SubtitleChar"/>
    <w:uiPriority w:val="11"/>
    <w:qFormat/>
    <w:rsid w:val="00024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153"/>
    <w:pPr>
      <w:spacing w:before="160"/>
      <w:jc w:val="center"/>
    </w:pPr>
    <w:rPr>
      <w:i/>
      <w:iCs/>
      <w:color w:val="404040" w:themeColor="text1" w:themeTint="BF"/>
    </w:rPr>
  </w:style>
  <w:style w:type="character" w:customStyle="1" w:styleId="QuoteChar">
    <w:name w:val="Quote Char"/>
    <w:basedOn w:val="DefaultParagraphFont"/>
    <w:link w:val="Quote"/>
    <w:uiPriority w:val="29"/>
    <w:rsid w:val="00590DD4"/>
    <w:rPr>
      <w:i/>
      <w:iCs/>
      <w:color w:val="404040" w:themeColor="text1" w:themeTint="BF"/>
    </w:rPr>
  </w:style>
  <w:style w:type="paragraph" w:styleId="IntenseQuote">
    <w:name w:val="Intense Quote"/>
    <w:basedOn w:val="Normal"/>
    <w:next w:val="Normal"/>
    <w:link w:val="IntenseQuoteChar"/>
    <w:uiPriority w:val="30"/>
    <w:qFormat/>
    <w:rsid w:val="00024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DD4"/>
    <w:rPr>
      <w:i/>
      <w:iCs/>
      <w:color w:val="0F4761" w:themeColor="accent1" w:themeShade="BF"/>
    </w:rPr>
  </w:style>
  <w:style w:type="paragraph" w:styleId="ListParagraph">
    <w:name w:val="List Paragraph"/>
    <w:basedOn w:val="Normal"/>
    <w:uiPriority w:val="34"/>
    <w:qFormat/>
    <w:rsid w:val="00B94204"/>
    <w:pPr>
      <w:ind w:left="720"/>
      <w:contextualSpacing/>
    </w:pPr>
  </w:style>
  <w:style w:type="character" w:styleId="IntenseEmphasis">
    <w:name w:val="Intense Emphasis"/>
    <w:basedOn w:val="DefaultParagraphFont"/>
    <w:uiPriority w:val="21"/>
    <w:qFormat/>
    <w:rsid w:val="00B94204"/>
    <w:rPr>
      <w:i/>
      <w:iCs/>
      <w:color w:val="0F4761" w:themeColor="accent1" w:themeShade="BF"/>
    </w:rPr>
  </w:style>
  <w:style w:type="character" w:styleId="IntenseReference">
    <w:name w:val="Intense Reference"/>
    <w:basedOn w:val="DefaultParagraphFont"/>
    <w:uiPriority w:val="32"/>
    <w:qFormat/>
    <w:rsid w:val="00B94204"/>
    <w:rPr>
      <w:b/>
      <w:bCs/>
      <w:smallCaps/>
      <w:color w:val="0F4761" w:themeColor="accent1" w:themeShade="BF"/>
      <w:spacing w:val="5"/>
    </w:rPr>
  </w:style>
  <w:style w:type="character" w:customStyle="1" w:styleId="Cmsor1Char">
    <w:name w:val="Címsor 1 Char"/>
    <w:basedOn w:val="DefaultParagraphFont"/>
    <w:uiPriority w:val="9"/>
    <w:rsid w:val="00590DD4"/>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DefaultParagraphFont"/>
    <w:uiPriority w:val="9"/>
    <w:semiHidden/>
    <w:rsid w:val="00590DD4"/>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DefaultParagraphFont"/>
    <w:uiPriority w:val="9"/>
    <w:semiHidden/>
    <w:rsid w:val="00590DD4"/>
    <w:rPr>
      <w:rFonts w:eastAsiaTheme="majorEastAsia" w:cstheme="majorBidi"/>
      <w:color w:val="0F4761" w:themeColor="accent1" w:themeShade="BF"/>
      <w:sz w:val="28"/>
      <w:szCs w:val="28"/>
    </w:rPr>
  </w:style>
  <w:style w:type="character" w:customStyle="1" w:styleId="Cmsor4Char">
    <w:name w:val="Címsor 4 Char"/>
    <w:basedOn w:val="DefaultParagraphFont"/>
    <w:uiPriority w:val="9"/>
    <w:semiHidden/>
    <w:rsid w:val="00590DD4"/>
    <w:rPr>
      <w:rFonts w:eastAsiaTheme="majorEastAsia" w:cstheme="majorBidi"/>
      <w:i/>
      <w:iCs/>
      <w:color w:val="0F4761" w:themeColor="accent1" w:themeShade="BF"/>
    </w:rPr>
  </w:style>
  <w:style w:type="character" w:customStyle="1" w:styleId="Cmsor5Char">
    <w:name w:val="Címsor 5 Char"/>
    <w:basedOn w:val="DefaultParagraphFont"/>
    <w:uiPriority w:val="9"/>
    <w:semiHidden/>
    <w:rsid w:val="00590DD4"/>
    <w:rPr>
      <w:rFonts w:eastAsiaTheme="majorEastAsia" w:cstheme="majorBidi"/>
      <w:color w:val="0F4761" w:themeColor="accent1" w:themeShade="BF"/>
    </w:rPr>
  </w:style>
  <w:style w:type="character" w:customStyle="1" w:styleId="Cmsor6Char">
    <w:name w:val="Címsor 6 Char"/>
    <w:basedOn w:val="DefaultParagraphFont"/>
    <w:uiPriority w:val="9"/>
    <w:semiHidden/>
    <w:rsid w:val="00590DD4"/>
    <w:rPr>
      <w:rFonts w:eastAsiaTheme="majorEastAsia" w:cstheme="majorBidi"/>
      <w:i/>
      <w:iCs/>
      <w:color w:val="595959" w:themeColor="text1" w:themeTint="A6"/>
    </w:rPr>
  </w:style>
  <w:style w:type="character" w:customStyle="1" w:styleId="Cmsor7Char">
    <w:name w:val="Címsor 7 Char"/>
    <w:basedOn w:val="DefaultParagraphFont"/>
    <w:uiPriority w:val="9"/>
    <w:semiHidden/>
    <w:rsid w:val="00590DD4"/>
    <w:rPr>
      <w:rFonts w:eastAsiaTheme="majorEastAsia" w:cstheme="majorBidi"/>
      <w:color w:val="595959" w:themeColor="text1" w:themeTint="A6"/>
    </w:rPr>
  </w:style>
  <w:style w:type="character" w:customStyle="1" w:styleId="Cmsor8Char">
    <w:name w:val="Címsor 8 Char"/>
    <w:basedOn w:val="DefaultParagraphFont"/>
    <w:uiPriority w:val="9"/>
    <w:semiHidden/>
    <w:rsid w:val="00590DD4"/>
    <w:rPr>
      <w:rFonts w:eastAsiaTheme="majorEastAsia" w:cstheme="majorBidi"/>
      <w:i/>
      <w:iCs/>
      <w:color w:val="272727" w:themeColor="text1" w:themeTint="D8"/>
    </w:rPr>
  </w:style>
  <w:style w:type="character" w:customStyle="1" w:styleId="Cmsor9Char">
    <w:name w:val="Címsor 9 Char"/>
    <w:basedOn w:val="DefaultParagraphFont"/>
    <w:uiPriority w:val="9"/>
    <w:semiHidden/>
    <w:rsid w:val="00590DD4"/>
    <w:rPr>
      <w:rFonts w:eastAsiaTheme="majorEastAsia" w:cstheme="majorBidi"/>
      <w:color w:val="272727" w:themeColor="text1" w:themeTint="D8"/>
    </w:rPr>
  </w:style>
  <w:style w:type="character" w:styleId="Hyperlink">
    <w:name w:val="Hyperlink"/>
    <w:basedOn w:val="DefaultParagraphFont"/>
    <w:uiPriority w:val="99"/>
    <w:unhideWhenUsed/>
    <w:rsid w:val="00590DD4"/>
    <w:rPr>
      <w:color w:val="467886" w:themeColor="hyperlink"/>
      <w:u w:val="single"/>
    </w:rPr>
  </w:style>
  <w:style w:type="character" w:styleId="Emphasis">
    <w:name w:val="Emphasis"/>
    <w:basedOn w:val="DefaultParagraphFont"/>
    <w:uiPriority w:val="20"/>
    <w:qFormat/>
    <w:rsid w:val="004D3FD8"/>
    <w:rPr>
      <w:i/>
      <w:iCs/>
    </w:rPr>
  </w:style>
  <w:style w:type="paragraph" w:styleId="Caption">
    <w:name w:val="caption"/>
    <w:basedOn w:val="Normal"/>
    <w:next w:val="Normal"/>
    <w:uiPriority w:val="35"/>
    <w:unhideWhenUsed/>
    <w:qFormat/>
    <w:rsid w:val="00E04CA6"/>
    <w:pPr>
      <w:spacing w:after="200" w:line="240" w:lineRule="auto"/>
    </w:pPr>
    <w:rPr>
      <w:iCs/>
      <w:color w:val="0E2841" w:themeColor="text2"/>
      <w:sz w:val="18"/>
      <w:szCs w:val="18"/>
    </w:rPr>
  </w:style>
  <w:style w:type="paragraph" w:styleId="Header">
    <w:name w:val="header"/>
    <w:basedOn w:val="Normal"/>
    <w:link w:val="HeaderChar"/>
    <w:uiPriority w:val="99"/>
    <w:unhideWhenUsed/>
    <w:rsid w:val="00B6374C"/>
    <w:pPr>
      <w:tabs>
        <w:tab w:val="center" w:pos="4536"/>
        <w:tab w:val="right" w:pos="9072"/>
      </w:tabs>
      <w:spacing w:after="0" w:line="240" w:lineRule="auto"/>
    </w:pPr>
  </w:style>
  <w:style w:type="character" w:customStyle="1" w:styleId="HeaderChar">
    <w:name w:val="Header Char"/>
    <w:basedOn w:val="DefaultParagraphFont"/>
    <w:link w:val="Header"/>
    <w:uiPriority w:val="99"/>
    <w:rsid w:val="00B6374C"/>
    <w:rPr>
      <w:rFonts w:ascii="Times New Roman" w:hAnsi="Times New Roman"/>
      <w:sz w:val="24"/>
      <w:lang w:val="en-US"/>
    </w:rPr>
  </w:style>
  <w:style w:type="paragraph" w:styleId="Footer">
    <w:name w:val="footer"/>
    <w:basedOn w:val="Normal"/>
    <w:link w:val="FooterChar"/>
    <w:uiPriority w:val="99"/>
    <w:unhideWhenUsed/>
    <w:rsid w:val="00B6374C"/>
    <w:pPr>
      <w:tabs>
        <w:tab w:val="center" w:pos="4536"/>
        <w:tab w:val="right" w:pos="9072"/>
      </w:tabs>
      <w:spacing w:after="0" w:line="240" w:lineRule="auto"/>
    </w:pPr>
  </w:style>
  <w:style w:type="character" w:customStyle="1" w:styleId="FooterChar">
    <w:name w:val="Footer Char"/>
    <w:basedOn w:val="DefaultParagraphFont"/>
    <w:link w:val="Footer"/>
    <w:uiPriority w:val="99"/>
    <w:rsid w:val="00B6374C"/>
    <w:rPr>
      <w:rFonts w:ascii="Times New Roman" w:hAnsi="Times New Roman"/>
      <w:sz w:val="24"/>
      <w:lang w:val="en-US"/>
    </w:rPr>
  </w:style>
  <w:style w:type="paragraph" w:styleId="BalloonText">
    <w:name w:val="Balloon Text"/>
    <w:basedOn w:val="Normal"/>
    <w:link w:val="BalloonTextChar"/>
    <w:uiPriority w:val="99"/>
    <w:semiHidden/>
    <w:unhideWhenUsed/>
    <w:rsid w:val="00861C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C5E"/>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5926"/>
    <w:pPr>
      <w:spacing w:line="360" w:lineRule="auto"/>
      <w:jc w:val="both"/>
    </w:pPr>
    <w:rPr>
      <w:rFonts w:ascii="Times New Roman" w:hAnsi="Times New Roman"/>
      <w:sz w:val="24"/>
      <w:lang w:val="en-US"/>
    </w:rPr>
  </w:style>
  <w:style w:type="paragraph" w:styleId="Heading1">
    <w:name w:val="heading 1"/>
    <w:basedOn w:val="Normal"/>
    <w:next w:val="Normal"/>
    <w:uiPriority w:val="9"/>
    <w:qFormat/>
    <w:rsid w:val="007D5F13"/>
    <w:pPr>
      <w:keepNext/>
      <w:keepLines/>
      <w:spacing w:before="360" w:after="80"/>
      <w:outlineLvl w:val="0"/>
    </w:pPr>
    <w:rPr>
      <w:rFonts w:eastAsiaTheme="majorEastAsia" w:cstheme="majorBidi"/>
      <w:b/>
      <w:sz w:val="40"/>
      <w:szCs w:val="40"/>
    </w:rPr>
  </w:style>
  <w:style w:type="paragraph" w:styleId="Heading2">
    <w:name w:val="heading 2"/>
    <w:basedOn w:val="Normal"/>
    <w:next w:val="Normal"/>
    <w:uiPriority w:val="9"/>
    <w:unhideWhenUsed/>
    <w:qFormat/>
    <w:rsid w:val="00CD4278"/>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uiPriority w:val="9"/>
    <w:semiHidden/>
    <w:unhideWhenUsed/>
    <w:qFormat/>
    <w:rsid w:val="00B942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semiHidden/>
    <w:unhideWhenUsed/>
    <w:qFormat/>
    <w:rsid w:val="00B942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semiHidden/>
    <w:unhideWhenUsed/>
    <w:qFormat/>
    <w:rsid w:val="00B942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uiPriority w:val="9"/>
    <w:semiHidden/>
    <w:unhideWhenUsed/>
    <w:qFormat/>
    <w:rsid w:val="00B942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uiPriority w:val="9"/>
    <w:semiHidden/>
    <w:unhideWhenUsed/>
    <w:qFormat/>
    <w:rsid w:val="00B942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uiPriority w:val="9"/>
    <w:semiHidden/>
    <w:unhideWhenUsed/>
    <w:qFormat/>
    <w:rsid w:val="00B942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uiPriority w:val="9"/>
    <w:semiHidden/>
    <w:unhideWhenUsed/>
    <w:qFormat/>
    <w:rsid w:val="00B942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4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DD4"/>
    <w:rPr>
      <w:rFonts w:asciiTheme="majorHAnsi" w:eastAsiaTheme="majorEastAsia" w:hAnsiTheme="majorHAnsi" w:cstheme="majorBidi"/>
      <w:spacing w:val="-10"/>
      <w:kern w:val="28"/>
      <w:sz w:val="56"/>
      <w:szCs w:val="56"/>
    </w:rPr>
  </w:style>
  <w:style w:type="character" w:customStyle="1" w:styleId="UnresolvedMention">
    <w:name w:val="Unresolved Mention"/>
    <w:basedOn w:val="DefaultParagraphFont"/>
    <w:uiPriority w:val="99"/>
    <w:semiHidden/>
    <w:unhideWhenUsed/>
    <w:rsid w:val="002F47B3"/>
    <w:rPr>
      <w:color w:val="605E5C"/>
      <w:shd w:val="clear" w:color="auto" w:fill="E1DFDD"/>
    </w:rPr>
  </w:style>
  <w:style w:type="paragraph" w:styleId="Subtitle">
    <w:name w:val="Subtitle"/>
    <w:basedOn w:val="Normal"/>
    <w:next w:val="Normal"/>
    <w:link w:val="SubtitleChar"/>
    <w:uiPriority w:val="11"/>
    <w:qFormat/>
    <w:rsid w:val="00024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153"/>
    <w:pPr>
      <w:spacing w:before="160"/>
      <w:jc w:val="center"/>
    </w:pPr>
    <w:rPr>
      <w:i/>
      <w:iCs/>
      <w:color w:val="404040" w:themeColor="text1" w:themeTint="BF"/>
    </w:rPr>
  </w:style>
  <w:style w:type="character" w:customStyle="1" w:styleId="QuoteChar">
    <w:name w:val="Quote Char"/>
    <w:basedOn w:val="DefaultParagraphFont"/>
    <w:link w:val="Quote"/>
    <w:uiPriority w:val="29"/>
    <w:rsid w:val="00590DD4"/>
    <w:rPr>
      <w:i/>
      <w:iCs/>
      <w:color w:val="404040" w:themeColor="text1" w:themeTint="BF"/>
    </w:rPr>
  </w:style>
  <w:style w:type="paragraph" w:styleId="IntenseQuote">
    <w:name w:val="Intense Quote"/>
    <w:basedOn w:val="Normal"/>
    <w:next w:val="Normal"/>
    <w:link w:val="IntenseQuoteChar"/>
    <w:uiPriority w:val="30"/>
    <w:qFormat/>
    <w:rsid w:val="00024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DD4"/>
    <w:rPr>
      <w:i/>
      <w:iCs/>
      <w:color w:val="0F4761" w:themeColor="accent1" w:themeShade="BF"/>
    </w:rPr>
  </w:style>
  <w:style w:type="paragraph" w:styleId="ListParagraph">
    <w:name w:val="List Paragraph"/>
    <w:basedOn w:val="Normal"/>
    <w:uiPriority w:val="34"/>
    <w:qFormat/>
    <w:rsid w:val="00B94204"/>
    <w:pPr>
      <w:ind w:left="720"/>
      <w:contextualSpacing/>
    </w:pPr>
  </w:style>
  <w:style w:type="character" w:styleId="IntenseEmphasis">
    <w:name w:val="Intense Emphasis"/>
    <w:basedOn w:val="DefaultParagraphFont"/>
    <w:uiPriority w:val="21"/>
    <w:qFormat/>
    <w:rsid w:val="00B94204"/>
    <w:rPr>
      <w:i/>
      <w:iCs/>
      <w:color w:val="0F4761" w:themeColor="accent1" w:themeShade="BF"/>
    </w:rPr>
  </w:style>
  <w:style w:type="character" w:styleId="IntenseReference">
    <w:name w:val="Intense Reference"/>
    <w:basedOn w:val="DefaultParagraphFont"/>
    <w:uiPriority w:val="32"/>
    <w:qFormat/>
    <w:rsid w:val="00B94204"/>
    <w:rPr>
      <w:b/>
      <w:bCs/>
      <w:smallCaps/>
      <w:color w:val="0F4761" w:themeColor="accent1" w:themeShade="BF"/>
      <w:spacing w:val="5"/>
    </w:rPr>
  </w:style>
  <w:style w:type="character" w:customStyle="1" w:styleId="Cmsor1Char">
    <w:name w:val="Címsor 1 Char"/>
    <w:basedOn w:val="DefaultParagraphFont"/>
    <w:uiPriority w:val="9"/>
    <w:rsid w:val="00590DD4"/>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DefaultParagraphFont"/>
    <w:uiPriority w:val="9"/>
    <w:semiHidden/>
    <w:rsid w:val="00590DD4"/>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DefaultParagraphFont"/>
    <w:uiPriority w:val="9"/>
    <w:semiHidden/>
    <w:rsid w:val="00590DD4"/>
    <w:rPr>
      <w:rFonts w:eastAsiaTheme="majorEastAsia" w:cstheme="majorBidi"/>
      <w:color w:val="0F4761" w:themeColor="accent1" w:themeShade="BF"/>
      <w:sz w:val="28"/>
      <w:szCs w:val="28"/>
    </w:rPr>
  </w:style>
  <w:style w:type="character" w:customStyle="1" w:styleId="Cmsor4Char">
    <w:name w:val="Címsor 4 Char"/>
    <w:basedOn w:val="DefaultParagraphFont"/>
    <w:uiPriority w:val="9"/>
    <w:semiHidden/>
    <w:rsid w:val="00590DD4"/>
    <w:rPr>
      <w:rFonts w:eastAsiaTheme="majorEastAsia" w:cstheme="majorBidi"/>
      <w:i/>
      <w:iCs/>
      <w:color w:val="0F4761" w:themeColor="accent1" w:themeShade="BF"/>
    </w:rPr>
  </w:style>
  <w:style w:type="character" w:customStyle="1" w:styleId="Cmsor5Char">
    <w:name w:val="Címsor 5 Char"/>
    <w:basedOn w:val="DefaultParagraphFont"/>
    <w:uiPriority w:val="9"/>
    <w:semiHidden/>
    <w:rsid w:val="00590DD4"/>
    <w:rPr>
      <w:rFonts w:eastAsiaTheme="majorEastAsia" w:cstheme="majorBidi"/>
      <w:color w:val="0F4761" w:themeColor="accent1" w:themeShade="BF"/>
    </w:rPr>
  </w:style>
  <w:style w:type="character" w:customStyle="1" w:styleId="Cmsor6Char">
    <w:name w:val="Címsor 6 Char"/>
    <w:basedOn w:val="DefaultParagraphFont"/>
    <w:uiPriority w:val="9"/>
    <w:semiHidden/>
    <w:rsid w:val="00590DD4"/>
    <w:rPr>
      <w:rFonts w:eastAsiaTheme="majorEastAsia" w:cstheme="majorBidi"/>
      <w:i/>
      <w:iCs/>
      <w:color w:val="595959" w:themeColor="text1" w:themeTint="A6"/>
    </w:rPr>
  </w:style>
  <w:style w:type="character" w:customStyle="1" w:styleId="Cmsor7Char">
    <w:name w:val="Címsor 7 Char"/>
    <w:basedOn w:val="DefaultParagraphFont"/>
    <w:uiPriority w:val="9"/>
    <w:semiHidden/>
    <w:rsid w:val="00590DD4"/>
    <w:rPr>
      <w:rFonts w:eastAsiaTheme="majorEastAsia" w:cstheme="majorBidi"/>
      <w:color w:val="595959" w:themeColor="text1" w:themeTint="A6"/>
    </w:rPr>
  </w:style>
  <w:style w:type="character" w:customStyle="1" w:styleId="Cmsor8Char">
    <w:name w:val="Címsor 8 Char"/>
    <w:basedOn w:val="DefaultParagraphFont"/>
    <w:uiPriority w:val="9"/>
    <w:semiHidden/>
    <w:rsid w:val="00590DD4"/>
    <w:rPr>
      <w:rFonts w:eastAsiaTheme="majorEastAsia" w:cstheme="majorBidi"/>
      <w:i/>
      <w:iCs/>
      <w:color w:val="272727" w:themeColor="text1" w:themeTint="D8"/>
    </w:rPr>
  </w:style>
  <w:style w:type="character" w:customStyle="1" w:styleId="Cmsor9Char">
    <w:name w:val="Címsor 9 Char"/>
    <w:basedOn w:val="DefaultParagraphFont"/>
    <w:uiPriority w:val="9"/>
    <w:semiHidden/>
    <w:rsid w:val="00590DD4"/>
    <w:rPr>
      <w:rFonts w:eastAsiaTheme="majorEastAsia" w:cstheme="majorBidi"/>
      <w:color w:val="272727" w:themeColor="text1" w:themeTint="D8"/>
    </w:rPr>
  </w:style>
  <w:style w:type="character" w:styleId="Hyperlink">
    <w:name w:val="Hyperlink"/>
    <w:basedOn w:val="DefaultParagraphFont"/>
    <w:uiPriority w:val="99"/>
    <w:unhideWhenUsed/>
    <w:rsid w:val="00590DD4"/>
    <w:rPr>
      <w:color w:val="467886" w:themeColor="hyperlink"/>
      <w:u w:val="single"/>
    </w:rPr>
  </w:style>
  <w:style w:type="character" w:styleId="Emphasis">
    <w:name w:val="Emphasis"/>
    <w:basedOn w:val="DefaultParagraphFont"/>
    <w:uiPriority w:val="20"/>
    <w:qFormat/>
    <w:rsid w:val="004D3FD8"/>
    <w:rPr>
      <w:i/>
      <w:iCs/>
    </w:rPr>
  </w:style>
  <w:style w:type="paragraph" w:styleId="Caption">
    <w:name w:val="caption"/>
    <w:basedOn w:val="Normal"/>
    <w:next w:val="Normal"/>
    <w:uiPriority w:val="35"/>
    <w:unhideWhenUsed/>
    <w:qFormat/>
    <w:rsid w:val="00E04CA6"/>
    <w:pPr>
      <w:spacing w:after="200" w:line="240" w:lineRule="auto"/>
    </w:pPr>
    <w:rPr>
      <w:iCs/>
      <w:color w:val="0E2841" w:themeColor="text2"/>
      <w:sz w:val="18"/>
      <w:szCs w:val="18"/>
    </w:rPr>
  </w:style>
  <w:style w:type="paragraph" w:styleId="Header">
    <w:name w:val="header"/>
    <w:basedOn w:val="Normal"/>
    <w:link w:val="HeaderChar"/>
    <w:uiPriority w:val="99"/>
    <w:unhideWhenUsed/>
    <w:rsid w:val="00B6374C"/>
    <w:pPr>
      <w:tabs>
        <w:tab w:val="center" w:pos="4536"/>
        <w:tab w:val="right" w:pos="9072"/>
      </w:tabs>
      <w:spacing w:after="0" w:line="240" w:lineRule="auto"/>
    </w:pPr>
  </w:style>
  <w:style w:type="character" w:customStyle="1" w:styleId="HeaderChar">
    <w:name w:val="Header Char"/>
    <w:basedOn w:val="DefaultParagraphFont"/>
    <w:link w:val="Header"/>
    <w:uiPriority w:val="99"/>
    <w:rsid w:val="00B6374C"/>
    <w:rPr>
      <w:rFonts w:ascii="Times New Roman" w:hAnsi="Times New Roman"/>
      <w:sz w:val="24"/>
      <w:lang w:val="en-US"/>
    </w:rPr>
  </w:style>
  <w:style w:type="paragraph" w:styleId="Footer">
    <w:name w:val="footer"/>
    <w:basedOn w:val="Normal"/>
    <w:link w:val="FooterChar"/>
    <w:uiPriority w:val="99"/>
    <w:unhideWhenUsed/>
    <w:rsid w:val="00B6374C"/>
    <w:pPr>
      <w:tabs>
        <w:tab w:val="center" w:pos="4536"/>
        <w:tab w:val="right" w:pos="9072"/>
      </w:tabs>
      <w:spacing w:after="0" w:line="240" w:lineRule="auto"/>
    </w:pPr>
  </w:style>
  <w:style w:type="character" w:customStyle="1" w:styleId="FooterChar">
    <w:name w:val="Footer Char"/>
    <w:basedOn w:val="DefaultParagraphFont"/>
    <w:link w:val="Footer"/>
    <w:uiPriority w:val="99"/>
    <w:rsid w:val="00B6374C"/>
    <w:rPr>
      <w:rFonts w:ascii="Times New Roman" w:hAnsi="Times New Roman"/>
      <w:sz w:val="24"/>
      <w:lang w:val="en-US"/>
    </w:rPr>
  </w:style>
  <w:style w:type="paragraph" w:styleId="BalloonText">
    <w:name w:val="Balloon Text"/>
    <w:basedOn w:val="Normal"/>
    <w:link w:val="BalloonTextChar"/>
    <w:uiPriority w:val="99"/>
    <w:semiHidden/>
    <w:unhideWhenUsed/>
    <w:rsid w:val="00861C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C5E"/>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511468">
      <w:bodyDiv w:val="1"/>
      <w:marLeft w:val="0"/>
      <w:marRight w:val="0"/>
      <w:marTop w:val="0"/>
      <w:marBottom w:val="0"/>
      <w:divBdr>
        <w:top w:val="none" w:sz="0" w:space="0" w:color="auto"/>
        <w:left w:val="none" w:sz="0" w:space="0" w:color="auto"/>
        <w:bottom w:val="none" w:sz="0" w:space="0" w:color="auto"/>
        <w:right w:val="none" w:sz="0" w:space="0" w:color="auto"/>
      </w:divBdr>
    </w:div>
    <w:div w:id="598296460">
      <w:bodyDiv w:val="1"/>
      <w:marLeft w:val="0"/>
      <w:marRight w:val="0"/>
      <w:marTop w:val="0"/>
      <w:marBottom w:val="0"/>
      <w:divBdr>
        <w:top w:val="none" w:sz="0" w:space="0" w:color="auto"/>
        <w:left w:val="none" w:sz="0" w:space="0" w:color="auto"/>
        <w:bottom w:val="none" w:sz="0" w:space="0" w:color="auto"/>
        <w:right w:val="none" w:sz="0" w:space="0" w:color="auto"/>
      </w:divBdr>
    </w:div>
    <w:div w:id="676927197">
      <w:bodyDiv w:val="1"/>
      <w:marLeft w:val="0"/>
      <w:marRight w:val="0"/>
      <w:marTop w:val="0"/>
      <w:marBottom w:val="0"/>
      <w:divBdr>
        <w:top w:val="none" w:sz="0" w:space="0" w:color="auto"/>
        <w:left w:val="none" w:sz="0" w:space="0" w:color="auto"/>
        <w:bottom w:val="none" w:sz="0" w:space="0" w:color="auto"/>
        <w:right w:val="none" w:sz="0" w:space="0" w:color="auto"/>
      </w:divBdr>
    </w:div>
    <w:div w:id="784614865">
      <w:bodyDiv w:val="1"/>
      <w:marLeft w:val="0"/>
      <w:marRight w:val="0"/>
      <w:marTop w:val="0"/>
      <w:marBottom w:val="0"/>
      <w:divBdr>
        <w:top w:val="none" w:sz="0" w:space="0" w:color="auto"/>
        <w:left w:val="none" w:sz="0" w:space="0" w:color="auto"/>
        <w:bottom w:val="none" w:sz="0" w:space="0" w:color="auto"/>
        <w:right w:val="none" w:sz="0" w:space="0" w:color="auto"/>
      </w:divBdr>
    </w:div>
    <w:div w:id="918908131">
      <w:bodyDiv w:val="1"/>
      <w:marLeft w:val="0"/>
      <w:marRight w:val="0"/>
      <w:marTop w:val="0"/>
      <w:marBottom w:val="0"/>
      <w:divBdr>
        <w:top w:val="none" w:sz="0" w:space="0" w:color="auto"/>
        <w:left w:val="none" w:sz="0" w:space="0" w:color="auto"/>
        <w:bottom w:val="none" w:sz="0" w:space="0" w:color="auto"/>
        <w:right w:val="none" w:sz="0" w:space="0" w:color="auto"/>
      </w:divBdr>
    </w:div>
    <w:div w:id="1199971610">
      <w:bodyDiv w:val="1"/>
      <w:marLeft w:val="0"/>
      <w:marRight w:val="0"/>
      <w:marTop w:val="0"/>
      <w:marBottom w:val="0"/>
      <w:divBdr>
        <w:top w:val="none" w:sz="0" w:space="0" w:color="auto"/>
        <w:left w:val="none" w:sz="0" w:space="0" w:color="auto"/>
        <w:bottom w:val="none" w:sz="0" w:space="0" w:color="auto"/>
        <w:right w:val="none" w:sz="0" w:space="0" w:color="auto"/>
      </w:divBdr>
    </w:div>
    <w:div w:id="1312977352">
      <w:bodyDiv w:val="1"/>
      <w:marLeft w:val="0"/>
      <w:marRight w:val="0"/>
      <w:marTop w:val="0"/>
      <w:marBottom w:val="0"/>
      <w:divBdr>
        <w:top w:val="none" w:sz="0" w:space="0" w:color="auto"/>
        <w:left w:val="none" w:sz="0" w:space="0" w:color="auto"/>
        <w:bottom w:val="none" w:sz="0" w:space="0" w:color="auto"/>
        <w:right w:val="none" w:sz="0" w:space="0" w:color="auto"/>
      </w:divBdr>
    </w:div>
    <w:div w:id="1384865084">
      <w:bodyDiv w:val="1"/>
      <w:marLeft w:val="0"/>
      <w:marRight w:val="0"/>
      <w:marTop w:val="0"/>
      <w:marBottom w:val="0"/>
      <w:divBdr>
        <w:top w:val="none" w:sz="0" w:space="0" w:color="auto"/>
        <w:left w:val="none" w:sz="0" w:space="0" w:color="auto"/>
        <w:bottom w:val="none" w:sz="0" w:space="0" w:color="auto"/>
        <w:right w:val="none" w:sz="0" w:space="0" w:color="auto"/>
      </w:divBdr>
    </w:div>
    <w:div w:id="1385253156">
      <w:bodyDiv w:val="1"/>
      <w:marLeft w:val="0"/>
      <w:marRight w:val="0"/>
      <w:marTop w:val="0"/>
      <w:marBottom w:val="0"/>
      <w:divBdr>
        <w:top w:val="none" w:sz="0" w:space="0" w:color="auto"/>
        <w:left w:val="none" w:sz="0" w:space="0" w:color="auto"/>
        <w:bottom w:val="none" w:sz="0" w:space="0" w:color="auto"/>
        <w:right w:val="none" w:sz="0" w:space="0" w:color="auto"/>
      </w:divBdr>
    </w:div>
    <w:div w:id="1807696107">
      <w:bodyDiv w:val="1"/>
      <w:marLeft w:val="0"/>
      <w:marRight w:val="0"/>
      <w:marTop w:val="0"/>
      <w:marBottom w:val="0"/>
      <w:divBdr>
        <w:top w:val="none" w:sz="0" w:space="0" w:color="auto"/>
        <w:left w:val="none" w:sz="0" w:space="0" w:color="auto"/>
        <w:bottom w:val="none" w:sz="0" w:space="0" w:color="auto"/>
        <w:right w:val="none" w:sz="0" w:space="0" w:color="auto"/>
      </w:divBdr>
    </w:div>
    <w:div w:id="1828667935">
      <w:bodyDiv w:val="1"/>
      <w:marLeft w:val="0"/>
      <w:marRight w:val="0"/>
      <w:marTop w:val="0"/>
      <w:marBottom w:val="0"/>
      <w:divBdr>
        <w:top w:val="none" w:sz="0" w:space="0" w:color="auto"/>
        <w:left w:val="none" w:sz="0" w:space="0" w:color="auto"/>
        <w:bottom w:val="none" w:sz="0" w:space="0" w:color="auto"/>
        <w:right w:val="none" w:sz="0" w:space="0" w:color="auto"/>
      </w:divBdr>
    </w:div>
    <w:div w:id="1874029157">
      <w:bodyDiv w:val="1"/>
      <w:marLeft w:val="0"/>
      <w:marRight w:val="0"/>
      <w:marTop w:val="0"/>
      <w:marBottom w:val="0"/>
      <w:divBdr>
        <w:top w:val="none" w:sz="0" w:space="0" w:color="auto"/>
        <w:left w:val="none" w:sz="0" w:space="0" w:color="auto"/>
        <w:bottom w:val="none" w:sz="0" w:space="0" w:color="auto"/>
        <w:right w:val="none" w:sz="0" w:space="0" w:color="auto"/>
      </w:divBdr>
    </w:div>
    <w:div w:id="1972906787">
      <w:bodyDiv w:val="1"/>
      <w:marLeft w:val="0"/>
      <w:marRight w:val="0"/>
      <w:marTop w:val="0"/>
      <w:marBottom w:val="0"/>
      <w:divBdr>
        <w:top w:val="none" w:sz="0" w:space="0" w:color="auto"/>
        <w:left w:val="none" w:sz="0" w:space="0" w:color="auto"/>
        <w:bottom w:val="none" w:sz="0" w:space="0" w:color="auto"/>
        <w:right w:val="none" w:sz="0" w:space="0" w:color="auto"/>
      </w:divBdr>
    </w:div>
    <w:div w:id="1981693709">
      <w:bodyDiv w:val="1"/>
      <w:marLeft w:val="0"/>
      <w:marRight w:val="0"/>
      <w:marTop w:val="0"/>
      <w:marBottom w:val="0"/>
      <w:divBdr>
        <w:top w:val="none" w:sz="0" w:space="0" w:color="auto"/>
        <w:left w:val="none" w:sz="0" w:space="0" w:color="auto"/>
        <w:bottom w:val="none" w:sz="0" w:space="0" w:color="auto"/>
        <w:right w:val="none" w:sz="0" w:space="0" w:color="auto"/>
      </w:divBdr>
    </w:div>
    <w:div w:id="2082555337">
      <w:bodyDiv w:val="1"/>
      <w:marLeft w:val="0"/>
      <w:marRight w:val="0"/>
      <w:marTop w:val="0"/>
      <w:marBottom w:val="0"/>
      <w:divBdr>
        <w:top w:val="none" w:sz="0" w:space="0" w:color="auto"/>
        <w:left w:val="none" w:sz="0" w:space="0" w:color="auto"/>
        <w:bottom w:val="none" w:sz="0" w:space="0" w:color="auto"/>
        <w:right w:val="none" w:sz="0" w:space="0" w:color="auto"/>
      </w:divBdr>
    </w:div>
    <w:div w:id="209389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tinroll.com/resources/articles/strategy/shangri-la-hotels-resorts/" TargetMode="External"/><Relationship Id="rId18" Type="http://schemas.openxmlformats.org/officeDocument/2006/relationships/hyperlink" Target="https://journals.plos.org/plosone/article" TargetMode="External"/><Relationship Id="rId3" Type="http://schemas.microsoft.com/office/2007/relationships/stylesWithEffects" Target="stylesWithEffects.xml"/><Relationship Id="rId21" Type="http://schemas.openxmlformats.org/officeDocument/2006/relationships/hyperlink" Target="https://www.whitbread.co.uk/investors/reports/"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oecd.org/industry/tourism/oecd-tourism-trends-and-policies-2022.htm" TargetMode="External"/><Relationship Id="rId2" Type="http://schemas.openxmlformats.org/officeDocument/2006/relationships/styles" Target="styles.xml"/><Relationship Id="rId16" Type="http://schemas.openxmlformats.org/officeDocument/2006/relationships/hyperlink" Target="https://www.mingtiandi.com" TargetMode="External"/><Relationship Id="rId20" Type="http://schemas.openxmlformats.org/officeDocument/2006/relationships/hyperlink" Target="https://www.unwto.org/news/tourism-on-track-for-full-recovery-as-new-data-shows-strong-start-to-2023"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keting91.com/" TargetMode="Externa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scholarworks.waldenu.edu"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mbaskool.com/" TargetMode="External"/><Relationship Id="rId22" Type="http://schemas.openxmlformats.org/officeDocument/2006/relationships/hyperlink" Target="http://www.mckinsey.com" TargetMode="Externa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H:\Saj&#225;t%20meghajt&#243;\IQFactory\Hotelelemz&#233;s\Analysi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H:\Saj&#225;t%20meghajt&#243;\IQFactory\Hotelelemz&#233;s\Analysis.xlsx" TargetMode="Externa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file:///H:\Saj&#225;t%20meghajt&#243;\IQFactory\Hotelelemz&#233;s\Analysi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H:\Saj&#225;t%20meghajt&#243;\IQFactory\Hotelelemz&#233;s\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0"/>
    <c:plotArea>
      <c:layout/>
      <c:barChart>
        <c:barDir val="col"/>
        <c:grouping val="stacked"/>
        <c:varyColors val="0"/>
        <c:ser>
          <c:idx val="0"/>
          <c:order val="0"/>
          <c:tx>
            <c:v>Hotel Properties</c:v>
          </c:tx>
          <c:spPr>
            <a:solidFill>
              <a:schemeClr val="accent4">
                <a:tint val="65000"/>
              </a:schemeClr>
            </a:solidFill>
            <a:ln>
              <a:noFill/>
            </a:ln>
            <a:effectLst/>
          </c:spPr>
          <c:invertIfNegative val="0"/>
          <c:cat>
            <c:numRef>
              <c:f>Segment_Revenue_by_Category!$A$2:$A$7</c:f>
              <c:numCache>
                <c:formatCode>General</c:formatCode>
                <c:ptCount val="6"/>
                <c:pt idx="0">
                  <c:v>2023</c:v>
                </c:pt>
                <c:pt idx="1">
                  <c:v>2022</c:v>
                </c:pt>
                <c:pt idx="2">
                  <c:v>2021</c:v>
                </c:pt>
                <c:pt idx="3">
                  <c:v>2020</c:v>
                </c:pt>
                <c:pt idx="4">
                  <c:v>2019</c:v>
                </c:pt>
                <c:pt idx="5">
                  <c:v>2018</c:v>
                </c:pt>
              </c:numCache>
            </c:numRef>
          </c:cat>
          <c:val>
            <c:numRef>
              <c:f>Segment_Revenue_by_Category!$B$2:$B$7</c:f>
              <c:numCache>
                <c:formatCode>General</c:formatCode>
                <c:ptCount val="6"/>
                <c:pt idx="0">
                  <c:v>2021</c:v>
                </c:pt>
                <c:pt idx="1">
                  <c:v>1340</c:v>
                </c:pt>
                <c:pt idx="2">
                  <c:v>1121</c:v>
                </c:pt>
                <c:pt idx="3">
                  <c:v>915</c:v>
                </c:pt>
                <c:pt idx="4">
                  <c:v>2173</c:v>
                </c:pt>
                <c:pt idx="5">
                  <c:v>2307</c:v>
                </c:pt>
              </c:numCache>
            </c:numRef>
          </c:val>
          <c:extLst xmlns:c16r2="http://schemas.microsoft.com/office/drawing/2015/06/chart">
            <c:ext xmlns:c16="http://schemas.microsoft.com/office/drawing/2014/chart" uri="{C3380CC4-5D6E-409C-BE32-E72D297353CC}">
              <c16:uniqueId val="{00000000-38A8-49A4-8169-AAA9D7365CAE}"/>
            </c:ext>
          </c:extLst>
        </c:ser>
        <c:ser>
          <c:idx val="1"/>
          <c:order val="1"/>
          <c:tx>
            <c:v>Investment Properties</c:v>
          </c:tx>
          <c:spPr>
            <a:solidFill>
              <a:schemeClr val="accent4"/>
            </a:solidFill>
            <a:ln>
              <a:noFill/>
            </a:ln>
            <a:effectLst/>
          </c:spPr>
          <c:invertIfNegative val="0"/>
          <c:cat>
            <c:numRef>
              <c:f>Segment_Revenue_by_Category!$A$2:$A$7</c:f>
              <c:numCache>
                <c:formatCode>General</c:formatCode>
                <c:ptCount val="6"/>
                <c:pt idx="0">
                  <c:v>2023</c:v>
                </c:pt>
                <c:pt idx="1">
                  <c:v>2022</c:v>
                </c:pt>
                <c:pt idx="2">
                  <c:v>2021</c:v>
                </c:pt>
                <c:pt idx="3">
                  <c:v>2020</c:v>
                </c:pt>
                <c:pt idx="4">
                  <c:v>2019</c:v>
                </c:pt>
                <c:pt idx="5">
                  <c:v>2018</c:v>
                </c:pt>
              </c:numCache>
            </c:numRef>
          </c:cat>
          <c:val>
            <c:numRef>
              <c:f>Segment_Revenue_by_Category!$C$2:$C$7</c:f>
              <c:numCache>
                <c:formatCode>General</c:formatCode>
                <c:ptCount val="6"/>
                <c:pt idx="0">
                  <c:v>108</c:v>
                </c:pt>
                <c:pt idx="1">
                  <c:v>100</c:v>
                </c:pt>
                <c:pt idx="2">
                  <c:v>94</c:v>
                </c:pt>
                <c:pt idx="3">
                  <c:v>90</c:v>
                </c:pt>
                <c:pt idx="4">
                  <c:v>92</c:v>
                </c:pt>
                <c:pt idx="5">
                  <c:v>83</c:v>
                </c:pt>
              </c:numCache>
            </c:numRef>
          </c:val>
          <c:extLst xmlns:c16r2="http://schemas.microsoft.com/office/drawing/2015/06/chart">
            <c:ext xmlns:c16="http://schemas.microsoft.com/office/drawing/2014/chart" uri="{C3380CC4-5D6E-409C-BE32-E72D297353CC}">
              <c16:uniqueId val="{00000001-38A8-49A4-8169-AAA9D7365CAE}"/>
            </c:ext>
          </c:extLst>
        </c:ser>
        <c:ser>
          <c:idx val="2"/>
          <c:order val="2"/>
          <c:tx>
            <c:v>Property Development for Sale &amp; Other Business</c:v>
          </c:tx>
          <c:spPr>
            <a:solidFill>
              <a:schemeClr val="accent4">
                <a:shade val="65000"/>
              </a:schemeClr>
            </a:solidFill>
            <a:ln>
              <a:noFill/>
            </a:ln>
            <a:effectLst/>
          </c:spPr>
          <c:invertIfNegative val="0"/>
          <c:cat>
            <c:numRef>
              <c:f>Segment_Revenue_by_Category!$A$2:$A$7</c:f>
              <c:numCache>
                <c:formatCode>General</c:formatCode>
                <c:ptCount val="6"/>
                <c:pt idx="0">
                  <c:v>2023</c:v>
                </c:pt>
                <c:pt idx="1">
                  <c:v>2022</c:v>
                </c:pt>
                <c:pt idx="2">
                  <c:v>2021</c:v>
                </c:pt>
                <c:pt idx="3">
                  <c:v>2020</c:v>
                </c:pt>
                <c:pt idx="4">
                  <c:v>2019</c:v>
                </c:pt>
                <c:pt idx="5">
                  <c:v>2018</c:v>
                </c:pt>
              </c:numCache>
            </c:numRef>
          </c:cat>
          <c:val>
            <c:numRef>
              <c:f>Segment_Revenue_by_Category!$D$2:$D$7</c:f>
              <c:numCache>
                <c:formatCode>General</c:formatCode>
                <c:ptCount val="6"/>
                <c:pt idx="0">
                  <c:v>13</c:v>
                </c:pt>
                <c:pt idx="1">
                  <c:v>22</c:v>
                </c:pt>
                <c:pt idx="2">
                  <c:v>26</c:v>
                </c:pt>
                <c:pt idx="3">
                  <c:v>28</c:v>
                </c:pt>
                <c:pt idx="4">
                  <c:v>166</c:v>
                </c:pt>
                <c:pt idx="5">
                  <c:v>128</c:v>
                </c:pt>
              </c:numCache>
            </c:numRef>
          </c:val>
          <c:extLst xmlns:c16r2="http://schemas.microsoft.com/office/drawing/2015/06/chart">
            <c:ext xmlns:c16="http://schemas.microsoft.com/office/drawing/2014/chart" uri="{C3380CC4-5D6E-409C-BE32-E72D297353CC}">
              <c16:uniqueId val="{00000002-38A8-49A4-8169-AAA9D7365CAE}"/>
            </c:ext>
          </c:extLst>
        </c:ser>
        <c:dLbls>
          <c:showLegendKey val="0"/>
          <c:showVal val="0"/>
          <c:showCatName val="0"/>
          <c:showSerName val="0"/>
          <c:showPercent val="0"/>
          <c:showBubbleSize val="0"/>
        </c:dLbls>
        <c:gapWidth val="150"/>
        <c:overlap val="100"/>
        <c:axId val="228102912"/>
        <c:axId val="228104832"/>
      </c:barChart>
      <c:catAx>
        <c:axId val="228102912"/>
        <c:scaling>
          <c:orientation val="maxMin"/>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a:t>Financial year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104832"/>
        <c:crosses val="autoZero"/>
        <c:auto val="1"/>
        <c:lblAlgn val="ctr"/>
        <c:lblOffset val="100"/>
        <c:noMultiLvlLbl val="0"/>
      </c:catAx>
      <c:valAx>
        <c:axId val="228104832"/>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sz="1000" b="0" i="0" u="none" strike="noStrike" baseline="0"/>
                  <a:t>Segment Revenue by Category </a:t>
                </a:r>
              </a:p>
              <a:p>
                <a:pPr>
                  <a:defRPr sz="1000" b="0" i="0" u="none" strike="noStrike" kern="1200" baseline="0">
                    <a:solidFill>
                      <a:schemeClr val="tx1">
                        <a:lumMod val="65000"/>
                        <a:lumOff val="35000"/>
                      </a:schemeClr>
                    </a:solidFill>
                    <a:latin typeface="+mn-lt"/>
                    <a:ea typeface="+mn-ea"/>
                    <a:cs typeface="+mn-cs"/>
                  </a:defRPr>
                </a:pPr>
                <a:r>
                  <a:rPr lang="hu-HU" sz="1000" b="0" i="0" u="none" strike="noStrike" baseline="0"/>
                  <a:t>(USD Million)</a:t>
                </a:r>
                <a:endParaRPr lang="hu-HU"/>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1029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0"/>
          <c:tx>
            <c:v>Occupancy rates</c:v>
          </c:tx>
          <c:spPr>
            <a:solidFill>
              <a:schemeClr val="accent2"/>
            </a:solidFill>
            <a:ln>
              <a:noFill/>
            </a:ln>
            <a:effectLst/>
          </c:spPr>
          <c:invertIfNegative val="0"/>
          <c:cat>
            <c:numRef>
              <c:f>Segment_Revenue_by_Category!$B$22:$G$22</c:f>
              <c:numCache>
                <c:formatCode>General</c:formatCode>
                <c:ptCount val="6"/>
                <c:pt idx="0">
                  <c:v>2018</c:v>
                </c:pt>
                <c:pt idx="1">
                  <c:v>2019</c:v>
                </c:pt>
                <c:pt idx="2">
                  <c:v>2020</c:v>
                </c:pt>
                <c:pt idx="3">
                  <c:v>2021</c:v>
                </c:pt>
                <c:pt idx="4">
                  <c:v>2022</c:v>
                </c:pt>
                <c:pt idx="5">
                  <c:v>2023</c:v>
                </c:pt>
              </c:numCache>
            </c:numRef>
          </c:cat>
          <c:val>
            <c:numRef>
              <c:f>Segment_Revenue_by_Category!$B$23:$G$23</c:f>
              <c:numCache>
                <c:formatCode>General</c:formatCode>
                <c:ptCount val="6"/>
                <c:pt idx="0">
                  <c:v>68</c:v>
                </c:pt>
                <c:pt idx="1">
                  <c:v>68</c:v>
                </c:pt>
                <c:pt idx="2">
                  <c:v>33</c:v>
                </c:pt>
                <c:pt idx="3">
                  <c:v>39</c:v>
                </c:pt>
                <c:pt idx="4">
                  <c:v>42</c:v>
                </c:pt>
                <c:pt idx="5">
                  <c:v>62</c:v>
                </c:pt>
              </c:numCache>
            </c:numRef>
          </c:val>
          <c:extLst xmlns:c16r2="http://schemas.microsoft.com/office/drawing/2015/06/chart">
            <c:ext xmlns:c16="http://schemas.microsoft.com/office/drawing/2014/chart" uri="{C3380CC4-5D6E-409C-BE32-E72D297353CC}">
              <c16:uniqueId val="{00000000-5CF8-48A5-A9C6-1BB7661F497B}"/>
            </c:ext>
          </c:extLst>
        </c:ser>
        <c:dLbls>
          <c:showLegendKey val="0"/>
          <c:showVal val="0"/>
          <c:showCatName val="0"/>
          <c:showSerName val="0"/>
          <c:showPercent val="0"/>
          <c:showBubbleSize val="0"/>
        </c:dLbls>
        <c:gapWidth val="150"/>
        <c:axId val="225729536"/>
        <c:axId val="225735424"/>
        <c:extLst xmlns:c16r2="http://schemas.microsoft.com/office/drawing/2015/06/chart">
          <c:ext xmlns:c15="http://schemas.microsoft.com/office/drawing/2012/chart" uri="{02D57815-91ED-43cb-92C2-25804820EDAC}">
            <c15:filteredBarSeries>
              <c15:ser>
                <c:idx val="0"/>
                <c:order val="0"/>
                <c:spPr>
                  <a:solidFill>
                    <a:schemeClr val="accent1"/>
                  </a:solidFill>
                  <a:ln>
                    <a:noFill/>
                  </a:ln>
                  <a:effectLst/>
                </c:spPr>
                <c:invertIfNegative val="0"/>
                <c:cat>
                  <c:numRef>
                    <c:extLst>
                      <c:ext uri="{02D57815-91ED-43cb-92C2-25804820EDAC}">
                        <c15:formulaRef>
                          <c15:sqref>Segment_Revenue_by_Category!$B$22:$G$22</c15:sqref>
                        </c15:formulaRef>
                      </c:ext>
                    </c:extLst>
                    <c:numCache>
                      <c:formatCode>General</c:formatCode>
                      <c:ptCount val="6"/>
                      <c:pt idx="0">
                        <c:v>2018</c:v>
                      </c:pt>
                      <c:pt idx="1">
                        <c:v>2019</c:v>
                      </c:pt>
                      <c:pt idx="2">
                        <c:v>2020</c:v>
                      </c:pt>
                      <c:pt idx="3">
                        <c:v>2021</c:v>
                      </c:pt>
                      <c:pt idx="4">
                        <c:v>2022</c:v>
                      </c:pt>
                      <c:pt idx="5">
                        <c:v>2023</c:v>
                      </c:pt>
                    </c:numCache>
                  </c:numRef>
                </c:cat>
                <c:val>
                  <c:numRef>
                    <c:extLst>
                      <c:ext uri="{02D57815-91ED-43cb-92C2-25804820EDAC}">
                        <c15:formulaRef>
                          <c15:sqref>Segment_Revenue_by_Category!$B$22:$G$22</c15:sqref>
                        </c15:formulaRef>
                      </c:ext>
                    </c:extLst>
                    <c:numCache>
                      <c:formatCode>General</c:formatCode>
                      <c:ptCount val="6"/>
                      <c:pt idx="0">
                        <c:v>2018</c:v>
                      </c:pt>
                      <c:pt idx="1">
                        <c:v>2019</c:v>
                      </c:pt>
                      <c:pt idx="2">
                        <c:v>2020</c:v>
                      </c:pt>
                      <c:pt idx="3">
                        <c:v>2021</c:v>
                      </c:pt>
                      <c:pt idx="4">
                        <c:v>2022</c:v>
                      </c:pt>
                      <c:pt idx="5">
                        <c:v>2023</c:v>
                      </c:pt>
                    </c:numCache>
                  </c:numRef>
                </c:val>
                <c:extLst>
                  <c:ext xmlns:c16="http://schemas.microsoft.com/office/drawing/2014/chart" uri="{C3380CC4-5D6E-409C-BE32-E72D297353CC}">
                    <c16:uniqueId val="{00000002-5CF8-48A5-A9C6-1BB7661F497B}"/>
                  </c:ext>
                </c:extLst>
              </c15:ser>
            </c15:filteredBarSeries>
          </c:ext>
        </c:extLst>
      </c:barChart>
      <c:lineChart>
        <c:grouping val="standard"/>
        <c:varyColors val="0"/>
        <c:ser>
          <c:idx val="2"/>
          <c:order val="1"/>
          <c:tx>
            <c:v>Room prices (USD)</c:v>
          </c:tx>
          <c:spPr>
            <a:ln w="28575" cap="rnd">
              <a:solidFill>
                <a:schemeClr val="accent3"/>
              </a:solidFill>
              <a:round/>
            </a:ln>
            <a:effectLst/>
          </c:spPr>
          <c:marker>
            <c:symbol val="none"/>
          </c:marker>
          <c:val>
            <c:numRef>
              <c:f>Segment_Revenue_by_Category!$B$24:$G$24</c:f>
              <c:numCache>
                <c:formatCode>General</c:formatCode>
                <c:ptCount val="6"/>
                <c:pt idx="0">
                  <c:v>169</c:v>
                </c:pt>
                <c:pt idx="1">
                  <c:v>162</c:v>
                </c:pt>
                <c:pt idx="2">
                  <c:v>121</c:v>
                </c:pt>
                <c:pt idx="3">
                  <c:v>130</c:v>
                </c:pt>
                <c:pt idx="4">
                  <c:v>155</c:v>
                </c:pt>
                <c:pt idx="5">
                  <c:v>173</c:v>
                </c:pt>
              </c:numCache>
            </c:numRef>
          </c:val>
          <c:smooth val="0"/>
          <c:extLst xmlns:c16r2="http://schemas.microsoft.com/office/drawing/2015/06/chart">
            <c:ext xmlns:c16="http://schemas.microsoft.com/office/drawing/2014/chart" uri="{C3380CC4-5D6E-409C-BE32-E72D297353CC}">
              <c16:uniqueId val="{00000001-5CF8-48A5-A9C6-1BB7661F497B}"/>
            </c:ext>
          </c:extLst>
        </c:ser>
        <c:dLbls>
          <c:showLegendKey val="0"/>
          <c:showVal val="0"/>
          <c:showCatName val="0"/>
          <c:showSerName val="0"/>
          <c:showPercent val="0"/>
          <c:showBubbleSize val="0"/>
        </c:dLbls>
        <c:marker val="1"/>
        <c:smooth val="0"/>
        <c:axId val="225739520"/>
        <c:axId val="225737344"/>
      </c:lineChart>
      <c:catAx>
        <c:axId val="225729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735424"/>
        <c:crosses val="autoZero"/>
        <c:auto val="1"/>
        <c:lblAlgn val="ctr"/>
        <c:lblOffset val="100"/>
        <c:noMultiLvlLbl val="0"/>
      </c:catAx>
      <c:valAx>
        <c:axId val="225735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a:t>Occupancy rate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729536"/>
        <c:crosses val="autoZero"/>
        <c:crossBetween val="between"/>
      </c:valAx>
      <c:valAx>
        <c:axId val="22573734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a:t>Room</a:t>
                </a:r>
                <a:r>
                  <a:rPr lang="hu-HU" baseline="0"/>
                  <a:t> Prices (USD)</a:t>
                </a:r>
                <a:endParaRPr lang="hu-HU"/>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739520"/>
        <c:crosses val="max"/>
        <c:crossBetween val="between"/>
      </c:valAx>
      <c:catAx>
        <c:axId val="225739520"/>
        <c:scaling>
          <c:orientation val="minMax"/>
        </c:scaling>
        <c:delete val="1"/>
        <c:axPos val="b"/>
        <c:majorTickMark val="none"/>
        <c:minorTickMark val="none"/>
        <c:tickLblPos val="nextTo"/>
        <c:crossAx val="2257373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0"/>
    <c:plotArea>
      <c:layout/>
      <c:barChart>
        <c:barDir val="col"/>
        <c:grouping val="stacked"/>
        <c:varyColors val="0"/>
        <c:ser>
          <c:idx val="1"/>
          <c:order val="0"/>
          <c:tx>
            <c:strRef>
              <c:f>Segment_Revenue_by_Category!$B$45</c:f>
              <c:strCache>
                <c:ptCount val="1"/>
                <c:pt idx="0">
                  <c:v>UK Market (GBP Million)</c:v>
                </c:pt>
              </c:strCache>
            </c:strRef>
          </c:tx>
          <c:spPr>
            <a:solidFill>
              <a:schemeClr val="accent4"/>
            </a:solidFill>
            <a:ln>
              <a:noFill/>
            </a:ln>
            <a:effectLst/>
          </c:spPr>
          <c:invertIfNegative val="0"/>
          <c:cat>
            <c:numRef>
              <c:f>Segment_Revenue_by_Category!$A$46:$A$51</c:f>
              <c:numCache>
                <c:formatCode>General</c:formatCode>
                <c:ptCount val="6"/>
                <c:pt idx="0">
                  <c:v>2023</c:v>
                </c:pt>
                <c:pt idx="1">
                  <c:v>2022</c:v>
                </c:pt>
                <c:pt idx="2">
                  <c:v>2021</c:v>
                </c:pt>
                <c:pt idx="3">
                  <c:v>2020</c:v>
                </c:pt>
                <c:pt idx="4">
                  <c:v>2019</c:v>
                </c:pt>
                <c:pt idx="5">
                  <c:v>2018</c:v>
                </c:pt>
              </c:numCache>
            </c:numRef>
          </c:cat>
          <c:val>
            <c:numRef>
              <c:f>Segment_Revenue_by_Category!$B$46:$B$51</c:f>
              <c:numCache>
                <c:formatCode>General</c:formatCode>
                <c:ptCount val="6"/>
                <c:pt idx="0">
                  <c:v>2508</c:v>
                </c:pt>
                <c:pt idx="1">
                  <c:v>1668</c:v>
                </c:pt>
                <c:pt idx="2">
                  <c:v>577</c:v>
                </c:pt>
                <c:pt idx="3">
                  <c:v>2050</c:v>
                </c:pt>
                <c:pt idx="4">
                  <c:v>2042</c:v>
                </c:pt>
                <c:pt idx="5">
                  <c:v>2000</c:v>
                </c:pt>
              </c:numCache>
            </c:numRef>
          </c:val>
          <c:extLst xmlns:c16r2="http://schemas.microsoft.com/office/drawing/2015/06/chart">
            <c:ext xmlns:c16="http://schemas.microsoft.com/office/drawing/2014/chart" uri="{C3380CC4-5D6E-409C-BE32-E72D297353CC}">
              <c16:uniqueId val="{00000000-3399-4C04-A869-F5B88DFE48F8}"/>
            </c:ext>
          </c:extLst>
        </c:ser>
        <c:ser>
          <c:idx val="2"/>
          <c:order val="1"/>
          <c:tx>
            <c:strRef>
              <c:f>Segment_Revenue_by_Category!$C$45</c:f>
              <c:strCache>
                <c:ptCount val="1"/>
                <c:pt idx="0">
                  <c:v>German Market (GBP Million)</c:v>
                </c:pt>
              </c:strCache>
            </c:strRef>
          </c:tx>
          <c:spPr>
            <a:solidFill>
              <a:schemeClr val="accent4">
                <a:shade val="65000"/>
              </a:schemeClr>
            </a:solidFill>
            <a:ln>
              <a:noFill/>
            </a:ln>
            <a:effectLst/>
          </c:spPr>
          <c:invertIfNegative val="0"/>
          <c:cat>
            <c:numRef>
              <c:f>Segment_Revenue_by_Category!$A$46:$A$51</c:f>
              <c:numCache>
                <c:formatCode>General</c:formatCode>
                <c:ptCount val="6"/>
                <c:pt idx="0">
                  <c:v>2023</c:v>
                </c:pt>
                <c:pt idx="1">
                  <c:v>2022</c:v>
                </c:pt>
                <c:pt idx="2">
                  <c:v>2021</c:v>
                </c:pt>
                <c:pt idx="3">
                  <c:v>2020</c:v>
                </c:pt>
                <c:pt idx="4">
                  <c:v>2019</c:v>
                </c:pt>
                <c:pt idx="5">
                  <c:v>2018</c:v>
                </c:pt>
              </c:numCache>
            </c:numRef>
          </c:cat>
          <c:val>
            <c:numRef>
              <c:f>Segment_Revenue_by_Category!$C$46:$C$51</c:f>
              <c:numCache>
                <c:formatCode>General</c:formatCode>
                <c:ptCount val="6"/>
                <c:pt idx="0">
                  <c:v>118</c:v>
                </c:pt>
                <c:pt idx="1">
                  <c:v>35</c:v>
                </c:pt>
                <c:pt idx="2">
                  <c:v>11.5</c:v>
                </c:pt>
                <c:pt idx="3">
                  <c:v>11.8</c:v>
                </c:pt>
                <c:pt idx="4">
                  <c:v>5</c:v>
                </c:pt>
                <c:pt idx="5">
                  <c:v>4</c:v>
                </c:pt>
              </c:numCache>
            </c:numRef>
          </c:val>
          <c:extLst xmlns:c16r2="http://schemas.microsoft.com/office/drawing/2015/06/chart">
            <c:ext xmlns:c16="http://schemas.microsoft.com/office/drawing/2014/chart" uri="{C3380CC4-5D6E-409C-BE32-E72D297353CC}">
              <c16:uniqueId val="{00000001-3399-4C04-A869-F5B88DFE48F8}"/>
            </c:ext>
          </c:extLst>
        </c:ser>
        <c:dLbls>
          <c:showLegendKey val="0"/>
          <c:showVal val="0"/>
          <c:showCatName val="0"/>
          <c:showSerName val="0"/>
          <c:showPercent val="0"/>
          <c:showBubbleSize val="0"/>
        </c:dLbls>
        <c:gapWidth val="150"/>
        <c:overlap val="100"/>
        <c:axId val="170477440"/>
        <c:axId val="170512384"/>
      </c:barChart>
      <c:catAx>
        <c:axId val="170477440"/>
        <c:scaling>
          <c:orientation val="maxMin"/>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a:t>Financial year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512384"/>
        <c:crosses val="autoZero"/>
        <c:auto val="1"/>
        <c:lblAlgn val="ctr"/>
        <c:lblOffset val="100"/>
        <c:noMultiLvlLbl val="0"/>
      </c:catAx>
      <c:valAx>
        <c:axId val="170512384"/>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sz="1000" b="0" i="0" u="none" strike="noStrike" baseline="0"/>
                  <a:t>Segment Revenue by Category </a:t>
                </a:r>
              </a:p>
              <a:p>
                <a:pPr>
                  <a:defRPr sz="1000" b="0" i="0" u="none" strike="noStrike" kern="1200" baseline="0">
                    <a:solidFill>
                      <a:schemeClr val="tx1">
                        <a:lumMod val="65000"/>
                        <a:lumOff val="35000"/>
                      </a:schemeClr>
                    </a:solidFill>
                    <a:latin typeface="+mn-lt"/>
                    <a:ea typeface="+mn-ea"/>
                    <a:cs typeface="+mn-cs"/>
                  </a:defRPr>
                </a:pPr>
                <a:r>
                  <a:rPr lang="hu-HU" sz="1000" b="0" i="0" u="none" strike="noStrike" baseline="0"/>
                  <a:t>(GBP Million)</a:t>
                </a:r>
                <a:endParaRPr lang="hu-HU"/>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47744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Occupancy rates</c:v>
          </c:tx>
          <c:spPr>
            <a:solidFill>
              <a:schemeClr val="accent2"/>
            </a:solidFill>
            <a:ln>
              <a:noFill/>
            </a:ln>
            <a:effectLst/>
          </c:spPr>
          <c:invertIfNegative val="0"/>
          <c:cat>
            <c:numRef>
              <c:f>Segment_Revenue_by_Category!$B$71:$G$71</c:f>
              <c:numCache>
                <c:formatCode>General</c:formatCode>
                <c:ptCount val="6"/>
                <c:pt idx="0">
                  <c:v>2018</c:v>
                </c:pt>
                <c:pt idx="1">
                  <c:v>2019</c:v>
                </c:pt>
                <c:pt idx="2">
                  <c:v>2020</c:v>
                </c:pt>
                <c:pt idx="3">
                  <c:v>2021</c:v>
                </c:pt>
                <c:pt idx="4">
                  <c:v>2022</c:v>
                </c:pt>
                <c:pt idx="5">
                  <c:v>2023</c:v>
                </c:pt>
              </c:numCache>
            </c:numRef>
          </c:cat>
          <c:val>
            <c:numRef>
              <c:f>Segment_Revenue_by_Category!$B$72:$G$72</c:f>
              <c:numCache>
                <c:formatCode>General</c:formatCode>
                <c:ptCount val="6"/>
                <c:pt idx="0">
                  <c:v>79</c:v>
                </c:pt>
                <c:pt idx="1">
                  <c:v>78</c:v>
                </c:pt>
                <c:pt idx="2">
                  <c:v>76</c:v>
                </c:pt>
                <c:pt idx="3">
                  <c:v>29</c:v>
                </c:pt>
                <c:pt idx="4">
                  <c:v>68</c:v>
                </c:pt>
                <c:pt idx="5">
                  <c:v>82</c:v>
                </c:pt>
              </c:numCache>
            </c:numRef>
          </c:val>
          <c:extLst xmlns:c16r2="http://schemas.microsoft.com/office/drawing/2015/06/chart">
            <c:ext xmlns:c16="http://schemas.microsoft.com/office/drawing/2014/chart" uri="{C3380CC4-5D6E-409C-BE32-E72D297353CC}">
              <c16:uniqueId val="{00000000-2416-45CD-A714-FF2A9BD83CA2}"/>
            </c:ext>
          </c:extLst>
        </c:ser>
        <c:dLbls>
          <c:showLegendKey val="0"/>
          <c:showVal val="0"/>
          <c:showCatName val="0"/>
          <c:showSerName val="0"/>
          <c:showPercent val="0"/>
          <c:showBubbleSize val="0"/>
        </c:dLbls>
        <c:gapWidth val="150"/>
        <c:axId val="228229504"/>
        <c:axId val="228231040"/>
      </c:barChart>
      <c:lineChart>
        <c:grouping val="standard"/>
        <c:varyColors val="0"/>
        <c:ser>
          <c:idx val="1"/>
          <c:order val="1"/>
          <c:tx>
            <c:v>Room prices (GBP)</c:v>
          </c:tx>
          <c:spPr>
            <a:ln w="28575" cap="rnd">
              <a:solidFill>
                <a:schemeClr val="accent4"/>
              </a:solidFill>
              <a:round/>
            </a:ln>
            <a:effectLst/>
          </c:spPr>
          <c:marker>
            <c:symbol val="none"/>
          </c:marker>
          <c:val>
            <c:numRef>
              <c:f>Segment_Revenue_by_Category!$B$73:$G$73</c:f>
              <c:numCache>
                <c:formatCode>General</c:formatCode>
                <c:ptCount val="6"/>
                <c:pt idx="0">
                  <c:v>63</c:v>
                </c:pt>
                <c:pt idx="1">
                  <c:v>63</c:v>
                </c:pt>
                <c:pt idx="2">
                  <c:v>61</c:v>
                </c:pt>
                <c:pt idx="3">
                  <c:v>46</c:v>
                </c:pt>
                <c:pt idx="4">
                  <c:v>57</c:v>
                </c:pt>
                <c:pt idx="5">
                  <c:v>72</c:v>
                </c:pt>
              </c:numCache>
            </c:numRef>
          </c:val>
          <c:smooth val="0"/>
          <c:extLst xmlns:c16r2="http://schemas.microsoft.com/office/drawing/2015/06/chart">
            <c:ext xmlns:c16="http://schemas.microsoft.com/office/drawing/2014/chart" uri="{C3380CC4-5D6E-409C-BE32-E72D297353CC}">
              <c16:uniqueId val="{00000001-2416-45CD-A714-FF2A9BD83CA2}"/>
            </c:ext>
          </c:extLst>
        </c:ser>
        <c:dLbls>
          <c:showLegendKey val="0"/>
          <c:showVal val="0"/>
          <c:showCatName val="0"/>
          <c:showSerName val="0"/>
          <c:showPercent val="0"/>
          <c:showBubbleSize val="0"/>
        </c:dLbls>
        <c:marker val="1"/>
        <c:smooth val="0"/>
        <c:axId val="228239232"/>
        <c:axId val="228237312"/>
      </c:lineChart>
      <c:catAx>
        <c:axId val="228229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31040"/>
        <c:crosses val="autoZero"/>
        <c:auto val="1"/>
        <c:lblAlgn val="ctr"/>
        <c:lblOffset val="100"/>
        <c:noMultiLvlLbl val="0"/>
      </c:catAx>
      <c:valAx>
        <c:axId val="228231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a:t>Occupancy rate</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29504"/>
        <c:crosses val="autoZero"/>
        <c:crossBetween val="between"/>
      </c:valAx>
      <c:valAx>
        <c:axId val="22823731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hu-HU"/>
                  <a:t>Room prices (GBP)</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39232"/>
        <c:crosses val="max"/>
        <c:crossBetween val="between"/>
      </c:valAx>
      <c:catAx>
        <c:axId val="228239232"/>
        <c:scaling>
          <c:orientation val="minMax"/>
        </c:scaling>
        <c:delete val="1"/>
        <c:axPos val="b"/>
        <c:majorTickMark val="none"/>
        <c:minorTickMark val="none"/>
        <c:tickLblPos val="nextTo"/>
        <c:crossAx val="22823731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drawings/_rels/drawing1.xml.rels><?xml version="1.0" encoding="UTF-8" standalone="yes"?>
<Relationships xmlns="http://schemas.openxmlformats.org/package/2006/relationships"><Relationship Id="rId1" Type="http://schemas.openxmlformats.org/officeDocument/2006/relationships/image" Target="../media/image2.png"/></Relationships>
</file>

<file path=word/drawings/_rels/drawing2.xml.rels><?xml version="1.0" encoding="UTF-8" standalone="yes"?>
<Relationships xmlns="http://schemas.openxmlformats.org/package/2006/relationships"><Relationship Id="rId1" Type="http://schemas.openxmlformats.org/officeDocument/2006/relationships/image" Target="../media/image3.jpeg"/></Relationships>
</file>

<file path=word/drawings/drawing1.xml><?xml version="1.0" encoding="utf-8"?>
<c:userShapes xmlns:c="http://schemas.openxmlformats.org/drawingml/2006/chart">
  <cdr:relSizeAnchor xmlns:cdr="http://schemas.openxmlformats.org/drawingml/2006/chartDrawing">
    <cdr:from>
      <cdr:x>0.03825</cdr:x>
      <cdr:y>0.12808</cdr:y>
    </cdr:from>
    <cdr:to>
      <cdr:x>0.31125</cdr:x>
      <cdr:y>0.49763</cdr:y>
    </cdr:to>
    <cdr:pic>
      <cdr:nvPicPr>
        <cdr:cNvPr id="2" name="Kép 1" descr="History behind The Shangri-La Hotel Brand | Dylan Donovan">
          <a:extLst xmlns:a="http://schemas.openxmlformats.org/drawingml/2006/main">
            <a:ext uri="{FF2B5EF4-FFF2-40B4-BE49-F238E27FC236}">
              <a16:creationId xmlns="" xmlns:a16="http://schemas.microsoft.com/office/drawing/2014/main" id="{C285AF5E-E5F8-A739-37D2-8756021457CB}"/>
            </a:ext>
          </a:extLst>
        </cdr:cNvPr>
        <cdr:cNvPicPr>
          <a:picLocks xmlns:a="http://schemas.openxmlformats.org/drawingml/2006/main" noChangeAspect="1" noChangeArrowheads="1"/>
        </cdr:cNvPicPr>
      </cdr:nvPicPr>
      <cdr:blipFill>
        <a:blip xmlns:a="http://schemas.openxmlformats.org/drawingml/2006/main" xmlns:r="http://schemas.openxmlformats.org/officeDocument/2006/relationships" r:embed="rId1" cstate="print">
          <a:extLst>
            <a:ext uri="{28A0092B-C50C-407E-A947-70E740481C1C}">
              <a14:useLocalDpi xmlns:a14="http://schemas.microsoft.com/office/drawing/2010/main" val="0"/>
            </a:ext>
          </a:extLst>
        </a:blip>
        <a:srcRect xmlns:a="http://schemas.openxmlformats.org/drawingml/2006/main"/>
        <a:stretch xmlns:a="http://schemas.openxmlformats.org/drawingml/2006/main">
          <a:fillRect/>
        </a:stretch>
      </cdr:blipFill>
      <cdr:spPr bwMode="auto">
        <a:xfrm xmlns:a="http://schemas.openxmlformats.org/drawingml/2006/main">
          <a:off x="186267" y="338668"/>
          <a:ext cx="1329267" cy="977141"/>
        </a:xfrm>
        <a:prstGeom xmlns:a="http://schemas.openxmlformats.org/drawingml/2006/main" prst="rect">
          <a:avLst/>
        </a:prstGeom>
        <a:noFill xmlns:a="http://schemas.openxmlformats.org/drawingml/2006/main"/>
        <a:extLst xmlns:a="http://schemas.openxmlformats.org/drawingml/2006/main">
          <a:ext uri="{909E8E84-426E-40DD-AFC4-6F175D3DCCD1}">
            <a14:hiddenFill xmlns:a14="http://schemas.microsoft.com/office/drawing/2010/main">
              <a:solidFill>
                <a:srgbClr val="FFFFFF"/>
              </a:solidFill>
            </a14:hiddenFill>
          </a:ext>
        </a:extLst>
      </cdr:spPr>
    </cdr:pic>
  </cdr:relSizeAnchor>
</c:userShapes>
</file>

<file path=word/drawings/drawing2.xml><?xml version="1.0" encoding="utf-8"?>
<c:userShapes xmlns:c="http://schemas.openxmlformats.org/drawingml/2006/chart">
  <cdr:relSizeAnchor xmlns:cdr="http://schemas.openxmlformats.org/drawingml/2006/chartDrawing">
    <cdr:from>
      <cdr:x>0.02157</cdr:x>
      <cdr:y>0.24946</cdr:y>
    </cdr:from>
    <cdr:to>
      <cdr:x>0.29891</cdr:x>
      <cdr:y>0.56038</cdr:y>
    </cdr:to>
    <cdr:pic>
      <cdr:nvPicPr>
        <cdr:cNvPr id="2" name="Kép 1" descr="Premier Inn Hotel Logo PNG vector in SVG, PDF, AI, CDR format">
          <a:extLst xmlns:a="http://schemas.openxmlformats.org/drawingml/2006/main">
            <a:ext uri="{FF2B5EF4-FFF2-40B4-BE49-F238E27FC236}">
              <a16:creationId xmlns="" xmlns:a16="http://schemas.microsoft.com/office/drawing/2014/main" id="{B126DC23-4AF8-E080-FB07-C5A5382B035E}"/>
            </a:ext>
          </a:extLst>
        </cdr:cNvPr>
        <cdr:cNvPicPr>
          <a:picLocks xmlns:a="http://schemas.openxmlformats.org/drawingml/2006/main" noChangeAspect="1" noChangeArrowheads="1"/>
        </cdr:cNvPicPr>
      </cdr:nvPicPr>
      <cdr:blipFill rotWithShape="1">
        <a:blip xmlns:a="http://schemas.openxmlformats.org/drawingml/2006/main" xmlns:r="http://schemas.openxmlformats.org/officeDocument/2006/relationships" r:embed="rId1" cstate="print">
          <a:extLst>
            <a:ext uri="{28A0092B-C50C-407E-A947-70E740481C1C}">
              <a14:useLocalDpi xmlns:a14="http://schemas.microsoft.com/office/drawing/2010/main" val="0"/>
            </a:ext>
          </a:extLst>
        </a:blip>
        <a:srcRect xmlns:a="http://schemas.openxmlformats.org/drawingml/2006/main" l="12682" t="15896" r="13158" b="17210"/>
        <a:stretch xmlns:a="http://schemas.openxmlformats.org/drawingml/2006/main"/>
      </cdr:blipFill>
      <cdr:spPr bwMode="auto">
        <a:xfrm xmlns:a="http://schemas.openxmlformats.org/drawingml/2006/main">
          <a:off x="118533" y="812800"/>
          <a:ext cx="1524244" cy="1013012"/>
        </a:xfrm>
        <a:prstGeom xmlns:a="http://schemas.openxmlformats.org/drawingml/2006/main" prst="rect">
          <a:avLst/>
        </a:prstGeom>
        <a:noFill xmlns:a="http://schemas.openxmlformats.org/drawingml/2006/main"/>
        <a:extLst xmlns:a="http://schemas.openxmlformats.org/drawingml/2006/main">
          <a:ext uri="{909E8E84-426E-40DD-AFC4-6F175D3DCCD1}">
            <a14:hiddenFill xmlns:a14="http://schemas.microsoft.com/office/drawing/2010/main">
              <a:solidFill>
                <a:srgbClr val="FFFFFF"/>
              </a:solidFill>
            </a14:hiddenFill>
          </a:ext>
        </a:extLst>
      </cdr:spPr>
    </cdr:pic>
  </cdr:relSizeAnchor>
</c:userShape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2926</Words>
  <Characters>16682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19569</CharactersWithSpaces>
  <SharedDoc>false</SharedDoc>
  <HLinks>
    <vt:vector size="78" baseType="variant">
      <vt:variant>
        <vt:i4>6029339</vt:i4>
      </vt:variant>
      <vt:variant>
        <vt:i4>36</vt:i4>
      </vt:variant>
      <vt:variant>
        <vt:i4>0</vt:i4>
      </vt:variant>
      <vt:variant>
        <vt:i4>5</vt:i4>
      </vt:variant>
      <vt:variant>
        <vt:lpwstr>https://www.whitbread.co.uk/</vt:lpwstr>
      </vt:variant>
      <vt:variant>
        <vt:lpwstr/>
      </vt:variant>
      <vt:variant>
        <vt:i4>7995513</vt:i4>
      </vt:variant>
      <vt:variant>
        <vt:i4>33</vt:i4>
      </vt:variant>
      <vt:variant>
        <vt:i4>0</vt:i4>
      </vt:variant>
      <vt:variant>
        <vt:i4>5</vt:i4>
      </vt:variant>
      <vt:variant>
        <vt:lpwstr>https://www.oecd.org/industry/tourism/oecd-tourism-trends-and-policies-2022.htm</vt:lpwstr>
      </vt:variant>
      <vt:variant>
        <vt:lpwstr/>
      </vt:variant>
      <vt:variant>
        <vt:i4>655368</vt:i4>
      </vt:variant>
      <vt:variant>
        <vt:i4>30</vt:i4>
      </vt:variant>
      <vt:variant>
        <vt:i4>0</vt:i4>
      </vt:variant>
      <vt:variant>
        <vt:i4>5</vt:i4>
      </vt:variant>
      <vt:variant>
        <vt:lpwstr>https://www.unwto.org/news/tourism-on-track-for-full-recovery-as-new-data-shows-strong-start-to-2023</vt:lpwstr>
      </vt:variant>
      <vt:variant>
        <vt:lpwstr/>
      </vt:variant>
      <vt:variant>
        <vt:i4>5177356</vt:i4>
      </vt:variant>
      <vt:variant>
        <vt:i4>27</vt:i4>
      </vt:variant>
      <vt:variant>
        <vt:i4>0</vt:i4>
      </vt:variant>
      <vt:variant>
        <vt:i4>5</vt:i4>
      </vt:variant>
      <vt:variant>
        <vt:lpwstr>https://www.ahla.com/</vt:lpwstr>
      </vt:variant>
      <vt:variant>
        <vt:lpwstr/>
      </vt:variant>
      <vt:variant>
        <vt:i4>2687098</vt:i4>
      </vt:variant>
      <vt:variant>
        <vt:i4>24</vt:i4>
      </vt:variant>
      <vt:variant>
        <vt:i4>0</vt:i4>
      </vt:variant>
      <vt:variant>
        <vt:i4>5</vt:i4>
      </vt:variant>
      <vt:variant>
        <vt:lpwstr>https://www.hospitalitynet.org/</vt:lpwstr>
      </vt:variant>
      <vt:variant>
        <vt:lpwstr/>
      </vt:variant>
      <vt:variant>
        <vt:i4>6029339</vt:i4>
      </vt:variant>
      <vt:variant>
        <vt:i4>21</vt:i4>
      </vt:variant>
      <vt:variant>
        <vt:i4>0</vt:i4>
      </vt:variant>
      <vt:variant>
        <vt:i4>5</vt:i4>
      </vt:variant>
      <vt:variant>
        <vt:lpwstr>https://www.whitbread.co.uk/</vt:lpwstr>
      </vt:variant>
      <vt:variant>
        <vt:lpwstr/>
      </vt:variant>
      <vt:variant>
        <vt:i4>6029339</vt:i4>
      </vt:variant>
      <vt:variant>
        <vt:i4>18</vt:i4>
      </vt:variant>
      <vt:variant>
        <vt:i4>0</vt:i4>
      </vt:variant>
      <vt:variant>
        <vt:i4>5</vt:i4>
      </vt:variant>
      <vt:variant>
        <vt:lpwstr>https://www.whitbread.co.uk/</vt:lpwstr>
      </vt:variant>
      <vt:variant>
        <vt:lpwstr/>
      </vt:variant>
      <vt:variant>
        <vt:i4>5177366</vt:i4>
      </vt:variant>
      <vt:variant>
        <vt:i4>15</vt:i4>
      </vt:variant>
      <vt:variant>
        <vt:i4>0</vt:i4>
      </vt:variant>
      <vt:variant>
        <vt:i4>5</vt:i4>
      </vt:variant>
      <vt:variant>
        <vt:lpwstr>https://cdn.whitbread.co.uk/</vt:lpwstr>
      </vt:variant>
      <vt:variant>
        <vt:lpwstr/>
      </vt:variant>
      <vt:variant>
        <vt:i4>5177366</vt:i4>
      </vt:variant>
      <vt:variant>
        <vt:i4>12</vt:i4>
      </vt:variant>
      <vt:variant>
        <vt:i4>0</vt:i4>
      </vt:variant>
      <vt:variant>
        <vt:i4>5</vt:i4>
      </vt:variant>
      <vt:variant>
        <vt:lpwstr>https://cdn.whitbread.co.uk/</vt:lpwstr>
      </vt:variant>
      <vt:variant>
        <vt:lpwstr/>
      </vt:variant>
      <vt:variant>
        <vt:i4>5177365</vt:i4>
      </vt:variant>
      <vt:variant>
        <vt:i4>9</vt:i4>
      </vt:variant>
      <vt:variant>
        <vt:i4>0</vt:i4>
      </vt:variant>
      <vt:variant>
        <vt:i4>5</vt:i4>
      </vt:variant>
      <vt:variant>
        <vt:lpwstr>https://www.globetrender.com/</vt:lpwstr>
      </vt:variant>
      <vt:variant>
        <vt:lpwstr/>
      </vt:variant>
      <vt:variant>
        <vt:i4>2490483</vt:i4>
      </vt:variant>
      <vt:variant>
        <vt:i4>6</vt:i4>
      </vt:variant>
      <vt:variant>
        <vt:i4>0</vt:i4>
      </vt:variant>
      <vt:variant>
        <vt:i4>5</vt:i4>
      </vt:variant>
      <vt:variant>
        <vt:lpwstr>https://www.mingtiandi.com/</vt:lpwstr>
      </vt:variant>
      <vt:variant>
        <vt:lpwstr/>
      </vt:variant>
      <vt:variant>
        <vt:i4>8257649</vt:i4>
      </vt:variant>
      <vt:variant>
        <vt:i4>3</vt:i4>
      </vt:variant>
      <vt:variant>
        <vt:i4>0</vt:i4>
      </vt:variant>
      <vt:variant>
        <vt:i4>5</vt:i4>
      </vt:variant>
      <vt:variant>
        <vt:lpwstr>https://www.shangri-la.com/</vt:lpwstr>
      </vt:variant>
      <vt:variant>
        <vt:lpwstr/>
      </vt:variant>
      <vt:variant>
        <vt:i4>7077934</vt:i4>
      </vt:variant>
      <vt:variant>
        <vt:i4>0</vt:i4>
      </vt:variant>
      <vt:variant>
        <vt:i4>0</vt:i4>
      </vt:variant>
      <vt:variant>
        <vt:i4>5</vt:i4>
      </vt:variant>
      <vt:variant>
        <vt:lpwstr>https://sitecore-cd.shangri-la.com/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Jayson Luba</dc:creator>
  <cp:keywords/>
  <dc:description/>
  <cp:lastModifiedBy/>
  <cp:revision>1</cp:revision>
  <dcterms:created xsi:type="dcterms:W3CDTF">2024-10-17T16:34:00Z</dcterms:created>
  <dcterms:modified xsi:type="dcterms:W3CDTF">2024-10-17T19:21:00Z</dcterms:modified>
</cp:coreProperties>
</file>