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23A0A76" w:rsidR="00C31D85" w:rsidRPr="00406041" w:rsidRDefault="00C31D85" w:rsidP="00C31D85">
      <w:pPr>
        <w:tabs>
          <w:tab w:val="left" w:pos="6540"/>
        </w:tabs>
        <w:spacing w:line="360" w:lineRule="auto"/>
        <w:ind w:left="426"/>
        <w:rPr>
          <w:rFonts w:ascii="Aptos" w:hAnsi="Aptos" w:cs="Arial"/>
          <w:sz w:val="28"/>
          <w:szCs w:val="28"/>
          <w:lang w:val="en-GB"/>
        </w:rPr>
      </w:pPr>
      <w:r w:rsidRPr="00406041">
        <w:rPr>
          <w:rFonts w:ascii="Aptos" w:hAnsi="Aptos" w:cs="Arial"/>
          <w:b/>
          <w:bCs/>
          <w:sz w:val="28"/>
          <w:szCs w:val="28"/>
          <w:lang w:val="en-GB"/>
        </w:rPr>
        <w:t>Student name</w:t>
      </w:r>
      <w:r w:rsidRPr="00406041">
        <w:rPr>
          <w:rFonts w:ascii="Aptos" w:hAnsi="Aptos" w:cs="Arial"/>
          <w:sz w:val="28"/>
          <w:szCs w:val="28"/>
          <w:lang w:val="en-GB"/>
        </w:rPr>
        <w:t>:</w:t>
      </w:r>
      <w:r w:rsidR="00406041" w:rsidRPr="00406041">
        <w:rPr>
          <w:rFonts w:ascii="Aptos" w:hAnsi="Aptos" w:cs="Arial"/>
          <w:sz w:val="28"/>
          <w:szCs w:val="28"/>
          <w:lang w:val="en-GB"/>
        </w:rPr>
        <w:t xml:space="preserve"> Fath</w:t>
      </w:r>
      <w:r w:rsidR="00406041">
        <w:rPr>
          <w:rFonts w:ascii="Aptos" w:hAnsi="Aptos" w:cs="Arial"/>
          <w:sz w:val="28"/>
          <w:szCs w:val="28"/>
          <w:lang w:val="en-GB"/>
        </w:rPr>
        <w:t>ema Khatun</w:t>
      </w:r>
    </w:p>
    <w:p w14:paraId="4D060E17" w14:textId="20979462" w:rsidR="00C31D85" w:rsidRPr="00406041" w:rsidRDefault="00C31D85" w:rsidP="00C31D85">
      <w:pPr>
        <w:tabs>
          <w:tab w:val="left" w:pos="6540"/>
        </w:tabs>
        <w:spacing w:line="360" w:lineRule="auto"/>
        <w:ind w:left="426"/>
        <w:rPr>
          <w:rFonts w:ascii="Aptos" w:hAnsi="Aptos" w:cs="Arial"/>
          <w:sz w:val="28"/>
          <w:szCs w:val="28"/>
          <w:lang w:val="en-GB"/>
        </w:rPr>
      </w:pPr>
      <w:r w:rsidRPr="00406041">
        <w:rPr>
          <w:rFonts w:ascii="Aptos" w:hAnsi="Aptos" w:cs="Arial"/>
          <w:b/>
          <w:bCs/>
          <w:sz w:val="28"/>
          <w:szCs w:val="28"/>
          <w:lang w:val="en-GB"/>
        </w:rPr>
        <w:t>Student ID</w:t>
      </w:r>
      <w:r w:rsidRPr="00406041">
        <w:rPr>
          <w:rFonts w:ascii="Aptos" w:hAnsi="Aptos" w:cs="Arial"/>
          <w:sz w:val="28"/>
          <w:szCs w:val="28"/>
          <w:lang w:val="en-GB"/>
        </w:rPr>
        <w:t>:</w:t>
      </w:r>
      <w:r w:rsidR="00406041">
        <w:rPr>
          <w:rFonts w:ascii="Aptos" w:hAnsi="Aptos" w:cs="Arial"/>
          <w:sz w:val="28"/>
          <w:szCs w:val="28"/>
          <w:lang w:val="en-GB"/>
        </w:rPr>
        <w:t xml:space="preserve"> 2215607</w:t>
      </w:r>
    </w:p>
    <w:p w14:paraId="7C577260" w14:textId="77777777" w:rsidR="00C31D85" w:rsidRPr="00406041" w:rsidRDefault="00C31D85" w:rsidP="00C31D85">
      <w:pPr>
        <w:tabs>
          <w:tab w:val="left" w:pos="6540"/>
        </w:tabs>
        <w:spacing w:line="360" w:lineRule="auto"/>
        <w:ind w:left="426"/>
        <w:rPr>
          <w:rFonts w:ascii="Aptos" w:hAnsi="Aptos" w:cs="Arial"/>
          <w:sz w:val="28"/>
          <w:szCs w:val="28"/>
          <w:lang w:val="en-GB"/>
        </w:rPr>
      </w:pPr>
    </w:p>
    <w:p w14:paraId="41CBCDE7" w14:textId="0D841BF8" w:rsidR="00C31D85" w:rsidRPr="00406041" w:rsidRDefault="00C31D85" w:rsidP="00C31D85">
      <w:pPr>
        <w:tabs>
          <w:tab w:val="left" w:pos="6540"/>
        </w:tabs>
        <w:spacing w:line="360" w:lineRule="auto"/>
        <w:ind w:left="426"/>
        <w:rPr>
          <w:rFonts w:ascii="Aptos" w:hAnsi="Aptos" w:cs="Arial"/>
          <w:sz w:val="28"/>
          <w:szCs w:val="28"/>
          <w:lang w:val="en-GB"/>
        </w:rPr>
      </w:pPr>
      <w:r w:rsidRPr="00406041">
        <w:rPr>
          <w:rFonts w:ascii="Aptos" w:hAnsi="Aptos" w:cs="Arial"/>
          <w:b/>
          <w:bCs/>
          <w:sz w:val="28"/>
          <w:szCs w:val="28"/>
          <w:lang w:val="en-GB"/>
        </w:rPr>
        <w:t>Module name</w:t>
      </w:r>
      <w:r w:rsidRPr="00406041">
        <w:rPr>
          <w:rFonts w:ascii="Aptos" w:hAnsi="Aptos" w:cs="Arial"/>
          <w:sz w:val="28"/>
          <w:szCs w:val="28"/>
          <w:lang w:val="en-GB"/>
        </w:rPr>
        <w:t xml:space="preserve">: </w:t>
      </w:r>
      <w:r w:rsidR="00406041" w:rsidRPr="00406041">
        <w:rPr>
          <w:rFonts w:ascii="Aptos" w:hAnsi="Aptos" w:cs="Arial"/>
          <w:sz w:val="28"/>
          <w:szCs w:val="28"/>
          <w:lang w:val="en-GB"/>
        </w:rPr>
        <w:t>Independent Project</w:t>
      </w:r>
    </w:p>
    <w:p w14:paraId="42A6E8AA" w14:textId="59A4E06E"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406041">
        <w:rPr>
          <w:rFonts w:ascii="Aptos" w:hAnsi="Aptos" w:cs="Arial"/>
          <w:sz w:val="28"/>
          <w:szCs w:val="28"/>
        </w:rPr>
        <w:t xml:space="preserve"> </w:t>
      </w:r>
      <w:r w:rsidR="00406041" w:rsidRPr="00406041">
        <w:rPr>
          <w:rFonts w:ascii="Aptos" w:hAnsi="Aptos" w:cs="Arial"/>
          <w:sz w:val="28"/>
          <w:szCs w:val="28"/>
          <w:lang w:val="en-GB"/>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0B5B3605" w:rsidR="00802FF1" w:rsidRPr="00802FF1" w:rsidRDefault="0073055A" w:rsidP="00802FF1">
            <w:pPr>
              <w:jc w:val="center"/>
              <w:rPr>
                <w:rFonts w:ascii="Aptos" w:hAnsi="Aptos"/>
                <w:b/>
                <w:bCs/>
              </w:rPr>
            </w:pPr>
            <w:r w:rsidRPr="0073055A">
              <w:rPr>
                <w:rFonts w:ascii="Aptos" w:hAnsi="Aptos"/>
                <w:b/>
                <w:bCs/>
                <w:sz w:val="36"/>
                <w:szCs w:val="36"/>
              </w:rPr>
              <w:lastRenderedPageBreak/>
              <w:t>Research Methodology Poster: Age and Dementia in the UK</w:t>
            </w:r>
          </w:p>
        </w:tc>
      </w:tr>
      <w:tr w:rsidR="00C31D85" w:rsidRPr="00C31D85" w14:paraId="51100EC3" w14:textId="77777777" w:rsidTr="00063B85">
        <w:trPr>
          <w:trHeight w:val="1856"/>
        </w:trPr>
        <w:tc>
          <w:tcPr>
            <w:tcW w:w="7225" w:type="dxa"/>
          </w:tcPr>
          <w:p w14:paraId="7D5ABB49" w14:textId="77777777" w:rsidR="00C31D85" w:rsidRPr="005F7D75" w:rsidRDefault="00C31D85" w:rsidP="00C46111">
            <w:pPr>
              <w:rPr>
                <w:rFonts w:ascii="Aptos" w:hAnsi="Aptos"/>
                <w:b/>
                <w:bCs/>
              </w:rPr>
            </w:pPr>
            <w:r w:rsidRPr="00AB5409">
              <w:rPr>
                <w:rFonts w:ascii="Aptos" w:hAnsi="Aptos"/>
                <w:b/>
                <w:bCs/>
                <w:sz w:val="40"/>
                <w:szCs w:val="40"/>
              </w:rPr>
              <w:t>01</w:t>
            </w:r>
            <w:r w:rsidR="00890534">
              <w:rPr>
                <w:rFonts w:ascii="Aptos" w:hAnsi="Aptos"/>
              </w:rPr>
              <w:t xml:space="preserve"> </w:t>
            </w:r>
            <w:r w:rsidR="00AB5409">
              <w:rPr>
                <w:rFonts w:ascii="Aptos" w:hAnsi="Aptos"/>
              </w:rPr>
              <w:t xml:space="preserve"> </w:t>
            </w:r>
            <w:r w:rsidR="001A2DAB" w:rsidRPr="005F7D75">
              <w:rPr>
                <w:rFonts w:ascii="Aptos" w:hAnsi="Aptos"/>
                <w:b/>
                <w:bCs/>
              </w:rPr>
              <w:t xml:space="preserve">Introduction and </w:t>
            </w:r>
            <w:r w:rsidR="00AB5409" w:rsidRPr="005F7D75">
              <w:rPr>
                <w:rFonts w:ascii="Aptos" w:hAnsi="Aptos"/>
                <w:b/>
                <w:bCs/>
              </w:rPr>
              <w:t xml:space="preserve">Research </w:t>
            </w:r>
            <w:r w:rsidR="001A2DAB" w:rsidRPr="005F7D75">
              <w:rPr>
                <w:rFonts w:ascii="Aptos" w:hAnsi="Aptos"/>
                <w:b/>
                <w:bCs/>
              </w:rPr>
              <w:t xml:space="preserve">Aim </w:t>
            </w:r>
          </w:p>
          <w:p w14:paraId="67196A5F" w14:textId="77777777" w:rsidR="00184E79" w:rsidRPr="00184E79" w:rsidRDefault="00184E79" w:rsidP="00184E79">
            <w:pPr>
              <w:spacing w:line="360" w:lineRule="auto"/>
              <w:jc w:val="both"/>
              <w:rPr>
                <w:rFonts w:ascii="Aptos" w:hAnsi="Aptos"/>
                <w:lang w:val="en-GB"/>
              </w:rPr>
            </w:pPr>
            <w:r w:rsidRPr="00184E79">
              <w:rPr>
                <w:rFonts w:ascii="Aptos" w:hAnsi="Aptos"/>
                <w:lang w:val="en-GB"/>
              </w:rPr>
              <w:t>This study used a desk-based secondary research approach to examine how age impacts dementia onset, progression and healthcare outcomes in the UK. Secondary research involves analysing existing academic studies, reports and policy documents (Snyder, 2019; Booth et al., 2021).</w:t>
            </w:r>
          </w:p>
          <w:p w14:paraId="4F873229" w14:textId="0239F2B7" w:rsidR="000E56ED" w:rsidRPr="00D32D7E" w:rsidRDefault="00184E79" w:rsidP="005F7D75">
            <w:pPr>
              <w:spacing w:line="360" w:lineRule="auto"/>
              <w:jc w:val="both"/>
              <w:rPr>
                <w:rFonts w:ascii="Aptos" w:hAnsi="Aptos"/>
                <w:lang w:val="en-GB"/>
              </w:rPr>
            </w:pPr>
            <w:r w:rsidRPr="00184E79">
              <w:rPr>
                <w:rFonts w:ascii="Aptos" w:hAnsi="Aptos"/>
                <w:lang w:val="en-GB"/>
              </w:rPr>
              <w:t>The aim of this research was to explore age-related differences in dementia and evaluate healthcare outcomes. This poster summarises the research methodology, search strategy, inclusion criteria, validation and ethical considerations.</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484C354D" w14:textId="365D12ED" w:rsidR="005F7D75" w:rsidRDefault="00184E79" w:rsidP="005F7D75">
            <w:pPr>
              <w:spacing w:line="360" w:lineRule="auto"/>
              <w:jc w:val="both"/>
              <w:rPr>
                <w:rFonts w:ascii="Aptos" w:hAnsi="Aptos"/>
                <w:lang w:val="en-GB"/>
              </w:rPr>
            </w:pPr>
            <w:r w:rsidRPr="00184E79">
              <w:rPr>
                <w:rFonts w:ascii="Aptos" w:hAnsi="Aptos"/>
              </w:rPr>
              <w:t>A structured search strategy was used to identify relevant literature. Keywords included dementia, age, young-onset dementia, disease progression and UK healthcare. Boolean operators such as AND, OR and NOT were used to refine searches (Booth et al., 2021; Page et al., 2021).</w:t>
            </w:r>
          </w:p>
          <w:p w14:paraId="25CA190D" w14:textId="77777777" w:rsidR="0029329C" w:rsidRDefault="0029329C" w:rsidP="005F7D75">
            <w:pPr>
              <w:spacing w:line="360" w:lineRule="auto"/>
              <w:jc w:val="both"/>
              <w:rPr>
                <w:rFonts w:ascii="Aptos" w:hAnsi="Aptos"/>
                <w:lang w:val="en-GB"/>
              </w:rPr>
            </w:pP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063B85">
        <w:trPr>
          <w:trHeight w:val="1856"/>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2C7494B9" w14:textId="77777777" w:rsidR="00184E79" w:rsidRPr="00184E79" w:rsidRDefault="00184E79" w:rsidP="00184E79">
            <w:pPr>
              <w:spacing w:line="360" w:lineRule="auto"/>
              <w:jc w:val="both"/>
              <w:rPr>
                <w:rFonts w:ascii="Aptos" w:hAnsi="Aptos"/>
                <w:lang w:val="en-GB"/>
              </w:rPr>
            </w:pPr>
            <w:r w:rsidRPr="00184E79">
              <w:rPr>
                <w:rFonts w:ascii="Aptos" w:hAnsi="Aptos"/>
                <w:lang w:val="en-GB"/>
              </w:rPr>
              <w:t>Academic databases such as Google Scholar, PubMed, ScienceDirect and CINAHL were used. Reputable websites including NHS England and Alzheimer’s Society were also consulted.</w:t>
            </w:r>
          </w:p>
          <w:p w14:paraId="3611ED69" w14:textId="5990004B" w:rsidR="0029329C" w:rsidRDefault="00184E79" w:rsidP="005F7D75">
            <w:pPr>
              <w:spacing w:line="360" w:lineRule="auto"/>
              <w:jc w:val="both"/>
              <w:rPr>
                <w:rFonts w:ascii="Aptos" w:hAnsi="Aptos"/>
                <w:lang w:val="en-GB"/>
              </w:rPr>
            </w:pPr>
            <w:r w:rsidRPr="00184E79">
              <w:rPr>
                <w:rFonts w:ascii="Aptos" w:hAnsi="Aptos"/>
                <w:lang w:val="en-GB"/>
              </w:rPr>
              <w:t>Filters were applied including publication date (2020–2025), peer-reviewed articles and UK-based studies to ensure relevance and quality (Snyder, 2019; Booth et al., 2021).</w:t>
            </w: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tcPr>
          <w:p w14:paraId="2BBB997C" w14:textId="3CF9DE18" w:rsidR="005F7D75" w:rsidRPr="00C31D85" w:rsidRDefault="002F60F8" w:rsidP="008B3500">
            <w:pPr>
              <w:rPr>
                <w:rFonts w:ascii="Aptos" w:hAnsi="Aptos"/>
              </w:rPr>
            </w:pPr>
            <w:r>
              <w:rPr>
                <w:noProof/>
              </w:rPr>
              <mc:AlternateContent>
                <mc:Choice Requires="wps">
                  <w:drawing>
                    <wp:anchor distT="0" distB="0" distL="114300" distR="114300" simplePos="0" relativeHeight="251664384" behindDoc="1" locked="0" layoutInCell="1" allowOverlap="1" wp14:anchorId="58CA1230" wp14:editId="7B2C6213">
                      <wp:simplePos x="0" y="0"/>
                      <wp:positionH relativeFrom="column">
                        <wp:posOffset>209550</wp:posOffset>
                      </wp:positionH>
                      <wp:positionV relativeFrom="paragraph">
                        <wp:posOffset>2819400</wp:posOffset>
                      </wp:positionV>
                      <wp:extent cx="3992880" cy="635"/>
                      <wp:effectExtent l="0" t="0" r="0" b="0"/>
                      <wp:wrapTight wrapText="bothSides">
                        <wp:wrapPolygon edited="0">
                          <wp:start x="0" y="0"/>
                          <wp:lineTo x="0" y="21600"/>
                          <wp:lineTo x="21600" y="21600"/>
                          <wp:lineTo x="21600" y="0"/>
                        </wp:wrapPolygon>
                      </wp:wrapTight>
                      <wp:docPr id="292427784" name="Text Box 1"/>
                      <wp:cNvGraphicFramePr/>
                      <a:graphic xmlns:a="http://schemas.openxmlformats.org/drawingml/2006/main">
                        <a:graphicData uri="http://schemas.microsoft.com/office/word/2010/wordprocessingShape">
                          <wps:wsp>
                            <wps:cNvSpPr txBox="1"/>
                            <wps:spPr>
                              <a:xfrm>
                                <a:off x="0" y="0"/>
                                <a:ext cx="3992880" cy="635"/>
                              </a:xfrm>
                              <a:prstGeom prst="rect">
                                <a:avLst/>
                              </a:prstGeom>
                              <a:solidFill>
                                <a:prstClr val="white"/>
                              </a:solidFill>
                              <a:ln>
                                <a:noFill/>
                              </a:ln>
                            </wps:spPr>
                            <wps:txbx>
                              <w:txbxContent>
                                <w:p w14:paraId="7741C0DD" w14:textId="268F48B1" w:rsidR="002F60F8" w:rsidRPr="0026372C" w:rsidRDefault="002F60F8" w:rsidP="002F60F8">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w:t>
                                  </w:r>
                                  <w:r w:rsidRPr="00865780">
                                    <w:t>Age-Related Dementia Prevalence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CA1230" id="_x0000_t202" coordsize="21600,21600" o:spt="202" path="m,l,21600r21600,l21600,xe">
                      <v:stroke joinstyle="miter"/>
                      <v:path gradientshapeok="t" o:connecttype="rect"/>
                    </v:shapetype>
                    <v:shape id="Text Box 1" o:spid="_x0000_s1026" type="#_x0000_t202" style="position:absolute;margin-left:16.5pt;margin-top:222pt;width:314.4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" stroked="f">
                      <v:textbox style="mso-fit-shape-to-text:t" inset="0,0,0,0">
                        <w:txbxContent>
                          <w:p w14:paraId="7741C0DD" w14:textId="268F48B1" w:rsidR="002F60F8" w:rsidRPr="0026372C" w:rsidRDefault="002F60F8" w:rsidP="002F60F8">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w:t>
                            </w:r>
                            <w:r w:rsidRPr="00865780">
                              <w:t>Age-Related Dementia Prevalence</w:t>
                            </w:r>
                          </w:p>
                        </w:txbxContent>
                      </v:textbox>
                      <w10:wrap type="tight"/>
                    </v:shape>
                  </w:pict>
                </mc:Fallback>
              </mc:AlternateContent>
            </w:r>
            <w:r w:rsidR="008B3500">
              <w:rPr>
                <w:noProof/>
              </w:rPr>
              <w:drawing>
                <wp:anchor distT="0" distB="0" distL="114300" distR="114300" simplePos="0" relativeHeight="251662336" behindDoc="1" locked="0" layoutInCell="1" allowOverlap="1" wp14:anchorId="19BFE7DE" wp14:editId="4D66B1B0">
                  <wp:simplePos x="0" y="0"/>
                  <wp:positionH relativeFrom="column">
                    <wp:posOffset>209550</wp:posOffset>
                  </wp:positionH>
                  <wp:positionV relativeFrom="paragraph">
                    <wp:posOffset>453390</wp:posOffset>
                  </wp:positionV>
                  <wp:extent cx="3992880" cy="2308860"/>
                  <wp:effectExtent l="0" t="0" r="7620" b="15240"/>
                  <wp:wrapTight wrapText="bothSides">
                    <wp:wrapPolygon edited="0">
                      <wp:start x="0" y="0"/>
                      <wp:lineTo x="0" y="21564"/>
                      <wp:lineTo x="21538" y="21564"/>
                      <wp:lineTo x="21538" y="0"/>
                      <wp:lineTo x="0" y="0"/>
                    </wp:wrapPolygon>
                  </wp:wrapTight>
                  <wp:docPr id="1738473596" name="Chart 1">
                    <a:extLst xmlns:a="http://schemas.openxmlformats.org/drawingml/2006/main">
                      <a:ext uri="{FF2B5EF4-FFF2-40B4-BE49-F238E27FC236}">
                        <a16:creationId xmlns:a16="http://schemas.microsoft.com/office/drawing/2014/main" id="{61F9C4C1-ADAC-A12B-11F3-4DD4644CFE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04</w:t>
            </w:r>
            <w:r w:rsidR="00AB5409">
              <w:rPr>
                <w:rFonts w:ascii="Aptos" w:hAnsi="Aptos"/>
              </w:rPr>
              <w:t xml:space="preserve"> </w:t>
            </w:r>
            <w:r w:rsidR="00AB5409" w:rsidRPr="005F7D75">
              <w:rPr>
                <w:rFonts w:ascii="Aptos" w:hAnsi="Aptos"/>
                <w:b/>
                <w:bCs/>
              </w:rPr>
              <w:t xml:space="preserve">Graph </w:t>
            </w:r>
            <w:r>
              <w:rPr>
                <w:rFonts w:ascii="Aptos" w:hAnsi="Aptos"/>
                <w:b/>
                <w:bCs/>
              </w:rPr>
              <w:t xml:space="preserve">- </w:t>
            </w:r>
            <w:r w:rsidRPr="002F60F8">
              <w:rPr>
                <w:rFonts w:ascii="Aptos" w:hAnsi="Aptos"/>
                <w:b/>
                <w:bCs/>
              </w:rPr>
              <w:t>Dementia Prevalence by Age Group</w:t>
            </w: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2CA77AFB" w14:textId="77777777" w:rsidR="00184E79" w:rsidRPr="00184E79" w:rsidRDefault="00184E79" w:rsidP="00184E79">
            <w:pPr>
              <w:spacing w:line="264" w:lineRule="auto"/>
              <w:jc w:val="both"/>
              <w:rPr>
                <w:rFonts w:ascii="Aptos" w:hAnsi="Aptos"/>
                <w:lang w:val="en-GB"/>
              </w:rPr>
            </w:pPr>
            <w:r w:rsidRPr="00184E79">
              <w:rPr>
                <w:rFonts w:ascii="Aptos" w:hAnsi="Aptos"/>
                <w:lang w:val="en-GB"/>
              </w:rPr>
              <w:t>Research validation ensured credible sources were used. The CRAAP test evaluated currency, relevance, authority, accuracy and purpose (Scribbr, 2023).</w:t>
            </w:r>
          </w:p>
          <w:p w14:paraId="3025BBD6" w14:textId="77777777" w:rsidR="00184E79" w:rsidRPr="00184E79" w:rsidRDefault="00184E79" w:rsidP="00184E79">
            <w:pPr>
              <w:spacing w:line="264" w:lineRule="auto"/>
              <w:jc w:val="both"/>
              <w:rPr>
                <w:rFonts w:ascii="Aptos" w:hAnsi="Aptos"/>
                <w:lang w:val="en-GB"/>
              </w:rPr>
            </w:pPr>
            <w:r w:rsidRPr="00184E79">
              <w:rPr>
                <w:rFonts w:ascii="Aptos" w:hAnsi="Aptos"/>
                <w:lang w:val="en-GB"/>
              </w:rPr>
              <w:t>Thematic analysis was used to identify key patterns. Three themes were identified:</w:t>
            </w:r>
          </w:p>
          <w:p w14:paraId="32A3D39D" w14:textId="77777777" w:rsidR="00184E79" w:rsidRPr="00184E79" w:rsidRDefault="00184E79" w:rsidP="00184E79">
            <w:pPr>
              <w:numPr>
                <w:ilvl w:val="0"/>
                <w:numId w:val="14"/>
              </w:numPr>
              <w:spacing w:line="264" w:lineRule="auto"/>
              <w:jc w:val="both"/>
              <w:rPr>
                <w:rFonts w:ascii="Aptos" w:hAnsi="Aptos"/>
                <w:lang w:val="en-GB"/>
              </w:rPr>
            </w:pPr>
            <w:r w:rsidRPr="00184E79">
              <w:rPr>
                <w:rFonts w:ascii="Aptos" w:hAnsi="Aptos"/>
                <w:lang w:val="en-GB"/>
              </w:rPr>
              <w:t xml:space="preserve">Age and dementia prevalence </w:t>
            </w:r>
          </w:p>
          <w:p w14:paraId="51FA03D4" w14:textId="77777777" w:rsidR="00184E79" w:rsidRPr="00184E79" w:rsidRDefault="00184E79" w:rsidP="00184E79">
            <w:pPr>
              <w:numPr>
                <w:ilvl w:val="0"/>
                <w:numId w:val="14"/>
              </w:numPr>
              <w:spacing w:line="264" w:lineRule="auto"/>
              <w:jc w:val="both"/>
              <w:rPr>
                <w:rFonts w:ascii="Aptos" w:hAnsi="Aptos"/>
                <w:lang w:val="en-GB"/>
              </w:rPr>
            </w:pPr>
            <w:r w:rsidRPr="00184E79">
              <w:rPr>
                <w:rFonts w:ascii="Aptos" w:hAnsi="Aptos"/>
                <w:lang w:val="en-GB"/>
              </w:rPr>
              <w:t xml:space="preserve">Disease progression </w:t>
            </w:r>
          </w:p>
          <w:p w14:paraId="7F71B507" w14:textId="77777777" w:rsidR="00184E79" w:rsidRPr="00184E79" w:rsidRDefault="00184E79" w:rsidP="00184E79">
            <w:pPr>
              <w:numPr>
                <w:ilvl w:val="0"/>
                <w:numId w:val="14"/>
              </w:numPr>
              <w:spacing w:line="264" w:lineRule="auto"/>
              <w:jc w:val="both"/>
              <w:rPr>
                <w:rFonts w:ascii="Aptos" w:hAnsi="Aptos"/>
                <w:lang w:val="en-GB"/>
              </w:rPr>
            </w:pPr>
            <w:r w:rsidRPr="00184E79">
              <w:rPr>
                <w:rFonts w:ascii="Aptos" w:hAnsi="Aptos"/>
                <w:lang w:val="en-GB"/>
              </w:rPr>
              <w:t xml:space="preserve">Healthcare outcomes </w:t>
            </w:r>
          </w:p>
          <w:p w14:paraId="7454B819" w14:textId="66A1322D" w:rsidR="00516CC0" w:rsidRPr="00516CC0" w:rsidRDefault="00184E79" w:rsidP="00184E79">
            <w:pPr>
              <w:spacing w:line="264" w:lineRule="auto"/>
              <w:jc w:val="both"/>
              <w:rPr>
                <w:rFonts w:ascii="Aptos" w:hAnsi="Aptos"/>
                <w:lang w:val="en-GB"/>
              </w:rPr>
            </w:pPr>
            <w:r w:rsidRPr="00184E79">
              <w:rPr>
                <w:rFonts w:ascii="Aptos" w:hAnsi="Aptos"/>
                <w:lang w:val="en-GB"/>
              </w:rPr>
              <w:t>(Braun and Clarke, 2021; Nowell et al., 2017)</w:t>
            </w:r>
            <w:r w:rsidR="00516CC0" w:rsidRPr="00516CC0">
              <w:rPr>
                <w:rFonts w:ascii="Aptos" w:hAnsi="Aptos"/>
                <w:lang w:val="en-GB"/>
              </w:rPr>
              <w:t xml:space="preserve"> </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6AEACBE5" w14:textId="77777777" w:rsidR="00184E79" w:rsidRPr="00184E79" w:rsidRDefault="00184E79" w:rsidP="00184E79">
            <w:pPr>
              <w:numPr>
                <w:ilvl w:val="0"/>
                <w:numId w:val="15"/>
              </w:numPr>
              <w:spacing w:line="312" w:lineRule="auto"/>
              <w:contextualSpacing/>
              <w:jc w:val="both"/>
              <w:rPr>
                <w:rFonts w:ascii="Aptos" w:hAnsi="Aptos"/>
                <w:lang w:val="en-GB"/>
              </w:rPr>
            </w:pPr>
            <w:r w:rsidRPr="00184E79">
              <w:rPr>
                <w:rFonts w:ascii="Aptos" w:hAnsi="Aptos"/>
                <w:lang w:val="en-GB"/>
              </w:rPr>
              <w:t xml:space="preserve">Published 2020–2025 </w:t>
            </w:r>
          </w:p>
          <w:p w14:paraId="4C9CFD83" w14:textId="77777777" w:rsidR="00184E79" w:rsidRPr="00184E79" w:rsidRDefault="00184E79" w:rsidP="00184E79">
            <w:pPr>
              <w:numPr>
                <w:ilvl w:val="0"/>
                <w:numId w:val="15"/>
              </w:numPr>
              <w:spacing w:line="312" w:lineRule="auto"/>
              <w:contextualSpacing/>
              <w:jc w:val="both"/>
              <w:rPr>
                <w:rFonts w:ascii="Aptos" w:hAnsi="Aptos"/>
                <w:lang w:val="en-GB"/>
              </w:rPr>
            </w:pPr>
            <w:r w:rsidRPr="00184E79">
              <w:rPr>
                <w:rFonts w:ascii="Aptos" w:hAnsi="Aptos"/>
                <w:lang w:val="en-GB"/>
              </w:rPr>
              <w:t xml:space="preserve">Peer-reviewed articles </w:t>
            </w:r>
          </w:p>
          <w:p w14:paraId="3DB67091" w14:textId="77777777" w:rsidR="00184E79" w:rsidRPr="00184E79" w:rsidRDefault="00184E79" w:rsidP="00184E79">
            <w:pPr>
              <w:numPr>
                <w:ilvl w:val="0"/>
                <w:numId w:val="15"/>
              </w:numPr>
              <w:spacing w:line="312" w:lineRule="auto"/>
              <w:contextualSpacing/>
              <w:jc w:val="both"/>
              <w:rPr>
                <w:rFonts w:ascii="Aptos" w:hAnsi="Aptos"/>
                <w:lang w:val="en-GB"/>
              </w:rPr>
            </w:pPr>
            <w:r w:rsidRPr="00184E79">
              <w:rPr>
                <w:rFonts w:ascii="Aptos" w:hAnsi="Aptos"/>
                <w:lang w:val="en-GB"/>
              </w:rPr>
              <w:t xml:space="preserve">UK-based studies </w:t>
            </w:r>
          </w:p>
          <w:p w14:paraId="1B094CAF" w14:textId="77777777" w:rsidR="00184E79" w:rsidRPr="00184E79" w:rsidRDefault="00184E79" w:rsidP="00184E79">
            <w:pPr>
              <w:numPr>
                <w:ilvl w:val="0"/>
                <w:numId w:val="15"/>
              </w:numPr>
              <w:spacing w:line="312" w:lineRule="auto"/>
              <w:contextualSpacing/>
              <w:jc w:val="both"/>
              <w:rPr>
                <w:rFonts w:ascii="Aptos" w:hAnsi="Aptos"/>
                <w:lang w:val="en-GB"/>
              </w:rPr>
            </w:pPr>
            <w:r w:rsidRPr="00184E79">
              <w:rPr>
                <w:rFonts w:ascii="Aptos" w:hAnsi="Aptos"/>
                <w:lang w:val="en-GB"/>
              </w:rPr>
              <w:t xml:space="preserve">Health and social care focus </w:t>
            </w:r>
          </w:p>
          <w:p w14:paraId="4ECF9F87" w14:textId="77777777" w:rsidR="00184E79" w:rsidRPr="00184E79" w:rsidRDefault="00184E79" w:rsidP="00184E79">
            <w:pPr>
              <w:numPr>
                <w:ilvl w:val="0"/>
                <w:numId w:val="15"/>
              </w:numPr>
              <w:spacing w:line="312" w:lineRule="auto"/>
              <w:contextualSpacing/>
              <w:jc w:val="both"/>
              <w:rPr>
                <w:rFonts w:ascii="Aptos" w:hAnsi="Aptos"/>
                <w:lang w:val="en-GB"/>
              </w:rPr>
            </w:pPr>
            <w:r w:rsidRPr="00184E79">
              <w:rPr>
                <w:rFonts w:ascii="Aptos" w:hAnsi="Aptos"/>
                <w:lang w:val="en-GB"/>
              </w:rPr>
              <w:t xml:space="preserve">English language </w:t>
            </w:r>
          </w:p>
          <w:p w14:paraId="00628477" w14:textId="173EA99E" w:rsidR="00516CC0" w:rsidRPr="00C31D85" w:rsidRDefault="00184E79" w:rsidP="00184E79">
            <w:pPr>
              <w:spacing w:line="312" w:lineRule="auto"/>
              <w:contextualSpacing/>
              <w:jc w:val="both"/>
              <w:rPr>
                <w:rFonts w:ascii="Aptos" w:hAnsi="Aptos"/>
              </w:rPr>
            </w:pPr>
            <w:r w:rsidRPr="00184E79">
              <w:rPr>
                <w:rFonts w:ascii="Aptos" w:hAnsi="Aptos"/>
                <w:lang w:val="en-GB"/>
              </w:rPr>
              <w:t>(Booth et al., 2021)</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1FD06269" w14:textId="77777777" w:rsidR="007258F0" w:rsidRPr="007258F0" w:rsidRDefault="007258F0" w:rsidP="007258F0">
            <w:pPr>
              <w:numPr>
                <w:ilvl w:val="0"/>
                <w:numId w:val="16"/>
              </w:numPr>
              <w:spacing w:line="312" w:lineRule="auto"/>
              <w:contextualSpacing/>
              <w:jc w:val="both"/>
              <w:rPr>
                <w:rFonts w:ascii="Aptos" w:hAnsi="Aptos"/>
                <w:lang w:val="en-GB"/>
              </w:rPr>
            </w:pPr>
            <w:r w:rsidRPr="007258F0">
              <w:rPr>
                <w:rFonts w:ascii="Aptos" w:hAnsi="Aptos"/>
                <w:lang w:val="en-GB"/>
              </w:rPr>
              <w:t xml:space="preserve">Published before 2020 </w:t>
            </w:r>
          </w:p>
          <w:p w14:paraId="185C1370" w14:textId="77777777" w:rsidR="007258F0" w:rsidRPr="007258F0" w:rsidRDefault="007258F0" w:rsidP="007258F0">
            <w:pPr>
              <w:numPr>
                <w:ilvl w:val="0"/>
                <w:numId w:val="16"/>
              </w:numPr>
              <w:spacing w:line="312" w:lineRule="auto"/>
              <w:contextualSpacing/>
              <w:jc w:val="both"/>
              <w:rPr>
                <w:rFonts w:ascii="Aptos" w:hAnsi="Aptos"/>
                <w:lang w:val="en-GB"/>
              </w:rPr>
            </w:pPr>
            <w:r w:rsidRPr="007258F0">
              <w:rPr>
                <w:rFonts w:ascii="Aptos" w:hAnsi="Aptos"/>
                <w:lang w:val="en-GB"/>
              </w:rPr>
              <w:t xml:space="preserve">Non-academic sources </w:t>
            </w:r>
          </w:p>
          <w:p w14:paraId="1F62797F" w14:textId="77777777" w:rsidR="007258F0" w:rsidRPr="007258F0" w:rsidRDefault="007258F0" w:rsidP="007258F0">
            <w:pPr>
              <w:numPr>
                <w:ilvl w:val="0"/>
                <w:numId w:val="16"/>
              </w:numPr>
              <w:spacing w:line="312" w:lineRule="auto"/>
              <w:contextualSpacing/>
              <w:jc w:val="both"/>
              <w:rPr>
                <w:rFonts w:ascii="Aptos" w:hAnsi="Aptos"/>
                <w:lang w:val="en-GB"/>
              </w:rPr>
            </w:pPr>
            <w:r w:rsidRPr="007258F0">
              <w:rPr>
                <w:rFonts w:ascii="Aptos" w:hAnsi="Aptos"/>
                <w:lang w:val="en-GB"/>
              </w:rPr>
              <w:t xml:space="preserve">Blogs and opinion articles </w:t>
            </w:r>
          </w:p>
          <w:p w14:paraId="1FDBAD65" w14:textId="77777777" w:rsidR="007258F0" w:rsidRPr="007258F0" w:rsidRDefault="007258F0" w:rsidP="007258F0">
            <w:pPr>
              <w:numPr>
                <w:ilvl w:val="0"/>
                <w:numId w:val="16"/>
              </w:numPr>
              <w:spacing w:line="312" w:lineRule="auto"/>
              <w:contextualSpacing/>
              <w:jc w:val="both"/>
              <w:rPr>
                <w:rFonts w:ascii="Aptos" w:hAnsi="Aptos"/>
                <w:lang w:val="en-GB"/>
              </w:rPr>
            </w:pPr>
            <w:r w:rsidRPr="007258F0">
              <w:rPr>
                <w:rFonts w:ascii="Aptos" w:hAnsi="Aptos"/>
                <w:lang w:val="en-GB"/>
              </w:rPr>
              <w:t xml:space="preserve">Non-UK studies </w:t>
            </w:r>
          </w:p>
          <w:p w14:paraId="4997AE45" w14:textId="77777777" w:rsidR="007258F0" w:rsidRPr="007258F0" w:rsidRDefault="007258F0" w:rsidP="007258F0">
            <w:pPr>
              <w:numPr>
                <w:ilvl w:val="0"/>
                <w:numId w:val="16"/>
              </w:numPr>
              <w:spacing w:line="312" w:lineRule="auto"/>
              <w:contextualSpacing/>
              <w:jc w:val="both"/>
              <w:rPr>
                <w:rFonts w:ascii="Aptos" w:hAnsi="Aptos"/>
                <w:lang w:val="en-GB"/>
              </w:rPr>
            </w:pPr>
            <w:r w:rsidRPr="007258F0">
              <w:rPr>
                <w:rFonts w:ascii="Aptos" w:hAnsi="Aptos"/>
                <w:lang w:val="en-GB"/>
              </w:rPr>
              <w:t xml:space="preserve">Non-English sources </w:t>
            </w:r>
          </w:p>
          <w:p w14:paraId="253F8839" w14:textId="3587FDD4" w:rsidR="00516CC0" w:rsidRPr="007258F0" w:rsidRDefault="007258F0" w:rsidP="007258F0">
            <w:pPr>
              <w:spacing w:line="312" w:lineRule="auto"/>
              <w:contextualSpacing/>
              <w:jc w:val="both"/>
              <w:rPr>
                <w:rFonts w:ascii="Aptos" w:hAnsi="Aptos"/>
                <w:lang w:val="en-GB"/>
              </w:rPr>
            </w:pPr>
            <w:r w:rsidRPr="007258F0">
              <w:rPr>
                <w:rFonts w:ascii="Aptos" w:hAnsi="Aptos"/>
                <w:lang w:val="en-GB"/>
              </w:rPr>
              <w:t>(Snyder, 2019)</w:t>
            </w:r>
          </w:p>
        </w:tc>
      </w:tr>
      <w:tr w:rsidR="00C31D85" w:rsidRPr="00C31D85" w14:paraId="583C9C87" w14:textId="77777777" w:rsidTr="00F52F83">
        <w:trPr>
          <w:trHeight w:val="1798"/>
        </w:trPr>
        <w:tc>
          <w:tcPr>
            <w:tcW w:w="14616" w:type="dxa"/>
            <w:gridSpan w:val="2"/>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28D04039" w14:textId="7022E8D7" w:rsidR="00F52F83" w:rsidRPr="0073055A" w:rsidRDefault="007258F0" w:rsidP="0073055A">
            <w:pPr>
              <w:jc w:val="center"/>
              <w:rPr>
                <w:rFonts w:ascii="Aptos" w:hAnsi="Aptos"/>
              </w:rPr>
            </w:pPr>
            <w:r w:rsidRPr="007258F0">
              <w:rPr>
                <w:rFonts w:ascii="Aptos" w:hAnsi="Aptos"/>
              </w:rPr>
              <w:t>This research used secondary data, therefore ethical risks were minimal. Academic integrity was maintained through accurate referencing and use of credible sources (Booth et al., 2021; Page et al., 2021).</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495E86A4" w14:textId="2D895C71" w:rsidR="00406041" w:rsidRPr="00406041" w:rsidRDefault="00406041" w:rsidP="00406041">
      <w:pPr>
        <w:spacing w:line="360" w:lineRule="auto"/>
        <w:jc w:val="both"/>
        <w:rPr>
          <w:rFonts w:ascii="Arial" w:hAnsi="Arial" w:cs="Arial"/>
          <w:lang w:val="en-GB"/>
        </w:rPr>
      </w:pPr>
      <w:r w:rsidRPr="00406041">
        <w:rPr>
          <w:rFonts w:ascii="Arial" w:hAnsi="Arial" w:cs="Arial"/>
          <w:lang w:val="en-GB"/>
        </w:rPr>
        <w:t>S</w:t>
      </w:r>
      <w:r w:rsidRPr="00406041">
        <w:rPr>
          <w:rFonts w:ascii="Arial" w:hAnsi="Arial" w:cs="Arial"/>
          <w:lang w:val="en-GB"/>
        </w:rPr>
        <w:t xml:space="preserve">nyder, H. (2019) ‘Literature review as a research methodology’, </w:t>
      </w:r>
      <w:r w:rsidRPr="00406041">
        <w:rPr>
          <w:rFonts w:ascii="Arial" w:hAnsi="Arial" w:cs="Arial"/>
          <w:i/>
          <w:iCs/>
          <w:lang w:val="en-GB"/>
        </w:rPr>
        <w:t>Journal of Business Research</w:t>
      </w:r>
      <w:r w:rsidRPr="00406041">
        <w:rPr>
          <w:rFonts w:ascii="Arial" w:hAnsi="Arial" w:cs="Arial"/>
          <w:lang w:val="en-GB"/>
        </w:rPr>
        <w:t>, 104, pp. 333–339.</w:t>
      </w:r>
    </w:p>
    <w:p w14:paraId="4A602322"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Booth, A., Sutton, A. and Papaioannou, D. (2021) </w:t>
      </w:r>
      <w:r w:rsidRPr="00406041">
        <w:rPr>
          <w:rFonts w:ascii="Arial" w:hAnsi="Arial" w:cs="Arial"/>
          <w:i/>
          <w:iCs/>
          <w:lang w:val="en-GB"/>
        </w:rPr>
        <w:t>Systematic approaches to a successful literature review</w:t>
      </w:r>
      <w:r w:rsidRPr="00406041">
        <w:rPr>
          <w:rFonts w:ascii="Arial" w:hAnsi="Arial" w:cs="Arial"/>
          <w:lang w:val="en-GB"/>
        </w:rPr>
        <w:t>. 3rd edn. London: Sage.</w:t>
      </w:r>
    </w:p>
    <w:p w14:paraId="6530BC38"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Page, M.J. et al. (2021) ‘The PRISMA 2020 statement’, </w:t>
      </w:r>
      <w:r w:rsidRPr="00406041">
        <w:rPr>
          <w:rFonts w:ascii="Arial" w:hAnsi="Arial" w:cs="Arial"/>
          <w:i/>
          <w:iCs/>
          <w:lang w:val="en-GB"/>
        </w:rPr>
        <w:t>BMJ</w:t>
      </w:r>
      <w:r w:rsidRPr="00406041">
        <w:rPr>
          <w:rFonts w:ascii="Arial" w:hAnsi="Arial" w:cs="Arial"/>
          <w:lang w:val="en-GB"/>
        </w:rPr>
        <w:t>, 372, n71.</w:t>
      </w:r>
    </w:p>
    <w:p w14:paraId="19B1ADA0"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Livingston, G. et al. (2020) ‘Dementia prevention, intervention, and care: 2020 report’, </w:t>
      </w:r>
      <w:r w:rsidRPr="00406041">
        <w:rPr>
          <w:rFonts w:ascii="Arial" w:hAnsi="Arial" w:cs="Arial"/>
          <w:i/>
          <w:iCs/>
          <w:lang w:val="en-GB"/>
        </w:rPr>
        <w:t>The Lancet</w:t>
      </w:r>
      <w:r w:rsidRPr="00406041">
        <w:rPr>
          <w:rFonts w:ascii="Arial" w:hAnsi="Arial" w:cs="Arial"/>
          <w:lang w:val="en-GB"/>
        </w:rPr>
        <w:t>, 396(10248), pp. 413–446.</w:t>
      </w:r>
    </w:p>
    <w:p w14:paraId="505EA193"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Braun, V. and Clarke, V. (2021) </w:t>
      </w:r>
      <w:r w:rsidRPr="00406041">
        <w:rPr>
          <w:rFonts w:ascii="Arial" w:hAnsi="Arial" w:cs="Arial"/>
          <w:i/>
          <w:iCs/>
          <w:lang w:val="en-GB"/>
        </w:rPr>
        <w:t>Thematic analysis: A practical guide</w:t>
      </w:r>
      <w:r w:rsidRPr="00406041">
        <w:rPr>
          <w:rFonts w:ascii="Arial" w:hAnsi="Arial" w:cs="Arial"/>
          <w:lang w:val="en-GB"/>
        </w:rPr>
        <w:t>. London: Sage.</w:t>
      </w:r>
    </w:p>
    <w:p w14:paraId="5969650F"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Nowell, L.S. et al. (2017) ‘Thematic analysis: Striving to meet the trustworthiness criteria’, </w:t>
      </w:r>
      <w:r w:rsidRPr="00406041">
        <w:rPr>
          <w:rFonts w:ascii="Arial" w:hAnsi="Arial" w:cs="Arial"/>
          <w:i/>
          <w:iCs/>
          <w:lang w:val="en-GB"/>
        </w:rPr>
        <w:t>International Journal of Qualitative Methods</w:t>
      </w:r>
      <w:r w:rsidRPr="00406041">
        <w:rPr>
          <w:rFonts w:ascii="Arial" w:hAnsi="Arial" w:cs="Arial"/>
          <w:lang w:val="en-GB"/>
        </w:rPr>
        <w:t>.</w:t>
      </w:r>
    </w:p>
    <w:p w14:paraId="3B56D66D"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Scribbr (2023) </w:t>
      </w:r>
      <w:r w:rsidRPr="00406041">
        <w:rPr>
          <w:rFonts w:ascii="Arial" w:hAnsi="Arial" w:cs="Arial"/>
          <w:i/>
          <w:iCs/>
          <w:lang w:val="en-GB"/>
        </w:rPr>
        <w:t>CRAAP test: Evaluating sources for research</w:t>
      </w:r>
      <w:r w:rsidRPr="00406041">
        <w:rPr>
          <w:rFonts w:ascii="Arial" w:hAnsi="Arial" w:cs="Arial"/>
          <w:lang w:val="en-GB"/>
        </w:rPr>
        <w:t>.</w:t>
      </w:r>
    </w:p>
    <w:p w14:paraId="0D6CF59B" w14:textId="77777777" w:rsidR="00406041" w:rsidRPr="00406041" w:rsidRDefault="00406041" w:rsidP="00406041">
      <w:pPr>
        <w:spacing w:line="360" w:lineRule="auto"/>
        <w:jc w:val="both"/>
        <w:rPr>
          <w:rFonts w:ascii="Arial" w:hAnsi="Arial" w:cs="Arial"/>
          <w:lang w:val="en-GB"/>
        </w:rPr>
      </w:pPr>
      <w:r w:rsidRPr="00406041">
        <w:rPr>
          <w:rFonts w:ascii="Arial" w:hAnsi="Arial" w:cs="Arial"/>
          <w:lang w:val="en-GB"/>
        </w:rPr>
        <w:t xml:space="preserve">Tyndall, J. (2010) </w:t>
      </w:r>
      <w:r w:rsidRPr="00406041">
        <w:rPr>
          <w:rFonts w:ascii="Arial" w:hAnsi="Arial" w:cs="Arial"/>
          <w:i/>
          <w:iCs/>
          <w:lang w:val="en-GB"/>
        </w:rPr>
        <w:t>AACODS checklist for evaluating grey literature</w:t>
      </w:r>
      <w:r w:rsidRPr="00406041">
        <w:rPr>
          <w:rFonts w:ascii="Arial" w:hAnsi="Arial" w:cs="Arial"/>
          <w:lang w:val="en-GB"/>
        </w:rPr>
        <w:t>. Flinders University.</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lastRenderedPageBreak/>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ED73D" w14:textId="77777777" w:rsidR="00CD53D2" w:rsidRDefault="00CD53D2" w:rsidP="00D210FA">
      <w:pPr>
        <w:spacing w:after="0"/>
      </w:pPr>
      <w:r>
        <w:separator/>
      </w:r>
    </w:p>
  </w:endnote>
  <w:endnote w:type="continuationSeparator" w:id="0">
    <w:p w14:paraId="531791C7" w14:textId="77777777" w:rsidR="00CD53D2" w:rsidRDefault="00CD53D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2A59B" w14:textId="77777777" w:rsidR="00CD53D2" w:rsidRDefault="00CD53D2" w:rsidP="00D210FA">
      <w:pPr>
        <w:spacing w:after="0"/>
      </w:pPr>
      <w:r>
        <w:separator/>
      </w:r>
    </w:p>
  </w:footnote>
  <w:footnote w:type="continuationSeparator" w:id="0">
    <w:p w14:paraId="37408A72" w14:textId="77777777" w:rsidR="00CD53D2" w:rsidRDefault="00CD53D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2578B7"/>
    <w:multiLevelType w:val="multilevel"/>
    <w:tmpl w:val="BEAEB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D381E6E"/>
    <w:multiLevelType w:val="multilevel"/>
    <w:tmpl w:val="354E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C17FAA"/>
    <w:multiLevelType w:val="multilevel"/>
    <w:tmpl w:val="0108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5"/>
  </w:num>
  <w:num w:numId="5" w16cid:durableId="825783799">
    <w:abstractNumId w:val="9"/>
  </w:num>
  <w:num w:numId="6" w16cid:durableId="1203637911">
    <w:abstractNumId w:val="8"/>
  </w:num>
  <w:num w:numId="7" w16cid:durableId="1393117886">
    <w:abstractNumId w:val="12"/>
  </w:num>
  <w:num w:numId="8" w16cid:durableId="546726307">
    <w:abstractNumId w:val="11"/>
  </w:num>
  <w:num w:numId="9" w16cid:durableId="1142770867">
    <w:abstractNumId w:val="2"/>
  </w:num>
  <w:num w:numId="10" w16cid:durableId="1077478685">
    <w:abstractNumId w:val="0"/>
  </w:num>
  <w:num w:numId="11" w16cid:durableId="366024991">
    <w:abstractNumId w:val="7"/>
  </w:num>
  <w:num w:numId="12" w16cid:durableId="212468278">
    <w:abstractNumId w:val="1"/>
  </w:num>
  <w:num w:numId="13" w16cid:durableId="537133619">
    <w:abstractNumId w:val="13"/>
  </w:num>
  <w:num w:numId="14" w16cid:durableId="86392374">
    <w:abstractNumId w:val="3"/>
  </w:num>
  <w:num w:numId="15" w16cid:durableId="1526014355">
    <w:abstractNumId w:val="10"/>
  </w:num>
  <w:num w:numId="16" w16cid:durableId="18150245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84E79"/>
    <w:rsid w:val="001A2DAB"/>
    <w:rsid w:val="001C55B6"/>
    <w:rsid w:val="001D6CC4"/>
    <w:rsid w:val="00206405"/>
    <w:rsid w:val="002341AD"/>
    <w:rsid w:val="00253267"/>
    <w:rsid w:val="002823CD"/>
    <w:rsid w:val="00287787"/>
    <w:rsid w:val="00291685"/>
    <w:rsid w:val="0029329C"/>
    <w:rsid w:val="002B0A3D"/>
    <w:rsid w:val="002F26AB"/>
    <w:rsid w:val="002F60F8"/>
    <w:rsid w:val="003007A7"/>
    <w:rsid w:val="003257E1"/>
    <w:rsid w:val="00325DEC"/>
    <w:rsid w:val="00346FFA"/>
    <w:rsid w:val="00385494"/>
    <w:rsid w:val="003A3069"/>
    <w:rsid w:val="003C20B5"/>
    <w:rsid w:val="003E545F"/>
    <w:rsid w:val="003F03D2"/>
    <w:rsid w:val="003F1E1A"/>
    <w:rsid w:val="004045E5"/>
    <w:rsid w:val="00406041"/>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10AE6"/>
    <w:rsid w:val="00720FEE"/>
    <w:rsid w:val="007258F0"/>
    <w:rsid w:val="0073055A"/>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B3500"/>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D53D2"/>
    <w:rsid w:val="00CE08CD"/>
    <w:rsid w:val="00D0664A"/>
    <w:rsid w:val="00D210FA"/>
    <w:rsid w:val="00D30F1D"/>
    <w:rsid w:val="00D32D7E"/>
    <w:rsid w:val="00D57231"/>
    <w:rsid w:val="00D87B48"/>
    <w:rsid w:val="00D91203"/>
    <w:rsid w:val="00D947C4"/>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Caption">
    <w:name w:val="caption"/>
    <w:basedOn w:val="Normal"/>
    <w:next w:val="Normal"/>
    <w:uiPriority w:val="35"/>
    <w:unhideWhenUsed/>
    <w:qFormat/>
    <w:rsid w:val="002F60F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baesacuk-my.sharepoint.com/personal/rashidif_baes_ac_uk/Documents/Book1.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Dementia Prevalence by Age Group</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Dementia Prevalence (%)</c:v>
                </c:pt>
              </c:strCache>
            </c:strRef>
          </c:tx>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solidFill>
                    <a:schemeClr val="accent1">
                      <a:alpha val="70000"/>
                    </a:schemeClr>
                  </a:solidFill>
                  <a:ln>
                    <a:noFill/>
                  </a:ln>
                </c15:spPr>
                <c15:showLeaderLines val="1"/>
                <c15:leaderLines>
                  <c:spPr>
                    <a:ln w="9525">
                      <a:solidFill>
                        <a:schemeClr val="accent1">
                          <a:lumMod val="60000"/>
                          <a:lumOff val="40000"/>
                        </a:schemeClr>
                      </a:solidFill>
                    </a:ln>
                    <a:effectLst/>
                  </c:spPr>
                </c15:leaderLines>
              </c:ext>
            </c:extLst>
          </c:dLbls>
          <c:cat>
            <c:strRef>
              <c:f>Sheet1!$A$2:$A$6</c:f>
              <c:strCache>
                <c:ptCount val="5"/>
                <c:pt idx="0">
                  <c:v>65–69</c:v>
                </c:pt>
                <c:pt idx="1">
                  <c:v>70–74</c:v>
                </c:pt>
                <c:pt idx="2">
                  <c:v>75–79</c:v>
                </c:pt>
                <c:pt idx="3">
                  <c:v>80–84</c:v>
                </c:pt>
                <c:pt idx="4">
                  <c:v>85+</c:v>
                </c:pt>
              </c:strCache>
            </c:strRef>
          </c:cat>
          <c:val>
            <c:numRef>
              <c:f>Sheet1!$B$2:$B$6</c:f>
              <c:numCache>
                <c:formatCode>General</c:formatCode>
                <c:ptCount val="5"/>
                <c:pt idx="0">
                  <c:v>1.3</c:v>
                </c:pt>
                <c:pt idx="1">
                  <c:v>3</c:v>
                </c:pt>
                <c:pt idx="2">
                  <c:v>6</c:v>
                </c:pt>
                <c:pt idx="3">
                  <c:v>13</c:v>
                </c:pt>
                <c:pt idx="4">
                  <c:v>24</c:v>
                </c:pt>
              </c:numCache>
            </c:numRef>
          </c:val>
          <c:extLst>
            <c:ext xmlns:c16="http://schemas.microsoft.com/office/drawing/2014/chart" uri="{C3380CC4-5D6E-409C-BE32-E72D297353CC}">
              <c16:uniqueId val="{00000000-1BAC-4FA2-914A-1E398C73D1CA}"/>
            </c:ext>
          </c:extLst>
        </c:ser>
        <c:dLbls>
          <c:showLegendKey val="0"/>
          <c:showVal val="0"/>
          <c:showCatName val="0"/>
          <c:showSerName val="0"/>
          <c:showPercent val="0"/>
          <c:showBubbleSize val="0"/>
        </c:dLbls>
        <c:gapWidth val="269"/>
        <c:overlap val="-20"/>
        <c:axId val="1111118816"/>
        <c:axId val="1031177392"/>
      </c:barChart>
      <c:valAx>
        <c:axId val="10311773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11118816"/>
        <c:crosses val="autoZero"/>
        <c:crossBetween val="between"/>
      </c:valAx>
      <c:catAx>
        <c:axId val="1111118816"/>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1031177392"/>
        <c:crosses val="autoZero"/>
        <c:auto val="1"/>
        <c:lblAlgn val="ctr"/>
        <c:lblOffset val="100"/>
        <c:noMultiLvlLbl val="0"/>
      </c:cat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608</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2024-08-13T19:18:00Z</dcterms:created>
  <dcterms:modified xsi:type="dcterms:W3CDTF">2026-04-02T03:07:00Z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