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1501F" w14:textId="3A00085E" w:rsidR="00FF16AF" w:rsidRPr="00FF16AF" w:rsidRDefault="00FF16AF" w:rsidP="00FF16AF">
      <w:pPr>
        <w:rPr>
          <w:b/>
          <w:bCs/>
          <w:lang w:val="en-US"/>
        </w:rPr>
      </w:pPr>
      <w:r w:rsidRPr="00FF16AF">
        <w:rPr>
          <w:b/>
          <w:bCs/>
          <w:lang w:val="en-US"/>
        </w:rPr>
        <w:t>Cash Conversion Cycle Explanation</w:t>
      </w:r>
    </w:p>
    <w:p w14:paraId="3BBB6990" w14:textId="77777777" w:rsidR="00FF16AF" w:rsidRPr="00FF16AF" w:rsidRDefault="00FF16AF" w:rsidP="00FF16AF">
      <w:pPr>
        <w:rPr>
          <w:lang w:val="en-US"/>
        </w:rPr>
      </w:pPr>
      <w:r w:rsidRPr="00FF16AF">
        <w:rPr>
          <w:lang w:val="en-US"/>
        </w:rPr>
        <w:t>The Cash Conversion Cycle (CCC) measures the number of days required for a business to convert its investment in working capital into cash generated from operations.</w:t>
      </w:r>
      <w:r w:rsidRPr="00FF16AF">
        <w:rPr>
          <w:bCs/>
          <w:lang w:val="en-US"/>
        </w:rPr>
        <w:t xml:space="preserve"> It is calculated using the formula:</w:t>
      </w:r>
      <w:r w:rsidRPr="00FF16AF">
        <w:rPr>
          <w:b/>
          <w:lang w:val="en-US"/>
        </w:rPr>
        <w:br/>
      </w:r>
      <w:r w:rsidRPr="00FF16AF">
        <w:rPr>
          <w:b/>
          <w:lang w:val="en-US"/>
        </w:rPr>
        <w:br/>
      </w:r>
      <w:r w:rsidRPr="00FF16AF">
        <w:rPr>
          <w:lang w:val="en-US"/>
        </w:rPr>
        <w:t>CCC = Inventory Days + Receivable Days – Payable Days</w:t>
      </w:r>
      <w:r w:rsidRPr="00FF16AF">
        <w:rPr>
          <w:lang w:val="en-US"/>
        </w:rPr>
        <w:br/>
      </w:r>
      <w:r w:rsidRPr="00FF16AF">
        <w:rPr>
          <w:lang w:val="en-US"/>
        </w:rPr>
        <w:br/>
        <w:t>A shorter or negative CCC generally indicates that a company collects cash from customers before it is required to settle payments with suppliers, improving liquidity and reducing the need for external financing.</w:t>
      </w:r>
    </w:p>
    <w:p w14:paraId="1FCD966A" w14:textId="592F54EB" w:rsidR="00FF16AF" w:rsidRPr="00FF16AF" w:rsidRDefault="00FF16AF" w:rsidP="00FF16AF">
      <w:pPr>
        <w:rPr>
          <w:b/>
          <w:bCs/>
          <w:lang w:val="en-US"/>
        </w:rPr>
      </w:pPr>
      <w:r w:rsidRPr="00FF16AF">
        <w:rPr>
          <w:b/>
          <w:bCs/>
          <w:lang w:val="en-US"/>
        </w:rPr>
        <w:t>Accor's CCC Analysis 2021–2025</w:t>
      </w:r>
    </w:p>
    <w:p w14:paraId="2D101B41" w14:textId="77777777" w:rsidR="00FF16AF" w:rsidRPr="00FF16AF" w:rsidRDefault="00FF16AF" w:rsidP="00FF16AF">
      <w:pPr>
        <w:rPr>
          <w:lang w:val="en-US"/>
        </w:rPr>
      </w:pPr>
      <w:r w:rsidRPr="00FF16AF">
        <w:rPr>
          <w:lang w:val="en-US"/>
        </w:rPr>
        <w:t>The calculations show that Accor recorded a negative Cash Conversion Cycle throughout the five-year period. This result is primarily driven by exceptionally high payable days relative to inventory and receivable days. Using the prescribed formula taught in the module, payable days are calculated using Cost of Goods Sold (COGS) as the denominator. Because Accor operates an asset-light hospitality business model, its reported COGS is relatively small compared with trade payables, resulting in very high payable-day values and, consequently, a negative CCC.</w:t>
      </w:r>
    </w:p>
    <w:p w14:paraId="5DF24FAC" w14:textId="77777777" w:rsidR="00FF16AF" w:rsidRPr="00FF16AF" w:rsidRDefault="00FF16AF" w:rsidP="00FF16AF">
      <w:pPr>
        <w:rPr>
          <w:lang w:val="en-US"/>
        </w:rPr>
      </w:pPr>
      <w:r w:rsidRPr="00FF16AF">
        <w:rPr>
          <w:lang w:val="en-US"/>
        </w:rPr>
        <w:t xml:space="preserve">The negative CCC should not be interpreted as poor financial performance. Instead, it reflects Accor's operating model, where the company benefits from </w:t>
      </w:r>
      <w:proofErr w:type="spellStart"/>
      <w:r w:rsidRPr="00FF16AF">
        <w:rPr>
          <w:lang w:val="en-US"/>
        </w:rPr>
        <w:t>favourable</w:t>
      </w:r>
      <w:proofErr w:type="spellEnd"/>
      <w:r w:rsidRPr="00FF16AF">
        <w:rPr>
          <w:lang w:val="en-US"/>
        </w:rPr>
        <w:t xml:space="preserve"> supplier credit terms while maintaining relatively low inventory levels. The improvement in revenue between 2021 and 2025 also contributed to more efficient receivable management, although the overall CCC remained negative because trade payables continued to exceed the level implied by COGS.</w:t>
      </w:r>
    </w:p>
    <w:p w14:paraId="33E76921" w14:textId="77777777" w:rsidR="00FF16AF" w:rsidRPr="00FF16AF" w:rsidRDefault="00FF16AF" w:rsidP="00FF16AF">
      <w:pPr>
        <w:rPr>
          <w:b/>
          <w:bCs/>
          <w:lang w:val="en-US"/>
        </w:rPr>
      </w:pPr>
      <w:r w:rsidRPr="00FF16AF">
        <w:rPr>
          <w:b/>
          <w:bCs/>
          <w:lang w:val="en-US"/>
        </w:rPr>
        <w:t>Year-on-Year Interpretation</w:t>
      </w:r>
    </w:p>
    <w:p w14:paraId="4FB8E331" w14:textId="77777777" w:rsidR="00FF16AF" w:rsidRPr="00FF16AF" w:rsidRDefault="00FF16AF" w:rsidP="00FF16AF">
      <w:pPr>
        <w:rPr>
          <w:lang w:val="en-US"/>
        </w:rPr>
      </w:pPr>
      <w:r w:rsidRPr="00FF16AF">
        <w:rPr>
          <w:lang w:val="en-US"/>
        </w:rPr>
        <w:t>2021: The CCC was highly negative as the business recovered from the pandemic. Low COGS combined with supplier credit resulted in exceptionally high payable days.</w:t>
      </w:r>
    </w:p>
    <w:p w14:paraId="02F09E3B" w14:textId="77777777" w:rsidR="00FF16AF" w:rsidRPr="00FF16AF" w:rsidRDefault="00FF16AF" w:rsidP="00FF16AF">
      <w:pPr>
        <w:rPr>
          <w:lang w:val="en-US"/>
        </w:rPr>
      </w:pPr>
      <w:r w:rsidRPr="00FF16AF">
        <w:rPr>
          <w:lang w:val="en-US"/>
        </w:rPr>
        <w:t>2022: Revenue recovery improved receivable efficiency, although the CCC remained strongly negative.</w:t>
      </w:r>
    </w:p>
    <w:p w14:paraId="63F2DF39" w14:textId="77777777" w:rsidR="00FF16AF" w:rsidRPr="00FF16AF" w:rsidRDefault="00FF16AF" w:rsidP="00FF16AF">
      <w:pPr>
        <w:rPr>
          <w:lang w:val="en-US"/>
        </w:rPr>
      </w:pPr>
      <w:r w:rsidRPr="00FF16AF">
        <w:rPr>
          <w:lang w:val="en-US"/>
        </w:rPr>
        <w:t>2023: Higher revenue and COGS reduced the magnitude of the negative CCC, indicating gradual operational recovery.</w:t>
      </w:r>
    </w:p>
    <w:p w14:paraId="776A8AD6" w14:textId="77777777" w:rsidR="00FF16AF" w:rsidRPr="00FF16AF" w:rsidRDefault="00FF16AF" w:rsidP="00FF16AF">
      <w:pPr>
        <w:rPr>
          <w:lang w:val="en-US"/>
        </w:rPr>
      </w:pPr>
      <w:r w:rsidRPr="00FF16AF">
        <w:rPr>
          <w:lang w:val="en-US"/>
        </w:rPr>
        <w:t>2024: Inventory and receivables remained stable, but increased trade payables continued to produce a negative CCC.</w:t>
      </w:r>
    </w:p>
    <w:p w14:paraId="4D5D319F" w14:textId="77777777" w:rsidR="00FF16AF" w:rsidRPr="00FF16AF" w:rsidRDefault="00FF16AF" w:rsidP="00FF16AF">
      <w:pPr>
        <w:rPr>
          <w:lang w:val="en-US"/>
        </w:rPr>
      </w:pPr>
      <w:r w:rsidRPr="00FF16AF">
        <w:rPr>
          <w:lang w:val="en-US"/>
        </w:rPr>
        <w:t>2025: The CCC remained negative, reflecting Accor's asset-light operating model and efficient working capital management rather than financial weakness.</w:t>
      </w:r>
    </w:p>
    <w:p w14:paraId="0B458099" w14:textId="77777777" w:rsidR="00FF16AF" w:rsidRPr="00FF16AF" w:rsidRDefault="00FF16AF" w:rsidP="00FF16AF">
      <w:pPr>
        <w:rPr>
          <w:b/>
          <w:bCs/>
          <w:lang w:val="en-US"/>
        </w:rPr>
      </w:pPr>
      <w:r w:rsidRPr="00FF16AF">
        <w:rPr>
          <w:b/>
          <w:bCs/>
          <w:lang w:val="en-US"/>
        </w:rPr>
        <w:t>Conclusion</w:t>
      </w:r>
    </w:p>
    <w:p w14:paraId="04632D46" w14:textId="7EE30F44" w:rsidR="00FF16AF" w:rsidRPr="00FF16AF" w:rsidRDefault="00FF16AF" w:rsidP="00FF16AF">
      <w:pPr>
        <w:rPr>
          <w:lang w:val="en-US"/>
        </w:rPr>
      </w:pPr>
      <w:r>
        <w:rPr>
          <w:lang w:val="en-US"/>
        </w:rPr>
        <w:lastRenderedPageBreak/>
        <w:t>T</w:t>
      </w:r>
      <w:r w:rsidRPr="00FF16AF">
        <w:rPr>
          <w:lang w:val="en-US"/>
        </w:rPr>
        <w:t>he Cash Conversion Cycle demonstrates that Accor manages working capital efficiently by maintaining low inventory levels and benefiting from extended supplier payment periods. Although the calculated CCC is significantly negative, this outcome is consistent with the lecturer's required methodology and the characteristics of Accor's business model. The analysis suggests that the company generates cash efficiently and is not heavily constrained by short-term working capital requirements.</w:t>
      </w:r>
    </w:p>
    <w:p w14:paraId="11471C21" w14:textId="77777777" w:rsidR="007176A4" w:rsidRDefault="007176A4"/>
    <w:sectPr w:rsidR="00717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6AF"/>
    <w:rsid w:val="00026E0B"/>
    <w:rsid w:val="00133EEA"/>
    <w:rsid w:val="001361FA"/>
    <w:rsid w:val="00162096"/>
    <w:rsid w:val="00215EC8"/>
    <w:rsid w:val="00387DB1"/>
    <w:rsid w:val="00482B12"/>
    <w:rsid w:val="00562876"/>
    <w:rsid w:val="007176A4"/>
    <w:rsid w:val="0080695B"/>
    <w:rsid w:val="008201D3"/>
    <w:rsid w:val="00851B2F"/>
    <w:rsid w:val="008C093C"/>
    <w:rsid w:val="00A42432"/>
    <w:rsid w:val="00B95775"/>
    <w:rsid w:val="00FF010E"/>
    <w:rsid w:val="00FF1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CA2FF"/>
  <w15:chartTrackingRefBased/>
  <w15:docId w15:val="{848CC610-2406-4A49-BF8E-F5100F37F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1B2F"/>
    <w:pPr>
      <w:keepNext/>
      <w:keepLines/>
      <w:pBdr>
        <w:top w:val="nil"/>
        <w:left w:val="nil"/>
        <w:bottom w:val="nil"/>
        <w:right w:val="nil"/>
        <w:between w:val="nil"/>
        <w:bar w:val="nil"/>
      </w:pBdr>
      <w:spacing w:before="240" w:after="0" w:line="240" w:lineRule="auto"/>
      <w:outlineLvl w:val="0"/>
    </w:pPr>
    <w:rPr>
      <w:rFonts w:ascii="Arial" w:eastAsiaTheme="majorEastAsia" w:hAnsi="Arial" w:cstheme="majorBidi"/>
      <w:b/>
      <w:color w:val="000000" w:themeColor="text1"/>
      <w:sz w:val="32"/>
      <w:szCs w:val="32"/>
      <w:bdr w:val="nil"/>
      <w:lang w:val="en-US"/>
    </w:rPr>
  </w:style>
  <w:style w:type="paragraph" w:styleId="Heading2">
    <w:name w:val="heading 2"/>
    <w:basedOn w:val="Normal"/>
    <w:next w:val="Normal"/>
    <w:link w:val="Heading2Char"/>
    <w:autoRedefine/>
    <w:uiPriority w:val="9"/>
    <w:semiHidden/>
    <w:unhideWhenUsed/>
    <w:qFormat/>
    <w:rsid w:val="00851B2F"/>
    <w:pPr>
      <w:keepNext/>
      <w:keepLines/>
      <w:pBdr>
        <w:top w:val="nil"/>
        <w:left w:val="nil"/>
        <w:bottom w:val="nil"/>
        <w:right w:val="nil"/>
        <w:between w:val="nil"/>
        <w:bar w:val="nil"/>
      </w:pBdr>
      <w:spacing w:before="40" w:after="0" w:line="240" w:lineRule="auto"/>
      <w:outlineLvl w:val="1"/>
    </w:pPr>
    <w:rPr>
      <w:rFonts w:ascii="Arial" w:eastAsiaTheme="majorEastAsia" w:hAnsi="Arial" w:cstheme="majorBidi"/>
      <w:b/>
      <w:color w:val="000000" w:themeColor="text1"/>
      <w:sz w:val="28"/>
      <w:szCs w:val="26"/>
      <w:bdr w:val="nil"/>
      <w:lang w:val="en-US"/>
    </w:rPr>
  </w:style>
  <w:style w:type="paragraph" w:styleId="Heading3">
    <w:name w:val="heading 3"/>
    <w:basedOn w:val="Normal"/>
    <w:next w:val="Normal"/>
    <w:link w:val="Heading3Char"/>
    <w:autoRedefine/>
    <w:uiPriority w:val="9"/>
    <w:unhideWhenUsed/>
    <w:qFormat/>
    <w:rsid w:val="00851B2F"/>
    <w:pPr>
      <w:keepNext/>
      <w:keepLines/>
      <w:pBdr>
        <w:top w:val="nil"/>
        <w:left w:val="nil"/>
        <w:bottom w:val="nil"/>
        <w:right w:val="nil"/>
        <w:between w:val="nil"/>
        <w:bar w:val="nil"/>
      </w:pBdr>
      <w:spacing w:before="40" w:after="0" w:line="240" w:lineRule="auto"/>
      <w:outlineLvl w:val="2"/>
    </w:pPr>
    <w:rPr>
      <w:rFonts w:ascii="Arial" w:eastAsiaTheme="majorEastAsia" w:hAnsi="Arial" w:cstheme="majorBidi"/>
      <w:b/>
      <w:color w:val="000000" w:themeColor="text1"/>
      <w:bdr w:val="nil"/>
      <w:lang w:val="en-US"/>
    </w:rPr>
  </w:style>
  <w:style w:type="paragraph" w:styleId="Heading4">
    <w:name w:val="heading 4"/>
    <w:basedOn w:val="Normal"/>
    <w:next w:val="Normal"/>
    <w:link w:val="Heading4Char"/>
    <w:autoRedefine/>
    <w:uiPriority w:val="9"/>
    <w:semiHidden/>
    <w:unhideWhenUsed/>
    <w:qFormat/>
    <w:rsid w:val="00A42432"/>
    <w:pPr>
      <w:keepNext/>
      <w:keepLines/>
      <w:spacing w:before="80" w:after="40"/>
      <w:outlineLvl w:val="3"/>
    </w:pPr>
    <w:rPr>
      <w:rFonts w:ascii="Arial" w:eastAsiaTheme="majorEastAsia" w:hAnsi="Arial" w:cstheme="majorBidi"/>
      <w:b/>
      <w:i/>
      <w:iCs/>
      <w:color w:val="000000" w:themeColor="text1"/>
      <w:sz w:val="22"/>
    </w:rPr>
  </w:style>
  <w:style w:type="paragraph" w:styleId="Heading5">
    <w:name w:val="heading 5"/>
    <w:basedOn w:val="Normal"/>
    <w:next w:val="Normal"/>
    <w:link w:val="Heading5Char"/>
    <w:uiPriority w:val="9"/>
    <w:semiHidden/>
    <w:unhideWhenUsed/>
    <w:qFormat/>
    <w:rsid w:val="00FF16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B2F"/>
    <w:rPr>
      <w:rFonts w:ascii="Arial" w:eastAsiaTheme="majorEastAsia" w:hAnsi="Arial" w:cstheme="majorBidi"/>
      <w:b/>
      <w:color w:val="000000" w:themeColor="text1"/>
      <w:sz w:val="32"/>
      <w:szCs w:val="32"/>
      <w:bdr w:val="nil"/>
      <w:lang w:val="en-US"/>
    </w:rPr>
  </w:style>
  <w:style w:type="character" w:customStyle="1" w:styleId="Heading2Char">
    <w:name w:val="Heading 2 Char"/>
    <w:basedOn w:val="DefaultParagraphFont"/>
    <w:link w:val="Heading2"/>
    <w:uiPriority w:val="9"/>
    <w:semiHidden/>
    <w:rsid w:val="00851B2F"/>
    <w:rPr>
      <w:rFonts w:ascii="Arial" w:eastAsiaTheme="majorEastAsia" w:hAnsi="Arial" w:cstheme="majorBidi"/>
      <w:b/>
      <w:color w:val="000000" w:themeColor="text1"/>
      <w:sz w:val="28"/>
      <w:szCs w:val="26"/>
      <w:bdr w:val="nil"/>
      <w:lang w:val="en-US"/>
    </w:rPr>
  </w:style>
  <w:style w:type="character" w:customStyle="1" w:styleId="Heading3Char">
    <w:name w:val="Heading 3 Char"/>
    <w:basedOn w:val="DefaultParagraphFont"/>
    <w:link w:val="Heading3"/>
    <w:uiPriority w:val="9"/>
    <w:rsid w:val="00851B2F"/>
    <w:rPr>
      <w:rFonts w:ascii="Arial" w:eastAsiaTheme="majorEastAsia" w:hAnsi="Arial" w:cstheme="majorBidi"/>
      <w:b/>
      <w:color w:val="000000" w:themeColor="text1"/>
      <w:bdr w:val="nil"/>
      <w:lang w:val="en-US"/>
    </w:rPr>
  </w:style>
  <w:style w:type="character" w:customStyle="1" w:styleId="Heading4Char">
    <w:name w:val="Heading 4 Char"/>
    <w:basedOn w:val="DefaultParagraphFont"/>
    <w:link w:val="Heading4"/>
    <w:uiPriority w:val="9"/>
    <w:semiHidden/>
    <w:rsid w:val="00A42432"/>
    <w:rPr>
      <w:rFonts w:ascii="Arial" w:eastAsiaTheme="majorEastAsia" w:hAnsi="Arial" w:cstheme="majorBidi"/>
      <w:b/>
      <w:i/>
      <w:iCs/>
      <w:color w:val="000000" w:themeColor="text1"/>
      <w:sz w:val="22"/>
    </w:rPr>
  </w:style>
  <w:style w:type="character" w:customStyle="1" w:styleId="Heading5Char">
    <w:name w:val="Heading 5 Char"/>
    <w:basedOn w:val="DefaultParagraphFont"/>
    <w:link w:val="Heading5"/>
    <w:uiPriority w:val="9"/>
    <w:semiHidden/>
    <w:rsid w:val="00FF16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6AF"/>
    <w:rPr>
      <w:rFonts w:eastAsiaTheme="majorEastAsia" w:cstheme="majorBidi"/>
      <w:color w:val="272727" w:themeColor="text1" w:themeTint="D8"/>
    </w:rPr>
  </w:style>
  <w:style w:type="paragraph" w:styleId="Title">
    <w:name w:val="Title"/>
    <w:basedOn w:val="Normal"/>
    <w:next w:val="Normal"/>
    <w:link w:val="TitleChar"/>
    <w:uiPriority w:val="10"/>
    <w:qFormat/>
    <w:rsid w:val="00FF1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6AF"/>
    <w:pPr>
      <w:spacing w:before="160"/>
      <w:jc w:val="center"/>
    </w:pPr>
    <w:rPr>
      <w:i/>
      <w:iCs/>
      <w:color w:val="404040" w:themeColor="text1" w:themeTint="BF"/>
    </w:rPr>
  </w:style>
  <w:style w:type="character" w:customStyle="1" w:styleId="QuoteChar">
    <w:name w:val="Quote Char"/>
    <w:basedOn w:val="DefaultParagraphFont"/>
    <w:link w:val="Quote"/>
    <w:uiPriority w:val="29"/>
    <w:rsid w:val="00FF16AF"/>
    <w:rPr>
      <w:i/>
      <w:iCs/>
      <w:color w:val="404040" w:themeColor="text1" w:themeTint="BF"/>
    </w:rPr>
  </w:style>
  <w:style w:type="paragraph" w:styleId="ListParagraph">
    <w:name w:val="List Paragraph"/>
    <w:basedOn w:val="Normal"/>
    <w:uiPriority w:val="34"/>
    <w:qFormat/>
    <w:rsid w:val="00FF16AF"/>
    <w:pPr>
      <w:ind w:left="720"/>
      <w:contextualSpacing/>
    </w:pPr>
  </w:style>
  <w:style w:type="character" w:styleId="IntenseEmphasis">
    <w:name w:val="Intense Emphasis"/>
    <w:basedOn w:val="DefaultParagraphFont"/>
    <w:uiPriority w:val="21"/>
    <w:qFormat/>
    <w:rsid w:val="00FF16AF"/>
    <w:rPr>
      <w:i/>
      <w:iCs/>
      <w:color w:val="0F4761" w:themeColor="accent1" w:themeShade="BF"/>
    </w:rPr>
  </w:style>
  <w:style w:type="paragraph" w:styleId="IntenseQuote">
    <w:name w:val="Intense Quote"/>
    <w:basedOn w:val="Normal"/>
    <w:next w:val="Normal"/>
    <w:link w:val="IntenseQuoteChar"/>
    <w:uiPriority w:val="30"/>
    <w:qFormat/>
    <w:rsid w:val="00FF16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6AF"/>
    <w:rPr>
      <w:i/>
      <w:iCs/>
      <w:color w:val="0F4761" w:themeColor="accent1" w:themeShade="BF"/>
    </w:rPr>
  </w:style>
  <w:style w:type="character" w:styleId="IntenseReference">
    <w:name w:val="Intense Reference"/>
    <w:basedOn w:val="DefaultParagraphFont"/>
    <w:uiPriority w:val="32"/>
    <w:qFormat/>
    <w:rsid w:val="00FF16A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407</Words>
  <Characters>2322</Characters>
  <Application>Microsoft Office Word</Application>
  <DocSecurity>0</DocSecurity>
  <Lines>19</Lines>
  <Paragraphs>5</Paragraphs>
  <ScaleCrop>false</ScaleCrop>
  <Company/>
  <LinksUpToDate>false</LinksUpToDate>
  <CharactersWithSpaces>2724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Pinto</dc:creator>
  <cp:keywords/>
  <dc:description/>
  <cp:lastModifiedBy>Andre Pinto</cp:lastModifiedBy>
  <cp:revision>1</cp:revision>
  <dcterms:created xsi:type="dcterms:W3CDTF">2026-08-06T22:19:00Z</dcterms:created>
  <dcterms:modified xsi:type="dcterms:W3CDTF">2026-08-06T22:25:00Z</dcterms:modified>
</cp:coreProperties>
</file>