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lang w:val="en-GB"/>
          <w14:ligatures w14:val="standardContextual"/>
        </w:rPr>
        <w:id w:val="-132641190"/>
        <w:docPartObj>
          <w:docPartGallery w:val="Cover Pages"/>
          <w:docPartUnique/>
        </w:docPartObj>
      </w:sdtPr>
      <w:sdtEndPr>
        <w:rPr>
          <w:color w:val="auto"/>
        </w:rPr>
      </w:sdtEndPr>
      <w:sdtContent>
        <w:p w14:paraId="1C78724B" w14:textId="65CCC773" w:rsidR="00DD7F7D" w:rsidRDefault="00DD7F7D">
          <w:pPr>
            <w:pStyle w:val="NoSpacing"/>
            <w:spacing w:before="1540" w:after="240"/>
            <w:jc w:val="center"/>
            <w:rPr>
              <w:color w:val="4472C4" w:themeColor="accent1"/>
            </w:rPr>
          </w:pPr>
          <w:r>
            <w:rPr>
              <w:noProof/>
              <w:color w:val="4472C4" w:themeColor="accent1"/>
            </w:rPr>
            <w:drawing>
              <wp:inline distT="0" distB="0" distL="0" distR="0" wp14:anchorId="332F29B2" wp14:editId="335F561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3C5728C" w14:textId="474EF6A9" w:rsidR="00DD7F7D" w:rsidRPr="00853E96" w:rsidRDefault="00853E96" w:rsidP="00853E9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0"/>
              <w:szCs w:val="40"/>
            </w:rPr>
          </w:pPr>
          <w:r w:rsidRPr="00853E96">
            <w:rPr>
              <w:rFonts w:asciiTheme="majorHAnsi" w:eastAsiaTheme="majorEastAsia" w:hAnsiTheme="majorHAnsi" w:cstheme="majorBidi"/>
              <w:b/>
              <w:bCs/>
              <w:caps/>
              <w:color w:val="4472C4" w:themeColor="accent1"/>
              <w:sz w:val="40"/>
              <w:szCs w:val="40"/>
              <w:lang w:val="en-GB"/>
            </w:rPr>
            <w:t>The</w:t>
          </w:r>
          <w:r w:rsidRPr="00853E96">
            <w:rPr>
              <w:rFonts w:asciiTheme="majorHAnsi" w:eastAsiaTheme="majorEastAsia" w:hAnsiTheme="majorHAnsi" w:cstheme="majorBidi"/>
              <w:b/>
              <w:bCs/>
              <w:caps/>
              <w:color w:val="4472C4" w:themeColor="accent1"/>
              <w:sz w:val="72"/>
              <w:szCs w:val="72"/>
              <w:lang w:val="en-GB"/>
            </w:rPr>
            <w:t xml:space="preserve"> </w:t>
          </w:r>
          <w:r w:rsidRPr="00853E96">
            <w:rPr>
              <w:rFonts w:asciiTheme="majorHAnsi" w:eastAsiaTheme="majorEastAsia" w:hAnsiTheme="majorHAnsi" w:cstheme="majorBidi"/>
              <w:b/>
              <w:bCs/>
              <w:caps/>
              <w:color w:val="4472C4" w:themeColor="accent1"/>
              <w:sz w:val="40"/>
              <w:szCs w:val="40"/>
              <w:lang w:val="en-GB"/>
            </w:rPr>
            <w:t>Impact of Food Waste Reduction Strategies on Operational Efficiency in the Hospitality Industry</w:t>
          </w:r>
        </w:p>
        <w:p w14:paraId="1841E65D" w14:textId="77777777" w:rsidR="00DD7F7D" w:rsidRDefault="00DD7F7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B75EA85" wp14:editId="25B2E56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98690" w14:textId="60627ABD" w:rsidR="00DD7F7D" w:rsidRDefault="00DD7F7D">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75EA8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DA98690" w14:textId="60627ABD" w:rsidR="00DD7F7D" w:rsidRDefault="00DD7F7D">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5B188334" wp14:editId="566E3E5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2E6423" w14:textId="56AC4C53" w:rsidR="00DD7F7D" w:rsidRDefault="004F1655">
          <w:r>
            <w:rPr>
              <w:noProof/>
            </w:rPr>
            <mc:AlternateContent>
              <mc:Choice Requires="wps">
                <w:drawing>
                  <wp:anchor distT="45720" distB="45720" distL="114300" distR="114300" simplePos="0" relativeHeight="251663360" behindDoc="0" locked="0" layoutInCell="1" allowOverlap="1" wp14:anchorId="2AF8EAF0" wp14:editId="13CA3A5E">
                    <wp:simplePos x="0" y="0"/>
                    <wp:positionH relativeFrom="column">
                      <wp:posOffset>230505</wp:posOffset>
                    </wp:positionH>
                    <wp:positionV relativeFrom="paragraph">
                      <wp:posOffset>3580765</wp:posOffset>
                    </wp:positionV>
                    <wp:extent cx="5239385" cy="1404620"/>
                    <wp:effectExtent l="0" t="0" r="18415" b="20320"/>
                    <wp:wrapSquare wrapText="bothSides"/>
                    <wp:docPr id="1784263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9385" cy="1404620"/>
                            </a:xfrm>
                            <a:prstGeom prst="rect">
                              <a:avLst/>
                            </a:prstGeom>
                            <a:solidFill>
                              <a:srgbClr val="FFFFFF"/>
                            </a:solidFill>
                            <a:ln w="9525">
                              <a:solidFill>
                                <a:srgbClr val="000000"/>
                              </a:solidFill>
                              <a:miter lim="800000"/>
                              <a:headEnd/>
                              <a:tailEnd/>
                            </a:ln>
                          </wps:spPr>
                          <wps:txbx>
                            <w:txbxContent>
                              <w:p w14:paraId="2F16A06D" w14:textId="12AA74AC" w:rsidR="004F1655" w:rsidRDefault="00A92957">
                                <w:r w:rsidRPr="00A92957">
                                  <w:t>I confirm that I used Grammarly on 10 February 2026 solely for proofreading spelling and grammar. No AI-generated text has been submitted as my own work. I have retained drafts and notes and can provide them if required.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F8EAF0" id="Text Box 2" o:spid="_x0000_s1027" type="#_x0000_t202" style="position:absolute;margin-left:18.15pt;margin-top:281.95pt;width:412.5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">
                    <v:textbox style="mso-fit-shape-to-text:t">
                      <w:txbxContent>
                        <w:p w14:paraId="2F16A06D" w14:textId="12AA74AC" w:rsidR="004F1655" w:rsidRDefault="00A92957">
                          <w:r w:rsidRPr="00A92957">
                            <w:t>I confirm that I used Grammarly on 10 February 2026 solely for proofreading spelling and grammar. No AI-generated text has been submitted as my own work. I have retained drafts and notes and can provide them if required.</w:t>
                          </w:r>
                        </w:p>
                      </w:txbxContent>
                    </v:textbox>
                    <w10:wrap type="square"/>
                  </v:shape>
                </w:pict>
              </mc:Fallback>
            </mc:AlternateContent>
          </w:r>
          <w:r w:rsidR="00EF12BD">
            <w:rPr>
              <w:noProof/>
            </w:rPr>
            <mc:AlternateContent>
              <mc:Choice Requires="wps">
                <w:drawing>
                  <wp:anchor distT="45720" distB="45720" distL="114300" distR="114300" simplePos="0" relativeHeight="251661312" behindDoc="0" locked="0" layoutInCell="1" allowOverlap="1" wp14:anchorId="0589AE1C" wp14:editId="27EE9073">
                    <wp:simplePos x="0" y="0"/>
                    <wp:positionH relativeFrom="margin">
                      <wp:align>center</wp:align>
                    </wp:positionH>
                    <wp:positionV relativeFrom="paragraph">
                      <wp:posOffset>734060</wp:posOffset>
                    </wp:positionV>
                    <wp:extent cx="3664585" cy="1404620"/>
                    <wp:effectExtent l="0" t="0" r="1206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4585" cy="1404620"/>
                            </a:xfrm>
                            <a:prstGeom prst="rect">
                              <a:avLst/>
                            </a:prstGeom>
                            <a:solidFill>
                              <a:srgbClr val="FFFFFF"/>
                            </a:solidFill>
                            <a:ln w="9525">
                              <a:solidFill>
                                <a:srgbClr val="000000"/>
                              </a:solidFill>
                              <a:miter lim="800000"/>
                              <a:headEnd/>
                              <a:tailEnd/>
                            </a:ln>
                          </wps:spPr>
                          <wps:txbx>
                            <w:txbxContent>
                              <w:p w14:paraId="61A542DF" w14:textId="167DC091" w:rsidR="00EF12BD" w:rsidRDefault="00EF12BD">
                                <w:pPr>
                                  <w:rPr>
                                    <w:rFonts w:ascii="Arial" w:hAnsi="Arial" w:cs="Arial"/>
                                    <w:sz w:val="24"/>
                                    <w:szCs w:val="24"/>
                                  </w:rPr>
                                </w:pPr>
                                <w:r w:rsidRPr="009151D7">
                                  <w:rPr>
                                    <w:rFonts w:ascii="Arial" w:hAnsi="Arial" w:cs="Arial"/>
                                    <w:b/>
                                    <w:bCs/>
                                    <w:sz w:val="24"/>
                                    <w:szCs w:val="24"/>
                                  </w:rPr>
                                  <w:t>Module</w:t>
                                </w:r>
                                <w:r>
                                  <w:rPr>
                                    <w:rFonts w:ascii="Arial" w:hAnsi="Arial" w:cs="Arial"/>
                                    <w:sz w:val="24"/>
                                    <w:szCs w:val="24"/>
                                  </w:rPr>
                                  <w:t>:</w:t>
                                </w:r>
                                <w:r w:rsidR="005F4A91">
                                  <w:rPr>
                                    <w:rFonts w:ascii="Arial" w:hAnsi="Arial" w:cs="Arial"/>
                                    <w:sz w:val="24"/>
                                    <w:szCs w:val="24"/>
                                  </w:rPr>
                                  <w:t xml:space="preserve"> </w:t>
                                </w:r>
                                <w:r w:rsidR="005F4A91" w:rsidRPr="005F4A91">
                                  <w:rPr>
                                    <w:rFonts w:ascii="Arial" w:hAnsi="Arial" w:cs="Arial"/>
                                    <w:sz w:val="24"/>
                                    <w:szCs w:val="24"/>
                                  </w:rPr>
                                  <w:t>Contemporary Themes In the Hotel and Hospitality Sector.</w:t>
                                </w:r>
                              </w:p>
                              <w:p w14:paraId="30B8392E" w14:textId="1CC4580B" w:rsidR="00EF12BD" w:rsidRPr="00833840" w:rsidRDefault="00EF12BD">
                                <w:pPr>
                                  <w:rPr>
                                    <w:rFonts w:ascii="Arial" w:hAnsi="Arial" w:cs="Arial"/>
                                    <w:sz w:val="24"/>
                                    <w:szCs w:val="24"/>
                                    <w:lang w:val="fr-FR"/>
                                  </w:rPr>
                                </w:pPr>
                                <w:r w:rsidRPr="009151D7">
                                  <w:rPr>
                                    <w:rFonts w:ascii="Arial" w:hAnsi="Arial" w:cs="Arial"/>
                                    <w:b/>
                                    <w:bCs/>
                                    <w:sz w:val="24"/>
                                    <w:szCs w:val="24"/>
                                    <w:lang w:val="fr-FR"/>
                                  </w:rPr>
                                  <w:t xml:space="preserve">Module </w:t>
                                </w:r>
                                <w:r w:rsidR="005F4A91" w:rsidRPr="009151D7">
                                  <w:rPr>
                                    <w:rFonts w:ascii="Arial" w:hAnsi="Arial" w:cs="Arial"/>
                                    <w:b/>
                                    <w:bCs/>
                                    <w:sz w:val="24"/>
                                    <w:szCs w:val="24"/>
                                    <w:lang w:val="fr-FR"/>
                                  </w:rPr>
                                  <w:t>code</w:t>
                                </w:r>
                                <w:r w:rsidRPr="00833840">
                                  <w:rPr>
                                    <w:rFonts w:ascii="Arial" w:hAnsi="Arial" w:cs="Arial"/>
                                    <w:sz w:val="24"/>
                                    <w:szCs w:val="24"/>
                                    <w:lang w:val="fr-FR"/>
                                  </w:rPr>
                                  <w:t>:</w:t>
                                </w:r>
                                <w:r w:rsidR="005F4A91" w:rsidRPr="00833840">
                                  <w:rPr>
                                    <w:rFonts w:ascii="Arial" w:hAnsi="Arial" w:cs="Arial"/>
                                    <w:sz w:val="24"/>
                                    <w:szCs w:val="24"/>
                                    <w:lang w:val="fr-FR"/>
                                  </w:rPr>
                                  <w:t xml:space="preserve"> </w:t>
                                </w:r>
                                <w:r w:rsidR="00833840" w:rsidRPr="00833840">
                                  <w:rPr>
                                    <w:rFonts w:ascii="Arial" w:hAnsi="Arial" w:cs="Arial"/>
                                    <w:sz w:val="24"/>
                                    <w:szCs w:val="24"/>
                                    <w:lang w:val="fr-FR"/>
                                  </w:rPr>
                                  <w:t xml:space="preserve">BMIH6001 </w:t>
                                </w:r>
                              </w:p>
                              <w:p w14:paraId="47354ABE" w14:textId="56AE0550" w:rsidR="00EF12BD" w:rsidRPr="00E0576E" w:rsidRDefault="00EF12BD">
                                <w:pPr>
                                  <w:rPr>
                                    <w:rFonts w:ascii="Arial" w:hAnsi="Arial" w:cs="Arial"/>
                                    <w:sz w:val="24"/>
                                    <w:szCs w:val="24"/>
                                    <w:lang w:val="fr-FR"/>
                                  </w:rPr>
                                </w:pPr>
                                <w:proofErr w:type="spellStart"/>
                                <w:r w:rsidRPr="00E0576E">
                                  <w:rPr>
                                    <w:rFonts w:ascii="Arial" w:hAnsi="Arial" w:cs="Arial"/>
                                    <w:b/>
                                    <w:bCs/>
                                    <w:sz w:val="24"/>
                                    <w:szCs w:val="24"/>
                                    <w:lang w:val="fr-FR"/>
                                  </w:rPr>
                                  <w:t>Lecturer</w:t>
                                </w:r>
                                <w:proofErr w:type="spellEnd"/>
                                <w:r w:rsidRPr="00E0576E">
                                  <w:rPr>
                                    <w:rFonts w:ascii="Arial" w:hAnsi="Arial" w:cs="Arial"/>
                                    <w:sz w:val="24"/>
                                    <w:szCs w:val="24"/>
                                    <w:lang w:val="fr-FR"/>
                                  </w:rPr>
                                  <w:t>:</w:t>
                                </w:r>
                                <w:r w:rsidR="00833840" w:rsidRPr="00E0576E">
                                  <w:rPr>
                                    <w:rFonts w:ascii="Arial" w:hAnsi="Arial" w:cs="Arial"/>
                                    <w:sz w:val="24"/>
                                    <w:szCs w:val="24"/>
                                    <w:lang w:val="fr-FR"/>
                                  </w:rPr>
                                  <w:t xml:space="preserve"> Dr Ernest Balutie Wavei</w:t>
                                </w:r>
                              </w:p>
                              <w:p w14:paraId="088F417C" w14:textId="1755A2D0" w:rsidR="00EF12BD" w:rsidRPr="00E0576E" w:rsidRDefault="00EF12BD">
                                <w:pPr>
                                  <w:rPr>
                                    <w:rFonts w:ascii="Arial" w:hAnsi="Arial" w:cs="Arial"/>
                                    <w:sz w:val="24"/>
                                    <w:szCs w:val="24"/>
                                  </w:rPr>
                                </w:pPr>
                                <w:r w:rsidRPr="00E0576E">
                                  <w:rPr>
                                    <w:rFonts w:ascii="Arial" w:hAnsi="Arial" w:cs="Arial"/>
                                    <w:b/>
                                    <w:bCs/>
                                    <w:sz w:val="24"/>
                                    <w:szCs w:val="24"/>
                                  </w:rPr>
                                  <w:t>Student</w:t>
                                </w:r>
                                <w:r w:rsidRPr="00E0576E">
                                  <w:rPr>
                                    <w:rFonts w:ascii="Arial" w:hAnsi="Arial" w:cs="Arial"/>
                                    <w:sz w:val="24"/>
                                    <w:szCs w:val="24"/>
                                  </w:rPr>
                                  <w:t>:</w:t>
                                </w:r>
                                <w:r w:rsidR="00833840" w:rsidRPr="00E0576E">
                                  <w:rPr>
                                    <w:rFonts w:ascii="Arial" w:hAnsi="Arial" w:cs="Arial"/>
                                    <w:sz w:val="24"/>
                                    <w:szCs w:val="24"/>
                                  </w:rPr>
                                  <w:t xml:space="preserve"> Beatrice-Elia Gherasim</w:t>
                                </w:r>
                              </w:p>
                              <w:p w14:paraId="5320DBB4" w14:textId="2C7D5B89" w:rsidR="00EF12BD" w:rsidRPr="00E0576E" w:rsidRDefault="00EF12BD">
                                <w:pPr>
                                  <w:rPr>
                                    <w:rFonts w:ascii="Arial" w:hAnsi="Arial" w:cs="Arial"/>
                                    <w:sz w:val="24"/>
                                    <w:szCs w:val="24"/>
                                  </w:rPr>
                                </w:pPr>
                                <w:r w:rsidRPr="00E0576E">
                                  <w:rPr>
                                    <w:rFonts w:ascii="Arial" w:hAnsi="Arial" w:cs="Arial"/>
                                    <w:b/>
                                    <w:bCs/>
                                    <w:sz w:val="24"/>
                                    <w:szCs w:val="24"/>
                                  </w:rPr>
                                  <w:t>Student ID</w:t>
                                </w:r>
                                <w:r w:rsidRPr="00E0576E">
                                  <w:rPr>
                                    <w:rFonts w:ascii="Arial" w:hAnsi="Arial" w:cs="Arial"/>
                                    <w:sz w:val="24"/>
                                    <w:szCs w:val="24"/>
                                  </w:rPr>
                                  <w:t xml:space="preserve">: </w:t>
                                </w:r>
                                <w:r w:rsidR="004F1655" w:rsidRPr="00E0576E">
                                  <w:rPr>
                                    <w:rFonts w:ascii="Arial" w:hAnsi="Arial" w:cs="Arial"/>
                                    <w:sz w:val="24"/>
                                    <w:szCs w:val="24"/>
                                  </w:rPr>
                                  <w:t>2241871</w:t>
                                </w:r>
                              </w:p>
                              <w:p w14:paraId="14C57DC2" w14:textId="2C2AAFD1" w:rsidR="004F1655" w:rsidRPr="00E0576E" w:rsidRDefault="004F1655">
                                <w:pPr>
                                  <w:rPr>
                                    <w:rFonts w:ascii="Arial" w:hAnsi="Arial" w:cs="Arial"/>
                                    <w:sz w:val="24"/>
                                    <w:szCs w:val="24"/>
                                  </w:rPr>
                                </w:pPr>
                                <w:r w:rsidRPr="00E0576E">
                                  <w:rPr>
                                    <w:rFonts w:ascii="Arial" w:hAnsi="Arial" w:cs="Arial"/>
                                    <w:sz w:val="24"/>
                                    <w:szCs w:val="24"/>
                                  </w:rPr>
                                  <w:t xml:space="preserve">Wordcount: </w:t>
                                </w:r>
                                <w:r w:rsidR="00BE3877">
                                  <w:rPr>
                                    <w:rFonts w:ascii="Arial" w:hAnsi="Arial" w:cs="Arial"/>
                                    <w:sz w:val="24"/>
                                    <w:szCs w:val="24"/>
                                  </w:rPr>
                                  <w:t>274</w:t>
                                </w:r>
                                <w:r w:rsidR="00026AEE">
                                  <w:rPr>
                                    <w:rFonts w:ascii="Arial" w:hAnsi="Arial" w:cs="Arial"/>
                                    <w:sz w:val="24"/>
                                    <w:szCs w:val="24"/>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89AE1C" id="_x0000_s1028" type="#_x0000_t202" style="position:absolute;margin-left:0;margin-top:57.8pt;width:288.55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zJFwIAACc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">
                    <v:textbox style="mso-fit-shape-to-text:t">
                      <w:txbxContent>
                        <w:p w14:paraId="61A542DF" w14:textId="167DC091" w:rsidR="00EF12BD" w:rsidRDefault="00EF12BD">
                          <w:pPr>
                            <w:rPr>
                              <w:rFonts w:ascii="Arial" w:hAnsi="Arial" w:cs="Arial"/>
                              <w:sz w:val="24"/>
                              <w:szCs w:val="24"/>
                            </w:rPr>
                          </w:pPr>
                          <w:r w:rsidRPr="009151D7">
                            <w:rPr>
                              <w:rFonts w:ascii="Arial" w:hAnsi="Arial" w:cs="Arial"/>
                              <w:b/>
                              <w:bCs/>
                              <w:sz w:val="24"/>
                              <w:szCs w:val="24"/>
                            </w:rPr>
                            <w:t>Module</w:t>
                          </w:r>
                          <w:r>
                            <w:rPr>
                              <w:rFonts w:ascii="Arial" w:hAnsi="Arial" w:cs="Arial"/>
                              <w:sz w:val="24"/>
                              <w:szCs w:val="24"/>
                            </w:rPr>
                            <w:t>:</w:t>
                          </w:r>
                          <w:r w:rsidR="005F4A91">
                            <w:rPr>
                              <w:rFonts w:ascii="Arial" w:hAnsi="Arial" w:cs="Arial"/>
                              <w:sz w:val="24"/>
                              <w:szCs w:val="24"/>
                            </w:rPr>
                            <w:t xml:space="preserve"> </w:t>
                          </w:r>
                          <w:r w:rsidR="005F4A91" w:rsidRPr="005F4A91">
                            <w:rPr>
                              <w:rFonts w:ascii="Arial" w:hAnsi="Arial" w:cs="Arial"/>
                              <w:sz w:val="24"/>
                              <w:szCs w:val="24"/>
                            </w:rPr>
                            <w:t>Contemporary Themes In the Hotel and Hospitality Sector.</w:t>
                          </w:r>
                        </w:p>
                        <w:p w14:paraId="30B8392E" w14:textId="1CC4580B" w:rsidR="00EF12BD" w:rsidRPr="00833840" w:rsidRDefault="00EF12BD">
                          <w:pPr>
                            <w:rPr>
                              <w:rFonts w:ascii="Arial" w:hAnsi="Arial" w:cs="Arial"/>
                              <w:sz w:val="24"/>
                              <w:szCs w:val="24"/>
                              <w:lang w:val="fr-FR"/>
                            </w:rPr>
                          </w:pPr>
                          <w:r w:rsidRPr="009151D7">
                            <w:rPr>
                              <w:rFonts w:ascii="Arial" w:hAnsi="Arial" w:cs="Arial"/>
                              <w:b/>
                              <w:bCs/>
                              <w:sz w:val="24"/>
                              <w:szCs w:val="24"/>
                              <w:lang w:val="fr-FR"/>
                            </w:rPr>
                            <w:t xml:space="preserve">Module </w:t>
                          </w:r>
                          <w:r w:rsidR="005F4A91" w:rsidRPr="009151D7">
                            <w:rPr>
                              <w:rFonts w:ascii="Arial" w:hAnsi="Arial" w:cs="Arial"/>
                              <w:b/>
                              <w:bCs/>
                              <w:sz w:val="24"/>
                              <w:szCs w:val="24"/>
                              <w:lang w:val="fr-FR"/>
                            </w:rPr>
                            <w:t>code</w:t>
                          </w:r>
                          <w:r w:rsidRPr="00833840">
                            <w:rPr>
                              <w:rFonts w:ascii="Arial" w:hAnsi="Arial" w:cs="Arial"/>
                              <w:sz w:val="24"/>
                              <w:szCs w:val="24"/>
                              <w:lang w:val="fr-FR"/>
                            </w:rPr>
                            <w:t>:</w:t>
                          </w:r>
                          <w:r w:rsidR="005F4A91" w:rsidRPr="00833840">
                            <w:rPr>
                              <w:rFonts w:ascii="Arial" w:hAnsi="Arial" w:cs="Arial"/>
                              <w:sz w:val="24"/>
                              <w:szCs w:val="24"/>
                              <w:lang w:val="fr-FR"/>
                            </w:rPr>
                            <w:t xml:space="preserve"> </w:t>
                          </w:r>
                          <w:r w:rsidR="00833840" w:rsidRPr="00833840">
                            <w:rPr>
                              <w:rFonts w:ascii="Arial" w:hAnsi="Arial" w:cs="Arial"/>
                              <w:sz w:val="24"/>
                              <w:szCs w:val="24"/>
                              <w:lang w:val="fr-FR"/>
                            </w:rPr>
                            <w:t xml:space="preserve">BMIH6001 </w:t>
                          </w:r>
                        </w:p>
                        <w:p w14:paraId="47354ABE" w14:textId="56AE0550" w:rsidR="00EF12BD" w:rsidRPr="00E0576E" w:rsidRDefault="00EF12BD">
                          <w:pPr>
                            <w:rPr>
                              <w:rFonts w:ascii="Arial" w:hAnsi="Arial" w:cs="Arial"/>
                              <w:sz w:val="24"/>
                              <w:szCs w:val="24"/>
                              <w:lang w:val="fr-FR"/>
                            </w:rPr>
                          </w:pPr>
                          <w:proofErr w:type="spellStart"/>
                          <w:r w:rsidRPr="00E0576E">
                            <w:rPr>
                              <w:rFonts w:ascii="Arial" w:hAnsi="Arial" w:cs="Arial"/>
                              <w:b/>
                              <w:bCs/>
                              <w:sz w:val="24"/>
                              <w:szCs w:val="24"/>
                              <w:lang w:val="fr-FR"/>
                            </w:rPr>
                            <w:t>Lecturer</w:t>
                          </w:r>
                          <w:proofErr w:type="spellEnd"/>
                          <w:r w:rsidRPr="00E0576E">
                            <w:rPr>
                              <w:rFonts w:ascii="Arial" w:hAnsi="Arial" w:cs="Arial"/>
                              <w:sz w:val="24"/>
                              <w:szCs w:val="24"/>
                              <w:lang w:val="fr-FR"/>
                            </w:rPr>
                            <w:t>:</w:t>
                          </w:r>
                          <w:r w:rsidR="00833840" w:rsidRPr="00E0576E">
                            <w:rPr>
                              <w:rFonts w:ascii="Arial" w:hAnsi="Arial" w:cs="Arial"/>
                              <w:sz w:val="24"/>
                              <w:szCs w:val="24"/>
                              <w:lang w:val="fr-FR"/>
                            </w:rPr>
                            <w:t xml:space="preserve"> Dr Ernest Balutie Wavei</w:t>
                          </w:r>
                        </w:p>
                        <w:p w14:paraId="088F417C" w14:textId="1755A2D0" w:rsidR="00EF12BD" w:rsidRPr="00E0576E" w:rsidRDefault="00EF12BD">
                          <w:pPr>
                            <w:rPr>
                              <w:rFonts w:ascii="Arial" w:hAnsi="Arial" w:cs="Arial"/>
                              <w:sz w:val="24"/>
                              <w:szCs w:val="24"/>
                            </w:rPr>
                          </w:pPr>
                          <w:r w:rsidRPr="00E0576E">
                            <w:rPr>
                              <w:rFonts w:ascii="Arial" w:hAnsi="Arial" w:cs="Arial"/>
                              <w:b/>
                              <w:bCs/>
                              <w:sz w:val="24"/>
                              <w:szCs w:val="24"/>
                            </w:rPr>
                            <w:t>Student</w:t>
                          </w:r>
                          <w:r w:rsidRPr="00E0576E">
                            <w:rPr>
                              <w:rFonts w:ascii="Arial" w:hAnsi="Arial" w:cs="Arial"/>
                              <w:sz w:val="24"/>
                              <w:szCs w:val="24"/>
                            </w:rPr>
                            <w:t>:</w:t>
                          </w:r>
                          <w:r w:rsidR="00833840" w:rsidRPr="00E0576E">
                            <w:rPr>
                              <w:rFonts w:ascii="Arial" w:hAnsi="Arial" w:cs="Arial"/>
                              <w:sz w:val="24"/>
                              <w:szCs w:val="24"/>
                            </w:rPr>
                            <w:t xml:space="preserve"> Beatrice-Elia Gherasim</w:t>
                          </w:r>
                        </w:p>
                        <w:p w14:paraId="5320DBB4" w14:textId="2C7D5B89" w:rsidR="00EF12BD" w:rsidRPr="00E0576E" w:rsidRDefault="00EF12BD">
                          <w:pPr>
                            <w:rPr>
                              <w:rFonts w:ascii="Arial" w:hAnsi="Arial" w:cs="Arial"/>
                              <w:sz w:val="24"/>
                              <w:szCs w:val="24"/>
                            </w:rPr>
                          </w:pPr>
                          <w:r w:rsidRPr="00E0576E">
                            <w:rPr>
                              <w:rFonts w:ascii="Arial" w:hAnsi="Arial" w:cs="Arial"/>
                              <w:b/>
                              <w:bCs/>
                              <w:sz w:val="24"/>
                              <w:szCs w:val="24"/>
                            </w:rPr>
                            <w:t>Student ID</w:t>
                          </w:r>
                          <w:r w:rsidRPr="00E0576E">
                            <w:rPr>
                              <w:rFonts w:ascii="Arial" w:hAnsi="Arial" w:cs="Arial"/>
                              <w:sz w:val="24"/>
                              <w:szCs w:val="24"/>
                            </w:rPr>
                            <w:t xml:space="preserve">: </w:t>
                          </w:r>
                          <w:r w:rsidR="004F1655" w:rsidRPr="00E0576E">
                            <w:rPr>
                              <w:rFonts w:ascii="Arial" w:hAnsi="Arial" w:cs="Arial"/>
                              <w:sz w:val="24"/>
                              <w:szCs w:val="24"/>
                            </w:rPr>
                            <w:t>2241871</w:t>
                          </w:r>
                        </w:p>
                        <w:p w14:paraId="14C57DC2" w14:textId="2C2AAFD1" w:rsidR="004F1655" w:rsidRPr="00E0576E" w:rsidRDefault="004F1655">
                          <w:pPr>
                            <w:rPr>
                              <w:rFonts w:ascii="Arial" w:hAnsi="Arial" w:cs="Arial"/>
                              <w:sz w:val="24"/>
                              <w:szCs w:val="24"/>
                            </w:rPr>
                          </w:pPr>
                          <w:r w:rsidRPr="00E0576E">
                            <w:rPr>
                              <w:rFonts w:ascii="Arial" w:hAnsi="Arial" w:cs="Arial"/>
                              <w:sz w:val="24"/>
                              <w:szCs w:val="24"/>
                            </w:rPr>
                            <w:t xml:space="preserve">Wordcount: </w:t>
                          </w:r>
                          <w:r w:rsidR="00BE3877">
                            <w:rPr>
                              <w:rFonts w:ascii="Arial" w:hAnsi="Arial" w:cs="Arial"/>
                              <w:sz w:val="24"/>
                              <w:szCs w:val="24"/>
                            </w:rPr>
                            <w:t>274</w:t>
                          </w:r>
                          <w:r w:rsidR="00026AEE">
                            <w:rPr>
                              <w:rFonts w:ascii="Arial" w:hAnsi="Arial" w:cs="Arial"/>
                              <w:sz w:val="24"/>
                              <w:szCs w:val="24"/>
                            </w:rPr>
                            <w:t>6</w:t>
                          </w:r>
                        </w:p>
                      </w:txbxContent>
                    </v:textbox>
                    <w10:wrap type="square" anchorx="margin"/>
                  </v:shape>
                </w:pict>
              </mc:Fallback>
            </mc:AlternateContent>
          </w:r>
          <w:r w:rsidR="00DD7F7D">
            <w:br w:type="page"/>
          </w:r>
        </w:p>
      </w:sdtContent>
    </w:sdt>
    <w:p w14:paraId="4301E440" w14:textId="520682DA" w:rsidR="001E1E97" w:rsidRPr="007E65AE" w:rsidRDefault="007E65AE" w:rsidP="007E65AE">
      <w:pPr>
        <w:spacing w:line="360" w:lineRule="auto"/>
        <w:jc w:val="both"/>
        <w:rPr>
          <w:rFonts w:ascii="Arial" w:hAnsi="Arial" w:cs="Arial"/>
          <w:b/>
          <w:bCs/>
          <w:sz w:val="24"/>
          <w:szCs w:val="24"/>
        </w:rPr>
      </w:pPr>
      <w:r w:rsidRPr="007E65AE">
        <w:rPr>
          <w:rFonts w:ascii="Arial" w:hAnsi="Arial" w:cs="Arial"/>
          <w:b/>
          <w:bCs/>
          <w:sz w:val="24"/>
          <w:szCs w:val="24"/>
        </w:rPr>
        <w:lastRenderedPageBreak/>
        <w:t>Abstract</w:t>
      </w:r>
    </w:p>
    <w:p w14:paraId="6FECE81E" w14:textId="1372B93C" w:rsidR="007E65AE" w:rsidRDefault="00635206" w:rsidP="007E65AE">
      <w:pPr>
        <w:spacing w:line="360" w:lineRule="auto"/>
        <w:jc w:val="both"/>
        <w:rPr>
          <w:rFonts w:ascii="Arial" w:hAnsi="Arial" w:cs="Arial"/>
          <w:sz w:val="24"/>
          <w:szCs w:val="24"/>
        </w:rPr>
      </w:pPr>
      <w:r w:rsidRPr="00635206">
        <w:rPr>
          <w:rFonts w:ascii="Arial" w:hAnsi="Arial" w:cs="Arial"/>
          <w:sz w:val="24"/>
          <w:szCs w:val="24"/>
        </w:rPr>
        <w:t>Food waste reduction has emerged as a critical sustainability challenge within the hotel and hospitality sector, driven by rising operational costs, environmental pressures, and increasing regulatory scrutiny. This conference research paper examines the impact of food waste reduction on operational efficiency within hospitality operations, with particular emphasis on organisational practices, employee behaviour, and service design. Using a secondary research methodology, the study critically analyses current academic literature, industry reports, and policy guidance to explore how food waste reduction strategies influence cost control, resource utilisation, and operational performance. An impact analysis informed by political, economic, social, and technological factors highlights both the potential benefits and practical limitations of waste reduction initiatives across different hospitality contexts. The findings indicate that while food waste reduction can contribute to improved efficiency and sustainability outcomes, its effectiveness is highly context-dependent and shaped by organisational scale, management practices, and workforce engagement. The paper concludes by proposing practical recommendations to support more integrated and operationally feasible food waste reduction strategies within the hospitality industry.</w:t>
      </w:r>
    </w:p>
    <w:p w14:paraId="393F4176" w14:textId="77777777" w:rsidR="008C2CEC" w:rsidRDefault="008C2CEC" w:rsidP="007E65AE">
      <w:pPr>
        <w:spacing w:line="360" w:lineRule="auto"/>
        <w:jc w:val="both"/>
        <w:rPr>
          <w:rFonts w:ascii="Arial" w:hAnsi="Arial" w:cs="Arial"/>
          <w:sz w:val="24"/>
          <w:szCs w:val="24"/>
        </w:rPr>
      </w:pPr>
    </w:p>
    <w:p w14:paraId="3A39D337" w14:textId="6871ED4B" w:rsidR="00204695" w:rsidRPr="008C2CEC" w:rsidRDefault="008C2CEC" w:rsidP="007E65AE">
      <w:pPr>
        <w:spacing w:line="360" w:lineRule="auto"/>
        <w:jc w:val="both"/>
        <w:rPr>
          <w:rFonts w:ascii="Arial" w:hAnsi="Arial" w:cs="Arial"/>
          <w:b/>
          <w:bCs/>
          <w:sz w:val="24"/>
          <w:szCs w:val="24"/>
        </w:rPr>
      </w:pPr>
      <w:r w:rsidRPr="008C2CEC">
        <w:rPr>
          <w:rFonts w:ascii="Arial" w:hAnsi="Arial" w:cs="Arial"/>
          <w:b/>
          <w:bCs/>
          <w:sz w:val="24"/>
          <w:szCs w:val="24"/>
        </w:rPr>
        <w:t>Introduction</w:t>
      </w:r>
    </w:p>
    <w:p w14:paraId="50F44516" w14:textId="61672DB1" w:rsidR="008C2CEC" w:rsidRPr="008C2CEC" w:rsidRDefault="001147F2" w:rsidP="008C2CEC">
      <w:pPr>
        <w:spacing w:line="360" w:lineRule="auto"/>
        <w:jc w:val="both"/>
        <w:rPr>
          <w:rFonts w:ascii="Arial" w:hAnsi="Arial" w:cs="Arial"/>
          <w:sz w:val="24"/>
          <w:szCs w:val="24"/>
        </w:rPr>
      </w:pPr>
      <w:r w:rsidRPr="001147F2">
        <w:rPr>
          <w:rFonts w:ascii="Arial" w:hAnsi="Arial" w:cs="Arial"/>
          <w:sz w:val="24"/>
          <w:szCs w:val="24"/>
        </w:rPr>
        <w:t>Within the contemporary hospitality sector, food waste represents a major challenge with both environmental and operational implications</w:t>
      </w:r>
      <w:r w:rsidR="008C2CEC" w:rsidRPr="008C2CEC">
        <w:rPr>
          <w:rFonts w:ascii="Arial" w:hAnsi="Arial" w:cs="Arial"/>
          <w:sz w:val="24"/>
          <w:szCs w:val="24"/>
        </w:rPr>
        <w:t>. Hotels operate within complex food service systems characterised by high variability in demand, labour-intensive processes, and strict quality and safety expectations, all of which increase the risk of food overproduction and wastage. In recent years, growing regulatory pressure, rising food costs, and heightened consumer awareness of environmental responsibility have intensified scrutiny of food waste practices within hospitality operations. As a result, food waste reduction is no longer viewed solely as an environmental concern but as a critical determinant of operational efficiency and organisational performance.</w:t>
      </w:r>
    </w:p>
    <w:p w14:paraId="39E3FCCA" w14:textId="77C4FA92" w:rsidR="008C2CEC" w:rsidRPr="008C2CEC" w:rsidRDefault="008C2CEC" w:rsidP="008C2CEC">
      <w:pPr>
        <w:spacing w:line="360" w:lineRule="auto"/>
        <w:jc w:val="both"/>
        <w:rPr>
          <w:rFonts w:ascii="Arial" w:hAnsi="Arial" w:cs="Arial"/>
          <w:sz w:val="24"/>
          <w:szCs w:val="24"/>
        </w:rPr>
      </w:pPr>
      <w:r w:rsidRPr="008C2CEC">
        <w:rPr>
          <w:rFonts w:ascii="Arial" w:hAnsi="Arial" w:cs="Arial"/>
          <w:sz w:val="24"/>
          <w:szCs w:val="24"/>
        </w:rPr>
        <w:t xml:space="preserve">Within the hospitality sector, food waste occurs across multiple stages of operations, including procurement, storage, preparation, service, and post-consumption handling. Inefficient inventory management, inadequate demand forecasting, inconsistent staff </w:t>
      </w:r>
      <w:r w:rsidRPr="008C2CEC">
        <w:rPr>
          <w:rFonts w:ascii="Arial" w:hAnsi="Arial" w:cs="Arial"/>
          <w:sz w:val="24"/>
          <w:szCs w:val="24"/>
        </w:rPr>
        <w:lastRenderedPageBreak/>
        <w:t>practices, and limited cross-functional coordination contribute to avoidable waste, with direct implications for cost control and resource utilisation. While sustainability discourse has traditionally emphasised environmental outcomes, recent literature increasingly recognises the operational consequences of food waste, particularly its impact on profitability, workflow efficiency, and service delivery. However, evidence remains fragmented, and the extent to which food waste reduction strategies translate into measurable operational efficiencies varies across organisational contexts.</w:t>
      </w:r>
    </w:p>
    <w:p w14:paraId="6A73180C" w14:textId="4B529D91" w:rsidR="007E65AE" w:rsidRDefault="008C2CEC" w:rsidP="007E65AE">
      <w:pPr>
        <w:spacing w:line="360" w:lineRule="auto"/>
        <w:jc w:val="both"/>
        <w:rPr>
          <w:rFonts w:ascii="Arial" w:hAnsi="Arial" w:cs="Arial"/>
          <w:sz w:val="24"/>
          <w:szCs w:val="24"/>
        </w:rPr>
      </w:pPr>
      <w:r w:rsidRPr="008C2CEC">
        <w:rPr>
          <w:rFonts w:ascii="Arial" w:hAnsi="Arial" w:cs="Arial"/>
          <w:sz w:val="24"/>
          <w:szCs w:val="24"/>
        </w:rPr>
        <w:t>This conference research paper critically examines the impact of food waste reduction strategies on operational efficiency in the hospitality industry through a secondary qualitative research approach. Drawing on contemporary peer-reviewed literature, industry reports, and policy documents, the study explores how practices such as inventory optimisation, employee engagement, technological interventions, and supply chain coordination influence operational performance. Rather than assuming uniform benefits, the paper evaluates both the potential efficiency gains and the organisational constraints that limit successful implementation. By adopting a critical and sector-specific perspective, this study aims to contribute to ongoing academic and industry discussions on sustainable hospitality management, while acknowledging the contextual and practical challenges associated with reducing food waste in hotel operations.</w:t>
      </w:r>
    </w:p>
    <w:p w14:paraId="7B18DA73" w14:textId="77777777" w:rsidR="00204695" w:rsidRDefault="00204695" w:rsidP="007E65AE">
      <w:pPr>
        <w:spacing w:line="360" w:lineRule="auto"/>
        <w:jc w:val="both"/>
        <w:rPr>
          <w:rFonts w:ascii="Arial" w:hAnsi="Arial" w:cs="Arial"/>
          <w:sz w:val="24"/>
          <w:szCs w:val="24"/>
        </w:rPr>
      </w:pPr>
    </w:p>
    <w:p w14:paraId="3BAECF15" w14:textId="41B32523" w:rsidR="00892ADA" w:rsidRPr="00752D62" w:rsidRDefault="00892ADA" w:rsidP="00892ADA">
      <w:pPr>
        <w:spacing w:line="360" w:lineRule="auto"/>
        <w:jc w:val="both"/>
        <w:rPr>
          <w:rFonts w:ascii="Arial" w:hAnsi="Arial" w:cs="Arial"/>
          <w:b/>
          <w:bCs/>
          <w:sz w:val="24"/>
          <w:szCs w:val="24"/>
        </w:rPr>
      </w:pPr>
      <w:r w:rsidRPr="00752D62">
        <w:rPr>
          <w:rFonts w:ascii="Arial" w:hAnsi="Arial" w:cs="Arial"/>
          <w:b/>
          <w:bCs/>
          <w:sz w:val="24"/>
          <w:szCs w:val="24"/>
        </w:rPr>
        <w:t>Literature Review</w:t>
      </w:r>
    </w:p>
    <w:p w14:paraId="28CE1A72" w14:textId="02484415" w:rsidR="00892ADA" w:rsidRPr="00892ADA" w:rsidRDefault="00892ADA" w:rsidP="00892ADA">
      <w:pPr>
        <w:spacing w:line="360" w:lineRule="auto"/>
        <w:jc w:val="both"/>
        <w:rPr>
          <w:rFonts w:ascii="Arial" w:hAnsi="Arial" w:cs="Arial"/>
          <w:sz w:val="24"/>
          <w:szCs w:val="24"/>
        </w:rPr>
      </w:pPr>
      <w:r w:rsidRPr="00892ADA">
        <w:rPr>
          <w:rFonts w:ascii="Arial" w:hAnsi="Arial" w:cs="Arial"/>
          <w:sz w:val="24"/>
          <w:szCs w:val="24"/>
        </w:rPr>
        <w:t>Food waste has been widely recognised as a critical sustainability challenge across global food systems; however, its operational implications within hospitality contexts remain unevenly theorised and empirically examined. Much of the early literature on food waste reduction focuses on agricultural production, retail supply chains, and household consumption, emphasising inefficiencies in logistics, storage, and distribution (</w:t>
      </w:r>
      <w:proofErr w:type="spellStart"/>
      <w:r w:rsidRPr="00892ADA">
        <w:rPr>
          <w:rFonts w:ascii="Arial" w:hAnsi="Arial" w:cs="Arial"/>
          <w:sz w:val="24"/>
          <w:szCs w:val="24"/>
        </w:rPr>
        <w:t>Aramyan</w:t>
      </w:r>
      <w:proofErr w:type="spellEnd"/>
      <w:r w:rsidRPr="00892ADA">
        <w:rPr>
          <w:rFonts w:ascii="Arial" w:hAnsi="Arial" w:cs="Arial"/>
          <w:sz w:val="24"/>
          <w:szCs w:val="24"/>
        </w:rPr>
        <w:t xml:space="preserve"> et al, 2021; </w:t>
      </w:r>
      <w:proofErr w:type="spellStart"/>
      <w:r w:rsidRPr="00892ADA">
        <w:rPr>
          <w:rFonts w:ascii="Arial" w:hAnsi="Arial" w:cs="Arial"/>
          <w:sz w:val="24"/>
          <w:szCs w:val="24"/>
        </w:rPr>
        <w:t>Nikoličić</w:t>
      </w:r>
      <w:proofErr w:type="spellEnd"/>
      <w:r w:rsidRPr="00892ADA">
        <w:rPr>
          <w:rFonts w:ascii="Arial" w:hAnsi="Arial" w:cs="Arial"/>
          <w:sz w:val="24"/>
          <w:szCs w:val="24"/>
        </w:rPr>
        <w:t xml:space="preserve"> et al, 2021). While these studies provide valuable insights into systemic waste drivers, their direct applicability to hotel operations is limited due to the distinct characteristics of hospitality service systems, including demand uncertainty, perishability, and service quality expectations.</w:t>
      </w:r>
    </w:p>
    <w:p w14:paraId="7AE5C0CA" w14:textId="38B6423E" w:rsidR="00892ADA" w:rsidRPr="00892ADA" w:rsidRDefault="00892ADA" w:rsidP="00892ADA">
      <w:pPr>
        <w:spacing w:line="360" w:lineRule="auto"/>
        <w:jc w:val="both"/>
        <w:rPr>
          <w:rFonts w:ascii="Arial" w:hAnsi="Arial" w:cs="Arial"/>
          <w:sz w:val="24"/>
          <w:szCs w:val="24"/>
        </w:rPr>
      </w:pPr>
      <w:r w:rsidRPr="00892ADA">
        <w:rPr>
          <w:rFonts w:ascii="Arial" w:hAnsi="Arial" w:cs="Arial"/>
          <w:sz w:val="24"/>
          <w:szCs w:val="24"/>
        </w:rPr>
        <w:t xml:space="preserve">Within hospitality-specific research, food waste is most commonly attributed to operational practices such as overproduction, inaccurate demand forecasting, buffet </w:t>
      </w:r>
      <w:r w:rsidRPr="00892ADA">
        <w:rPr>
          <w:rFonts w:ascii="Arial" w:hAnsi="Arial" w:cs="Arial"/>
          <w:sz w:val="24"/>
          <w:szCs w:val="24"/>
        </w:rPr>
        <w:lastRenderedPageBreak/>
        <w:t>service models, and inconsistent inventory control. Empirical studies conducted in hotel and food service environments suggest that both pre-consumption waste (arising during procurement, storage, and preparation) and post-consumption waste (plate waste) contribute significantly to avoidable cost inefficiencies (</w:t>
      </w:r>
      <w:proofErr w:type="spellStart"/>
      <w:r w:rsidRPr="00892ADA">
        <w:rPr>
          <w:rFonts w:ascii="Arial" w:hAnsi="Arial" w:cs="Arial"/>
          <w:sz w:val="24"/>
          <w:szCs w:val="24"/>
        </w:rPr>
        <w:t>Amicarelli</w:t>
      </w:r>
      <w:proofErr w:type="spellEnd"/>
      <w:r w:rsidRPr="00892ADA">
        <w:rPr>
          <w:rFonts w:ascii="Arial" w:hAnsi="Arial" w:cs="Arial"/>
          <w:sz w:val="24"/>
          <w:szCs w:val="24"/>
        </w:rPr>
        <w:t xml:space="preserve"> et al, 2022; Lee and Huang, 2023). These findings indicate that food waste is not merely an environmental externality but a symptom of broader operational inefficiencies embedded within daily service processes. However, the magnitude of these inefficiencies varies substantially across hotel types, service formats, and market segments, limiting the generalisability of individual case studies.</w:t>
      </w:r>
    </w:p>
    <w:p w14:paraId="40F2B79F" w14:textId="45720B4C" w:rsidR="00892ADA" w:rsidRPr="00892ADA" w:rsidRDefault="00892ADA" w:rsidP="00892ADA">
      <w:pPr>
        <w:spacing w:line="360" w:lineRule="auto"/>
        <w:jc w:val="both"/>
        <w:rPr>
          <w:rFonts w:ascii="Arial" w:hAnsi="Arial" w:cs="Arial"/>
          <w:sz w:val="24"/>
          <w:szCs w:val="24"/>
        </w:rPr>
      </w:pPr>
      <w:r w:rsidRPr="00892ADA">
        <w:rPr>
          <w:rFonts w:ascii="Arial" w:hAnsi="Arial" w:cs="Arial"/>
          <w:sz w:val="24"/>
          <w:szCs w:val="24"/>
        </w:rPr>
        <w:t>Several scholars emphasise the role of inventory management and supply chain coordination in mitigating food waste and improving operational performance. Studies examining hospitality supply chains highlight that strategic supplier relationships, accurate information sharing, and coordinated procurement practices can reduce over-ordering and stock obsolescence, thereby lowering waste-related costs (Jawabreh et al, 2023). Nevertheless, much of this evidence is derived from cross-sectional or perception-based data, which constrains the ability to establish causal relationships between supply chain practices and measurable efficiency outcomes. As a result, claims regarding performance improvements should be interpreted cautiously, particularly when transferred across different organisational scales.</w:t>
      </w:r>
    </w:p>
    <w:p w14:paraId="224D080F" w14:textId="663784CC" w:rsidR="00892ADA" w:rsidRPr="00892ADA" w:rsidRDefault="00892ADA" w:rsidP="00892ADA">
      <w:pPr>
        <w:spacing w:line="360" w:lineRule="auto"/>
        <w:jc w:val="both"/>
        <w:rPr>
          <w:rFonts w:ascii="Arial" w:hAnsi="Arial" w:cs="Arial"/>
          <w:sz w:val="24"/>
          <w:szCs w:val="24"/>
        </w:rPr>
      </w:pPr>
      <w:r w:rsidRPr="00892ADA">
        <w:rPr>
          <w:rFonts w:ascii="Arial" w:hAnsi="Arial" w:cs="Arial"/>
          <w:sz w:val="24"/>
          <w:szCs w:val="24"/>
        </w:rPr>
        <w:t>Employee behaviour and organisational culture are also identified as influential factors in food waste generation and reduction. Research indicates that staff awareness, training, and engagement play a central role in determining how food handling procedures are implemented in practice (</w:t>
      </w:r>
      <w:proofErr w:type="spellStart"/>
      <w:r w:rsidRPr="00892ADA">
        <w:rPr>
          <w:rFonts w:ascii="Arial" w:hAnsi="Arial" w:cs="Arial"/>
          <w:sz w:val="24"/>
          <w:szCs w:val="24"/>
        </w:rPr>
        <w:t>Amicarelli</w:t>
      </w:r>
      <w:proofErr w:type="spellEnd"/>
      <w:r w:rsidRPr="00892ADA">
        <w:rPr>
          <w:rFonts w:ascii="Arial" w:hAnsi="Arial" w:cs="Arial"/>
          <w:sz w:val="24"/>
          <w:szCs w:val="24"/>
        </w:rPr>
        <w:t xml:space="preserve"> et al, 2022). While behavioural interventions may support waste reduction efforts, their effectiveness is often mediated by workload pressures, staff turnover, and managerial enforcement. Moreover, sociological studies examining food waste labour highlight that waste-related tasks may be undervalued within organisational hierarchies, potentially limiting employee motivation to adopt waste-minimisation practices consistently (Arnold and Bouwmeester, 2025). These findings suggest that behavioural solutions alone are insufficient without corresponding structural and managerial support.</w:t>
      </w:r>
    </w:p>
    <w:p w14:paraId="6F0CCF53" w14:textId="75CE2AAA" w:rsidR="00892ADA" w:rsidRPr="00892ADA" w:rsidRDefault="00892ADA" w:rsidP="00892ADA">
      <w:pPr>
        <w:spacing w:line="360" w:lineRule="auto"/>
        <w:jc w:val="both"/>
        <w:rPr>
          <w:rFonts w:ascii="Arial" w:hAnsi="Arial" w:cs="Arial"/>
          <w:sz w:val="24"/>
          <w:szCs w:val="24"/>
        </w:rPr>
      </w:pPr>
      <w:r w:rsidRPr="00892ADA">
        <w:rPr>
          <w:rFonts w:ascii="Arial" w:hAnsi="Arial" w:cs="Arial"/>
          <w:sz w:val="24"/>
          <w:szCs w:val="24"/>
        </w:rPr>
        <w:t xml:space="preserve">Technological interventions, including digital inventory systems, waste monitoring tools, and demand forecasting technologies, are increasingly promoted as </w:t>
      </w:r>
      <w:r w:rsidRPr="00892ADA">
        <w:rPr>
          <w:rFonts w:ascii="Arial" w:hAnsi="Arial" w:cs="Arial"/>
          <w:sz w:val="24"/>
          <w:szCs w:val="24"/>
        </w:rPr>
        <w:lastRenderedPageBreak/>
        <w:t>mechanisms to improve food waste control and operational efficiency. Emerging studies suggest that technology-assisted monitoring can enhance visibility over waste generation and support more informed decision-making (Clark et al, 2025). However, the empirical evidence remains context-dependent, with reported efficiency gains varying widely depending on organisational readiness, investment capacity, and staff adoption. Consequently, technology should be understood as an enabling tool rather than a standalone solution to food waste reduction.</w:t>
      </w:r>
    </w:p>
    <w:p w14:paraId="4F0AEEF0" w14:textId="2DA37331" w:rsidR="00892ADA" w:rsidRDefault="00C65018" w:rsidP="00892ADA">
      <w:pPr>
        <w:spacing w:line="360" w:lineRule="auto"/>
        <w:jc w:val="both"/>
        <w:rPr>
          <w:rFonts w:ascii="Arial" w:hAnsi="Arial" w:cs="Arial"/>
          <w:sz w:val="24"/>
          <w:szCs w:val="24"/>
        </w:rPr>
      </w:pPr>
      <w:r w:rsidRPr="00C65018">
        <w:rPr>
          <w:rFonts w:ascii="Arial" w:hAnsi="Arial" w:cs="Arial"/>
          <w:sz w:val="24"/>
          <w:szCs w:val="24"/>
        </w:rPr>
        <w:t>In sustainability research, food waste reduction is frequently connected to environmental improvements, including lower emissions and reduced pressure on natural resources</w:t>
      </w:r>
      <w:r w:rsidR="00D75149">
        <w:rPr>
          <w:rFonts w:ascii="Arial" w:hAnsi="Arial" w:cs="Arial"/>
          <w:sz w:val="24"/>
          <w:szCs w:val="24"/>
        </w:rPr>
        <w:t xml:space="preserve"> </w:t>
      </w:r>
      <w:r w:rsidR="00892ADA" w:rsidRPr="00892ADA">
        <w:rPr>
          <w:rFonts w:ascii="Arial" w:hAnsi="Arial" w:cs="Arial"/>
          <w:sz w:val="24"/>
          <w:szCs w:val="24"/>
        </w:rPr>
        <w:t>(</w:t>
      </w:r>
      <w:proofErr w:type="spellStart"/>
      <w:r w:rsidR="00892ADA" w:rsidRPr="00892ADA">
        <w:rPr>
          <w:rFonts w:ascii="Arial" w:hAnsi="Arial" w:cs="Arial"/>
          <w:sz w:val="24"/>
          <w:szCs w:val="24"/>
        </w:rPr>
        <w:t>Abbade</w:t>
      </w:r>
      <w:proofErr w:type="spellEnd"/>
      <w:r w:rsidR="00892ADA" w:rsidRPr="00892ADA">
        <w:rPr>
          <w:rFonts w:ascii="Arial" w:hAnsi="Arial" w:cs="Arial"/>
          <w:sz w:val="24"/>
          <w:szCs w:val="24"/>
        </w:rPr>
        <w:t>, 2023; Omar et al, 2024).</w:t>
      </w:r>
      <w:r w:rsidR="008C6FCD">
        <w:rPr>
          <w:rFonts w:ascii="Arial" w:hAnsi="Arial" w:cs="Arial"/>
          <w:sz w:val="24"/>
          <w:szCs w:val="24"/>
        </w:rPr>
        <w:t xml:space="preserve"> </w:t>
      </w:r>
      <w:r w:rsidR="008C6FCD" w:rsidRPr="008C6FCD">
        <w:rPr>
          <w:rFonts w:ascii="Arial" w:hAnsi="Arial" w:cs="Arial"/>
          <w:sz w:val="24"/>
          <w:szCs w:val="24"/>
        </w:rPr>
        <w:t>Although these environmental gains reflect internationally agreed sustainability commitments, including the SDGs set by the United Nations</w:t>
      </w:r>
      <w:r w:rsidR="00892ADA" w:rsidRPr="00892ADA">
        <w:rPr>
          <w:rFonts w:ascii="Arial" w:hAnsi="Arial" w:cs="Arial"/>
          <w:sz w:val="24"/>
          <w:szCs w:val="24"/>
        </w:rPr>
        <w:t xml:space="preserve">, the operational trade-offs faced by hospitality organisations are less frequently addressed. Legal and regulatory frameworks may encourage waste reduction through compliance requirements; however, they can also impose additional operational constraints, particularly in relation to food safety and donation practices (de </w:t>
      </w:r>
      <w:proofErr w:type="spellStart"/>
      <w:r w:rsidR="00FB7EBD">
        <w:rPr>
          <w:rFonts w:ascii="Arial" w:hAnsi="Arial" w:cs="Arial"/>
          <w:sz w:val="24"/>
          <w:szCs w:val="24"/>
        </w:rPr>
        <w:t>l</w:t>
      </w:r>
      <w:r w:rsidR="00892ADA" w:rsidRPr="00892ADA">
        <w:rPr>
          <w:rFonts w:ascii="Arial" w:hAnsi="Arial" w:cs="Arial"/>
          <w:sz w:val="24"/>
          <w:szCs w:val="24"/>
        </w:rPr>
        <w:t>os</w:t>
      </w:r>
      <w:proofErr w:type="spellEnd"/>
      <w:r w:rsidR="00892ADA" w:rsidRPr="00892ADA">
        <w:rPr>
          <w:rFonts w:ascii="Arial" w:hAnsi="Arial" w:cs="Arial"/>
          <w:sz w:val="24"/>
          <w:szCs w:val="24"/>
        </w:rPr>
        <w:t xml:space="preserve"> Mozos et al, 2020). This tension underscores the need for balanced strategies that integrate sustainability objectives with operational feasibility.</w:t>
      </w:r>
    </w:p>
    <w:p w14:paraId="62D7C9A1" w14:textId="0E3D88DE" w:rsidR="00224622" w:rsidRPr="00892ADA" w:rsidRDefault="00224622" w:rsidP="00892ADA">
      <w:pPr>
        <w:spacing w:line="360" w:lineRule="auto"/>
        <w:jc w:val="both"/>
        <w:rPr>
          <w:rFonts w:ascii="Arial" w:hAnsi="Arial" w:cs="Arial"/>
          <w:sz w:val="24"/>
          <w:szCs w:val="24"/>
        </w:rPr>
      </w:pPr>
      <w:r w:rsidRPr="00224622">
        <w:rPr>
          <w:rFonts w:ascii="Arial" w:hAnsi="Arial" w:cs="Arial"/>
          <w:sz w:val="24"/>
          <w:szCs w:val="24"/>
        </w:rPr>
        <w:t>While existing studies suggest that food waste reduction can support operational efficiency, the extent of its impact is highly contingent on contextual factors within hospitality operations. Research indicates that service design choices, particularly buffet-based versus à la carte formats, significantly influence waste volumes and labour efficiency, complicating direct comparisons across hotel settings (</w:t>
      </w:r>
      <w:proofErr w:type="spellStart"/>
      <w:r w:rsidRPr="00224622">
        <w:rPr>
          <w:rFonts w:ascii="Arial" w:hAnsi="Arial" w:cs="Arial"/>
          <w:sz w:val="24"/>
          <w:szCs w:val="24"/>
        </w:rPr>
        <w:t>Filimonau</w:t>
      </w:r>
      <w:proofErr w:type="spellEnd"/>
      <w:r w:rsidRPr="00224622">
        <w:rPr>
          <w:rFonts w:ascii="Arial" w:hAnsi="Arial" w:cs="Arial"/>
          <w:sz w:val="24"/>
          <w:szCs w:val="24"/>
        </w:rPr>
        <w:t xml:space="preserve"> and De Coteau, 2019). In addition, cost-focused analyses demonstrate that food waste reduction initiatives tend to generate incremental rather than transformational financial benefits, particularly when not integrated into wider operational control systems (</w:t>
      </w:r>
      <w:proofErr w:type="spellStart"/>
      <w:r w:rsidRPr="00224622">
        <w:rPr>
          <w:rFonts w:ascii="Arial" w:hAnsi="Arial" w:cs="Arial"/>
          <w:sz w:val="24"/>
          <w:szCs w:val="24"/>
        </w:rPr>
        <w:t>Papargyropoulou</w:t>
      </w:r>
      <w:proofErr w:type="spellEnd"/>
      <w:r w:rsidRPr="00224622">
        <w:rPr>
          <w:rFonts w:ascii="Arial" w:hAnsi="Arial" w:cs="Arial"/>
          <w:sz w:val="24"/>
          <w:szCs w:val="24"/>
        </w:rPr>
        <w:t xml:space="preserve"> et al, 2016). Regulatory and institutional constraints further mediate outcomes, as food safety legislation and liability concerns may limit the feasibility of food redistribution and donation practices in hotel environments (Eriksson et al, 2017). These findings reinforce the need for caution when generalising efficiency gains and highlight the importance of context-sensitive approaches to food waste management within hospitality operations.</w:t>
      </w:r>
    </w:p>
    <w:p w14:paraId="5785CDE3" w14:textId="288B03D3" w:rsidR="00FB7EBD" w:rsidRDefault="00892ADA" w:rsidP="00892ADA">
      <w:pPr>
        <w:spacing w:line="360" w:lineRule="auto"/>
        <w:jc w:val="both"/>
        <w:rPr>
          <w:rFonts w:ascii="Arial" w:hAnsi="Arial" w:cs="Arial"/>
          <w:sz w:val="24"/>
          <w:szCs w:val="24"/>
        </w:rPr>
      </w:pPr>
      <w:r w:rsidRPr="00892ADA">
        <w:rPr>
          <w:rFonts w:ascii="Arial" w:hAnsi="Arial" w:cs="Arial"/>
          <w:sz w:val="24"/>
          <w:szCs w:val="24"/>
        </w:rPr>
        <w:lastRenderedPageBreak/>
        <w:t>Overall, the literature indicates that food waste reduction has the potential to contribute to improved operational efficiency in hospitality settings; however, the relationship is neither linear nor uniform. Existing studies are fragmented across disciplines, frequently context-specific, and often limited by methodological constraints. There remains a need for integrative analyses that critically examine how operational, behavioural, technological, and supply chain factors interact within hotel environments. This review</w:t>
      </w:r>
      <w:r w:rsidR="005A5DC7">
        <w:rPr>
          <w:rFonts w:ascii="Arial" w:hAnsi="Arial" w:cs="Arial"/>
          <w:sz w:val="24"/>
          <w:szCs w:val="24"/>
        </w:rPr>
        <w:t>, therefore, highlights the importance of adopting a holistic, context-sensitive approach when evaluating food-waste</w:t>
      </w:r>
      <w:r w:rsidRPr="00892ADA">
        <w:rPr>
          <w:rFonts w:ascii="Arial" w:hAnsi="Arial" w:cs="Arial"/>
          <w:sz w:val="24"/>
          <w:szCs w:val="24"/>
        </w:rPr>
        <w:t xml:space="preserve"> reduction strategies and their implications for operational performance in the hospitality industry.</w:t>
      </w:r>
    </w:p>
    <w:p w14:paraId="14402C25" w14:textId="77777777" w:rsidR="00204695" w:rsidRDefault="00204695" w:rsidP="00892ADA">
      <w:pPr>
        <w:spacing w:line="360" w:lineRule="auto"/>
        <w:jc w:val="both"/>
        <w:rPr>
          <w:rFonts w:ascii="Arial" w:hAnsi="Arial" w:cs="Arial"/>
          <w:sz w:val="24"/>
          <w:szCs w:val="24"/>
        </w:rPr>
      </w:pPr>
    </w:p>
    <w:p w14:paraId="577742D6" w14:textId="7ADA5A48" w:rsidR="00752D62" w:rsidRDefault="0075065B" w:rsidP="00892ADA">
      <w:pPr>
        <w:spacing w:line="360" w:lineRule="auto"/>
        <w:jc w:val="both"/>
        <w:rPr>
          <w:rFonts w:ascii="Arial" w:hAnsi="Arial" w:cs="Arial"/>
          <w:b/>
          <w:bCs/>
          <w:sz w:val="24"/>
          <w:szCs w:val="24"/>
        </w:rPr>
      </w:pPr>
      <w:r>
        <w:rPr>
          <w:rFonts w:ascii="Arial" w:hAnsi="Arial" w:cs="Arial"/>
          <w:b/>
          <w:bCs/>
          <w:sz w:val="24"/>
          <w:szCs w:val="24"/>
        </w:rPr>
        <w:t>Method</w:t>
      </w:r>
    </w:p>
    <w:p w14:paraId="15D63600" w14:textId="2C546D90" w:rsidR="004057A4" w:rsidRPr="004057A4" w:rsidRDefault="004057A4" w:rsidP="004057A4">
      <w:pPr>
        <w:spacing w:line="360" w:lineRule="auto"/>
        <w:jc w:val="both"/>
        <w:rPr>
          <w:rFonts w:ascii="Arial" w:hAnsi="Arial" w:cs="Arial"/>
          <w:sz w:val="24"/>
          <w:szCs w:val="24"/>
        </w:rPr>
      </w:pPr>
      <w:r w:rsidRPr="004057A4">
        <w:rPr>
          <w:rFonts w:ascii="Arial" w:hAnsi="Arial" w:cs="Arial"/>
          <w:sz w:val="24"/>
          <w:szCs w:val="24"/>
        </w:rPr>
        <w:t>This study adopts a secondary qualitative research design to examine the impact of food waste reduction strategies on operational efficiency within the hospitality industry. A secondary approach is appropriate given the objective to synthesise and critically evaluate existing research rather than generate primary organisational data, and it is recognised as a robust methodology for analysing existing qualitative materials where direct data collection is not feasible (Cheong et al, 2023).</w:t>
      </w:r>
    </w:p>
    <w:p w14:paraId="695EE455" w14:textId="47ED0106" w:rsidR="004057A4" w:rsidRPr="004057A4" w:rsidRDefault="004057A4" w:rsidP="004057A4">
      <w:pPr>
        <w:spacing w:line="360" w:lineRule="auto"/>
        <w:jc w:val="both"/>
        <w:rPr>
          <w:rFonts w:ascii="Arial" w:hAnsi="Arial" w:cs="Arial"/>
          <w:sz w:val="24"/>
          <w:szCs w:val="24"/>
        </w:rPr>
      </w:pPr>
      <w:r w:rsidRPr="004057A4">
        <w:rPr>
          <w:rFonts w:ascii="Arial" w:hAnsi="Arial" w:cs="Arial"/>
          <w:sz w:val="24"/>
          <w:szCs w:val="24"/>
        </w:rPr>
        <w:t>Data were obtained from peer-reviewed academic journal articles, academic books, industry reports, and policy documents relevant to food waste management and hospitality operations. Structured searches were conducted using academic databases</w:t>
      </w:r>
      <w:r w:rsidR="009523BD">
        <w:rPr>
          <w:rFonts w:ascii="Arial" w:hAnsi="Arial" w:cs="Arial"/>
          <w:sz w:val="24"/>
          <w:szCs w:val="24"/>
        </w:rPr>
        <w:t>,</w:t>
      </w:r>
      <w:r w:rsidRPr="004057A4">
        <w:rPr>
          <w:rFonts w:ascii="Arial" w:hAnsi="Arial" w:cs="Arial"/>
          <w:sz w:val="24"/>
          <w:szCs w:val="24"/>
        </w:rPr>
        <w:t xml:space="preserve"> including Google Scholar, ScienceDirect, Emerald Insight, and MDPI. Literature published between 2020 and 2025 was prioritised to ensure contemporary relevance. To strengthen transparency and consistency, inclusion and exclusion criteria were applied in line with systematic review principles used in management research (</w:t>
      </w:r>
      <w:proofErr w:type="spellStart"/>
      <w:r w:rsidRPr="004057A4">
        <w:rPr>
          <w:rFonts w:ascii="Arial" w:hAnsi="Arial" w:cs="Arial"/>
          <w:sz w:val="24"/>
          <w:szCs w:val="24"/>
        </w:rPr>
        <w:t>Tranfield</w:t>
      </w:r>
      <w:proofErr w:type="spellEnd"/>
      <w:r w:rsidRPr="004057A4">
        <w:rPr>
          <w:rFonts w:ascii="Arial" w:hAnsi="Arial" w:cs="Arial"/>
          <w:sz w:val="24"/>
          <w:szCs w:val="24"/>
        </w:rPr>
        <w:t xml:space="preserve"> et al, 2003). Included sources focused on food waste reduction practices and operational implications in hospitality or closely related food-service contexts, while studies lacking methodological clarity or sector relevance were excluded.</w:t>
      </w:r>
    </w:p>
    <w:p w14:paraId="45B60526" w14:textId="78708F2B" w:rsidR="004057A4" w:rsidRDefault="004057A4" w:rsidP="004057A4">
      <w:pPr>
        <w:spacing w:line="360" w:lineRule="auto"/>
        <w:jc w:val="both"/>
        <w:rPr>
          <w:rFonts w:ascii="Arial" w:hAnsi="Arial" w:cs="Arial"/>
          <w:sz w:val="24"/>
          <w:szCs w:val="24"/>
        </w:rPr>
      </w:pPr>
      <w:r w:rsidRPr="004057A4">
        <w:rPr>
          <w:rFonts w:ascii="Arial" w:hAnsi="Arial" w:cs="Arial"/>
          <w:sz w:val="24"/>
          <w:szCs w:val="24"/>
        </w:rPr>
        <w:t xml:space="preserve">The selected literature was analysed using qualitative thematic analysis to identify recurring patterns related to inventory control, employee engagement and training, technological interventions, and supply chain coordination (Cheong et al, 2023). As this is a secondary study, findings are interpreted as indicative rather than causal and </w:t>
      </w:r>
      <w:r w:rsidRPr="004057A4">
        <w:rPr>
          <w:rFonts w:ascii="Arial" w:hAnsi="Arial" w:cs="Arial"/>
          <w:sz w:val="24"/>
          <w:szCs w:val="24"/>
        </w:rPr>
        <w:lastRenderedPageBreak/>
        <w:t>remain dependent on the scope, quality, and contextual specificity of the available evidence (Cheong et al, 2023).</w:t>
      </w:r>
    </w:p>
    <w:p w14:paraId="42502A9E" w14:textId="77777777" w:rsidR="00204695" w:rsidRDefault="00204695" w:rsidP="004057A4">
      <w:pPr>
        <w:spacing w:line="360" w:lineRule="auto"/>
        <w:jc w:val="both"/>
        <w:rPr>
          <w:rFonts w:ascii="Arial" w:hAnsi="Arial" w:cs="Arial"/>
          <w:sz w:val="24"/>
          <w:szCs w:val="24"/>
        </w:rPr>
      </w:pPr>
    </w:p>
    <w:p w14:paraId="1C87FD9D" w14:textId="5CF8C18B" w:rsidR="00DF6FFB" w:rsidRPr="00DF6FFB" w:rsidRDefault="00DF6FFB" w:rsidP="00DF6FFB">
      <w:pPr>
        <w:spacing w:line="360" w:lineRule="auto"/>
        <w:jc w:val="both"/>
        <w:rPr>
          <w:rFonts w:ascii="Arial" w:hAnsi="Arial" w:cs="Arial"/>
          <w:b/>
          <w:bCs/>
          <w:sz w:val="24"/>
          <w:szCs w:val="24"/>
        </w:rPr>
      </w:pPr>
      <w:r w:rsidRPr="00DF6FFB">
        <w:rPr>
          <w:rFonts w:ascii="Arial" w:hAnsi="Arial" w:cs="Arial"/>
          <w:b/>
          <w:bCs/>
          <w:sz w:val="24"/>
          <w:szCs w:val="24"/>
        </w:rPr>
        <w:t>Theme Impact Analysis</w:t>
      </w:r>
    </w:p>
    <w:p w14:paraId="71FDEC3D" w14:textId="1533820C" w:rsidR="009369A3" w:rsidRDefault="009369A3" w:rsidP="00626835">
      <w:pPr>
        <w:spacing w:line="360" w:lineRule="auto"/>
        <w:jc w:val="both"/>
        <w:rPr>
          <w:rFonts w:ascii="Arial" w:hAnsi="Arial" w:cs="Arial"/>
          <w:sz w:val="24"/>
          <w:szCs w:val="24"/>
        </w:rPr>
      </w:pPr>
      <w:r w:rsidRPr="009369A3">
        <w:rPr>
          <w:rFonts w:ascii="Arial" w:hAnsi="Arial" w:cs="Arial"/>
          <w:sz w:val="24"/>
          <w:szCs w:val="24"/>
        </w:rPr>
        <w:t>This analysis applies a PESTEL framework to assess the political, economic, social, technological, environmental and legal impacts of food waste reduction in hospitality operations. Rising costs, regulatory pressures and growing environmental expectations have made waste reduction increasingly influential in shaping operational practices. Its impact extends across procurement, labour productivity, service design and resource use. Food waste strategies must therefore be evaluated not only for sustainability outcomes but also for their effects on operational efficiency and organisational performance.</w:t>
      </w:r>
    </w:p>
    <w:p w14:paraId="1D6593C7" w14:textId="7266EF79" w:rsidR="00DF6FFB" w:rsidRPr="00DF6FFB" w:rsidRDefault="00DF6FFB" w:rsidP="00DF6FFB">
      <w:pPr>
        <w:spacing w:line="360" w:lineRule="auto"/>
        <w:jc w:val="both"/>
        <w:rPr>
          <w:rFonts w:ascii="Arial" w:hAnsi="Arial" w:cs="Arial"/>
          <w:sz w:val="24"/>
          <w:szCs w:val="24"/>
        </w:rPr>
      </w:pPr>
      <w:r w:rsidRPr="00DF6FFB">
        <w:rPr>
          <w:rFonts w:ascii="Arial" w:hAnsi="Arial" w:cs="Arial"/>
          <w:sz w:val="24"/>
          <w:szCs w:val="24"/>
        </w:rPr>
        <w:t>From an economic perspective, food waste represents a direct loss of purchased inputs and labour effort. Empirical studies indicate that food waste in hospitality operations can account for a significant proportion of food purchasing costs, particularly in buffet-style service models where demand forecasting is inherently uncertain (</w:t>
      </w:r>
      <w:proofErr w:type="spellStart"/>
      <w:r w:rsidRPr="00DF6FFB">
        <w:rPr>
          <w:rFonts w:ascii="Arial" w:hAnsi="Arial" w:cs="Arial"/>
          <w:sz w:val="24"/>
          <w:szCs w:val="24"/>
        </w:rPr>
        <w:t>Amicarelli</w:t>
      </w:r>
      <w:proofErr w:type="spellEnd"/>
      <w:r w:rsidRPr="00DF6FFB">
        <w:rPr>
          <w:rFonts w:ascii="Arial" w:hAnsi="Arial" w:cs="Arial"/>
          <w:sz w:val="24"/>
          <w:szCs w:val="24"/>
        </w:rPr>
        <w:t xml:space="preserve"> et al, 2022). Rising food prices and ongoing supply chain volatility further amplify the financial consequences of inefficient waste practices. Research suggests that structured waste reduction initiatives, such as improved inventory control and portion management, can contribute to cost stabilisation; however, the magnitude of savings varies across hotel types and service formats, limiting the transferability of reported outcomes (Lee and Huang, 2023).</w:t>
      </w:r>
    </w:p>
    <w:p w14:paraId="0D146007" w14:textId="2B18134C" w:rsidR="00DF6FFB" w:rsidRPr="00DF6FFB" w:rsidRDefault="00DF6FFB" w:rsidP="00DF6FFB">
      <w:pPr>
        <w:spacing w:line="360" w:lineRule="auto"/>
        <w:jc w:val="both"/>
        <w:rPr>
          <w:rFonts w:ascii="Arial" w:hAnsi="Arial" w:cs="Arial"/>
          <w:sz w:val="24"/>
          <w:szCs w:val="24"/>
        </w:rPr>
      </w:pPr>
      <w:r w:rsidRPr="00DF6FFB">
        <w:rPr>
          <w:rFonts w:ascii="Arial" w:hAnsi="Arial" w:cs="Arial"/>
          <w:sz w:val="24"/>
          <w:szCs w:val="24"/>
        </w:rPr>
        <w:t>Operational efficiency is also shaped by organisational processes and coordination mechanisms. Studies examining hospitality supply chains emphasise that strategic supplier relationships, timely information sharing, and coordinated procurement practices can reduce over-ordering and stock obsolescence, thereby lowering waste generation (Jawabreh et al, 2023). While such practices may enhance decision-making and workflow efficiency, their effectiveness is contingent on organisational scale, technological capability, and managerial commitment. Smaller hospitality operations may lack the resources required to implement advanced coordination systems, constraining potential efficiency gains.</w:t>
      </w:r>
    </w:p>
    <w:p w14:paraId="6C00D3BE" w14:textId="6141F585" w:rsidR="00DF6FFB" w:rsidRPr="00DF6FFB" w:rsidRDefault="00DF6FFB" w:rsidP="00DF6FFB">
      <w:pPr>
        <w:spacing w:line="360" w:lineRule="auto"/>
        <w:jc w:val="both"/>
        <w:rPr>
          <w:rFonts w:ascii="Arial" w:hAnsi="Arial" w:cs="Arial"/>
          <w:sz w:val="24"/>
          <w:szCs w:val="24"/>
        </w:rPr>
      </w:pPr>
      <w:r w:rsidRPr="00DF6FFB">
        <w:rPr>
          <w:rFonts w:ascii="Arial" w:hAnsi="Arial" w:cs="Arial"/>
          <w:sz w:val="24"/>
          <w:szCs w:val="24"/>
        </w:rPr>
        <w:lastRenderedPageBreak/>
        <w:t>Social and behavioural factors further influence the operational impact of food waste reduction strategies. Employee behaviour plays a central role in food handling, preparation, and disposal practices, making staff training and engagement critical to waste minimisation efforts. Empirical evidence indicates that awareness programmes and clear operational guidelines can reduce avoidable waste; however, high staff turnover and workload pressures within hospitality settings often undermine consistent implementation (</w:t>
      </w:r>
      <w:proofErr w:type="spellStart"/>
      <w:r w:rsidRPr="00DF6FFB">
        <w:rPr>
          <w:rFonts w:ascii="Arial" w:hAnsi="Arial" w:cs="Arial"/>
          <w:sz w:val="24"/>
          <w:szCs w:val="24"/>
        </w:rPr>
        <w:t>Amicarelli</w:t>
      </w:r>
      <w:proofErr w:type="spellEnd"/>
      <w:r w:rsidRPr="00DF6FFB">
        <w:rPr>
          <w:rFonts w:ascii="Arial" w:hAnsi="Arial" w:cs="Arial"/>
          <w:sz w:val="24"/>
          <w:szCs w:val="24"/>
        </w:rPr>
        <w:t xml:space="preserve"> et al, 2022). Additionally, sociological research highlights that waste-related tasks may be perceived as low-status or peripheral within organisational hierarchies, reducing employee motivation to prioritise waste reduction unless reinforced through managerial support and incentives (Arnold and Bouwmeester, 2025).</w:t>
      </w:r>
    </w:p>
    <w:p w14:paraId="72675268" w14:textId="3A74CC27" w:rsidR="00DF6FFB" w:rsidRPr="00DF6FFB" w:rsidRDefault="00DF6FFB" w:rsidP="00DF6FFB">
      <w:pPr>
        <w:spacing w:line="360" w:lineRule="auto"/>
        <w:jc w:val="both"/>
        <w:rPr>
          <w:rFonts w:ascii="Arial" w:hAnsi="Arial" w:cs="Arial"/>
          <w:sz w:val="24"/>
          <w:szCs w:val="24"/>
        </w:rPr>
      </w:pPr>
      <w:r w:rsidRPr="00DF6FFB">
        <w:rPr>
          <w:rFonts w:ascii="Arial" w:hAnsi="Arial" w:cs="Arial"/>
          <w:sz w:val="24"/>
          <w:szCs w:val="24"/>
        </w:rPr>
        <w:t>Technological innovation is increasingly promoted as a means of enhancing waste visibility and operational control. Digital inventory systems, waste tracking tools, and demand forecasting technologies can provide real-time insights into food usage patterns, supporting more informed purchasing and production decisions. Recent studies suggest that technology-assisted waste monitoring can reduce food waste and improve operational planning; however, reported outcomes are context-dependent and influenced by staff adoption and data quality (Clark et al, 2025). As such, technology should be understood as an enabling mechanism rather than a standalone solution, requiring integration with existing operational processes and human practices.</w:t>
      </w:r>
    </w:p>
    <w:p w14:paraId="79A72BF3" w14:textId="1F2549F2" w:rsidR="00DF6FFB" w:rsidRPr="00DF6FFB" w:rsidRDefault="00DF6FFB" w:rsidP="00DF6FFB">
      <w:pPr>
        <w:spacing w:line="360" w:lineRule="auto"/>
        <w:jc w:val="both"/>
        <w:rPr>
          <w:rFonts w:ascii="Arial" w:hAnsi="Arial" w:cs="Arial"/>
          <w:sz w:val="24"/>
          <w:szCs w:val="24"/>
        </w:rPr>
      </w:pPr>
      <w:r w:rsidRPr="00DF6FFB">
        <w:rPr>
          <w:rFonts w:ascii="Arial" w:hAnsi="Arial" w:cs="Arial"/>
          <w:sz w:val="24"/>
          <w:szCs w:val="24"/>
        </w:rPr>
        <w:t xml:space="preserve">Regulatory and environmental pressures also shape the operational context in which hospitality organisations address food waste. </w:t>
      </w:r>
      <w:r w:rsidR="00E41F91" w:rsidRPr="00E41F91">
        <w:rPr>
          <w:rFonts w:ascii="Arial" w:hAnsi="Arial" w:cs="Arial"/>
          <w:sz w:val="24"/>
          <w:szCs w:val="24"/>
        </w:rPr>
        <w:t>Globally, food waste accounts for a substantial share of greenhouse gas emissions</w:t>
      </w:r>
      <w:r w:rsidRPr="00DF6FFB">
        <w:rPr>
          <w:rFonts w:ascii="Arial" w:hAnsi="Arial" w:cs="Arial"/>
          <w:sz w:val="24"/>
          <w:szCs w:val="24"/>
        </w:rPr>
        <w:t>, intensifying pressure on hospitality businesses to align operations with sustainability objectives (</w:t>
      </w:r>
      <w:proofErr w:type="spellStart"/>
      <w:r w:rsidRPr="00DF6FFB">
        <w:rPr>
          <w:rFonts w:ascii="Arial" w:hAnsi="Arial" w:cs="Arial"/>
          <w:sz w:val="24"/>
          <w:szCs w:val="24"/>
        </w:rPr>
        <w:t>Abbade</w:t>
      </w:r>
      <w:proofErr w:type="spellEnd"/>
      <w:r w:rsidRPr="00DF6FFB">
        <w:rPr>
          <w:rFonts w:ascii="Arial" w:hAnsi="Arial" w:cs="Arial"/>
          <w:sz w:val="24"/>
          <w:szCs w:val="24"/>
        </w:rPr>
        <w:t xml:space="preserve">, 2023). </w:t>
      </w:r>
      <w:r w:rsidR="00E0576E" w:rsidRPr="00E0576E">
        <w:rPr>
          <w:rFonts w:ascii="Arial" w:hAnsi="Arial" w:cs="Arial"/>
          <w:sz w:val="24"/>
          <w:szCs w:val="24"/>
        </w:rPr>
        <w:t>Food waste reduction in hospitality is increasingly shaped by international sustainability policy frameworks, which position food waste prevention as a shared responsibility across production, service design, and consumption stages (FAO, 2023).</w:t>
      </w:r>
      <w:r w:rsidR="007559FF">
        <w:rPr>
          <w:rFonts w:ascii="Arial" w:hAnsi="Arial" w:cs="Arial"/>
          <w:sz w:val="24"/>
          <w:szCs w:val="24"/>
        </w:rPr>
        <w:t xml:space="preserve"> </w:t>
      </w:r>
      <w:r w:rsidRPr="00DF6FFB">
        <w:rPr>
          <w:rFonts w:ascii="Arial" w:hAnsi="Arial" w:cs="Arial"/>
          <w:sz w:val="24"/>
          <w:szCs w:val="24"/>
        </w:rPr>
        <w:t xml:space="preserve">Policy frameworks and sustainability targets, including those linked to responsible consumption and production, encourage waste reduction through compliance requirements and reporting obligations. While these measures can drive operational improvements, they may also impose additional administrative and cost burdens, particularly where food safety regulations limit redistribution or donation options (de </w:t>
      </w:r>
      <w:proofErr w:type="spellStart"/>
      <w:r w:rsidR="00131D0F">
        <w:rPr>
          <w:rFonts w:ascii="Arial" w:hAnsi="Arial" w:cs="Arial"/>
          <w:sz w:val="24"/>
          <w:szCs w:val="24"/>
        </w:rPr>
        <w:lastRenderedPageBreak/>
        <w:t>l</w:t>
      </w:r>
      <w:r w:rsidRPr="00DF6FFB">
        <w:rPr>
          <w:rFonts w:ascii="Arial" w:hAnsi="Arial" w:cs="Arial"/>
          <w:sz w:val="24"/>
          <w:szCs w:val="24"/>
        </w:rPr>
        <w:t>os</w:t>
      </w:r>
      <w:proofErr w:type="spellEnd"/>
      <w:r w:rsidRPr="00DF6FFB">
        <w:rPr>
          <w:rFonts w:ascii="Arial" w:hAnsi="Arial" w:cs="Arial"/>
          <w:sz w:val="24"/>
          <w:szCs w:val="24"/>
        </w:rPr>
        <w:t xml:space="preserve"> Mozos et al, 2020). This tension highlights the need for balanced strategies that reconcile environmental responsibility with operational feasibility.</w:t>
      </w:r>
    </w:p>
    <w:p w14:paraId="52EBD221" w14:textId="76C70038" w:rsidR="00DF6FFB" w:rsidRPr="00DF6FFB" w:rsidRDefault="00DF6FFB" w:rsidP="00DF6FFB">
      <w:pPr>
        <w:spacing w:line="360" w:lineRule="auto"/>
        <w:jc w:val="both"/>
        <w:rPr>
          <w:rFonts w:ascii="Arial" w:hAnsi="Arial" w:cs="Arial"/>
          <w:sz w:val="24"/>
          <w:szCs w:val="24"/>
        </w:rPr>
      </w:pPr>
      <w:r w:rsidRPr="00DF6FFB">
        <w:rPr>
          <w:rFonts w:ascii="Arial" w:hAnsi="Arial" w:cs="Arial"/>
          <w:sz w:val="24"/>
          <w:szCs w:val="24"/>
        </w:rPr>
        <w:t>Organisational design and management practices play a critical role in determining how effectively food waste reduction strategies translate into operational efficiency. Alignment between strategic objectives, operational processes, employee roles, and incentive structures is essential for embedding waste reduction into daily practice. Where waste reduction is integrated into performance management and operational planning, organisations are more likely to achieve sustained efficiency improvements. Conversely, fragmented responsibilities and unclear accountability can limit the impact of otherwise well-designed initiatives, reinforcing inefficiencies rather than reducing them (Jawabreh et al, 2023).</w:t>
      </w:r>
    </w:p>
    <w:p w14:paraId="47018751" w14:textId="09215B06" w:rsidR="00204695" w:rsidRDefault="00204695" w:rsidP="00DF6FFB">
      <w:pPr>
        <w:spacing w:line="360" w:lineRule="auto"/>
        <w:jc w:val="both"/>
        <w:rPr>
          <w:rFonts w:ascii="Arial" w:hAnsi="Arial" w:cs="Arial"/>
          <w:sz w:val="24"/>
          <w:szCs w:val="24"/>
        </w:rPr>
      </w:pPr>
      <w:r w:rsidRPr="00204695">
        <w:rPr>
          <w:rFonts w:ascii="Arial" w:hAnsi="Arial" w:cs="Arial"/>
          <w:sz w:val="24"/>
          <w:szCs w:val="24"/>
        </w:rPr>
        <w:t>Overall, the impact of food waste reduction on operational efficiency in the hospitality industry is context-dependent rather than uniform. Although the literature highlights potential benefits in cost control, resource efficiency, and environmental performance, outcomes vary according to organisational size, service format, technological capability, and workforce dynamics. Effective waste reduction therefore requires a holistic approach that integrates operational, behavioural, and strategic considerations, positioning food waste reduction as a core operational management issue rather than solely an environmental concern.</w:t>
      </w:r>
    </w:p>
    <w:p w14:paraId="7B57A3CF" w14:textId="77777777" w:rsidR="00204695" w:rsidRDefault="00204695" w:rsidP="00DF6FFB">
      <w:pPr>
        <w:spacing w:line="360" w:lineRule="auto"/>
        <w:jc w:val="both"/>
        <w:rPr>
          <w:rFonts w:ascii="Arial" w:hAnsi="Arial" w:cs="Arial"/>
          <w:sz w:val="24"/>
          <w:szCs w:val="24"/>
        </w:rPr>
      </w:pPr>
    </w:p>
    <w:p w14:paraId="32C48653" w14:textId="23F34742" w:rsidR="002A4A01" w:rsidRPr="00C33E31" w:rsidRDefault="00C33E31" w:rsidP="00DF6FFB">
      <w:pPr>
        <w:spacing w:line="360" w:lineRule="auto"/>
        <w:jc w:val="both"/>
        <w:rPr>
          <w:rFonts w:ascii="Arial" w:hAnsi="Arial" w:cs="Arial"/>
          <w:b/>
          <w:bCs/>
          <w:sz w:val="24"/>
          <w:szCs w:val="24"/>
        </w:rPr>
      </w:pPr>
      <w:r w:rsidRPr="00C33E31">
        <w:rPr>
          <w:rFonts w:ascii="Arial" w:hAnsi="Arial" w:cs="Arial"/>
          <w:b/>
          <w:bCs/>
          <w:sz w:val="24"/>
          <w:szCs w:val="24"/>
        </w:rPr>
        <w:t>Conclusion</w:t>
      </w:r>
    </w:p>
    <w:p w14:paraId="15FB003C" w14:textId="7FDC1F12" w:rsidR="00C33E31" w:rsidRDefault="00C33E31" w:rsidP="00DF6FFB">
      <w:pPr>
        <w:spacing w:line="360" w:lineRule="auto"/>
        <w:jc w:val="both"/>
        <w:rPr>
          <w:rFonts w:ascii="Arial" w:hAnsi="Arial" w:cs="Arial"/>
          <w:sz w:val="24"/>
          <w:szCs w:val="24"/>
        </w:rPr>
      </w:pPr>
      <w:r w:rsidRPr="00C33E31">
        <w:rPr>
          <w:rFonts w:ascii="Arial" w:hAnsi="Arial" w:cs="Arial"/>
          <w:sz w:val="24"/>
          <w:szCs w:val="24"/>
        </w:rPr>
        <w:t>This research has demonstrated that food waste reduction represents a significant operational management issue within the hospitality industry, rather than solely an environmental concern. The analysis indicates that effective waste reduction strategies can contribute to improved cost control, resource efficiency, and sustainability performance; however, these outcomes are highly context-dependent. Organisational size, service design, workforce dynamics, technological capability, and regulatory constraints all influence the extent to which efficiency gains can be realised. Consequently, food waste reduction initiatives are most effective when integrated into broader operational and strategic frameworks. A holistic and context-sensitive approach is therefore essential for achieving sustainable operational efficiency within hospitality operations.</w:t>
      </w:r>
    </w:p>
    <w:p w14:paraId="0283CAA2" w14:textId="1B83FBFD" w:rsidR="00C33E31" w:rsidRPr="00C33E31" w:rsidRDefault="00C33E31" w:rsidP="00DF6FFB">
      <w:pPr>
        <w:spacing w:line="360" w:lineRule="auto"/>
        <w:jc w:val="both"/>
        <w:rPr>
          <w:rFonts w:ascii="Arial" w:hAnsi="Arial" w:cs="Arial"/>
          <w:b/>
          <w:bCs/>
          <w:sz w:val="24"/>
          <w:szCs w:val="24"/>
        </w:rPr>
      </w:pPr>
      <w:r w:rsidRPr="00C33E31">
        <w:rPr>
          <w:rFonts w:ascii="Arial" w:hAnsi="Arial" w:cs="Arial"/>
          <w:b/>
          <w:bCs/>
          <w:sz w:val="24"/>
          <w:szCs w:val="24"/>
        </w:rPr>
        <w:lastRenderedPageBreak/>
        <w:t>Recommendations</w:t>
      </w:r>
    </w:p>
    <w:p w14:paraId="109B5A74" w14:textId="65726522" w:rsidR="001E2123" w:rsidRPr="009F30D3" w:rsidRDefault="009F30D3" w:rsidP="009F30D3">
      <w:pPr>
        <w:spacing w:line="360" w:lineRule="auto"/>
        <w:jc w:val="both"/>
        <w:rPr>
          <w:rFonts w:ascii="Arial" w:hAnsi="Arial" w:cs="Arial"/>
          <w:sz w:val="24"/>
          <w:szCs w:val="24"/>
        </w:rPr>
      </w:pPr>
      <w:r>
        <w:rPr>
          <w:rFonts w:ascii="Arial" w:hAnsi="Arial" w:cs="Arial"/>
          <w:sz w:val="24"/>
          <w:szCs w:val="24"/>
        </w:rPr>
        <w:t>1. H</w:t>
      </w:r>
      <w:r w:rsidR="00AF626A" w:rsidRPr="009F30D3">
        <w:rPr>
          <w:rFonts w:ascii="Arial" w:hAnsi="Arial" w:cs="Arial"/>
          <w:sz w:val="24"/>
          <w:szCs w:val="24"/>
        </w:rPr>
        <w:t>ospitality organisations should prioritise the formal measurement and monitoring of food waste as a core operational control mechanism. Evidence indicates that regular waste auditing enables hotels to identify critical loss points across procurement, preparation, and service stages, thereby supporting improved portion control and inventory accuracy (</w:t>
      </w:r>
      <w:proofErr w:type="spellStart"/>
      <w:r w:rsidR="00AF626A" w:rsidRPr="009F30D3">
        <w:rPr>
          <w:rFonts w:ascii="Arial" w:hAnsi="Arial" w:cs="Arial"/>
          <w:sz w:val="24"/>
          <w:szCs w:val="24"/>
        </w:rPr>
        <w:t>Papargyropoulou</w:t>
      </w:r>
      <w:proofErr w:type="spellEnd"/>
      <w:r w:rsidR="00AF626A" w:rsidRPr="009F30D3">
        <w:rPr>
          <w:rFonts w:ascii="Arial" w:hAnsi="Arial" w:cs="Arial"/>
          <w:sz w:val="24"/>
          <w:szCs w:val="24"/>
        </w:rPr>
        <w:t xml:space="preserve"> et al, 2016). Industry guidance further demonstrates that structured measurement frameworks, such as those promoted through national food waste reduction roadmaps, can support consistent performance monitoring and incremental efficiency improvements (WRAP, 2022). To maximise effectiveness, waste measurement should be standardised across kitchen and service operations and integrated into routine management reporting, ensuring that waste reduction is treated as an operational performance indicator rather than an ad hoc sustainability activity.</w:t>
      </w:r>
    </w:p>
    <w:p w14:paraId="78D50B67" w14:textId="3F2770DB" w:rsidR="00982434" w:rsidRDefault="009F30D3" w:rsidP="004057A4">
      <w:pPr>
        <w:spacing w:line="360" w:lineRule="auto"/>
        <w:jc w:val="both"/>
        <w:rPr>
          <w:rFonts w:ascii="Arial" w:hAnsi="Arial" w:cs="Arial"/>
          <w:sz w:val="24"/>
          <w:szCs w:val="24"/>
        </w:rPr>
      </w:pPr>
      <w:r>
        <w:rPr>
          <w:rFonts w:ascii="Arial" w:hAnsi="Arial" w:cs="Arial"/>
          <w:sz w:val="24"/>
          <w:szCs w:val="24"/>
        </w:rPr>
        <w:t>2. H</w:t>
      </w:r>
      <w:r w:rsidR="006E3E6D" w:rsidRPr="006E3E6D">
        <w:rPr>
          <w:rFonts w:ascii="Arial" w:hAnsi="Arial" w:cs="Arial"/>
          <w:sz w:val="24"/>
          <w:szCs w:val="24"/>
        </w:rPr>
        <w:t>otels should critically evaluate service design choices that contribute to avoidable food waste, particularly buffet-based service models. Recent hospitality studies continue to associate buffet services with higher levels of overproduction and plate waste due to demand uncertainty, portion size variability, and guest self-selection behaviour (</w:t>
      </w:r>
      <w:r w:rsidR="005B7DF4" w:rsidRPr="005B7DF4">
        <w:rPr>
          <w:rFonts w:ascii="Arial" w:hAnsi="Arial" w:cs="Arial"/>
          <w:sz w:val="24"/>
          <w:szCs w:val="24"/>
        </w:rPr>
        <w:t>Pirani and Arafat, 2016</w:t>
      </w:r>
      <w:r w:rsidR="005B7DF4">
        <w:rPr>
          <w:rFonts w:ascii="Arial" w:hAnsi="Arial" w:cs="Arial"/>
          <w:sz w:val="24"/>
          <w:szCs w:val="24"/>
        </w:rPr>
        <w:t xml:space="preserve">; </w:t>
      </w:r>
      <w:r w:rsidR="006E3E6D" w:rsidRPr="006E3E6D">
        <w:rPr>
          <w:rFonts w:ascii="Arial" w:hAnsi="Arial" w:cs="Arial"/>
          <w:sz w:val="24"/>
          <w:szCs w:val="24"/>
        </w:rPr>
        <w:t>Sakaguchi et al, 20</w:t>
      </w:r>
      <w:r w:rsidR="00E83523">
        <w:rPr>
          <w:rFonts w:ascii="Arial" w:hAnsi="Arial" w:cs="Arial"/>
          <w:sz w:val="24"/>
          <w:szCs w:val="24"/>
        </w:rPr>
        <w:t>18</w:t>
      </w:r>
      <w:r w:rsidR="005B7DF4">
        <w:rPr>
          <w:rFonts w:ascii="Arial" w:hAnsi="Arial" w:cs="Arial"/>
          <w:sz w:val="24"/>
          <w:szCs w:val="24"/>
        </w:rPr>
        <w:t xml:space="preserve">; </w:t>
      </w:r>
      <w:proofErr w:type="spellStart"/>
      <w:r w:rsidR="005B7DF4" w:rsidRPr="005B7DF4">
        <w:rPr>
          <w:rFonts w:ascii="Arial" w:hAnsi="Arial" w:cs="Arial"/>
          <w:sz w:val="24"/>
          <w:szCs w:val="24"/>
        </w:rPr>
        <w:t>Amicarelli</w:t>
      </w:r>
      <w:proofErr w:type="spellEnd"/>
      <w:r w:rsidR="005B7DF4" w:rsidRPr="005B7DF4">
        <w:rPr>
          <w:rFonts w:ascii="Arial" w:hAnsi="Arial" w:cs="Arial"/>
          <w:sz w:val="24"/>
          <w:szCs w:val="24"/>
        </w:rPr>
        <w:t xml:space="preserve"> et al, 2022</w:t>
      </w:r>
      <w:r w:rsidR="006E3E6D" w:rsidRPr="006E3E6D">
        <w:rPr>
          <w:rFonts w:ascii="Arial" w:hAnsi="Arial" w:cs="Arial"/>
          <w:sz w:val="24"/>
          <w:szCs w:val="24"/>
        </w:rPr>
        <w:t>). Evidence from large-scale food service operations further suggests that hybrid service formats, menu streamlining, and demand-responsive production planning can significantly reduce waste volumes without adversely affecting guest satisfaction or perceived service quality (Caldeira et al, 20</w:t>
      </w:r>
      <w:r w:rsidR="003B6698">
        <w:rPr>
          <w:rFonts w:ascii="Arial" w:hAnsi="Arial" w:cs="Arial"/>
          <w:sz w:val="24"/>
          <w:szCs w:val="24"/>
        </w:rPr>
        <w:t>19</w:t>
      </w:r>
      <w:r w:rsidR="006E3E6D" w:rsidRPr="006E3E6D">
        <w:rPr>
          <w:rFonts w:ascii="Arial" w:hAnsi="Arial" w:cs="Arial"/>
          <w:sz w:val="24"/>
          <w:szCs w:val="24"/>
        </w:rPr>
        <w:t xml:space="preserve">). </w:t>
      </w:r>
      <w:r w:rsidR="0012320F" w:rsidRPr="0012320F">
        <w:rPr>
          <w:rFonts w:ascii="Arial" w:hAnsi="Arial" w:cs="Arial"/>
          <w:sz w:val="24"/>
          <w:szCs w:val="24"/>
        </w:rPr>
        <w:t xml:space="preserve">Where buffet services remain commercially necessary, recent research suggests that operational interventions such as batch size reduction, scheduled replenishment cycles, and data-informed demand planning can substantially reduce food waste while maintaining expected service standards. A systematic review of food service operations highlights that redesigning production and service routines is among the most effective strategies for mitigating structurally embedded waste in high-volume hospitality contexts (Munir, 2022). Empirical evidence further indicates that integrating waste-prevention practices into service process design improves resource efficiency without negatively affecting guest satisfaction when changes are operationally embedded rather than applied in isolation (Goossens et al, 2022). Industry guidance also emphasises that aligning service design decisions with waste-reduction targets supports both operational performance </w:t>
      </w:r>
      <w:r w:rsidR="0012320F" w:rsidRPr="0012320F">
        <w:rPr>
          <w:rFonts w:ascii="Arial" w:hAnsi="Arial" w:cs="Arial"/>
          <w:sz w:val="24"/>
          <w:szCs w:val="24"/>
        </w:rPr>
        <w:lastRenderedPageBreak/>
        <w:t>and sustainability outcomes across hospitality and food service operations (UNEP, 2021).</w:t>
      </w:r>
    </w:p>
    <w:p w14:paraId="5C6DCCB3" w14:textId="48ADDC22" w:rsidR="00E77286" w:rsidRDefault="009F30D3" w:rsidP="004057A4">
      <w:pPr>
        <w:spacing w:line="360" w:lineRule="auto"/>
        <w:jc w:val="both"/>
        <w:rPr>
          <w:rFonts w:ascii="Arial" w:hAnsi="Arial" w:cs="Arial"/>
          <w:sz w:val="24"/>
          <w:szCs w:val="24"/>
        </w:rPr>
      </w:pPr>
      <w:r>
        <w:rPr>
          <w:rFonts w:ascii="Arial" w:hAnsi="Arial" w:cs="Arial"/>
          <w:sz w:val="24"/>
          <w:szCs w:val="24"/>
        </w:rPr>
        <w:t xml:space="preserve">3. </w:t>
      </w:r>
      <w:r w:rsidR="00E77286" w:rsidRPr="00E77286">
        <w:rPr>
          <w:rFonts w:ascii="Arial" w:hAnsi="Arial" w:cs="Arial"/>
          <w:sz w:val="24"/>
          <w:szCs w:val="24"/>
        </w:rPr>
        <w:t>Effective food waste reduction in hospitality operations is highly dependent on employee behaviour and managerial oversight. Research and industry evidence indicate that waste prevention practices are more consistently adopted when employees understand their operational relevance and when expectations are reinforced through clear managerial accountability structures. Hospitality organisations should therefore integrate food waste responsibilities into job roles, operational procedures, and supervisory routines, rather than relying solely on ad hoc training initiatives. Sector guidance highlights that embedding waste reduction within performance management systems and operational controls improves compliance and supports sustained behavioural change across food service teams (</w:t>
      </w:r>
      <w:proofErr w:type="spellStart"/>
      <w:r w:rsidR="00E77286" w:rsidRPr="00E77286">
        <w:rPr>
          <w:rFonts w:ascii="Arial" w:hAnsi="Arial" w:cs="Arial"/>
          <w:sz w:val="24"/>
          <w:szCs w:val="24"/>
        </w:rPr>
        <w:t>UKHospitality</w:t>
      </w:r>
      <w:proofErr w:type="spellEnd"/>
      <w:r w:rsidR="00E77286" w:rsidRPr="00E77286">
        <w:rPr>
          <w:rFonts w:ascii="Arial" w:hAnsi="Arial" w:cs="Arial"/>
          <w:sz w:val="24"/>
          <w:szCs w:val="24"/>
        </w:rPr>
        <w:t xml:space="preserve">, </w:t>
      </w:r>
      <w:r w:rsidR="008D785E">
        <w:rPr>
          <w:rFonts w:ascii="Arial" w:hAnsi="Arial" w:cs="Arial"/>
          <w:sz w:val="24"/>
          <w:szCs w:val="24"/>
        </w:rPr>
        <w:t>n.d.</w:t>
      </w:r>
      <w:r w:rsidR="00E77286" w:rsidRPr="00E77286">
        <w:rPr>
          <w:rFonts w:ascii="Arial" w:hAnsi="Arial" w:cs="Arial"/>
          <w:sz w:val="24"/>
          <w:szCs w:val="24"/>
        </w:rPr>
        <w:t>). Furthermore, hospitality management literature emphasises that aligning staff responsibilities, supervision, and control mechanisms with organisational sustainability objectives enhances operational efficiency and reinforces consistent service standards (Mullins, 2016). Strengthening employee engagement through structured management practices is therefore essential for translating waste reduction objectives into measurable operational outcomes.</w:t>
      </w:r>
    </w:p>
    <w:p w14:paraId="2F12831B" w14:textId="77777777" w:rsidR="00BC3B2A" w:rsidRDefault="00BC3B2A" w:rsidP="004057A4">
      <w:pPr>
        <w:spacing w:line="360" w:lineRule="auto"/>
        <w:jc w:val="both"/>
        <w:rPr>
          <w:rFonts w:ascii="Arial" w:hAnsi="Arial" w:cs="Arial"/>
          <w:sz w:val="24"/>
          <w:szCs w:val="24"/>
        </w:rPr>
      </w:pPr>
    </w:p>
    <w:p w14:paraId="0910C3C6" w14:textId="77777777" w:rsidR="004057A4" w:rsidRDefault="004057A4" w:rsidP="00892ADA">
      <w:pPr>
        <w:spacing w:line="360" w:lineRule="auto"/>
        <w:jc w:val="both"/>
        <w:rPr>
          <w:rFonts w:ascii="Arial" w:hAnsi="Arial" w:cs="Arial"/>
          <w:sz w:val="24"/>
          <w:szCs w:val="24"/>
        </w:rPr>
      </w:pPr>
    </w:p>
    <w:p w14:paraId="36B465F0" w14:textId="77777777" w:rsidR="00736957" w:rsidRDefault="00736957" w:rsidP="00892ADA">
      <w:pPr>
        <w:spacing w:line="360" w:lineRule="auto"/>
        <w:jc w:val="both"/>
        <w:rPr>
          <w:rFonts w:ascii="Arial" w:hAnsi="Arial" w:cs="Arial"/>
          <w:sz w:val="24"/>
          <w:szCs w:val="24"/>
        </w:rPr>
      </w:pPr>
    </w:p>
    <w:p w14:paraId="357A7572" w14:textId="77777777" w:rsidR="00736957" w:rsidRDefault="00736957" w:rsidP="00892ADA">
      <w:pPr>
        <w:spacing w:line="360" w:lineRule="auto"/>
        <w:jc w:val="both"/>
        <w:rPr>
          <w:rFonts w:ascii="Arial" w:hAnsi="Arial" w:cs="Arial"/>
          <w:sz w:val="24"/>
          <w:szCs w:val="24"/>
        </w:rPr>
      </w:pPr>
    </w:p>
    <w:p w14:paraId="12BE6FEA" w14:textId="77777777" w:rsidR="00736957" w:rsidRDefault="00736957" w:rsidP="00892ADA">
      <w:pPr>
        <w:spacing w:line="360" w:lineRule="auto"/>
        <w:jc w:val="both"/>
        <w:rPr>
          <w:rFonts w:ascii="Arial" w:hAnsi="Arial" w:cs="Arial"/>
          <w:sz w:val="24"/>
          <w:szCs w:val="24"/>
        </w:rPr>
      </w:pPr>
    </w:p>
    <w:p w14:paraId="353768A1" w14:textId="77777777" w:rsidR="00736957" w:rsidRDefault="00736957" w:rsidP="00892ADA">
      <w:pPr>
        <w:spacing w:line="360" w:lineRule="auto"/>
        <w:jc w:val="both"/>
        <w:rPr>
          <w:rFonts w:ascii="Arial" w:hAnsi="Arial" w:cs="Arial"/>
          <w:sz w:val="24"/>
          <w:szCs w:val="24"/>
        </w:rPr>
      </w:pPr>
    </w:p>
    <w:p w14:paraId="3DC7585C" w14:textId="77777777" w:rsidR="00736957" w:rsidRDefault="00736957" w:rsidP="00892ADA">
      <w:pPr>
        <w:spacing w:line="360" w:lineRule="auto"/>
        <w:jc w:val="both"/>
        <w:rPr>
          <w:rFonts w:ascii="Arial" w:hAnsi="Arial" w:cs="Arial"/>
          <w:sz w:val="24"/>
          <w:szCs w:val="24"/>
        </w:rPr>
      </w:pPr>
    </w:p>
    <w:p w14:paraId="3C6F76A7" w14:textId="77777777" w:rsidR="00736957" w:rsidRDefault="00736957" w:rsidP="00892ADA">
      <w:pPr>
        <w:spacing w:line="360" w:lineRule="auto"/>
        <w:jc w:val="both"/>
        <w:rPr>
          <w:rFonts w:ascii="Arial" w:hAnsi="Arial" w:cs="Arial"/>
          <w:sz w:val="24"/>
          <w:szCs w:val="24"/>
        </w:rPr>
      </w:pPr>
    </w:p>
    <w:p w14:paraId="5CCA69A9" w14:textId="77777777" w:rsidR="00736957" w:rsidRDefault="00736957" w:rsidP="00892ADA">
      <w:pPr>
        <w:spacing w:line="360" w:lineRule="auto"/>
        <w:jc w:val="both"/>
        <w:rPr>
          <w:rFonts w:ascii="Arial" w:hAnsi="Arial" w:cs="Arial"/>
          <w:sz w:val="24"/>
          <w:szCs w:val="24"/>
        </w:rPr>
      </w:pPr>
    </w:p>
    <w:p w14:paraId="730D4CC9" w14:textId="77777777" w:rsidR="00204695" w:rsidRDefault="00204695" w:rsidP="00892ADA">
      <w:pPr>
        <w:spacing w:line="360" w:lineRule="auto"/>
        <w:jc w:val="both"/>
        <w:rPr>
          <w:rFonts w:ascii="Arial" w:hAnsi="Arial" w:cs="Arial"/>
          <w:sz w:val="24"/>
          <w:szCs w:val="24"/>
        </w:rPr>
      </w:pPr>
    </w:p>
    <w:p w14:paraId="6C3596E2" w14:textId="77777777" w:rsidR="00736957" w:rsidRDefault="00736957" w:rsidP="00892ADA">
      <w:pPr>
        <w:spacing w:line="360" w:lineRule="auto"/>
        <w:jc w:val="both"/>
        <w:rPr>
          <w:rFonts w:ascii="Arial" w:hAnsi="Arial" w:cs="Arial"/>
          <w:sz w:val="24"/>
          <w:szCs w:val="24"/>
        </w:rPr>
      </w:pPr>
    </w:p>
    <w:p w14:paraId="5E428185" w14:textId="72F05599" w:rsidR="00752D62" w:rsidRPr="00752D62" w:rsidRDefault="00752D62" w:rsidP="00892ADA">
      <w:pPr>
        <w:spacing w:line="360" w:lineRule="auto"/>
        <w:jc w:val="both"/>
        <w:rPr>
          <w:rFonts w:ascii="Arial" w:hAnsi="Arial" w:cs="Arial"/>
          <w:b/>
          <w:bCs/>
          <w:sz w:val="24"/>
          <w:szCs w:val="24"/>
        </w:rPr>
      </w:pPr>
      <w:r w:rsidRPr="00752D62">
        <w:rPr>
          <w:rFonts w:ascii="Arial" w:hAnsi="Arial" w:cs="Arial"/>
          <w:b/>
          <w:bCs/>
          <w:sz w:val="24"/>
          <w:szCs w:val="24"/>
        </w:rPr>
        <w:lastRenderedPageBreak/>
        <w:t>References</w:t>
      </w:r>
    </w:p>
    <w:p w14:paraId="2F67113D" w14:textId="041AEB9A" w:rsidR="00296A31" w:rsidRPr="00296A31" w:rsidRDefault="00296A31" w:rsidP="00892ADA">
      <w:pPr>
        <w:spacing w:line="360" w:lineRule="auto"/>
        <w:jc w:val="both"/>
        <w:rPr>
          <w:rFonts w:ascii="Arial" w:hAnsi="Arial" w:cs="Arial"/>
          <w:sz w:val="24"/>
          <w:szCs w:val="24"/>
        </w:rPr>
      </w:pPr>
      <w:proofErr w:type="spellStart"/>
      <w:r w:rsidRPr="00296A31">
        <w:rPr>
          <w:rFonts w:ascii="Arial" w:hAnsi="Arial" w:cs="Arial"/>
          <w:sz w:val="24"/>
          <w:szCs w:val="24"/>
        </w:rPr>
        <w:t>Abbade</w:t>
      </w:r>
      <w:proofErr w:type="spellEnd"/>
      <w:r w:rsidRPr="00296A31">
        <w:rPr>
          <w:rFonts w:ascii="Arial" w:hAnsi="Arial" w:cs="Arial"/>
          <w:sz w:val="24"/>
          <w:szCs w:val="24"/>
        </w:rPr>
        <w:t xml:space="preserve">, E.B. (2023). Land footprint and GHG emissions from global food loss. </w:t>
      </w:r>
      <w:r w:rsidRPr="00A27F30">
        <w:rPr>
          <w:rFonts w:ascii="Arial" w:hAnsi="Arial" w:cs="Arial"/>
          <w:i/>
          <w:iCs/>
          <w:sz w:val="24"/>
          <w:szCs w:val="24"/>
        </w:rPr>
        <w:t>Journal of the Science of Food and Agriculture</w:t>
      </w:r>
      <w:r w:rsidRPr="00296A31">
        <w:rPr>
          <w:rFonts w:ascii="Arial" w:hAnsi="Arial" w:cs="Arial"/>
          <w:sz w:val="24"/>
          <w:szCs w:val="24"/>
        </w:rPr>
        <w:t xml:space="preserve">, 103(9), pp.4430–4440. </w:t>
      </w:r>
      <w:r w:rsidR="00A27F30">
        <w:rPr>
          <w:rFonts w:ascii="Arial" w:hAnsi="Arial" w:cs="Arial"/>
          <w:sz w:val="24"/>
          <w:szCs w:val="24"/>
        </w:rPr>
        <w:t xml:space="preserve">Available at: </w:t>
      </w:r>
      <w:hyperlink r:id="rId7" w:history="1">
        <w:r w:rsidR="00A27F30" w:rsidRPr="0024491A">
          <w:rPr>
            <w:rStyle w:val="Hyperlink"/>
            <w:rFonts w:ascii="Arial" w:hAnsi="Arial" w:cs="Arial"/>
            <w:sz w:val="24"/>
            <w:szCs w:val="24"/>
          </w:rPr>
          <w:t>https://doi.org/10.1002/jsfa.12524</w:t>
        </w:r>
      </w:hyperlink>
      <w:r w:rsidR="00A27F30">
        <w:rPr>
          <w:rFonts w:ascii="Arial" w:hAnsi="Arial" w:cs="Arial"/>
          <w:sz w:val="24"/>
          <w:szCs w:val="24"/>
        </w:rPr>
        <w:t xml:space="preserve"> (Accessed 29 Jan. 2026).</w:t>
      </w:r>
    </w:p>
    <w:p w14:paraId="573678EF" w14:textId="4A2F986E" w:rsidR="009042D0" w:rsidRPr="009042D0" w:rsidRDefault="009042D0" w:rsidP="00892ADA">
      <w:pPr>
        <w:spacing w:line="360" w:lineRule="auto"/>
        <w:jc w:val="both"/>
        <w:rPr>
          <w:rFonts w:ascii="Arial" w:hAnsi="Arial" w:cs="Arial"/>
          <w:sz w:val="24"/>
          <w:szCs w:val="24"/>
        </w:rPr>
      </w:pPr>
      <w:r w:rsidRPr="009042D0">
        <w:rPr>
          <w:rFonts w:ascii="Arial" w:hAnsi="Arial" w:cs="Arial"/>
          <w:sz w:val="24"/>
          <w:szCs w:val="24"/>
          <w:lang w:val="it-IT"/>
        </w:rPr>
        <w:t xml:space="preserve">Amicarelli, V., </w:t>
      </w:r>
      <w:proofErr w:type="spellStart"/>
      <w:r w:rsidRPr="009042D0">
        <w:rPr>
          <w:rFonts w:ascii="Arial" w:hAnsi="Arial" w:cs="Arial"/>
          <w:sz w:val="24"/>
          <w:szCs w:val="24"/>
          <w:lang w:val="it-IT"/>
        </w:rPr>
        <w:t>Aluculesei</w:t>
      </w:r>
      <w:proofErr w:type="spellEnd"/>
      <w:r w:rsidRPr="009042D0">
        <w:rPr>
          <w:rFonts w:ascii="Arial" w:hAnsi="Arial" w:cs="Arial"/>
          <w:sz w:val="24"/>
          <w:szCs w:val="24"/>
          <w:lang w:val="it-IT"/>
        </w:rPr>
        <w:t xml:space="preserve">, A.C., Lagioia, G., </w:t>
      </w:r>
      <w:proofErr w:type="spellStart"/>
      <w:r w:rsidRPr="009042D0">
        <w:rPr>
          <w:rFonts w:ascii="Arial" w:hAnsi="Arial" w:cs="Arial"/>
          <w:sz w:val="24"/>
          <w:szCs w:val="24"/>
          <w:lang w:val="it-IT"/>
        </w:rPr>
        <w:t>Pamfilie</w:t>
      </w:r>
      <w:proofErr w:type="spellEnd"/>
      <w:r w:rsidRPr="009042D0">
        <w:rPr>
          <w:rFonts w:ascii="Arial" w:hAnsi="Arial" w:cs="Arial"/>
          <w:sz w:val="24"/>
          <w:szCs w:val="24"/>
          <w:lang w:val="it-IT"/>
        </w:rPr>
        <w:t xml:space="preserve">, R. and Bux, C. (2022). </w:t>
      </w:r>
      <w:r w:rsidRPr="009042D0">
        <w:rPr>
          <w:rFonts w:ascii="Arial" w:hAnsi="Arial" w:cs="Arial"/>
          <w:sz w:val="24"/>
          <w:szCs w:val="24"/>
        </w:rPr>
        <w:t xml:space="preserve">How to manage and minimize food waste in the hotel industry: an exploratory research. </w:t>
      </w:r>
      <w:r w:rsidRPr="009042D0">
        <w:rPr>
          <w:rFonts w:ascii="Arial" w:hAnsi="Arial" w:cs="Arial"/>
          <w:i/>
          <w:iCs/>
          <w:sz w:val="24"/>
          <w:szCs w:val="24"/>
        </w:rPr>
        <w:t>International Journal of Culture, Tourism and Hospitality Research</w:t>
      </w:r>
      <w:r w:rsidRPr="009042D0">
        <w:rPr>
          <w:rFonts w:ascii="Arial" w:hAnsi="Arial" w:cs="Arial"/>
          <w:sz w:val="24"/>
          <w:szCs w:val="24"/>
        </w:rPr>
        <w:t xml:space="preserve">, 16(1), pp.152–167. </w:t>
      </w:r>
      <w:r w:rsidR="005275B9">
        <w:rPr>
          <w:rFonts w:ascii="Arial" w:hAnsi="Arial" w:cs="Arial"/>
          <w:sz w:val="24"/>
          <w:szCs w:val="24"/>
        </w:rPr>
        <w:t xml:space="preserve">Available at: </w:t>
      </w:r>
      <w:hyperlink r:id="rId8" w:history="1">
        <w:r w:rsidR="005275B9" w:rsidRPr="0024491A">
          <w:rPr>
            <w:rStyle w:val="Hyperlink"/>
            <w:rFonts w:ascii="Arial" w:hAnsi="Arial" w:cs="Arial"/>
            <w:sz w:val="24"/>
            <w:szCs w:val="24"/>
          </w:rPr>
          <w:t>https://doi.org/10.1108/IJCTHR-01-2021-0019</w:t>
        </w:r>
      </w:hyperlink>
      <w:r w:rsidR="005275B9">
        <w:rPr>
          <w:rFonts w:ascii="Arial" w:hAnsi="Arial" w:cs="Arial"/>
          <w:sz w:val="24"/>
          <w:szCs w:val="24"/>
        </w:rPr>
        <w:t xml:space="preserve"> (Accessed 26 Jan. 2026).</w:t>
      </w:r>
    </w:p>
    <w:p w14:paraId="07D0040D" w14:textId="7D8AF719" w:rsidR="00752D62" w:rsidRDefault="000972F5" w:rsidP="00892ADA">
      <w:pPr>
        <w:spacing w:line="360" w:lineRule="auto"/>
        <w:jc w:val="both"/>
        <w:rPr>
          <w:rFonts w:ascii="Arial" w:hAnsi="Arial" w:cs="Arial"/>
          <w:sz w:val="24"/>
          <w:szCs w:val="24"/>
        </w:rPr>
      </w:pPr>
      <w:proofErr w:type="spellStart"/>
      <w:r w:rsidRPr="000972F5">
        <w:rPr>
          <w:rFonts w:ascii="Arial" w:hAnsi="Arial" w:cs="Arial"/>
          <w:sz w:val="24"/>
          <w:szCs w:val="24"/>
          <w:lang w:val="it-IT"/>
        </w:rPr>
        <w:t>Aramyan</w:t>
      </w:r>
      <w:proofErr w:type="spellEnd"/>
      <w:r w:rsidRPr="000972F5">
        <w:rPr>
          <w:rFonts w:ascii="Arial" w:hAnsi="Arial" w:cs="Arial"/>
          <w:sz w:val="24"/>
          <w:szCs w:val="24"/>
          <w:lang w:val="it-IT"/>
        </w:rPr>
        <w:t xml:space="preserve">, L., Grainger, M., </w:t>
      </w:r>
      <w:proofErr w:type="spellStart"/>
      <w:r w:rsidRPr="000972F5">
        <w:rPr>
          <w:rFonts w:ascii="Arial" w:hAnsi="Arial" w:cs="Arial"/>
          <w:sz w:val="24"/>
          <w:szCs w:val="24"/>
          <w:lang w:val="it-IT"/>
        </w:rPr>
        <w:t>Logatcheva</w:t>
      </w:r>
      <w:proofErr w:type="spellEnd"/>
      <w:r w:rsidRPr="000972F5">
        <w:rPr>
          <w:rFonts w:ascii="Arial" w:hAnsi="Arial" w:cs="Arial"/>
          <w:sz w:val="24"/>
          <w:szCs w:val="24"/>
          <w:lang w:val="it-IT"/>
        </w:rPr>
        <w:t xml:space="preserve">, K., Piras, S., Setti, M., Stewart, G. and </w:t>
      </w:r>
      <w:proofErr w:type="spellStart"/>
      <w:r w:rsidRPr="000972F5">
        <w:rPr>
          <w:rFonts w:ascii="Arial" w:hAnsi="Arial" w:cs="Arial"/>
          <w:sz w:val="24"/>
          <w:szCs w:val="24"/>
          <w:lang w:val="it-IT"/>
        </w:rPr>
        <w:t>Vittuari</w:t>
      </w:r>
      <w:proofErr w:type="spellEnd"/>
      <w:r w:rsidRPr="000972F5">
        <w:rPr>
          <w:rFonts w:ascii="Arial" w:hAnsi="Arial" w:cs="Arial"/>
          <w:sz w:val="24"/>
          <w:szCs w:val="24"/>
          <w:lang w:val="it-IT"/>
        </w:rPr>
        <w:t xml:space="preserve">, M. (2021). </w:t>
      </w:r>
      <w:r w:rsidRPr="000972F5">
        <w:rPr>
          <w:rFonts w:ascii="Arial" w:hAnsi="Arial" w:cs="Arial"/>
          <w:sz w:val="24"/>
          <w:szCs w:val="24"/>
        </w:rPr>
        <w:t xml:space="preserve">Food waste reduction in supply chains through innovations: a review. </w:t>
      </w:r>
      <w:r w:rsidRPr="000972F5">
        <w:rPr>
          <w:rFonts w:ascii="Arial" w:hAnsi="Arial" w:cs="Arial"/>
          <w:i/>
          <w:iCs/>
          <w:sz w:val="24"/>
          <w:szCs w:val="24"/>
        </w:rPr>
        <w:t>Measuring Business Excellence</w:t>
      </w:r>
      <w:r w:rsidRPr="000972F5">
        <w:rPr>
          <w:rFonts w:ascii="Arial" w:hAnsi="Arial" w:cs="Arial"/>
          <w:sz w:val="24"/>
          <w:szCs w:val="24"/>
        </w:rPr>
        <w:t xml:space="preserve">, 25(4), pp.475–492. </w:t>
      </w:r>
      <w:r>
        <w:rPr>
          <w:rFonts w:ascii="Arial" w:hAnsi="Arial" w:cs="Arial"/>
          <w:sz w:val="24"/>
          <w:szCs w:val="24"/>
        </w:rPr>
        <w:t xml:space="preserve">Available at: </w:t>
      </w:r>
      <w:hyperlink r:id="rId9" w:history="1">
        <w:r w:rsidRPr="0024491A">
          <w:rPr>
            <w:rStyle w:val="Hyperlink"/>
            <w:rFonts w:ascii="Arial" w:hAnsi="Arial" w:cs="Arial"/>
            <w:sz w:val="24"/>
            <w:szCs w:val="24"/>
          </w:rPr>
          <w:t>https://doi.org/10.1108/MBE-11-2019-0105</w:t>
        </w:r>
      </w:hyperlink>
      <w:r>
        <w:rPr>
          <w:rFonts w:ascii="Arial" w:hAnsi="Arial" w:cs="Arial"/>
          <w:sz w:val="24"/>
          <w:szCs w:val="24"/>
        </w:rPr>
        <w:t xml:space="preserve"> </w:t>
      </w:r>
      <w:r w:rsidR="003C6D22">
        <w:rPr>
          <w:rFonts w:ascii="Arial" w:hAnsi="Arial" w:cs="Arial"/>
          <w:sz w:val="24"/>
          <w:szCs w:val="24"/>
        </w:rPr>
        <w:t>(Accessed 25 Jan</w:t>
      </w:r>
      <w:r w:rsidR="00C75962">
        <w:rPr>
          <w:rFonts w:ascii="Arial" w:hAnsi="Arial" w:cs="Arial"/>
          <w:sz w:val="24"/>
          <w:szCs w:val="24"/>
        </w:rPr>
        <w:t>.</w:t>
      </w:r>
      <w:r w:rsidR="003C6D22">
        <w:rPr>
          <w:rFonts w:ascii="Arial" w:hAnsi="Arial" w:cs="Arial"/>
          <w:sz w:val="24"/>
          <w:szCs w:val="24"/>
        </w:rPr>
        <w:t xml:space="preserve"> 2026).</w:t>
      </w:r>
    </w:p>
    <w:p w14:paraId="024A9B18" w14:textId="02349291" w:rsidR="00866DF2" w:rsidRDefault="00866DF2" w:rsidP="00892ADA">
      <w:pPr>
        <w:spacing w:line="360" w:lineRule="auto"/>
        <w:jc w:val="both"/>
        <w:rPr>
          <w:rFonts w:ascii="Arial" w:hAnsi="Arial" w:cs="Arial"/>
          <w:sz w:val="24"/>
          <w:szCs w:val="24"/>
        </w:rPr>
      </w:pPr>
      <w:r w:rsidRPr="00866DF2">
        <w:rPr>
          <w:rFonts w:ascii="Arial" w:hAnsi="Arial" w:cs="Arial"/>
          <w:sz w:val="24"/>
          <w:szCs w:val="24"/>
        </w:rPr>
        <w:t xml:space="preserve">Arnold, N. and Bouwmeester, O. (2025). Engaging with food waste while avoiding stigma: How a consultancy shields hospitality organizations from dirty work associations. </w:t>
      </w:r>
      <w:r w:rsidRPr="00B35710">
        <w:rPr>
          <w:rFonts w:ascii="Arial" w:hAnsi="Arial" w:cs="Arial"/>
          <w:i/>
          <w:iCs/>
          <w:sz w:val="24"/>
          <w:szCs w:val="24"/>
        </w:rPr>
        <w:t>Agriculture and Human Values</w:t>
      </w:r>
      <w:r w:rsidRPr="00866DF2">
        <w:rPr>
          <w:rFonts w:ascii="Arial" w:hAnsi="Arial" w:cs="Arial"/>
          <w:sz w:val="24"/>
          <w:szCs w:val="24"/>
        </w:rPr>
        <w:t xml:space="preserve">, 42(3), pp.2077–2092. </w:t>
      </w:r>
      <w:r w:rsidR="00B35710">
        <w:rPr>
          <w:rFonts w:ascii="Arial" w:hAnsi="Arial" w:cs="Arial"/>
          <w:sz w:val="24"/>
          <w:szCs w:val="24"/>
        </w:rPr>
        <w:t xml:space="preserve">Available at: </w:t>
      </w:r>
      <w:hyperlink r:id="rId10" w:history="1">
        <w:r w:rsidR="00B35710" w:rsidRPr="0024491A">
          <w:rPr>
            <w:rStyle w:val="Hyperlink"/>
            <w:rFonts w:ascii="Arial" w:hAnsi="Arial" w:cs="Arial"/>
            <w:sz w:val="24"/>
            <w:szCs w:val="24"/>
          </w:rPr>
          <w:t>https://doi.org/10.1007/s10460-025-10754-9</w:t>
        </w:r>
      </w:hyperlink>
      <w:r w:rsidR="00B35710">
        <w:rPr>
          <w:rFonts w:ascii="Arial" w:hAnsi="Arial" w:cs="Arial"/>
          <w:sz w:val="24"/>
          <w:szCs w:val="24"/>
        </w:rPr>
        <w:t xml:space="preserve"> (Accessed 28 Jan. 2026).</w:t>
      </w:r>
    </w:p>
    <w:p w14:paraId="186E3EF7" w14:textId="7BC557CE" w:rsidR="003B6698" w:rsidRDefault="003B6698" w:rsidP="00892ADA">
      <w:pPr>
        <w:spacing w:line="360" w:lineRule="auto"/>
        <w:jc w:val="both"/>
        <w:rPr>
          <w:rFonts w:ascii="Arial" w:hAnsi="Arial" w:cs="Arial"/>
          <w:sz w:val="24"/>
          <w:szCs w:val="24"/>
        </w:rPr>
      </w:pPr>
      <w:proofErr w:type="spellStart"/>
      <w:r w:rsidRPr="003B6698">
        <w:rPr>
          <w:rFonts w:ascii="Arial" w:hAnsi="Arial" w:cs="Arial"/>
          <w:sz w:val="24"/>
          <w:szCs w:val="24"/>
          <w:lang w:val="nl-NL"/>
        </w:rPr>
        <w:t>Caldeira</w:t>
      </w:r>
      <w:proofErr w:type="spellEnd"/>
      <w:r w:rsidRPr="003B6698">
        <w:rPr>
          <w:rFonts w:ascii="Arial" w:hAnsi="Arial" w:cs="Arial"/>
          <w:sz w:val="24"/>
          <w:szCs w:val="24"/>
          <w:lang w:val="nl-NL"/>
        </w:rPr>
        <w:t xml:space="preserve">, C., De </w:t>
      </w:r>
      <w:proofErr w:type="spellStart"/>
      <w:r w:rsidRPr="003B6698">
        <w:rPr>
          <w:rFonts w:ascii="Arial" w:hAnsi="Arial" w:cs="Arial"/>
          <w:sz w:val="24"/>
          <w:szCs w:val="24"/>
          <w:lang w:val="nl-NL"/>
        </w:rPr>
        <w:t>Laurentiis</w:t>
      </w:r>
      <w:proofErr w:type="spellEnd"/>
      <w:r w:rsidRPr="003B6698">
        <w:rPr>
          <w:rFonts w:ascii="Arial" w:hAnsi="Arial" w:cs="Arial"/>
          <w:sz w:val="24"/>
          <w:szCs w:val="24"/>
          <w:lang w:val="nl-NL"/>
        </w:rPr>
        <w:t xml:space="preserve">, V., </w:t>
      </w:r>
      <w:proofErr w:type="spellStart"/>
      <w:r w:rsidRPr="003B6698">
        <w:rPr>
          <w:rFonts w:ascii="Arial" w:hAnsi="Arial" w:cs="Arial"/>
          <w:sz w:val="24"/>
          <w:szCs w:val="24"/>
          <w:lang w:val="nl-NL"/>
        </w:rPr>
        <w:t>Corrado</w:t>
      </w:r>
      <w:proofErr w:type="spellEnd"/>
      <w:r w:rsidRPr="003B6698">
        <w:rPr>
          <w:rFonts w:ascii="Arial" w:hAnsi="Arial" w:cs="Arial"/>
          <w:sz w:val="24"/>
          <w:szCs w:val="24"/>
          <w:lang w:val="nl-NL"/>
        </w:rPr>
        <w:t xml:space="preserve">, S., van </w:t>
      </w:r>
      <w:proofErr w:type="spellStart"/>
      <w:r w:rsidRPr="003B6698">
        <w:rPr>
          <w:rFonts w:ascii="Arial" w:hAnsi="Arial" w:cs="Arial"/>
          <w:sz w:val="24"/>
          <w:szCs w:val="24"/>
          <w:lang w:val="nl-NL"/>
        </w:rPr>
        <w:t>Holsteijn</w:t>
      </w:r>
      <w:proofErr w:type="spellEnd"/>
      <w:r w:rsidRPr="003B6698">
        <w:rPr>
          <w:rFonts w:ascii="Arial" w:hAnsi="Arial" w:cs="Arial"/>
          <w:sz w:val="24"/>
          <w:szCs w:val="24"/>
          <w:lang w:val="nl-NL"/>
        </w:rPr>
        <w:t xml:space="preserve">, F. </w:t>
      </w:r>
      <w:proofErr w:type="spellStart"/>
      <w:r w:rsidRPr="003B6698">
        <w:rPr>
          <w:rFonts w:ascii="Arial" w:hAnsi="Arial" w:cs="Arial"/>
          <w:sz w:val="24"/>
          <w:szCs w:val="24"/>
          <w:lang w:val="nl-NL"/>
        </w:rPr>
        <w:t>and</w:t>
      </w:r>
      <w:proofErr w:type="spellEnd"/>
      <w:r w:rsidRPr="003B6698">
        <w:rPr>
          <w:rFonts w:ascii="Arial" w:hAnsi="Arial" w:cs="Arial"/>
          <w:sz w:val="24"/>
          <w:szCs w:val="24"/>
          <w:lang w:val="nl-NL"/>
        </w:rPr>
        <w:t xml:space="preserve"> Sala, S. (2019). </w:t>
      </w:r>
      <w:r w:rsidRPr="003B6698">
        <w:rPr>
          <w:rFonts w:ascii="Arial" w:hAnsi="Arial" w:cs="Arial"/>
          <w:sz w:val="24"/>
          <w:szCs w:val="24"/>
        </w:rPr>
        <w:t xml:space="preserve">Quantification of food waste per product group along the food supply chain in the European Union: a mass flow analysis. </w:t>
      </w:r>
      <w:r w:rsidRPr="003B6698">
        <w:rPr>
          <w:rFonts w:ascii="Arial" w:hAnsi="Arial" w:cs="Arial"/>
          <w:i/>
          <w:iCs/>
          <w:sz w:val="24"/>
          <w:szCs w:val="24"/>
        </w:rPr>
        <w:t>Resources, Conservation and Recycling</w:t>
      </w:r>
      <w:r w:rsidRPr="003B6698">
        <w:rPr>
          <w:rFonts w:ascii="Arial" w:hAnsi="Arial" w:cs="Arial"/>
          <w:sz w:val="24"/>
          <w:szCs w:val="24"/>
        </w:rPr>
        <w:t>, 149, pp.479–488.</w:t>
      </w:r>
      <w:r>
        <w:rPr>
          <w:rFonts w:ascii="Arial" w:hAnsi="Arial" w:cs="Arial"/>
          <w:sz w:val="24"/>
          <w:szCs w:val="24"/>
        </w:rPr>
        <w:t xml:space="preserve"> Available at:</w:t>
      </w:r>
      <w:r w:rsidRPr="003B6698">
        <w:rPr>
          <w:rFonts w:ascii="Arial" w:hAnsi="Arial" w:cs="Arial"/>
          <w:sz w:val="24"/>
          <w:szCs w:val="24"/>
        </w:rPr>
        <w:t xml:space="preserve"> </w:t>
      </w:r>
      <w:hyperlink r:id="rId11" w:history="1">
        <w:r w:rsidRPr="0024491A">
          <w:rPr>
            <w:rStyle w:val="Hyperlink"/>
            <w:rFonts w:ascii="Arial" w:hAnsi="Arial" w:cs="Arial"/>
            <w:sz w:val="24"/>
            <w:szCs w:val="24"/>
          </w:rPr>
          <w:t>https://doi.org/10.1016/j.resconrec.2019.06.011</w:t>
        </w:r>
      </w:hyperlink>
      <w:r>
        <w:rPr>
          <w:rFonts w:ascii="Arial" w:hAnsi="Arial" w:cs="Arial"/>
          <w:sz w:val="24"/>
          <w:szCs w:val="24"/>
        </w:rPr>
        <w:t xml:space="preserve"> (Accessed 06 Feb. 2026).</w:t>
      </w:r>
    </w:p>
    <w:p w14:paraId="45F4A97A" w14:textId="19C2D28C" w:rsidR="001B3403" w:rsidRDefault="001B3403" w:rsidP="001B3403">
      <w:pPr>
        <w:spacing w:line="360" w:lineRule="auto"/>
        <w:jc w:val="both"/>
        <w:rPr>
          <w:rFonts w:ascii="Arial" w:hAnsi="Arial" w:cs="Arial"/>
          <w:sz w:val="24"/>
          <w:szCs w:val="24"/>
        </w:rPr>
      </w:pPr>
      <w:r w:rsidRPr="001B3403">
        <w:rPr>
          <w:rFonts w:ascii="Arial" w:hAnsi="Arial" w:cs="Arial"/>
          <w:sz w:val="24"/>
          <w:szCs w:val="24"/>
        </w:rPr>
        <w:t>Cheong, H.I., Lyons, A., Houghton, R. and Majumdar, A. (2023)</w:t>
      </w:r>
      <w:r>
        <w:rPr>
          <w:rFonts w:ascii="Arial" w:hAnsi="Arial" w:cs="Arial"/>
          <w:sz w:val="24"/>
          <w:szCs w:val="24"/>
        </w:rPr>
        <w:t xml:space="preserve">. </w:t>
      </w:r>
      <w:r w:rsidRPr="001B3403">
        <w:rPr>
          <w:rFonts w:ascii="Arial" w:hAnsi="Arial" w:cs="Arial"/>
          <w:sz w:val="24"/>
          <w:szCs w:val="24"/>
        </w:rPr>
        <w:t>Secondary qualitative research methodology using online data within the context of social sciences.</w:t>
      </w:r>
      <w:r>
        <w:rPr>
          <w:rFonts w:ascii="Arial" w:hAnsi="Arial" w:cs="Arial"/>
          <w:sz w:val="24"/>
          <w:szCs w:val="24"/>
        </w:rPr>
        <w:t xml:space="preserve"> </w:t>
      </w:r>
      <w:r w:rsidRPr="001B3403">
        <w:rPr>
          <w:rFonts w:ascii="Arial" w:hAnsi="Arial" w:cs="Arial"/>
          <w:i/>
          <w:iCs/>
          <w:sz w:val="24"/>
          <w:szCs w:val="24"/>
        </w:rPr>
        <w:t>International Journal of Qualitative Methods</w:t>
      </w:r>
      <w:r w:rsidRPr="001B3403">
        <w:rPr>
          <w:rFonts w:ascii="Arial" w:hAnsi="Arial" w:cs="Arial"/>
          <w:sz w:val="24"/>
          <w:szCs w:val="24"/>
        </w:rPr>
        <w:t>, 22</w:t>
      </w:r>
      <w:r>
        <w:rPr>
          <w:rFonts w:ascii="Arial" w:hAnsi="Arial" w:cs="Arial"/>
          <w:sz w:val="24"/>
          <w:szCs w:val="24"/>
        </w:rPr>
        <w:t xml:space="preserve">. </w:t>
      </w:r>
      <w:r w:rsidR="00A07EEC">
        <w:rPr>
          <w:rFonts w:ascii="Arial" w:hAnsi="Arial" w:cs="Arial"/>
          <w:sz w:val="24"/>
          <w:szCs w:val="24"/>
        </w:rPr>
        <w:t xml:space="preserve">Available at: </w:t>
      </w:r>
      <w:hyperlink r:id="rId12" w:history="1">
        <w:r w:rsidR="00A07EEC" w:rsidRPr="0024491A">
          <w:rPr>
            <w:rStyle w:val="Hyperlink"/>
            <w:rFonts w:ascii="Arial" w:hAnsi="Arial" w:cs="Arial"/>
            <w:sz w:val="24"/>
            <w:szCs w:val="24"/>
          </w:rPr>
          <w:t>https://doi.org/10.1177/16094069231180160</w:t>
        </w:r>
      </w:hyperlink>
      <w:r w:rsidR="00A07EEC">
        <w:rPr>
          <w:rFonts w:ascii="Arial" w:hAnsi="Arial" w:cs="Arial"/>
          <w:sz w:val="24"/>
          <w:szCs w:val="24"/>
        </w:rPr>
        <w:t xml:space="preserve"> (Accessed 31 Jan. 2026).</w:t>
      </w:r>
    </w:p>
    <w:p w14:paraId="10D6887D" w14:textId="59A6972D" w:rsidR="004054E2" w:rsidRDefault="004054E2" w:rsidP="00892ADA">
      <w:pPr>
        <w:spacing w:line="360" w:lineRule="auto"/>
        <w:jc w:val="both"/>
        <w:rPr>
          <w:rFonts w:ascii="Arial" w:hAnsi="Arial" w:cs="Arial"/>
          <w:sz w:val="24"/>
          <w:szCs w:val="24"/>
        </w:rPr>
      </w:pPr>
      <w:r w:rsidRPr="004054E2">
        <w:rPr>
          <w:rFonts w:ascii="Arial" w:hAnsi="Arial" w:cs="Arial"/>
          <w:sz w:val="24"/>
          <w:szCs w:val="24"/>
        </w:rPr>
        <w:t xml:space="preserve">Clark, Q.M., </w:t>
      </w:r>
      <w:proofErr w:type="spellStart"/>
      <w:r w:rsidRPr="004054E2">
        <w:rPr>
          <w:rFonts w:ascii="Arial" w:hAnsi="Arial" w:cs="Arial"/>
          <w:sz w:val="24"/>
          <w:szCs w:val="24"/>
        </w:rPr>
        <w:t>Kanavikar</w:t>
      </w:r>
      <w:proofErr w:type="spellEnd"/>
      <w:r w:rsidRPr="004054E2">
        <w:rPr>
          <w:rFonts w:ascii="Arial" w:hAnsi="Arial" w:cs="Arial"/>
          <w:sz w:val="24"/>
          <w:szCs w:val="24"/>
        </w:rPr>
        <w:t xml:space="preserve">, D.B., Clark, J. and Donnelly, P.J. (2025). Exploring the potential of AI-driven food waste management strategies used in the hospitality industry for application in household settings. </w:t>
      </w:r>
      <w:r w:rsidRPr="004054E2">
        <w:rPr>
          <w:rFonts w:ascii="Arial" w:hAnsi="Arial" w:cs="Arial"/>
          <w:i/>
          <w:iCs/>
          <w:sz w:val="24"/>
          <w:szCs w:val="24"/>
        </w:rPr>
        <w:t>Frontiers in Artificial Intelligence</w:t>
      </w:r>
      <w:r w:rsidRPr="004054E2">
        <w:rPr>
          <w:rFonts w:ascii="Arial" w:hAnsi="Arial" w:cs="Arial"/>
          <w:sz w:val="24"/>
          <w:szCs w:val="24"/>
        </w:rPr>
        <w:t xml:space="preserve">, 7. </w:t>
      </w:r>
      <w:r>
        <w:rPr>
          <w:rFonts w:ascii="Arial" w:hAnsi="Arial" w:cs="Arial"/>
          <w:sz w:val="24"/>
          <w:szCs w:val="24"/>
        </w:rPr>
        <w:t xml:space="preserve">Available at: </w:t>
      </w:r>
      <w:hyperlink r:id="rId13" w:history="1">
        <w:r w:rsidRPr="0024491A">
          <w:rPr>
            <w:rStyle w:val="Hyperlink"/>
            <w:rFonts w:ascii="Arial" w:hAnsi="Arial" w:cs="Arial"/>
            <w:sz w:val="24"/>
            <w:szCs w:val="24"/>
          </w:rPr>
          <w:t>https://doi.org/10.3389/frai.2024.1429477</w:t>
        </w:r>
      </w:hyperlink>
      <w:r>
        <w:rPr>
          <w:rFonts w:ascii="Arial" w:hAnsi="Arial" w:cs="Arial"/>
          <w:sz w:val="24"/>
          <w:szCs w:val="24"/>
        </w:rPr>
        <w:t xml:space="preserve"> (Accessed 28 Jan. 2026).</w:t>
      </w:r>
    </w:p>
    <w:p w14:paraId="768E90F5" w14:textId="1F251DCE" w:rsidR="00CC741F" w:rsidRDefault="00CC741F" w:rsidP="00892ADA">
      <w:pPr>
        <w:spacing w:line="360" w:lineRule="auto"/>
        <w:jc w:val="both"/>
        <w:rPr>
          <w:rFonts w:ascii="Arial" w:hAnsi="Arial" w:cs="Arial"/>
          <w:sz w:val="24"/>
          <w:szCs w:val="24"/>
        </w:rPr>
      </w:pPr>
      <w:r w:rsidRPr="00CC741F">
        <w:rPr>
          <w:rFonts w:ascii="Arial" w:hAnsi="Arial" w:cs="Arial"/>
          <w:sz w:val="24"/>
          <w:szCs w:val="24"/>
          <w:lang w:val="nl-NL"/>
        </w:rPr>
        <w:lastRenderedPageBreak/>
        <w:t xml:space="preserve">de Los </w:t>
      </w:r>
      <w:proofErr w:type="spellStart"/>
      <w:r w:rsidRPr="00CC741F">
        <w:rPr>
          <w:rFonts w:ascii="Arial" w:hAnsi="Arial" w:cs="Arial"/>
          <w:sz w:val="24"/>
          <w:szCs w:val="24"/>
          <w:lang w:val="nl-NL"/>
        </w:rPr>
        <w:t>Mozos</w:t>
      </w:r>
      <w:proofErr w:type="spellEnd"/>
      <w:r w:rsidRPr="00CC741F">
        <w:rPr>
          <w:rFonts w:ascii="Arial" w:hAnsi="Arial" w:cs="Arial"/>
          <w:sz w:val="24"/>
          <w:szCs w:val="24"/>
          <w:lang w:val="nl-NL"/>
        </w:rPr>
        <w:t xml:space="preserve">, E. A., </w:t>
      </w:r>
      <w:proofErr w:type="spellStart"/>
      <w:r w:rsidRPr="00CC741F">
        <w:rPr>
          <w:rFonts w:ascii="Arial" w:hAnsi="Arial" w:cs="Arial"/>
          <w:sz w:val="24"/>
          <w:szCs w:val="24"/>
          <w:lang w:val="nl-NL"/>
        </w:rPr>
        <w:t>Badurdeen</w:t>
      </w:r>
      <w:proofErr w:type="spellEnd"/>
      <w:r w:rsidRPr="00CC741F">
        <w:rPr>
          <w:rFonts w:ascii="Arial" w:hAnsi="Arial" w:cs="Arial"/>
          <w:sz w:val="24"/>
          <w:szCs w:val="24"/>
          <w:lang w:val="nl-NL"/>
        </w:rPr>
        <w:t xml:space="preserve">, F., </w:t>
      </w:r>
      <w:proofErr w:type="spellStart"/>
      <w:r w:rsidRPr="00CC741F">
        <w:rPr>
          <w:rFonts w:ascii="Arial" w:hAnsi="Arial" w:cs="Arial"/>
          <w:sz w:val="24"/>
          <w:szCs w:val="24"/>
          <w:lang w:val="nl-NL"/>
        </w:rPr>
        <w:t>and</w:t>
      </w:r>
      <w:proofErr w:type="spellEnd"/>
      <w:r w:rsidRPr="00CC741F">
        <w:rPr>
          <w:rFonts w:ascii="Arial" w:hAnsi="Arial" w:cs="Arial"/>
          <w:sz w:val="24"/>
          <w:szCs w:val="24"/>
          <w:lang w:val="nl-NL"/>
        </w:rPr>
        <w:t xml:space="preserve"> </w:t>
      </w:r>
      <w:proofErr w:type="spellStart"/>
      <w:r w:rsidRPr="00CC741F">
        <w:rPr>
          <w:rFonts w:ascii="Arial" w:hAnsi="Arial" w:cs="Arial"/>
          <w:sz w:val="24"/>
          <w:szCs w:val="24"/>
          <w:lang w:val="nl-NL"/>
        </w:rPr>
        <w:t>Dossou</w:t>
      </w:r>
      <w:proofErr w:type="spellEnd"/>
      <w:r w:rsidRPr="00CC741F">
        <w:rPr>
          <w:rFonts w:ascii="Arial" w:hAnsi="Arial" w:cs="Arial"/>
          <w:sz w:val="24"/>
          <w:szCs w:val="24"/>
          <w:lang w:val="nl-NL"/>
        </w:rPr>
        <w:t xml:space="preserve">, P. E. (2020). </w:t>
      </w:r>
      <w:r w:rsidRPr="00CC741F">
        <w:rPr>
          <w:rFonts w:ascii="Arial" w:hAnsi="Arial" w:cs="Arial"/>
          <w:sz w:val="24"/>
          <w:szCs w:val="24"/>
        </w:rPr>
        <w:t xml:space="preserve">Sustainable consumption by reducing food waste: A review of the current state and directions for future research. </w:t>
      </w:r>
      <w:r w:rsidRPr="00CC741F">
        <w:rPr>
          <w:rFonts w:ascii="Arial" w:hAnsi="Arial" w:cs="Arial"/>
          <w:i/>
          <w:iCs/>
          <w:sz w:val="24"/>
          <w:szCs w:val="24"/>
        </w:rPr>
        <w:t>Procedia Manufacturing</w:t>
      </w:r>
      <w:r w:rsidRPr="00CC741F">
        <w:rPr>
          <w:rFonts w:ascii="Arial" w:hAnsi="Arial" w:cs="Arial"/>
          <w:sz w:val="24"/>
          <w:szCs w:val="24"/>
        </w:rPr>
        <w:t xml:space="preserve">, 51, pp. 1791-1798. </w:t>
      </w:r>
      <w:r w:rsidR="00ED40FB">
        <w:rPr>
          <w:rFonts w:ascii="Arial" w:hAnsi="Arial" w:cs="Arial"/>
          <w:sz w:val="24"/>
          <w:szCs w:val="24"/>
        </w:rPr>
        <w:t xml:space="preserve">Available at: </w:t>
      </w:r>
      <w:hyperlink r:id="rId14" w:history="1">
        <w:r w:rsidR="00ED40FB" w:rsidRPr="0024491A">
          <w:rPr>
            <w:rStyle w:val="Hyperlink"/>
            <w:rFonts w:ascii="Arial" w:hAnsi="Arial" w:cs="Arial"/>
            <w:sz w:val="24"/>
            <w:szCs w:val="24"/>
          </w:rPr>
          <w:t>https://doi.org/10.1016/j.promfg.2020.10.249</w:t>
        </w:r>
      </w:hyperlink>
      <w:r w:rsidR="00ED40FB">
        <w:rPr>
          <w:rFonts w:ascii="Arial" w:hAnsi="Arial" w:cs="Arial"/>
          <w:sz w:val="24"/>
          <w:szCs w:val="24"/>
        </w:rPr>
        <w:t xml:space="preserve"> (Accessed 30 Jan. 2026).</w:t>
      </w:r>
    </w:p>
    <w:p w14:paraId="011BBB74" w14:textId="788E5BBE" w:rsidR="00982434" w:rsidRDefault="00982434" w:rsidP="00982434">
      <w:pPr>
        <w:spacing w:line="360" w:lineRule="auto"/>
        <w:jc w:val="both"/>
        <w:rPr>
          <w:rFonts w:ascii="Arial" w:hAnsi="Arial" w:cs="Arial"/>
          <w:sz w:val="24"/>
          <w:szCs w:val="24"/>
        </w:rPr>
      </w:pPr>
      <w:r w:rsidRPr="00982434">
        <w:rPr>
          <w:rFonts w:ascii="Arial" w:hAnsi="Arial" w:cs="Arial"/>
          <w:sz w:val="24"/>
          <w:szCs w:val="24"/>
        </w:rPr>
        <w:t xml:space="preserve">Eriksson, M., Ghosh, R., Mattsson, L. and </w:t>
      </w:r>
      <w:proofErr w:type="spellStart"/>
      <w:r w:rsidRPr="00982434">
        <w:rPr>
          <w:rFonts w:ascii="Arial" w:hAnsi="Arial" w:cs="Arial"/>
          <w:sz w:val="24"/>
          <w:szCs w:val="24"/>
        </w:rPr>
        <w:t>Ismatov</w:t>
      </w:r>
      <w:proofErr w:type="spellEnd"/>
      <w:r w:rsidRPr="00982434">
        <w:rPr>
          <w:rFonts w:ascii="Arial" w:hAnsi="Arial" w:cs="Arial"/>
          <w:sz w:val="24"/>
          <w:szCs w:val="24"/>
        </w:rPr>
        <w:t>, A. (2017).</w:t>
      </w:r>
      <w:r>
        <w:rPr>
          <w:rFonts w:ascii="Arial" w:hAnsi="Arial" w:cs="Arial"/>
          <w:sz w:val="24"/>
          <w:szCs w:val="24"/>
        </w:rPr>
        <w:t xml:space="preserve"> </w:t>
      </w:r>
      <w:r w:rsidRPr="00982434">
        <w:rPr>
          <w:rFonts w:ascii="Arial" w:hAnsi="Arial" w:cs="Arial"/>
          <w:sz w:val="24"/>
          <w:szCs w:val="24"/>
        </w:rPr>
        <w:t>Take-back agreements in the perspective of food waste generation at the supplier–retailer interface.</w:t>
      </w:r>
      <w:r>
        <w:rPr>
          <w:rFonts w:ascii="Arial" w:hAnsi="Arial" w:cs="Arial"/>
          <w:sz w:val="24"/>
          <w:szCs w:val="24"/>
        </w:rPr>
        <w:t xml:space="preserve"> </w:t>
      </w:r>
      <w:r w:rsidRPr="00982434">
        <w:rPr>
          <w:rFonts w:ascii="Arial" w:hAnsi="Arial" w:cs="Arial"/>
          <w:i/>
          <w:iCs/>
          <w:sz w:val="24"/>
          <w:szCs w:val="24"/>
        </w:rPr>
        <w:t>Resources, Conservation and Recycling</w:t>
      </w:r>
      <w:r w:rsidRPr="00982434">
        <w:rPr>
          <w:rFonts w:ascii="Arial" w:hAnsi="Arial" w:cs="Arial"/>
          <w:sz w:val="24"/>
          <w:szCs w:val="24"/>
        </w:rPr>
        <w:t>, 122, pp. 83–93.</w:t>
      </w:r>
      <w:r>
        <w:rPr>
          <w:rFonts w:ascii="Arial" w:hAnsi="Arial" w:cs="Arial"/>
          <w:sz w:val="24"/>
          <w:szCs w:val="24"/>
        </w:rPr>
        <w:t xml:space="preserve"> Available at: </w:t>
      </w:r>
      <w:hyperlink r:id="rId15" w:history="1">
        <w:r w:rsidRPr="0024491A">
          <w:rPr>
            <w:rStyle w:val="Hyperlink"/>
            <w:rFonts w:ascii="Arial" w:hAnsi="Arial" w:cs="Arial"/>
            <w:sz w:val="24"/>
            <w:szCs w:val="24"/>
          </w:rPr>
          <w:t>https://doi.org/10.1016/j.resconrec.2017.02.006</w:t>
        </w:r>
      </w:hyperlink>
      <w:r>
        <w:rPr>
          <w:rFonts w:ascii="Arial" w:hAnsi="Arial" w:cs="Arial"/>
          <w:sz w:val="24"/>
          <w:szCs w:val="24"/>
        </w:rPr>
        <w:t xml:space="preserve"> (Accessed 01 Feb. 2026).</w:t>
      </w:r>
    </w:p>
    <w:p w14:paraId="37124D78" w14:textId="47EC589A" w:rsidR="009E2E1A" w:rsidRDefault="009E2E1A" w:rsidP="009E2E1A">
      <w:pPr>
        <w:spacing w:line="360" w:lineRule="auto"/>
        <w:jc w:val="both"/>
        <w:rPr>
          <w:rFonts w:ascii="Arial" w:hAnsi="Arial" w:cs="Arial"/>
          <w:sz w:val="24"/>
          <w:szCs w:val="24"/>
        </w:rPr>
      </w:pPr>
      <w:r w:rsidRPr="009E2E1A">
        <w:rPr>
          <w:rFonts w:ascii="Arial" w:hAnsi="Arial" w:cs="Arial"/>
          <w:sz w:val="24"/>
          <w:szCs w:val="24"/>
        </w:rPr>
        <w:t>FAO (2023)</w:t>
      </w:r>
      <w:r>
        <w:rPr>
          <w:rFonts w:ascii="Arial" w:hAnsi="Arial" w:cs="Arial"/>
          <w:sz w:val="24"/>
          <w:szCs w:val="24"/>
        </w:rPr>
        <w:t xml:space="preserve">. </w:t>
      </w:r>
      <w:r w:rsidRPr="007D4147">
        <w:rPr>
          <w:rFonts w:ascii="Arial" w:hAnsi="Arial" w:cs="Arial"/>
          <w:i/>
          <w:iCs/>
          <w:sz w:val="24"/>
          <w:szCs w:val="24"/>
        </w:rPr>
        <w:t>Global food loss and waste: Building a sustainable food system</w:t>
      </w:r>
      <w:r w:rsidRPr="009E2E1A">
        <w:rPr>
          <w:rFonts w:ascii="Arial" w:hAnsi="Arial" w:cs="Arial"/>
          <w:sz w:val="24"/>
          <w:szCs w:val="24"/>
        </w:rPr>
        <w:t>.</w:t>
      </w:r>
      <w:r w:rsidR="007D4147">
        <w:rPr>
          <w:rFonts w:ascii="Arial" w:hAnsi="Arial" w:cs="Arial"/>
          <w:sz w:val="24"/>
          <w:szCs w:val="24"/>
        </w:rPr>
        <w:t xml:space="preserve"> </w:t>
      </w:r>
      <w:r w:rsidRPr="009E2E1A">
        <w:rPr>
          <w:rFonts w:ascii="Arial" w:hAnsi="Arial" w:cs="Arial"/>
          <w:sz w:val="24"/>
          <w:szCs w:val="24"/>
        </w:rPr>
        <w:t>Rome: Food and Agriculture Organization of the United Nations.</w:t>
      </w:r>
      <w:r w:rsidR="007D4147">
        <w:rPr>
          <w:rFonts w:ascii="Arial" w:hAnsi="Arial" w:cs="Arial"/>
          <w:sz w:val="24"/>
          <w:szCs w:val="24"/>
        </w:rPr>
        <w:t xml:space="preserve"> </w:t>
      </w:r>
      <w:r w:rsidRPr="009E2E1A">
        <w:rPr>
          <w:rFonts w:ascii="Arial" w:hAnsi="Arial" w:cs="Arial"/>
          <w:sz w:val="24"/>
          <w:szCs w:val="24"/>
        </w:rPr>
        <w:t xml:space="preserve">Available at: </w:t>
      </w:r>
      <w:hyperlink r:id="rId16" w:history="1">
        <w:r w:rsidR="007D4147" w:rsidRPr="0024491A">
          <w:rPr>
            <w:rStyle w:val="Hyperlink"/>
            <w:rFonts w:ascii="Arial" w:hAnsi="Arial" w:cs="Arial"/>
            <w:sz w:val="24"/>
            <w:szCs w:val="24"/>
          </w:rPr>
          <w:t>https://www.fao.org/platform-food-loss-waste</w:t>
        </w:r>
      </w:hyperlink>
      <w:r w:rsidR="007D4147">
        <w:rPr>
          <w:rFonts w:ascii="Arial" w:hAnsi="Arial" w:cs="Arial"/>
          <w:sz w:val="24"/>
          <w:szCs w:val="24"/>
        </w:rPr>
        <w:t xml:space="preserve"> (</w:t>
      </w:r>
      <w:r w:rsidR="0079577D">
        <w:rPr>
          <w:rFonts w:ascii="Arial" w:hAnsi="Arial" w:cs="Arial"/>
          <w:sz w:val="24"/>
          <w:szCs w:val="24"/>
        </w:rPr>
        <w:t>Accessed 06 Feb. 2026).</w:t>
      </w:r>
    </w:p>
    <w:p w14:paraId="281741E8" w14:textId="64F08CB0" w:rsidR="002C79E3" w:rsidRDefault="002C79E3" w:rsidP="002C79E3">
      <w:pPr>
        <w:spacing w:line="360" w:lineRule="auto"/>
        <w:jc w:val="both"/>
        <w:rPr>
          <w:rFonts w:ascii="Arial" w:hAnsi="Arial" w:cs="Arial"/>
          <w:sz w:val="24"/>
          <w:szCs w:val="24"/>
        </w:rPr>
      </w:pPr>
      <w:proofErr w:type="spellStart"/>
      <w:r w:rsidRPr="002C79E3">
        <w:rPr>
          <w:rFonts w:ascii="Arial" w:hAnsi="Arial" w:cs="Arial"/>
          <w:sz w:val="24"/>
          <w:szCs w:val="24"/>
          <w:lang w:val="fr-FR"/>
        </w:rPr>
        <w:t>Filimonau</w:t>
      </w:r>
      <w:proofErr w:type="spellEnd"/>
      <w:r w:rsidRPr="002C79E3">
        <w:rPr>
          <w:rFonts w:ascii="Arial" w:hAnsi="Arial" w:cs="Arial"/>
          <w:sz w:val="24"/>
          <w:szCs w:val="24"/>
          <w:lang w:val="fr-FR"/>
        </w:rPr>
        <w:t xml:space="preserve">, V. and De Coteau, D.A. (2019). </w:t>
      </w:r>
      <w:r w:rsidRPr="002C79E3">
        <w:rPr>
          <w:rFonts w:ascii="Arial" w:hAnsi="Arial" w:cs="Arial"/>
          <w:sz w:val="24"/>
          <w:szCs w:val="24"/>
        </w:rPr>
        <w:t xml:space="preserve">Food waste management in hospitality operations: A critical review. </w:t>
      </w:r>
      <w:r w:rsidRPr="002C79E3">
        <w:rPr>
          <w:rFonts w:ascii="Arial" w:hAnsi="Arial" w:cs="Arial"/>
          <w:i/>
          <w:iCs/>
          <w:sz w:val="24"/>
          <w:szCs w:val="24"/>
        </w:rPr>
        <w:t>Tourism Management</w:t>
      </w:r>
      <w:r w:rsidRPr="002C79E3">
        <w:rPr>
          <w:rFonts w:ascii="Arial" w:hAnsi="Arial" w:cs="Arial"/>
          <w:sz w:val="24"/>
          <w:szCs w:val="24"/>
        </w:rPr>
        <w:t>, 71, pp.234–245.</w:t>
      </w:r>
      <w:r>
        <w:rPr>
          <w:rFonts w:ascii="Arial" w:hAnsi="Arial" w:cs="Arial"/>
          <w:sz w:val="24"/>
          <w:szCs w:val="24"/>
        </w:rPr>
        <w:t xml:space="preserve"> Available at: </w:t>
      </w:r>
      <w:hyperlink r:id="rId17" w:history="1">
        <w:r w:rsidRPr="0024491A">
          <w:rPr>
            <w:rStyle w:val="Hyperlink"/>
            <w:rFonts w:ascii="Arial" w:hAnsi="Arial" w:cs="Arial"/>
            <w:sz w:val="24"/>
            <w:szCs w:val="24"/>
          </w:rPr>
          <w:t>https://doi.org/10.1016/j.tourman.2018.10.009</w:t>
        </w:r>
      </w:hyperlink>
      <w:r>
        <w:rPr>
          <w:rFonts w:ascii="Arial" w:hAnsi="Arial" w:cs="Arial"/>
          <w:sz w:val="24"/>
          <w:szCs w:val="24"/>
        </w:rPr>
        <w:t xml:space="preserve"> (Accessed 01 Feb. 2026).</w:t>
      </w:r>
    </w:p>
    <w:p w14:paraId="20AFA4BF" w14:textId="44100D8D" w:rsidR="004875A9" w:rsidRDefault="004875A9" w:rsidP="004875A9">
      <w:pPr>
        <w:spacing w:line="360" w:lineRule="auto"/>
        <w:jc w:val="both"/>
        <w:rPr>
          <w:rFonts w:ascii="Arial" w:hAnsi="Arial" w:cs="Arial"/>
          <w:sz w:val="24"/>
          <w:szCs w:val="24"/>
        </w:rPr>
      </w:pPr>
      <w:r w:rsidRPr="004875A9">
        <w:rPr>
          <w:rFonts w:ascii="Arial" w:hAnsi="Arial" w:cs="Arial"/>
          <w:sz w:val="24"/>
          <w:szCs w:val="24"/>
        </w:rPr>
        <w:t>Goossens, Y., Leverenz, D. and Kuntscher, M. (2022)</w:t>
      </w:r>
      <w:r>
        <w:rPr>
          <w:rFonts w:ascii="Arial" w:hAnsi="Arial" w:cs="Arial"/>
          <w:sz w:val="24"/>
          <w:szCs w:val="24"/>
        </w:rPr>
        <w:t xml:space="preserve">. </w:t>
      </w:r>
      <w:r w:rsidRPr="004875A9">
        <w:rPr>
          <w:rFonts w:ascii="Arial" w:hAnsi="Arial" w:cs="Arial"/>
          <w:sz w:val="24"/>
          <w:szCs w:val="24"/>
        </w:rPr>
        <w:t>Waste-tracking tools: A business case for more sustainable and resource-efficient food services.</w:t>
      </w:r>
      <w:r>
        <w:rPr>
          <w:rFonts w:ascii="Arial" w:hAnsi="Arial" w:cs="Arial"/>
          <w:sz w:val="24"/>
          <w:szCs w:val="24"/>
        </w:rPr>
        <w:t xml:space="preserve"> </w:t>
      </w:r>
      <w:r w:rsidRPr="004875A9">
        <w:rPr>
          <w:rFonts w:ascii="Arial" w:hAnsi="Arial" w:cs="Arial"/>
          <w:i/>
          <w:iCs/>
          <w:sz w:val="24"/>
          <w:szCs w:val="24"/>
        </w:rPr>
        <w:t>Resources, Conservation &amp; Recycling Advances</w:t>
      </w:r>
      <w:r w:rsidRPr="004875A9">
        <w:rPr>
          <w:rFonts w:ascii="Arial" w:hAnsi="Arial" w:cs="Arial"/>
          <w:sz w:val="24"/>
          <w:szCs w:val="24"/>
        </w:rPr>
        <w:t>, 15, 200112.</w:t>
      </w:r>
      <w:r>
        <w:rPr>
          <w:rFonts w:ascii="Arial" w:hAnsi="Arial" w:cs="Arial"/>
          <w:sz w:val="24"/>
          <w:szCs w:val="24"/>
        </w:rPr>
        <w:t xml:space="preserve"> Available at: </w:t>
      </w:r>
      <w:hyperlink r:id="rId18" w:history="1">
        <w:r w:rsidRPr="0024491A">
          <w:rPr>
            <w:rStyle w:val="Hyperlink"/>
            <w:rFonts w:ascii="Arial" w:hAnsi="Arial" w:cs="Arial"/>
            <w:sz w:val="24"/>
            <w:szCs w:val="24"/>
          </w:rPr>
          <w:t>https://doi.org/10.1016/j.rcradv.2022.200112</w:t>
        </w:r>
      </w:hyperlink>
      <w:r>
        <w:rPr>
          <w:rFonts w:ascii="Arial" w:hAnsi="Arial" w:cs="Arial"/>
          <w:sz w:val="24"/>
          <w:szCs w:val="24"/>
        </w:rPr>
        <w:t xml:space="preserve"> (Accessed 06 Feb. 2026).</w:t>
      </w:r>
    </w:p>
    <w:p w14:paraId="05FC33EC" w14:textId="159091D6" w:rsidR="009E64C4" w:rsidRDefault="009E64C4" w:rsidP="00892ADA">
      <w:pPr>
        <w:spacing w:line="360" w:lineRule="auto"/>
        <w:jc w:val="both"/>
        <w:rPr>
          <w:rFonts w:ascii="Arial" w:hAnsi="Arial" w:cs="Arial"/>
          <w:sz w:val="24"/>
          <w:szCs w:val="24"/>
        </w:rPr>
      </w:pPr>
      <w:r w:rsidRPr="009E64C4">
        <w:rPr>
          <w:rFonts w:ascii="Arial" w:hAnsi="Arial" w:cs="Arial"/>
          <w:sz w:val="24"/>
          <w:szCs w:val="24"/>
        </w:rPr>
        <w:t xml:space="preserve">Jawabreh, O.A., </w:t>
      </w:r>
      <w:proofErr w:type="spellStart"/>
      <w:r w:rsidRPr="009E64C4">
        <w:rPr>
          <w:rFonts w:ascii="Arial" w:hAnsi="Arial" w:cs="Arial"/>
          <w:sz w:val="24"/>
          <w:szCs w:val="24"/>
        </w:rPr>
        <w:t>Baadhem</w:t>
      </w:r>
      <w:proofErr w:type="spellEnd"/>
      <w:r w:rsidRPr="009E64C4">
        <w:rPr>
          <w:rFonts w:ascii="Arial" w:hAnsi="Arial" w:cs="Arial"/>
          <w:sz w:val="24"/>
          <w:szCs w:val="24"/>
        </w:rPr>
        <w:t xml:space="preserve">, A.M., Ali, B.J.A., et al. (2023). The influence of supply chain management strategies on organizational performance in hospitality industry. </w:t>
      </w:r>
      <w:r w:rsidRPr="009E64C4">
        <w:rPr>
          <w:rFonts w:ascii="Arial" w:hAnsi="Arial" w:cs="Arial"/>
          <w:i/>
          <w:iCs/>
          <w:sz w:val="24"/>
          <w:szCs w:val="24"/>
        </w:rPr>
        <w:t>Applied Mathematics &amp; Information Sciences</w:t>
      </w:r>
      <w:r w:rsidRPr="009E64C4">
        <w:rPr>
          <w:rFonts w:ascii="Arial" w:hAnsi="Arial" w:cs="Arial"/>
          <w:sz w:val="24"/>
          <w:szCs w:val="24"/>
        </w:rPr>
        <w:t xml:space="preserve">, 17(5), pp.851–858. </w:t>
      </w:r>
      <w:r w:rsidR="00116013">
        <w:rPr>
          <w:rFonts w:ascii="Arial" w:hAnsi="Arial" w:cs="Arial"/>
          <w:sz w:val="24"/>
          <w:szCs w:val="24"/>
        </w:rPr>
        <w:t xml:space="preserve">Available at: </w:t>
      </w:r>
      <w:hyperlink r:id="rId19" w:history="1">
        <w:r w:rsidR="00116013" w:rsidRPr="0024491A">
          <w:rPr>
            <w:rStyle w:val="Hyperlink"/>
            <w:rFonts w:ascii="Arial" w:hAnsi="Arial" w:cs="Arial"/>
            <w:sz w:val="24"/>
            <w:szCs w:val="24"/>
          </w:rPr>
          <w:t>https://doi.org/10.18576/amis/170511</w:t>
        </w:r>
      </w:hyperlink>
      <w:r w:rsidR="00116013">
        <w:rPr>
          <w:rFonts w:ascii="Arial" w:hAnsi="Arial" w:cs="Arial"/>
          <w:sz w:val="24"/>
          <w:szCs w:val="24"/>
        </w:rPr>
        <w:t xml:space="preserve"> (Accessed 27 Jan. 2026).</w:t>
      </w:r>
    </w:p>
    <w:p w14:paraId="54122BB8" w14:textId="2459C4ED" w:rsidR="00BD1646" w:rsidRDefault="00BD1646" w:rsidP="00892ADA">
      <w:pPr>
        <w:spacing w:line="360" w:lineRule="auto"/>
        <w:jc w:val="both"/>
        <w:rPr>
          <w:rFonts w:ascii="Arial" w:hAnsi="Arial" w:cs="Arial"/>
          <w:sz w:val="24"/>
          <w:szCs w:val="24"/>
        </w:rPr>
      </w:pPr>
      <w:r w:rsidRPr="00BD1646">
        <w:rPr>
          <w:rFonts w:ascii="Arial" w:hAnsi="Arial" w:cs="Arial"/>
          <w:sz w:val="24"/>
          <w:szCs w:val="24"/>
        </w:rPr>
        <w:t xml:space="preserve">Lee, H.-H. and Huang, P.-Y. (2023). Food Waste and Environmental Sustainability of the Hotel Industry in Taiwan. </w:t>
      </w:r>
      <w:r w:rsidRPr="00BD1646">
        <w:rPr>
          <w:rFonts w:ascii="Arial" w:hAnsi="Arial" w:cs="Arial"/>
          <w:i/>
          <w:iCs/>
          <w:sz w:val="24"/>
          <w:szCs w:val="24"/>
        </w:rPr>
        <w:t>Sustainability</w:t>
      </w:r>
      <w:r w:rsidRPr="00BD1646">
        <w:rPr>
          <w:rFonts w:ascii="Arial" w:hAnsi="Arial" w:cs="Arial"/>
          <w:sz w:val="24"/>
          <w:szCs w:val="24"/>
        </w:rPr>
        <w:t xml:space="preserve">, 15(21), 15459. </w:t>
      </w:r>
      <w:r>
        <w:rPr>
          <w:rFonts w:ascii="Arial" w:hAnsi="Arial" w:cs="Arial"/>
          <w:sz w:val="24"/>
          <w:szCs w:val="24"/>
        </w:rPr>
        <w:t xml:space="preserve">Available at: </w:t>
      </w:r>
      <w:hyperlink r:id="rId20" w:history="1">
        <w:r w:rsidRPr="0024491A">
          <w:rPr>
            <w:rStyle w:val="Hyperlink"/>
            <w:rFonts w:ascii="Arial" w:hAnsi="Arial" w:cs="Arial"/>
            <w:sz w:val="24"/>
            <w:szCs w:val="24"/>
          </w:rPr>
          <w:t>https://doi.org/10.3390/su152115459</w:t>
        </w:r>
      </w:hyperlink>
      <w:r>
        <w:rPr>
          <w:rFonts w:ascii="Arial" w:hAnsi="Arial" w:cs="Arial"/>
          <w:sz w:val="24"/>
          <w:szCs w:val="24"/>
        </w:rPr>
        <w:t xml:space="preserve"> </w:t>
      </w:r>
      <w:r w:rsidR="00D974A0">
        <w:rPr>
          <w:rFonts w:ascii="Arial" w:hAnsi="Arial" w:cs="Arial"/>
          <w:sz w:val="24"/>
          <w:szCs w:val="24"/>
        </w:rPr>
        <w:t>(Accessed 26 Jan. 2026).</w:t>
      </w:r>
    </w:p>
    <w:p w14:paraId="4AE162D5" w14:textId="57183D43" w:rsidR="00AE02FB" w:rsidRDefault="00AE02FB" w:rsidP="00AE02FB">
      <w:pPr>
        <w:spacing w:line="360" w:lineRule="auto"/>
        <w:jc w:val="both"/>
        <w:rPr>
          <w:rFonts w:ascii="Arial" w:hAnsi="Arial" w:cs="Arial"/>
          <w:sz w:val="24"/>
          <w:szCs w:val="24"/>
        </w:rPr>
      </w:pPr>
      <w:r w:rsidRPr="00AE02FB">
        <w:rPr>
          <w:rFonts w:ascii="Arial" w:hAnsi="Arial" w:cs="Arial"/>
          <w:sz w:val="24"/>
          <w:szCs w:val="24"/>
        </w:rPr>
        <w:t>Mullins, L.J. (2016)</w:t>
      </w:r>
      <w:r>
        <w:rPr>
          <w:rFonts w:ascii="Arial" w:hAnsi="Arial" w:cs="Arial"/>
          <w:sz w:val="24"/>
          <w:szCs w:val="24"/>
        </w:rPr>
        <w:t xml:space="preserve">. </w:t>
      </w:r>
      <w:r w:rsidRPr="004F30A2">
        <w:rPr>
          <w:rFonts w:ascii="Arial" w:hAnsi="Arial" w:cs="Arial"/>
          <w:i/>
          <w:iCs/>
          <w:sz w:val="24"/>
          <w:szCs w:val="24"/>
        </w:rPr>
        <w:t>Hospitality Management and Organisational Behaviour</w:t>
      </w:r>
      <w:r w:rsidRPr="00AE02FB">
        <w:rPr>
          <w:rFonts w:ascii="Arial" w:hAnsi="Arial" w:cs="Arial"/>
          <w:sz w:val="24"/>
          <w:szCs w:val="24"/>
        </w:rPr>
        <w:t xml:space="preserve">. 5th </w:t>
      </w:r>
      <w:proofErr w:type="spellStart"/>
      <w:r w:rsidRPr="00AE02FB">
        <w:rPr>
          <w:rFonts w:ascii="Arial" w:hAnsi="Arial" w:cs="Arial"/>
          <w:sz w:val="24"/>
          <w:szCs w:val="24"/>
        </w:rPr>
        <w:t>edn</w:t>
      </w:r>
      <w:proofErr w:type="spellEnd"/>
      <w:r w:rsidRPr="00AE02FB">
        <w:rPr>
          <w:rFonts w:ascii="Arial" w:hAnsi="Arial" w:cs="Arial"/>
          <w:sz w:val="24"/>
          <w:szCs w:val="24"/>
        </w:rPr>
        <w:t>. Harlow: Pearson Education.</w:t>
      </w:r>
    </w:p>
    <w:p w14:paraId="27FA7B4B" w14:textId="431C9E2E" w:rsidR="00DE4B3E" w:rsidRDefault="00DE4B3E" w:rsidP="00DE4B3E">
      <w:pPr>
        <w:spacing w:line="360" w:lineRule="auto"/>
        <w:jc w:val="both"/>
        <w:rPr>
          <w:rFonts w:ascii="Arial" w:hAnsi="Arial" w:cs="Arial"/>
          <w:sz w:val="24"/>
          <w:szCs w:val="24"/>
        </w:rPr>
      </w:pPr>
      <w:r w:rsidRPr="00DE4B3E">
        <w:rPr>
          <w:rFonts w:ascii="Arial" w:hAnsi="Arial" w:cs="Arial"/>
          <w:sz w:val="24"/>
          <w:szCs w:val="24"/>
        </w:rPr>
        <w:t>Munir, K. (2022)</w:t>
      </w:r>
      <w:r>
        <w:rPr>
          <w:rFonts w:ascii="Arial" w:hAnsi="Arial" w:cs="Arial"/>
          <w:sz w:val="24"/>
          <w:szCs w:val="24"/>
        </w:rPr>
        <w:t xml:space="preserve">. </w:t>
      </w:r>
      <w:r w:rsidRPr="00DE4B3E">
        <w:rPr>
          <w:rFonts w:ascii="Arial" w:hAnsi="Arial" w:cs="Arial"/>
          <w:sz w:val="24"/>
          <w:szCs w:val="24"/>
        </w:rPr>
        <w:t>Sustainable food waste management strategies in hospitality and food services: A systematic literature review.</w:t>
      </w:r>
      <w:r>
        <w:rPr>
          <w:rFonts w:ascii="Arial" w:hAnsi="Arial" w:cs="Arial"/>
          <w:sz w:val="24"/>
          <w:szCs w:val="24"/>
        </w:rPr>
        <w:t xml:space="preserve"> </w:t>
      </w:r>
      <w:r w:rsidRPr="00DE4B3E">
        <w:rPr>
          <w:rFonts w:ascii="Arial" w:hAnsi="Arial" w:cs="Arial"/>
          <w:i/>
          <w:iCs/>
          <w:sz w:val="24"/>
          <w:szCs w:val="24"/>
        </w:rPr>
        <w:t>Journal of Cleaner Production</w:t>
      </w:r>
      <w:r w:rsidRPr="00DE4B3E">
        <w:rPr>
          <w:rFonts w:ascii="Arial" w:hAnsi="Arial" w:cs="Arial"/>
          <w:sz w:val="24"/>
          <w:szCs w:val="24"/>
        </w:rPr>
        <w:t xml:space="preserve">, 331, </w:t>
      </w:r>
      <w:r w:rsidRPr="00DE4B3E">
        <w:rPr>
          <w:rFonts w:ascii="Arial" w:hAnsi="Arial" w:cs="Arial"/>
          <w:sz w:val="24"/>
          <w:szCs w:val="24"/>
        </w:rPr>
        <w:lastRenderedPageBreak/>
        <w:t>129991.</w:t>
      </w:r>
      <w:r>
        <w:rPr>
          <w:rFonts w:ascii="Arial" w:hAnsi="Arial" w:cs="Arial"/>
          <w:sz w:val="24"/>
          <w:szCs w:val="24"/>
        </w:rPr>
        <w:t xml:space="preserve"> Available at: </w:t>
      </w:r>
      <w:hyperlink r:id="rId21" w:history="1">
        <w:r w:rsidRPr="0024491A">
          <w:rPr>
            <w:rStyle w:val="Hyperlink"/>
            <w:rFonts w:ascii="Arial" w:hAnsi="Arial" w:cs="Arial"/>
            <w:sz w:val="24"/>
            <w:szCs w:val="24"/>
          </w:rPr>
          <w:t>https://doi.org/10.1016/j.jclepro.2021.129991</w:t>
        </w:r>
      </w:hyperlink>
      <w:r>
        <w:rPr>
          <w:rFonts w:ascii="Arial" w:hAnsi="Arial" w:cs="Arial"/>
          <w:sz w:val="24"/>
          <w:szCs w:val="24"/>
        </w:rPr>
        <w:t xml:space="preserve"> (Accessed 06 Feb. 2026).</w:t>
      </w:r>
    </w:p>
    <w:p w14:paraId="4EC7F32B" w14:textId="6429326C" w:rsidR="00C75962" w:rsidRDefault="00E245C2" w:rsidP="00892ADA">
      <w:pPr>
        <w:spacing w:line="360" w:lineRule="auto"/>
        <w:jc w:val="both"/>
        <w:rPr>
          <w:rFonts w:ascii="Arial" w:hAnsi="Arial" w:cs="Arial"/>
          <w:sz w:val="24"/>
          <w:szCs w:val="24"/>
        </w:rPr>
      </w:pPr>
      <w:proofErr w:type="spellStart"/>
      <w:r w:rsidRPr="00E245C2">
        <w:rPr>
          <w:rFonts w:ascii="Arial" w:hAnsi="Arial" w:cs="Arial"/>
          <w:sz w:val="24"/>
          <w:szCs w:val="24"/>
        </w:rPr>
        <w:t>Nikoličić</w:t>
      </w:r>
      <w:proofErr w:type="spellEnd"/>
      <w:r w:rsidRPr="00E245C2">
        <w:rPr>
          <w:rFonts w:ascii="Arial" w:hAnsi="Arial" w:cs="Arial"/>
          <w:sz w:val="24"/>
          <w:szCs w:val="24"/>
        </w:rPr>
        <w:t xml:space="preserve">, S., </w:t>
      </w:r>
      <w:proofErr w:type="spellStart"/>
      <w:r w:rsidRPr="00E245C2">
        <w:rPr>
          <w:rFonts w:ascii="Arial" w:hAnsi="Arial" w:cs="Arial"/>
          <w:sz w:val="24"/>
          <w:szCs w:val="24"/>
        </w:rPr>
        <w:t>Kilibarda</w:t>
      </w:r>
      <w:proofErr w:type="spellEnd"/>
      <w:r w:rsidRPr="00E245C2">
        <w:rPr>
          <w:rFonts w:ascii="Arial" w:hAnsi="Arial" w:cs="Arial"/>
          <w:sz w:val="24"/>
          <w:szCs w:val="24"/>
        </w:rPr>
        <w:t xml:space="preserve">, M., Maslarić, M., </w:t>
      </w:r>
      <w:proofErr w:type="spellStart"/>
      <w:r w:rsidRPr="00E245C2">
        <w:rPr>
          <w:rFonts w:ascii="Arial" w:hAnsi="Arial" w:cs="Arial"/>
          <w:sz w:val="24"/>
          <w:szCs w:val="24"/>
        </w:rPr>
        <w:t>Mirčetić</w:t>
      </w:r>
      <w:proofErr w:type="spellEnd"/>
      <w:r w:rsidRPr="00E245C2">
        <w:rPr>
          <w:rFonts w:ascii="Arial" w:hAnsi="Arial" w:cs="Arial"/>
          <w:sz w:val="24"/>
          <w:szCs w:val="24"/>
        </w:rPr>
        <w:t xml:space="preserve">, D. and Bojić, S. (2021). Reducing Food Waste in the Retail Supply Chains by Improving Efficiency of Logistics Operations. </w:t>
      </w:r>
      <w:r w:rsidRPr="00E245C2">
        <w:rPr>
          <w:rFonts w:ascii="Arial" w:hAnsi="Arial" w:cs="Arial"/>
          <w:i/>
          <w:iCs/>
          <w:sz w:val="24"/>
          <w:szCs w:val="24"/>
        </w:rPr>
        <w:t>Sustainability</w:t>
      </w:r>
      <w:r w:rsidRPr="00E245C2">
        <w:rPr>
          <w:rFonts w:ascii="Arial" w:hAnsi="Arial" w:cs="Arial"/>
          <w:sz w:val="24"/>
          <w:szCs w:val="24"/>
        </w:rPr>
        <w:t xml:space="preserve">, 13(12), 6511. </w:t>
      </w:r>
      <w:r>
        <w:rPr>
          <w:rFonts w:ascii="Arial" w:hAnsi="Arial" w:cs="Arial"/>
          <w:sz w:val="24"/>
          <w:szCs w:val="24"/>
        </w:rPr>
        <w:t xml:space="preserve">Available at: </w:t>
      </w:r>
      <w:hyperlink r:id="rId22" w:history="1">
        <w:r w:rsidRPr="0024491A">
          <w:rPr>
            <w:rStyle w:val="Hyperlink"/>
            <w:rFonts w:ascii="Arial" w:hAnsi="Arial" w:cs="Arial"/>
            <w:sz w:val="24"/>
            <w:szCs w:val="24"/>
          </w:rPr>
          <w:t>https://doi.org/10.3390/su13126511</w:t>
        </w:r>
      </w:hyperlink>
      <w:r>
        <w:rPr>
          <w:rFonts w:ascii="Arial" w:hAnsi="Arial" w:cs="Arial"/>
          <w:sz w:val="24"/>
          <w:szCs w:val="24"/>
        </w:rPr>
        <w:t xml:space="preserve"> (Accessed 25 Jan. 2026).</w:t>
      </w:r>
    </w:p>
    <w:p w14:paraId="3E49CDC1" w14:textId="7C390FB7" w:rsidR="00EA56C7" w:rsidRDefault="00EA56C7" w:rsidP="00892ADA">
      <w:pPr>
        <w:spacing w:line="360" w:lineRule="auto"/>
        <w:jc w:val="both"/>
        <w:rPr>
          <w:rFonts w:ascii="Arial" w:hAnsi="Arial" w:cs="Arial"/>
          <w:sz w:val="24"/>
          <w:szCs w:val="24"/>
        </w:rPr>
      </w:pPr>
      <w:r w:rsidRPr="00EA56C7">
        <w:rPr>
          <w:rFonts w:ascii="Arial" w:hAnsi="Arial" w:cs="Arial"/>
          <w:sz w:val="24"/>
          <w:szCs w:val="24"/>
        </w:rPr>
        <w:t xml:space="preserve">Omar, I.A., Hasan, H.R., Jayaraman, R., Salah, K. and Omar, M. (2024). Using blockchain technology to achieve sustainability in the hospitality industry by reducing food waste. </w:t>
      </w:r>
      <w:r w:rsidRPr="0091474F">
        <w:rPr>
          <w:rFonts w:ascii="Arial" w:hAnsi="Arial" w:cs="Arial"/>
          <w:i/>
          <w:iCs/>
          <w:sz w:val="24"/>
          <w:szCs w:val="24"/>
        </w:rPr>
        <w:t>Computers &amp; Industrial Engineering</w:t>
      </w:r>
      <w:r w:rsidRPr="00EA56C7">
        <w:rPr>
          <w:rFonts w:ascii="Arial" w:hAnsi="Arial" w:cs="Arial"/>
          <w:sz w:val="24"/>
          <w:szCs w:val="24"/>
        </w:rPr>
        <w:t xml:space="preserve">, 197, 110586. </w:t>
      </w:r>
      <w:r w:rsidR="0091474F">
        <w:rPr>
          <w:rFonts w:ascii="Arial" w:hAnsi="Arial" w:cs="Arial"/>
          <w:sz w:val="24"/>
          <w:szCs w:val="24"/>
        </w:rPr>
        <w:t xml:space="preserve">Available at: </w:t>
      </w:r>
      <w:hyperlink r:id="rId23" w:history="1">
        <w:r w:rsidR="0091474F" w:rsidRPr="0024491A">
          <w:rPr>
            <w:rStyle w:val="Hyperlink"/>
            <w:rFonts w:ascii="Arial" w:hAnsi="Arial" w:cs="Arial"/>
            <w:sz w:val="24"/>
            <w:szCs w:val="24"/>
          </w:rPr>
          <w:t>https://doi.org/10.1016/j.cie.2024.110586</w:t>
        </w:r>
      </w:hyperlink>
      <w:r w:rsidR="0091474F">
        <w:rPr>
          <w:rFonts w:ascii="Arial" w:hAnsi="Arial" w:cs="Arial"/>
          <w:sz w:val="24"/>
          <w:szCs w:val="24"/>
        </w:rPr>
        <w:t xml:space="preserve"> (Accessed </w:t>
      </w:r>
      <w:r w:rsidR="009445F9">
        <w:rPr>
          <w:rFonts w:ascii="Arial" w:hAnsi="Arial" w:cs="Arial"/>
          <w:sz w:val="24"/>
          <w:szCs w:val="24"/>
        </w:rPr>
        <w:t>30 Jan. 2026).</w:t>
      </w:r>
    </w:p>
    <w:p w14:paraId="6E9CF4A8" w14:textId="5DF15457" w:rsidR="00422CA0" w:rsidRDefault="00422CA0" w:rsidP="00422CA0">
      <w:pPr>
        <w:spacing w:line="360" w:lineRule="auto"/>
        <w:jc w:val="both"/>
        <w:rPr>
          <w:rFonts w:ascii="Arial" w:hAnsi="Arial" w:cs="Arial"/>
          <w:sz w:val="24"/>
          <w:szCs w:val="24"/>
        </w:rPr>
      </w:pPr>
      <w:proofErr w:type="spellStart"/>
      <w:r w:rsidRPr="00422CA0">
        <w:rPr>
          <w:rFonts w:ascii="Arial" w:hAnsi="Arial" w:cs="Arial"/>
          <w:sz w:val="24"/>
          <w:szCs w:val="24"/>
        </w:rPr>
        <w:t>Papargyropoulou</w:t>
      </w:r>
      <w:proofErr w:type="spellEnd"/>
      <w:r w:rsidRPr="00422CA0">
        <w:rPr>
          <w:rFonts w:ascii="Arial" w:hAnsi="Arial" w:cs="Arial"/>
          <w:sz w:val="24"/>
          <w:szCs w:val="24"/>
        </w:rPr>
        <w:t xml:space="preserve">, E., Lozano, R., Steinberger, J.K., Wright, N. and bin Ujang, Z. (2016). The food waste hierarchy as a framework for sustainable food waste management. </w:t>
      </w:r>
      <w:r w:rsidRPr="00422CA0">
        <w:rPr>
          <w:rFonts w:ascii="Arial" w:hAnsi="Arial" w:cs="Arial"/>
          <w:i/>
          <w:iCs/>
          <w:sz w:val="24"/>
          <w:szCs w:val="24"/>
        </w:rPr>
        <w:t>Journal of Cleaner Production</w:t>
      </w:r>
      <w:r w:rsidRPr="00422CA0">
        <w:rPr>
          <w:rFonts w:ascii="Arial" w:hAnsi="Arial" w:cs="Arial"/>
          <w:sz w:val="24"/>
          <w:szCs w:val="24"/>
        </w:rPr>
        <w:t>, 76, pp.106–115.</w:t>
      </w:r>
      <w:r>
        <w:rPr>
          <w:rFonts w:ascii="Arial" w:hAnsi="Arial" w:cs="Arial"/>
          <w:sz w:val="24"/>
          <w:szCs w:val="24"/>
        </w:rPr>
        <w:t xml:space="preserve"> Available at: </w:t>
      </w:r>
      <w:hyperlink r:id="rId24" w:history="1">
        <w:r w:rsidRPr="0024491A">
          <w:rPr>
            <w:rStyle w:val="Hyperlink"/>
            <w:rFonts w:ascii="Arial" w:hAnsi="Arial" w:cs="Arial"/>
            <w:sz w:val="24"/>
            <w:szCs w:val="24"/>
          </w:rPr>
          <w:t>https://doi.org/10.1016/j.jclepro.2014.04.020</w:t>
        </w:r>
      </w:hyperlink>
      <w:r>
        <w:rPr>
          <w:rFonts w:ascii="Arial" w:hAnsi="Arial" w:cs="Arial"/>
          <w:sz w:val="24"/>
          <w:szCs w:val="24"/>
        </w:rPr>
        <w:t xml:space="preserve"> (Accessed </w:t>
      </w:r>
      <w:r w:rsidR="003B5A46">
        <w:rPr>
          <w:rFonts w:ascii="Arial" w:hAnsi="Arial" w:cs="Arial"/>
          <w:sz w:val="24"/>
          <w:szCs w:val="24"/>
        </w:rPr>
        <w:t>01 Feb. 2026).</w:t>
      </w:r>
    </w:p>
    <w:p w14:paraId="493B2608" w14:textId="768F2799" w:rsidR="000C70F4" w:rsidRDefault="000C70F4" w:rsidP="00422CA0">
      <w:pPr>
        <w:spacing w:line="360" w:lineRule="auto"/>
        <w:jc w:val="both"/>
        <w:rPr>
          <w:rFonts w:ascii="Arial" w:hAnsi="Arial" w:cs="Arial"/>
          <w:sz w:val="24"/>
          <w:szCs w:val="24"/>
        </w:rPr>
      </w:pPr>
      <w:r w:rsidRPr="000C70F4">
        <w:rPr>
          <w:rFonts w:ascii="Arial" w:hAnsi="Arial" w:cs="Arial"/>
          <w:sz w:val="24"/>
          <w:szCs w:val="24"/>
        </w:rPr>
        <w:t xml:space="preserve">Pirani, S.I. and Arafat, H.A. (2016). Reduction of food waste generation in the hospitality industry. </w:t>
      </w:r>
      <w:r w:rsidRPr="000C70F4">
        <w:rPr>
          <w:rFonts w:ascii="Arial" w:hAnsi="Arial" w:cs="Arial"/>
          <w:i/>
          <w:iCs/>
          <w:sz w:val="24"/>
          <w:szCs w:val="24"/>
        </w:rPr>
        <w:t>Journal of Cleaner Production</w:t>
      </w:r>
      <w:r w:rsidRPr="000C70F4">
        <w:rPr>
          <w:rFonts w:ascii="Arial" w:hAnsi="Arial" w:cs="Arial"/>
          <w:sz w:val="24"/>
          <w:szCs w:val="24"/>
        </w:rPr>
        <w:t xml:space="preserve">, 132, pp.129–145. </w:t>
      </w:r>
      <w:r>
        <w:rPr>
          <w:rFonts w:ascii="Arial" w:hAnsi="Arial" w:cs="Arial"/>
          <w:sz w:val="24"/>
          <w:szCs w:val="24"/>
        </w:rPr>
        <w:t xml:space="preserve">Available at: </w:t>
      </w:r>
      <w:hyperlink r:id="rId25" w:history="1">
        <w:r w:rsidRPr="0024491A">
          <w:rPr>
            <w:rStyle w:val="Hyperlink"/>
            <w:rFonts w:ascii="Arial" w:hAnsi="Arial" w:cs="Arial"/>
            <w:sz w:val="24"/>
            <w:szCs w:val="24"/>
          </w:rPr>
          <w:t>https://doi.org/10.1016/j.jclepro.2015.07.146</w:t>
        </w:r>
      </w:hyperlink>
      <w:r>
        <w:rPr>
          <w:rFonts w:ascii="Arial" w:hAnsi="Arial" w:cs="Arial"/>
          <w:sz w:val="24"/>
          <w:szCs w:val="24"/>
        </w:rPr>
        <w:t xml:space="preserve"> (A</w:t>
      </w:r>
      <w:r w:rsidR="00051541">
        <w:rPr>
          <w:rFonts w:ascii="Arial" w:hAnsi="Arial" w:cs="Arial"/>
          <w:sz w:val="24"/>
          <w:szCs w:val="24"/>
        </w:rPr>
        <w:t>ccessed 05 Feb. 2026).</w:t>
      </w:r>
    </w:p>
    <w:p w14:paraId="5D6F529E" w14:textId="3807BB8F" w:rsidR="006E3E6D" w:rsidRDefault="00510586" w:rsidP="00510586">
      <w:pPr>
        <w:spacing w:line="360" w:lineRule="auto"/>
        <w:jc w:val="both"/>
        <w:rPr>
          <w:rFonts w:ascii="Arial" w:hAnsi="Arial" w:cs="Arial"/>
          <w:sz w:val="24"/>
          <w:szCs w:val="24"/>
        </w:rPr>
      </w:pPr>
      <w:r w:rsidRPr="00510586">
        <w:rPr>
          <w:rFonts w:ascii="Arial" w:hAnsi="Arial" w:cs="Arial"/>
          <w:sz w:val="24"/>
          <w:szCs w:val="24"/>
        </w:rPr>
        <w:t xml:space="preserve">Sakaguchi, L., Pak, N. and Potts, M.D. (2018). Tackling the issue of food waste in restaurants: Options for measurement method, reduction and </w:t>
      </w:r>
      <w:proofErr w:type="spellStart"/>
      <w:r w:rsidRPr="00510586">
        <w:rPr>
          <w:rFonts w:ascii="Arial" w:hAnsi="Arial" w:cs="Arial"/>
          <w:sz w:val="24"/>
          <w:szCs w:val="24"/>
        </w:rPr>
        <w:t>behavioral</w:t>
      </w:r>
      <w:proofErr w:type="spellEnd"/>
      <w:r w:rsidRPr="00510586">
        <w:rPr>
          <w:rFonts w:ascii="Arial" w:hAnsi="Arial" w:cs="Arial"/>
          <w:sz w:val="24"/>
          <w:szCs w:val="24"/>
        </w:rPr>
        <w:t xml:space="preserve"> change. </w:t>
      </w:r>
      <w:r w:rsidRPr="00510586">
        <w:rPr>
          <w:rFonts w:ascii="Arial" w:hAnsi="Arial" w:cs="Arial"/>
          <w:i/>
          <w:iCs/>
          <w:sz w:val="24"/>
          <w:szCs w:val="24"/>
        </w:rPr>
        <w:t>Journal of Cleaner Production</w:t>
      </w:r>
      <w:r w:rsidRPr="00510586">
        <w:rPr>
          <w:rFonts w:ascii="Arial" w:hAnsi="Arial" w:cs="Arial"/>
          <w:sz w:val="24"/>
          <w:szCs w:val="24"/>
        </w:rPr>
        <w:t xml:space="preserve">, 180, pp.430–436. </w:t>
      </w:r>
      <w:r>
        <w:rPr>
          <w:rFonts w:ascii="Arial" w:hAnsi="Arial" w:cs="Arial"/>
          <w:sz w:val="24"/>
          <w:szCs w:val="24"/>
        </w:rPr>
        <w:t xml:space="preserve">Available at: </w:t>
      </w:r>
      <w:hyperlink r:id="rId26" w:history="1">
        <w:r w:rsidRPr="0024491A">
          <w:rPr>
            <w:rStyle w:val="Hyperlink"/>
            <w:rFonts w:ascii="Arial" w:hAnsi="Arial" w:cs="Arial"/>
            <w:sz w:val="24"/>
            <w:szCs w:val="24"/>
          </w:rPr>
          <w:t>https://doi.org/10.1016/j.jclepro.2017.12.136</w:t>
        </w:r>
      </w:hyperlink>
      <w:r>
        <w:rPr>
          <w:rFonts w:ascii="Arial" w:hAnsi="Arial" w:cs="Arial"/>
          <w:sz w:val="24"/>
          <w:szCs w:val="24"/>
        </w:rPr>
        <w:t xml:space="preserve"> (Accessed </w:t>
      </w:r>
      <w:r w:rsidR="00F7475C">
        <w:rPr>
          <w:rFonts w:ascii="Arial" w:hAnsi="Arial" w:cs="Arial"/>
          <w:sz w:val="24"/>
          <w:szCs w:val="24"/>
        </w:rPr>
        <w:t>05 Feb. 2026).</w:t>
      </w:r>
    </w:p>
    <w:p w14:paraId="57F1B763" w14:textId="043ABDD8" w:rsidR="00D04925" w:rsidRDefault="00D04925" w:rsidP="00892ADA">
      <w:pPr>
        <w:spacing w:line="360" w:lineRule="auto"/>
        <w:jc w:val="both"/>
        <w:rPr>
          <w:rFonts w:ascii="Arial" w:hAnsi="Arial" w:cs="Arial"/>
          <w:sz w:val="24"/>
          <w:szCs w:val="24"/>
        </w:rPr>
      </w:pPr>
      <w:proofErr w:type="spellStart"/>
      <w:r w:rsidRPr="00D04925">
        <w:rPr>
          <w:rFonts w:ascii="Arial" w:hAnsi="Arial" w:cs="Arial"/>
          <w:sz w:val="24"/>
          <w:szCs w:val="24"/>
        </w:rPr>
        <w:t>Tranfield</w:t>
      </w:r>
      <w:proofErr w:type="spellEnd"/>
      <w:r w:rsidRPr="00D04925">
        <w:rPr>
          <w:rFonts w:ascii="Arial" w:hAnsi="Arial" w:cs="Arial"/>
          <w:sz w:val="24"/>
          <w:szCs w:val="24"/>
        </w:rPr>
        <w:t>, D., Denyer, D. and Smart, P. (2003). Towards a methodology for developing evidence</w:t>
      </w:r>
      <w:r w:rsidRPr="00D04925">
        <w:rPr>
          <w:rFonts w:ascii="Cambria Math" w:hAnsi="Cambria Math" w:cs="Cambria Math"/>
          <w:sz w:val="24"/>
          <w:szCs w:val="24"/>
        </w:rPr>
        <w:t>‐</w:t>
      </w:r>
      <w:r w:rsidRPr="00D04925">
        <w:rPr>
          <w:rFonts w:ascii="Arial" w:hAnsi="Arial" w:cs="Arial"/>
          <w:sz w:val="24"/>
          <w:szCs w:val="24"/>
        </w:rPr>
        <w:t xml:space="preserve">informed management knowledge by means of systematic review. </w:t>
      </w:r>
      <w:r w:rsidRPr="00D04925">
        <w:rPr>
          <w:rFonts w:ascii="Arial" w:hAnsi="Arial" w:cs="Arial"/>
          <w:i/>
          <w:iCs/>
          <w:sz w:val="24"/>
          <w:szCs w:val="24"/>
        </w:rPr>
        <w:t>British Journal of Management</w:t>
      </w:r>
      <w:r w:rsidRPr="00D04925">
        <w:rPr>
          <w:rFonts w:ascii="Arial" w:hAnsi="Arial" w:cs="Arial"/>
          <w:sz w:val="24"/>
          <w:szCs w:val="24"/>
        </w:rPr>
        <w:t xml:space="preserve">, 14(3), pp.207–222. </w:t>
      </w:r>
      <w:r>
        <w:rPr>
          <w:rFonts w:ascii="Arial" w:hAnsi="Arial" w:cs="Arial"/>
          <w:sz w:val="24"/>
          <w:szCs w:val="24"/>
        </w:rPr>
        <w:t xml:space="preserve">Available at: </w:t>
      </w:r>
      <w:hyperlink r:id="rId27" w:history="1">
        <w:r w:rsidRPr="0024491A">
          <w:rPr>
            <w:rStyle w:val="Hyperlink"/>
            <w:rFonts w:ascii="Arial" w:hAnsi="Arial" w:cs="Arial"/>
            <w:sz w:val="24"/>
            <w:szCs w:val="24"/>
          </w:rPr>
          <w:t>https://doi.org/10.1111/1467-8551.00375</w:t>
        </w:r>
      </w:hyperlink>
      <w:r>
        <w:rPr>
          <w:rFonts w:ascii="Arial" w:hAnsi="Arial" w:cs="Arial"/>
          <w:sz w:val="24"/>
          <w:szCs w:val="24"/>
        </w:rPr>
        <w:t xml:space="preserve"> (Accessed </w:t>
      </w:r>
      <w:r w:rsidR="00DE2E90">
        <w:rPr>
          <w:rFonts w:ascii="Arial" w:hAnsi="Arial" w:cs="Arial"/>
          <w:sz w:val="24"/>
          <w:szCs w:val="24"/>
        </w:rPr>
        <w:t>1 Feb. 2026).</w:t>
      </w:r>
    </w:p>
    <w:p w14:paraId="00BE2992" w14:textId="10922950" w:rsidR="00EF0322" w:rsidRDefault="00EF0322" w:rsidP="00EF0322">
      <w:pPr>
        <w:spacing w:line="360" w:lineRule="auto"/>
        <w:jc w:val="both"/>
        <w:rPr>
          <w:rFonts w:ascii="Arial" w:hAnsi="Arial" w:cs="Arial"/>
          <w:sz w:val="24"/>
          <w:szCs w:val="24"/>
        </w:rPr>
      </w:pPr>
      <w:proofErr w:type="spellStart"/>
      <w:r w:rsidRPr="00EF0322">
        <w:rPr>
          <w:rFonts w:ascii="Arial" w:hAnsi="Arial" w:cs="Arial"/>
          <w:sz w:val="24"/>
          <w:szCs w:val="24"/>
        </w:rPr>
        <w:t>UKHospitality</w:t>
      </w:r>
      <w:proofErr w:type="spellEnd"/>
      <w:r w:rsidRPr="00EF0322">
        <w:rPr>
          <w:rFonts w:ascii="Arial" w:hAnsi="Arial" w:cs="Arial"/>
          <w:sz w:val="24"/>
          <w:szCs w:val="24"/>
        </w:rPr>
        <w:t xml:space="preserve"> (n.d.)</w:t>
      </w:r>
      <w:r>
        <w:rPr>
          <w:rFonts w:ascii="Arial" w:hAnsi="Arial" w:cs="Arial"/>
          <w:sz w:val="24"/>
          <w:szCs w:val="24"/>
        </w:rPr>
        <w:t xml:space="preserve">. </w:t>
      </w:r>
      <w:r w:rsidRPr="00EF0322">
        <w:rPr>
          <w:rFonts w:ascii="Arial" w:hAnsi="Arial" w:cs="Arial"/>
          <w:i/>
          <w:iCs/>
          <w:sz w:val="24"/>
          <w:szCs w:val="24"/>
        </w:rPr>
        <w:t>Reducing food waste</w:t>
      </w:r>
      <w:r w:rsidRPr="00EF0322">
        <w:rPr>
          <w:rFonts w:ascii="Arial" w:hAnsi="Arial" w:cs="Arial"/>
          <w:sz w:val="24"/>
          <w:szCs w:val="24"/>
        </w:rPr>
        <w:t>.</w:t>
      </w:r>
      <w:r>
        <w:rPr>
          <w:rFonts w:ascii="Arial" w:hAnsi="Arial" w:cs="Arial"/>
          <w:sz w:val="24"/>
          <w:szCs w:val="24"/>
        </w:rPr>
        <w:t xml:space="preserve"> </w:t>
      </w:r>
      <w:r w:rsidRPr="00EF0322">
        <w:rPr>
          <w:rFonts w:ascii="Arial" w:hAnsi="Arial" w:cs="Arial"/>
          <w:sz w:val="24"/>
          <w:szCs w:val="24"/>
        </w:rPr>
        <w:t xml:space="preserve">Available at: </w:t>
      </w:r>
      <w:hyperlink r:id="rId28" w:history="1">
        <w:r w:rsidRPr="0024491A">
          <w:rPr>
            <w:rStyle w:val="Hyperlink"/>
            <w:rFonts w:ascii="Arial" w:hAnsi="Arial" w:cs="Arial"/>
            <w:sz w:val="24"/>
            <w:szCs w:val="24"/>
          </w:rPr>
          <w:t>https://www.ukhospitality.org.uk/guidance/reducing-food-waste/</w:t>
        </w:r>
      </w:hyperlink>
      <w:r>
        <w:rPr>
          <w:rFonts w:ascii="Arial" w:hAnsi="Arial" w:cs="Arial"/>
          <w:sz w:val="24"/>
          <w:szCs w:val="24"/>
        </w:rPr>
        <w:t xml:space="preserve"> </w:t>
      </w:r>
      <w:r w:rsidRPr="00EF0322">
        <w:rPr>
          <w:rFonts w:ascii="Arial" w:hAnsi="Arial" w:cs="Arial"/>
          <w:sz w:val="24"/>
          <w:szCs w:val="24"/>
        </w:rPr>
        <w:t>(Accessed</w:t>
      </w:r>
      <w:r>
        <w:rPr>
          <w:rFonts w:ascii="Arial" w:hAnsi="Arial" w:cs="Arial"/>
          <w:sz w:val="24"/>
          <w:szCs w:val="24"/>
        </w:rPr>
        <w:t xml:space="preserve"> 0</w:t>
      </w:r>
      <w:r w:rsidRPr="00EF0322">
        <w:rPr>
          <w:rFonts w:ascii="Arial" w:hAnsi="Arial" w:cs="Arial"/>
          <w:sz w:val="24"/>
          <w:szCs w:val="24"/>
        </w:rPr>
        <w:t>6 Feb</w:t>
      </w:r>
      <w:r>
        <w:rPr>
          <w:rFonts w:ascii="Arial" w:hAnsi="Arial" w:cs="Arial"/>
          <w:sz w:val="24"/>
          <w:szCs w:val="24"/>
        </w:rPr>
        <w:t>.</w:t>
      </w:r>
      <w:r w:rsidRPr="00EF0322">
        <w:rPr>
          <w:rFonts w:ascii="Arial" w:hAnsi="Arial" w:cs="Arial"/>
          <w:sz w:val="24"/>
          <w:szCs w:val="24"/>
        </w:rPr>
        <w:t xml:space="preserve"> 2026)</w:t>
      </w:r>
      <w:r>
        <w:rPr>
          <w:rFonts w:ascii="Arial" w:hAnsi="Arial" w:cs="Arial"/>
          <w:sz w:val="24"/>
          <w:szCs w:val="24"/>
        </w:rPr>
        <w:t>.</w:t>
      </w:r>
    </w:p>
    <w:p w14:paraId="6A0EDD01" w14:textId="02396133" w:rsidR="00D11247" w:rsidRDefault="00D11247" w:rsidP="00D11247">
      <w:pPr>
        <w:spacing w:line="360" w:lineRule="auto"/>
        <w:jc w:val="both"/>
        <w:rPr>
          <w:rFonts w:ascii="Arial" w:hAnsi="Arial" w:cs="Arial"/>
          <w:sz w:val="24"/>
          <w:szCs w:val="24"/>
        </w:rPr>
      </w:pPr>
      <w:r w:rsidRPr="00D11247">
        <w:rPr>
          <w:rFonts w:ascii="Arial" w:hAnsi="Arial" w:cs="Arial"/>
          <w:sz w:val="24"/>
          <w:szCs w:val="24"/>
        </w:rPr>
        <w:lastRenderedPageBreak/>
        <w:t>UNEP (2021)</w:t>
      </w:r>
      <w:r>
        <w:rPr>
          <w:rFonts w:ascii="Arial" w:hAnsi="Arial" w:cs="Arial"/>
          <w:sz w:val="24"/>
          <w:szCs w:val="24"/>
        </w:rPr>
        <w:t xml:space="preserve">. </w:t>
      </w:r>
      <w:r w:rsidRPr="00D11247">
        <w:rPr>
          <w:rFonts w:ascii="Arial" w:hAnsi="Arial" w:cs="Arial"/>
          <w:i/>
          <w:iCs/>
          <w:sz w:val="24"/>
          <w:szCs w:val="24"/>
        </w:rPr>
        <w:t>Food Waste Index Report 2021</w:t>
      </w:r>
      <w:r w:rsidRPr="00D11247">
        <w:rPr>
          <w:rFonts w:ascii="Arial" w:hAnsi="Arial" w:cs="Arial"/>
          <w:sz w:val="24"/>
          <w:szCs w:val="24"/>
        </w:rPr>
        <w:t>.</w:t>
      </w:r>
      <w:r>
        <w:rPr>
          <w:rFonts w:ascii="Arial" w:hAnsi="Arial" w:cs="Arial"/>
          <w:sz w:val="24"/>
          <w:szCs w:val="24"/>
        </w:rPr>
        <w:t xml:space="preserve"> </w:t>
      </w:r>
      <w:r w:rsidRPr="00D11247">
        <w:rPr>
          <w:rFonts w:ascii="Arial" w:hAnsi="Arial" w:cs="Arial"/>
          <w:sz w:val="24"/>
          <w:szCs w:val="24"/>
        </w:rPr>
        <w:t xml:space="preserve">Available at: </w:t>
      </w:r>
      <w:hyperlink r:id="rId29" w:history="1">
        <w:r w:rsidRPr="0024491A">
          <w:rPr>
            <w:rStyle w:val="Hyperlink"/>
            <w:rFonts w:ascii="Arial" w:hAnsi="Arial" w:cs="Arial"/>
            <w:sz w:val="24"/>
            <w:szCs w:val="24"/>
          </w:rPr>
          <w:t>https://www.unep.org/resources/report/unep-food-waste-index-report-2021</w:t>
        </w:r>
      </w:hyperlink>
      <w:r>
        <w:rPr>
          <w:rFonts w:ascii="Arial" w:hAnsi="Arial" w:cs="Arial"/>
          <w:sz w:val="24"/>
          <w:szCs w:val="24"/>
        </w:rPr>
        <w:t xml:space="preserve"> (Accessed 06 Feb. 2026).</w:t>
      </w:r>
    </w:p>
    <w:p w14:paraId="3C751C3F" w14:textId="227AC663" w:rsidR="001D77FB" w:rsidRDefault="001D77FB" w:rsidP="001D77FB">
      <w:pPr>
        <w:spacing w:line="360" w:lineRule="auto"/>
        <w:jc w:val="both"/>
        <w:rPr>
          <w:rFonts w:ascii="Arial" w:hAnsi="Arial" w:cs="Arial"/>
          <w:sz w:val="24"/>
          <w:szCs w:val="24"/>
        </w:rPr>
      </w:pPr>
      <w:r w:rsidRPr="001D77FB">
        <w:rPr>
          <w:rFonts w:ascii="Arial" w:hAnsi="Arial" w:cs="Arial"/>
          <w:sz w:val="24"/>
          <w:szCs w:val="24"/>
        </w:rPr>
        <w:t>WRAP (2022)</w:t>
      </w:r>
      <w:r>
        <w:rPr>
          <w:rFonts w:ascii="Arial" w:hAnsi="Arial" w:cs="Arial"/>
          <w:sz w:val="24"/>
          <w:szCs w:val="24"/>
        </w:rPr>
        <w:t>.</w:t>
      </w:r>
      <w:r w:rsidRPr="001D77FB">
        <w:rPr>
          <w:rFonts w:ascii="Arial" w:hAnsi="Arial" w:cs="Arial"/>
          <w:sz w:val="24"/>
          <w:szCs w:val="24"/>
        </w:rPr>
        <w:t xml:space="preserve"> </w:t>
      </w:r>
      <w:r w:rsidRPr="001D77FB">
        <w:rPr>
          <w:rFonts w:ascii="Arial" w:hAnsi="Arial" w:cs="Arial"/>
          <w:i/>
          <w:iCs/>
          <w:sz w:val="24"/>
          <w:szCs w:val="24"/>
        </w:rPr>
        <w:t>Food Waste Reduction Roadmap: Progress Report 2022</w:t>
      </w:r>
      <w:r w:rsidRPr="001D77FB">
        <w:rPr>
          <w:rFonts w:ascii="Arial" w:hAnsi="Arial" w:cs="Arial"/>
          <w:sz w:val="24"/>
          <w:szCs w:val="24"/>
        </w:rPr>
        <w:t>.</w:t>
      </w:r>
      <w:r>
        <w:rPr>
          <w:rFonts w:ascii="Arial" w:hAnsi="Arial" w:cs="Arial"/>
          <w:sz w:val="24"/>
          <w:szCs w:val="24"/>
        </w:rPr>
        <w:t xml:space="preserve"> </w:t>
      </w:r>
      <w:r w:rsidRPr="001D77FB">
        <w:rPr>
          <w:rFonts w:ascii="Arial" w:hAnsi="Arial" w:cs="Arial"/>
          <w:sz w:val="24"/>
          <w:szCs w:val="24"/>
        </w:rPr>
        <w:t xml:space="preserve">Available at: </w:t>
      </w:r>
      <w:hyperlink r:id="rId30" w:history="1">
        <w:r w:rsidRPr="0024491A">
          <w:rPr>
            <w:rStyle w:val="Hyperlink"/>
            <w:rFonts w:ascii="Arial" w:hAnsi="Arial" w:cs="Arial"/>
            <w:sz w:val="24"/>
            <w:szCs w:val="24"/>
          </w:rPr>
          <w:t>https://www.wrap.ngo/resources/report/food-waste-reduction-roadmap-progress-report-2022</w:t>
        </w:r>
      </w:hyperlink>
      <w:r>
        <w:rPr>
          <w:rFonts w:ascii="Arial" w:hAnsi="Arial" w:cs="Arial"/>
          <w:sz w:val="24"/>
          <w:szCs w:val="24"/>
        </w:rPr>
        <w:t xml:space="preserve"> (Accessed </w:t>
      </w:r>
      <w:r w:rsidR="00757B55">
        <w:rPr>
          <w:rFonts w:ascii="Arial" w:hAnsi="Arial" w:cs="Arial"/>
          <w:sz w:val="24"/>
          <w:szCs w:val="24"/>
        </w:rPr>
        <w:t>03 Feb. 2026).</w:t>
      </w:r>
    </w:p>
    <w:p w14:paraId="21CC5F36" w14:textId="77777777" w:rsidR="00E245C2" w:rsidRPr="007E65AE" w:rsidRDefault="00E245C2" w:rsidP="00892ADA">
      <w:pPr>
        <w:spacing w:line="360" w:lineRule="auto"/>
        <w:jc w:val="both"/>
        <w:rPr>
          <w:rFonts w:ascii="Arial" w:hAnsi="Arial" w:cs="Arial"/>
          <w:sz w:val="24"/>
          <w:szCs w:val="24"/>
        </w:rPr>
      </w:pPr>
    </w:p>
    <w:sectPr w:rsidR="00E245C2" w:rsidRPr="007E65AE" w:rsidSect="00DD7F7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0864DD"/>
    <w:multiLevelType w:val="hybridMultilevel"/>
    <w:tmpl w:val="97DC3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0488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DAC"/>
    <w:rsid w:val="00026AEE"/>
    <w:rsid w:val="00051541"/>
    <w:rsid w:val="00061BCD"/>
    <w:rsid w:val="00087356"/>
    <w:rsid w:val="000900C2"/>
    <w:rsid w:val="000972F5"/>
    <w:rsid w:val="000C70F4"/>
    <w:rsid w:val="001147F2"/>
    <w:rsid w:val="00116013"/>
    <w:rsid w:val="0012320F"/>
    <w:rsid w:val="00131D0F"/>
    <w:rsid w:val="001B3403"/>
    <w:rsid w:val="001D77FB"/>
    <w:rsid w:val="001E1E97"/>
    <w:rsid w:val="001E2123"/>
    <w:rsid w:val="001F2F8F"/>
    <w:rsid w:val="00204695"/>
    <w:rsid w:val="002133A8"/>
    <w:rsid w:val="00224622"/>
    <w:rsid w:val="002278A4"/>
    <w:rsid w:val="00237DCD"/>
    <w:rsid w:val="00296A31"/>
    <w:rsid w:val="002A4A01"/>
    <w:rsid w:val="002C79E3"/>
    <w:rsid w:val="002E4C52"/>
    <w:rsid w:val="0030250B"/>
    <w:rsid w:val="00316BA1"/>
    <w:rsid w:val="003A277C"/>
    <w:rsid w:val="003B5A46"/>
    <w:rsid w:val="003B6698"/>
    <w:rsid w:val="003C6D22"/>
    <w:rsid w:val="003D0F8E"/>
    <w:rsid w:val="003D2695"/>
    <w:rsid w:val="004054E2"/>
    <w:rsid w:val="004057A4"/>
    <w:rsid w:val="00422CA0"/>
    <w:rsid w:val="00442A13"/>
    <w:rsid w:val="00445DAC"/>
    <w:rsid w:val="004579B3"/>
    <w:rsid w:val="00485F76"/>
    <w:rsid w:val="004875A9"/>
    <w:rsid w:val="004B67D9"/>
    <w:rsid w:val="004F1655"/>
    <w:rsid w:val="004F30A2"/>
    <w:rsid w:val="00510586"/>
    <w:rsid w:val="005275B9"/>
    <w:rsid w:val="00534C53"/>
    <w:rsid w:val="00564610"/>
    <w:rsid w:val="00582829"/>
    <w:rsid w:val="005A5DC7"/>
    <w:rsid w:val="005A7DC1"/>
    <w:rsid w:val="005B7DF4"/>
    <w:rsid w:val="005C0981"/>
    <w:rsid w:val="005E5C39"/>
    <w:rsid w:val="005F4A91"/>
    <w:rsid w:val="006011C4"/>
    <w:rsid w:val="00611E80"/>
    <w:rsid w:val="00626835"/>
    <w:rsid w:val="00635206"/>
    <w:rsid w:val="006D54B2"/>
    <w:rsid w:val="006E3E6D"/>
    <w:rsid w:val="00716AA5"/>
    <w:rsid w:val="00736957"/>
    <w:rsid w:val="00746550"/>
    <w:rsid w:val="0075065B"/>
    <w:rsid w:val="00752D62"/>
    <w:rsid w:val="007559FF"/>
    <w:rsid w:val="00757B55"/>
    <w:rsid w:val="0079577D"/>
    <w:rsid w:val="007966B9"/>
    <w:rsid w:val="007D4147"/>
    <w:rsid w:val="007E65AE"/>
    <w:rsid w:val="008134B5"/>
    <w:rsid w:val="00833840"/>
    <w:rsid w:val="00853E96"/>
    <w:rsid w:val="00866DF2"/>
    <w:rsid w:val="00892ADA"/>
    <w:rsid w:val="008C2CEC"/>
    <w:rsid w:val="008C6FCD"/>
    <w:rsid w:val="008D3013"/>
    <w:rsid w:val="008D785E"/>
    <w:rsid w:val="009042D0"/>
    <w:rsid w:val="0091474F"/>
    <w:rsid w:val="009151D7"/>
    <w:rsid w:val="009369A3"/>
    <w:rsid w:val="009445F9"/>
    <w:rsid w:val="009523BD"/>
    <w:rsid w:val="00982434"/>
    <w:rsid w:val="009E2E1A"/>
    <w:rsid w:val="009E64C4"/>
    <w:rsid w:val="009F30D3"/>
    <w:rsid w:val="00A07EEC"/>
    <w:rsid w:val="00A27F30"/>
    <w:rsid w:val="00A56780"/>
    <w:rsid w:val="00A92957"/>
    <w:rsid w:val="00AA5DE2"/>
    <w:rsid w:val="00AE02FB"/>
    <w:rsid w:val="00AF626A"/>
    <w:rsid w:val="00B33B96"/>
    <w:rsid w:val="00B35710"/>
    <w:rsid w:val="00BC3B2A"/>
    <w:rsid w:val="00BD1646"/>
    <w:rsid w:val="00BE3877"/>
    <w:rsid w:val="00C33E31"/>
    <w:rsid w:val="00C43F0F"/>
    <w:rsid w:val="00C65018"/>
    <w:rsid w:val="00C75962"/>
    <w:rsid w:val="00C84D0F"/>
    <w:rsid w:val="00CC741F"/>
    <w:rsid w:val="00D04925"/>
    <w:rsid w:val="00D11247"/>
    <w:rsid w:val="00D259E2"/>
    <w:rsid w:val="00D465C7"/>
    <w:rsid w:val="00D75149"/>
    <w:rsid w:val="00D974A0"/>
    <w:rsid w:val="00DD7F7D"/>
    <w:rsid w:val="00DE2E90"/>
    <w:rsid w:val="00DE4B3E"/>
    <w:rsid w:val="00DF6FFB"/>
    <w:rsid w:val="00E0576E"/>
    <w:rsid w:val="00E245C2"/>
    <w:rsid w:val="00E41F91"/>
    <w:rsid w:val="00E4410F"/>
    <w:rsid w:val="00E53195"/>
    <w:rsid w:val="00E77286"/>
    <w:rsid w:val="00E83523"/>
    <w:rsid w:val="00EA56C7"/>
    <w:rsid w:val="00EB415F"/>
    <w:rsid w:val="00ED40FB"/>
    <w:rsid w:val="00EF0322"/>
    <w:rsid w:val="00EF12BD"/>
    <w:rsid w:val="00F37CC8"/>
    <w:rsid w:val="00F7475C"/>
    <w:rsid w:val="00FB7EBD"/>
    <w:rsid w:val="00FD3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AA1D2"/>
  <w15:chartTrackingRefBased/>
  <w15:docId w15:val="{52E03F85-73F2-43D6-9933-85DCBC0A6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D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5D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5D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5D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5D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5D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D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D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D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D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5D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5D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5D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5D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5D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D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D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DAC"/>
    <w:rPr>
      <w:rFonts w:eastAsiaTheme="majorEastAsia" w:cstheme="majorBidi"/>
      <w:color w:val="272727" w:themeColor="text1" w:themeTint="D8"/>
    </w:rPr>
  </w:style>
  <w:style w:type="paragraph" w:styleId="Title">
    <w:name w:val="Title"/>
    <w:basedOn w:val="Normal"/>
    <w:next w:val="Normal"/>
    <w:link w:val="TitleChar"/>
    <w:uiPriority w:val="10"/>
    <w:qFormat/>
    <w:rsid w:val="00445D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D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D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D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DAC"/>
    <w:pPr>
      <w:spacing w:before="160"/>
      <w:jc w:val="center"/>
    </w:pPr>
    <w:rPr>
      <w:i/>
      <w:iCs/>
      <w:color w:val="404040" w:themeColor="text1" w:themeTint="BF"/>
    </w:rPr>
  </w:style>
  <w:style w:type="character" w:customStyle="1" w:styleId="QuoteChar">
    <w:name w:val="Quote Char"/>
    <w:basedOn w:val="DefaultParagraphFont"/>
    <w:link w:val="Quote"/>
    <w:uiPriority w:val="29"/>
    <w:rsid w:val="00445DAC"/>
    <w:rPr>
      <w:i/>
      <w:iCs/>
      <w:color w:val="404040" w:themeColor="text1" w:themeTint="BF"/>
    </w:rPr>
  </w:style>
  <w:style w:type="paragraph" w:styleId="ListParagraph">
    <w:name w:val="List Paragraph"/>
    <w:basedOn w:val="Normal"/>
    <w:uiPriority w:val="34"/>
    <w:qFormat/>
    <w:rsid w:val="00445DAC"/>
    <w:pPr>
      <w:ind w:left="720"/>
      <w:contextualSpacing/>
    </w:pPr>
  </w:style>
  <w:style w:type="character" w:styleId="IntenseEmphasis">
    <w:name w:val="Intense Emphasis"/>
    <w:basedOn w:val="DefaultParagraphFont"/>
    <w:uiPriority w:val="21"/>
    <w:qFormat/>
    <w:rsid w:val="00445DAC"/>
    <w:rPr>
      <w:i/>
      <w:iCs/>
      <w:color w:val="2F5496" w:themeColor="accent1" w:themeShade="BF"/>
    </w:rPr>
  </w:style>
  <w:style w:type="paragraph" w:styleId="IntenseQuote">
    <w:name w:val="Intense Quote"/>
    <w:basedOn w:val="Normal"/>
    <w:next w:val="Normal"/>
    <w:link w:val="IntenseQuoteChar"/>
    <w:uiPriority w:val="30"/>
    <w:qFormat/>
    <w:rsid w:val="00445D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5DAC"/>
    <w:rPr>
      <w:i/>
      <w:iCs/>
      <w:color w:val="2F5496" w:themeColor="accent1" w:themeShade="BF"/>
    </w:rPr>
  </w:style>
  <w:style w:type="character" w:styleId="IntenseReference">
    <w:name w:val="Intense Reference"/>
    <w:basedOn w:val="DefaultParagraphFont"/>
    <w:uiPriority w:val="32"/>
    <w:qFormat/>
    <w:rsid w:val="00445DAC"/>
    <w:rPr>
      <w:b/>
      <w:bCs/>
      <w:smallCaps/>
      <w:color w:val="2F5496" w:themeColor="accent1" w:themeShade="BF"/>
      <w:spacing w:val="5"/>
    </w:rPr>
  </w:style>
  <w:style w:type="paragraph" w:styleId="NoSpacing">
    <w:name w:val="No Spacing"/>
    <w:link w:val="NoSpacingChar"/>
    <w:uiPriority w:val="1"/>
    <w:qFormat/>
    <w:rsid w:val="00DD7F7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D7F7D"/>
    <w:rPr>
      <w:rFonts w:eastAsiaTheme="minorEastAsia"/>
      <w:kern w:val="0"/>
      <w:lang w:val="en-US"/>
      <w14:ligatures w14:val="none"/>
    </w:rPr>
  </w:style>
  <w:style w:type="character" w:styleId="Hyperlink">
    <w:name w:val="Hyperlink"/>
    <w:basedOn w:val="DefaultParagraphFont"/>
    <w:uiPriority w:val="99"/>
    <w:unhideWhenUsed/>
    <w:rsid w:val="000972F5"/>
    <w:rPr>
      <w:color w:val="0563C1" w:themeColor="hyperlink"/>
      <w:u w:val="single"/>
    </w:rPr>
  </w:style>
  <w:style w:type="character" w:styleId="UnresolvedMention">
    <w:name w:val="Unresolved Mention"/>
    <w:basedOn w:val="DefaultParagraphFont"/>
    <w:uiPriority w:val="99"/>
    <w:semiHidden/>
    <w:unhideWhenUsed/>
    <w:rsid w:val="000972F5"/>
    <w:rPr>
      <w:color w:val="605E5C"/>
      <w:shd w:val="clear" w:color="auto" w:fill="E1DFDD"/>
    </w:rPr>
  </w:style>
  <w:style w:type="character" w:styleId="FollowedHyperlink">
    <w:name w:val="FollowedHyperlink"/>
    <w:basedOn w:val="DefaultParagraphFont"/>
    <w:uiPriority w:val="99"/>
    <w:semiHidden/>
    <w:unhideWhenUsed/>
    <w:rsid w:val="00C759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THR-01-2021-0019" TargetMode="External"/><Relationship Id="rId13" Type="http://schemas.openxmlformats.org/officeDocument/2006/relationships/hyperlink" Target="https://doi.org/10.3389/frai.2024.1429477" TargetMode="External"/><Relationship Id="rId18" Type="http://schemas.openxmlformats.org/officeDocument/2006/relationships/hyperlink" Target="https://doi.org/10.1016/j.rcradv.2022.200112" TargetMode="External"/><Relationship Id="rId26" Type="http://schemas.openxmlformats.org/officeDocument/2006/relationships/hyperlink" Target="https://doi.org/10.1016/j.jclepro.2017.12.136" TargetMode="External"/><Relationship Id="rId3" Type="http://schemas.openxmlformats.org/officeDocument/2006/relationships/settings" Target="settings.xml"/><Relationship Id="rId21" Type="http://schemas.openxmlformats.org/officeDocument/2006/relationships/hyperlink" Target="https://doi.org/10.1016/j.jclepro.2021.129991" TargetMode="External"/><Relationship Id="rId7" Type="http://schemas.openxmlformats.org/officeDocument/2006/relationships/hyperlink" Target="https://doi.org/10.1002/jsfa.12524" TargetMode="External"/><Relationship Id="rId12" Type="http://schemas.openxmlformats.org/officeDocument/2006/relationships/hyperlink" Target="https://doi.org/10.1177/16094069231180160" TargetMode="External"/><Relationship Id="rId17" Type="http://schemas.openxmlformats.org/officeDocument/2006/relationships/hyperlink" Target="https://doi.org/10.1016/j.tourman.2018.10.009" TargetMode="External"/><Relationship Id="rId25" Type="http://schemas.openxmlformats.org/officeDocument/2006/relationships/hyperlink" Target="https://doi.org/10.1016/j.jclepro.2015.07.146" TargetMode="External"/><Relationship Id="rId2" Type="http://schemas.openxmlformats.org/officeDocument/2006/relationships/styles" Target="styles.xml"/><Relationship Id="rId16" Type="http://schemas.openxmlformats.org/officeDocument/2006/relationships/hyperlink" Target="https://www.fao.org/platform-food-loss-waste" TargetMode="External"/><Relationship Id="rId20" Type="http://schemas.openxmlformats.org/officeDocument/2006/relationships/hyperlink" Target="https://doi.org/10.3390/su152115459" TargetMode="External"/><Relationship Id="rId29" Type="http://schemas.openxmlformats.org/officeDocument/2006/relationships/hyperlink" Target="https://www.unep.org/resources/report/unep-food-waste-index-report-202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016/j.resconrec.2019.06.011" TargetMode="External"/><Relationship Id="rId24" Type="http://schemas.openxmlformats.org/officeDocument/2006/relationships/hyperlink" Target="https://doi.org/10.1016/j.jclepro.2014.04.020"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doi.org/10.1016/j.resconrec.2017.02.006" TargetMode="External"/><Relationship Id="rId23" Type="http://schemas.openxmlformats.org/officeDocument/2006/relationships/hyperlink" Target="https://doi.org/10.1016/j.cie.2024.110586" TargetMode="External"/><Relationship Id="rId28" Type="http://schemas.openxmlformats.org/officeDocument/2006/relationships/hyperlink" Target="https://www.ukhospitality.org.uk/guidance/reducing-food-waste/" TargetMode="External"/><Relationship Id="rId10" Type="http://schemas.openxmlformats.org/officeDocument/2006/relationships/hyperlink" Target="https://doi.org/10.1007/s10460-025-10754-9" TargetMode="External"/><Relationship Id="rId19" Type="http://schemas.openxmlformats.org/officeDocument/2006/relationships/hyperlink" Target="https://doi.org/10.18576/amis/17051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8/MBE-11-2019-0105" TargetMode="External"/><Relationship Id="rId14" Type="http://schemas.openxmlformats.org/officeDocument/2006/relationships/hyperlink" Target="https://doi.org/10.1016/j.promfg.2020.10.249" TargetMode="External"/><Relationship Id="rId22" Type="http://schemas.openxmlformats.org/officeDocument/2006/relationships/hyperlink" Target="https://doi.org/10.3390/su13126511" TargetMode="External"/><Relationship Id="rId27" Type="http://schemas.openxmlformats.org/officeDocument/2006/relationships/hyperlink" Target="https://doi.org/10.1111/1467-8551.00375" TargetMode="External"/><Relationship Id="rId30" Type="http://schemas.openxmlformats.org/officeDocument/2006/relationships/hyperlink" Target="https://www.wrap.ngo/resources/report/food-waste-reduction-roadmap-progress-report-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4721</Words>
  <Characters>26915</Characters>
  <Application>Microsoft Office Word</Application>
  <DocSecurity>0</DocSecurity>
  <Lines>224</Lines>
  <Paragraphs>63</Paragraphs>
  <ScaleCrop>false</ScaleCrop>
  <Company/>
  <LinksUpToDate>false</LinksUpToDate>
  <CharactersWithSpaces>31573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dc:subject>
  <dc:creator>Beatrice Gherasim</dc:creator>
  <cp:keywords/>
  <dc:description/>
  <cp:lastModifiedBy>Beatrice Gherasim</cp:lastModifiedBy>
  <cp:revision>121</cp:revision>
  <dcterms:created xsi:type="dcterms:W3CDTF">2026-01-12T10:26:00Z</dcterms:created>
  <dcterms:modified xsi:type="dcterms:W3CDTF">2026-02-11T10:52:00Z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290633db-0cef-4fb8-bf5e-30a7ca2bab7a</vt:lpwstr>
  </property>
</Properties>
</file>