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C71E3A4" w14:textId="2B6C9DAA" w:rsidR="00AE2B75" w:rsidRDefault="002A344C" w:rsidP="00AE2B75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00E94E37" wp14:editId="3D67BFB6">
            <wp:simplePos x="0" y="0"/>
            <wp:positionH relativeFrom="margin">
              <wp:posOffset>0</wp:posOffset>
            </wp:positionH>
            <wp:positionV relativeFrom="paragraph">
              <wp:posOffset>0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6D4AFF" w14:textId="77777777" w:rsidR="00AE2B75" w:rsidRDefault="00AE2B75" w:rsidP="00AE2B75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544F5D15" w14:textId="77777777" w:rsidR="00AE2B75" w:rsidRDefault="00AE2B75" w:rsidP="00AE2B75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BC480A5" w14:textId="77777777" w:rsidR="00AE2B75" w:rsidRDefault="00AE2B75" w:rsidP="00AE2B75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4DF5542D" w14:textId="77777777" w:rsidR="00AE2B75" w:rsidRDefault="00AE2B75" w:rsidP="00AE2B75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FB7B40A" w14:textId="5B615C28" w:rsidR="00AE2B75" w:rsidRPr="00BD0F4B" w:rsidRDefault="00AE2B75" w:rsidP="00AE2B75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D0F4B">
        <w:rPr>
          <w:rFonts w:ascii="Arial" w:hAnsi="Arial" w:cs="Arial"/>
          <w:sz w:val="48"/>
          <w:szCs w:val="48"/>
        </w:rPr>
        <w:t xml:space="preserve">Empowering the </w:t>
      </w:r>
      <w:r w:rsidR="00764758">
        <w:rPr>
          <w:rFonts w:ascii="Arial" w:hAnsi="Arial" w:cs="Arial"/>
          <w:sz w:val="48"/>
          <w:szCs w:val="48"/>
        </w:rPr>
        <w:t>O</w:t>
      </w:r>
      <w:r w:rsidRPr="00BD0F4B">
        <w:rPr>
          <w:rFonts w:ascii="Arial" w:hAnsi="Arial" w:cs="Arial"/>
          <w:sz w:val="48"/>
          <w:szCs w:val="48"/>
        </w:rPr>
        <w:t xml:space="preserve">lder </w:t>
      </w:r>
      <w:r w:rsidR="00764758">
        <w:rPr>
          <w:rFonts w:ascii="Arial" w:hAnsi="Arial" w:cs="Arial"/>
          <w:sz w:val="48"/>
          <w:szCs w:val="48"/>
        </w:rPr>
        <w:t>P</w:t>
      </w:r>
      <w:r w:rsidRPr="00BD0F4B">
        <w:rPr>
          <w:rFonts w:ascii="Arial" w:hAnsi="Arial" w:cs="Arial"/>
          <w:sz w:val="48"/>
          <w:szCs w:val="48"/>
        </w:rPr>
        <w:t>erson</w:t>
      </w:r>
    </w:p>
    <w:p w14:paraId="7A9F7040" w14:textId="4BC13F97" w:rsidR="00AE2B75" w:rsidRPr="00BD0F4B" w:rsidRDefault="00AE2B75" w:rsidP="00AE2B75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D0F4B">
        <w:rPr>
          <w:rFonts w:ascii="Arial" w:hAnsi="Arial" w:cs="Arial"/>
          <w:sz w:val="48"/>
          <w:szCs w:val="48"/>
        </w:rPr>
        <w:t>BMHP6027</w:t>
      </w:r>
    </w:p>
    <w:p w14:paraId="51A23C96" w14:textId="2E7EE753" w:rsidR="00AE2B75" w:rsidRPr="00BD0F4B" w:rsidRDefault="00AE2B75" w:rsidP="00AE2B75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D0F4B">
        <w:rPr>
          <w:rFonts w:ascii="Arial" w:hAnsi="Arial" w:cs="Arial"/>
          <w:sz w:val="48"/>
          <w:szCs w:val="48"/>
        </w:rPr>
        <w:t>Student name</w:t>
      </w:r>
      <w:r w:rsidR="00C92ADC" w:rsidRPr="00BD0F4B">
        <w:rPr>
          <w:rFonts w:ascii="Arial" w:hAnsi="Arial" w:cs="Arial"/>
          <w:sz w:val="48"/>
          <w:szCs w:val="48"/>
        </w:rPr>
        <w:t xml:space="preserve"> - </w:t>
      </w:r>
      <w:r w:rsidRPr="00BD0F4B">
        <w:rPr>
          <w:rFonts w:ascii="Arial" w:hAnsi="Arial" w:cs="Arial"/>
          <w:sz w:val="48"/>
          <w:szCs w:val="48"/>
        </w:rPr>
        <w:t>Sameena Shahban</w:t>
      </w:r>
    </w:p>
    <w:p w14:paraId="57FB3190" w14:textId="4AD70437" w:rsidR="00AE2B75" w:rsidRPr="00BD0F4B" w:rsidRDefault="00AE2B75" w:rsidP="00AE2B75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D0F4B">
        <w:rPr>
          <w:rFonts w:ascii="Arial" w:hAnsi="Arial" w:cs="Arial"/>
          <w:sz w:val="48"/>
          <w:szCs w:val="48"/>
        </w:rPr>
        <w:t>Student number</w:t>
      </w:r>
      <w:r w:rsidR="00C92ADC" w:rsidRPr="00BD0F4B">
        <w:rPr>
          <w:rFonts w:ascii="Arial" w:hAnsi="Arial" w:cs="Arial"/>
          <w:sz w:val="48"/>
          <w:szCs w:val="48"/>
        </w:rPr>
        <w:t xml:space="preserve"> - </w:t>
      </w:r>
      <w:r w:rsidRPr="00BD0F4B">
        <w:rPr>
          <w:rFonts w:ascii="Arial" w:hAnsi="Arial" w:cs="Arial"/>
          <w:sz w:val="48"/>
          <w:szCs w:val="48"/>
        </w:rPr>
        <w:t>2325941</w:t>
      </w:r>
    </w:p>
    <w:p w14:paraId="5AA950CE" w14:textId="14BF47DA" w:rsidR="00AE2B75" w:rsidRPr="00BD0F4B" w:rsidRDefault="00AE2B75" w:rsidP="00AE2B75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D0F4B">
        <w:rPr>
          <w:rFonts w:ascii="Arial" w:hAnsi="Arial" w:cs="Arial"/>
          <w:sz w:val="48"/>
          <w:szCs w:val="48"/>
        </w:rPr>
        <w:t>Component 2</w:t>
      </w:r>
      <w:r w:rsidR="00C92ADC" w:rsidRPr="00BD0F4B">
        <w:rPr>
          <w:rFonts w:ascii="Arial" w:hAnsi="Arial" w:cs="Arial"/>
          <w:sz w:val="48"/>
          <w:szCs w:val="48"/>
        </w:rPr>
        <w:t xml:space="preserve"> - </w:t>
      </w:r>
      <w:r w:rsidRPr="00BD0F4B">
        <w:rPr>
          <w:rFonts w:ascii="Arial" w:hAnsi="Arial" w:cs="Arial"/>
          <w:sz w:val="48"/>
          <w:szCs w:val="48"/>
        </w:rPr>
        <w:t xml:space="preserve">Debate </w:t>
      </w:r>
    </w:p>
    <w:p w14:paraId="2C8DD377" w14:textId="1F4B451E" w:rsidR="00AE2B75" w:rsidRPr="00BD0F4B" w:rsidRDefault="00AE2B75" w:rsidP="00AE2B75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BD0F4B">
        <w:rPr>
          <w:rFonts w:ascii="Arial" w:hAnsi="Arial" w:cs="Arial"/>
          <w:sz w:val="48"/>
          <w:szCs w:val="48"/>
        </w:rPr>
        <w:t>Lecturer</w:t>
      </w:r>
      <w:r w:rsidR="00C92ADC" w:rsidRPr="00BD0F4B">
        <w:rPr>
          <w:rFonts w:ascii="Arial" w:hAnsi="Arial" w:cs="Arial"/>
          <w:sz w:val="48"/>
          <w:szCs w:val="48"/>
        </w:rPr>
        <w:t xml:space="preserve"> - </w:t>
      </w:r>
      <w:r w:rsidRPr="00BD0F4B">
        <w:rPr>
          <w:rFonts w:ascii="Arial" w:hAnsi="Arial" w:cs="Arial"/>
          <w:sz w:val="48"/>
          <w:szCs w:val="48"/>
        </w:rPr>
        <w:t xml:space="preserve">Fahad Khan </w:t>
      </w:r>
    </w:p>
    <w:p w14:paraId="367360BF" w14:textId="77777777" w:rsidR="007974EE" w:rsidRPr="00BD0F4B" w:rsidRDefault="007974EE">
      <w:pPr>
        <w:rPr>
          <w:sz w:val="48"/>
          <w:szCs w:val="48"/>
        </w:rPr>
      </w:pPr>
    </w:p>
    <w:p w14:paraId="3E6C1071" w14:textId="77777777" w:rsidR="002A344C" w:rsidRPr="00BD0F4B" w:rsidRDefault="002A344C">
      <w:pPr>
        <w:rPr>
          <w:sz w:val="48"/>
          <w:szCs w:val="48"/>
        </w:rPr>
      </w:pPr>
    </w:p>
    <w:p w14:paraId="1A705EFA" w14:textId="77777777" w:rsidR="002A344C" w:rsidRDefault="002A344C">
      <w:pPr>
        <w:rPr>
          <w:sz w:val="48"/>
          <w:szCs w:val="48"/>
        </w:rPr>
      </w:pPr>
    </w:p>
    <w:p w14:paraId="66ED72CC" w14:textId="77777777" w:rsidR="00F55606" w:rsidRPr="00BD0F4B" w:rsidRDefault="00F55606">
      <w:pPr>
        <w:rPr>
          <w:sz w:val="48"/>
          <w:szCs w:val="48"/>
        </w:rPr>
      </w:pPr>
    </w:p>
    <w:p w14:paraId="4C23F7A1" w14:textId="77777777" w:rsidR="002A344C" w:rsidRDefault="002A344C"/>
    <w:p w14:paraId="78639D9A" w14:textId="77777777" w:rsidR="002A344C" w:rsidRDefault="002A344C"/>
    <w:p w14:paraId="0765EF85" w14:textId="698364F9" w:rsidR="002A344C" w:rsidRPr="00F55606" w:rsidRDefault="00EF1868" w:rsidP="00EF1868">
      <w:pPr>
        <w:spacing w:line="360" w:lineRule="auto"/>
        <w:rPr>
          <w:rFonts w:ascii="Arial" w:hAnsi="Arial" w:cs="Arial"/>
          <w:sz w:val="40"/>
          <w:szCs w:val="40"/>
        </w:rPr>
      </w:pPr>
      <w:r w:rsidRPr="00F55606">
        <w:rPr>
          <w:rFonts w:ascii="Arial" w:hAnsi="Arial" w:cs="Arial"/>
          <w:sz w:val="40"/>
          <w:szCs w:val="40"/>
        </w:rPr>
        <w:t xml:space="preserve">References </w:t>
      </w:r>
    </w:p>
    <w:p w14:paraId="1033B56E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Age UK (2024)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The state of health and care of older people in England 2024</w:t>
      </w:r>
      <w:r w:rsidRPr="00F55606">
        <w:rPr>
          <w:rFonts w:ascii="Arial" w:hAnsi="Arial" w:cs="Arial"/>
          <w:color w:val="000000"/>
          <w:sz w:val="22"/>
          <w:szCs w:val="22"/>
        </w:rPr>
        <w:t>. London: Age UK.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5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https://www.ageuk.org.uk/discover/2024/september/state-of-health-and-care-of-older-people-in-england-2024/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2AC407D1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 xml:space="preserve">Almeida-Meza, P., Ledden, S., Dempsey, B., Smith, A., Croak, B., </w:t>
      </w:r>
      <w:proofErr w:type="spellStart"/>
      <w:r w:rsidRPr="00F55606">
        <w:rPr>
          <w:rFonts w:ascii="Arial" w:hAnsi="Arial" w:cs="Arial"/>
          <w:color w:val="000000"/>
          <w:sz w:val="22"/>
          <w:szCs w:val="22"/>
        </w:rPr>
        <w:t>Bhundia</w:t>
      </w:r>
      <w:proofErr w:type="spellEnd"/>
      <w:r w:rsidRPr="00F55606">
        <w:rPr>
          <w:rFonts w:ascii="Arial" w:hAnsi="Arial" w:cs="Arial"/>
          <w:color w:val="000000"/>
          <w:sz w:val="22"/>
          <w:szCs w:val="22"/>
        </w:rPr>
        <w:t>, R., Lamb, D., Malik, A., Raine, R., Redlich, C. and Wessely, S. (2025) 'Futureproofing the healthcare workforce in Europe: understanding and addressing psychological distress and occupational outcomes',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The Lancet Regional Health – Europe</w:t>
      </w:r>
      <w:r w:rsidRPr="00F55606">
        <w:rPr>
          <w:rFonts w:ascii="Arial" w:hAnsi="Arial" w:cs="Arial"/>
          <w:color w:val="000000"/>
          <w:sz w:val="22"/>
          <w:szCs w:val="22"/>
        </w:rPr>
        <w:t>, 57, p. 101463.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6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https://doi.org/10.1016/j.lanepe.2025.101463</w:t>
        </w:r>
      </w:hyperlink>
    </w:p>
    <w:p w14:paraId="3D6CA203" w14:textId="77777777" w:rsidR="00EF1868" w:rsidRDefault="00EF1868" w:rsidP="00EF1868">
      <w:pPr>
        <w:pStyle w:val="isselectedend"/>
        <w:spacing w:line="360" w:lineRule="auto"/>
      </w:pPr>
      <w:r w:rsidRPr="00F55606">
        <w:rPr>
          <w:rFonts w:ascii="Arial" w:hAnsi="Arial" w:cs="Arial"/>
          <w:color w:val="000000"/>
          <w:sz w:val="22"/>
          <w:szCs w:val="22"/>
        </w:rPr>
        <w:t>Atchley, R.C. (1989) 'A continuity theory of normal aging',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The Gerontologist</w:t>
      </w:r>
      <w:r w:rsidRPr="00F55606">
        <w:rPr>
          <w:rFonts w:ascii="Arial" w:hAnsi="Arial" w:cs="Arial"/>
          <w:color w:val="000000"/>
          <w:sz w:val="22"/>
          <w:szCs w:val="22"/>
        </w:rPr>
        <w:t>, 29(2), pp. 183–190.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7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https://doi.org/10.1093/geront/29.2.183</w:t>
        </w:r>
      </w:hyperlink>
    </w:p>
    <w:p w14:paraId="4FD5A539" w14:textId="0C8DA893" w:rsidR="008F3AFC" w:rsidRPr="008F3AFC" w:rsidRDefault="008F3AFC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8F3AFC">
        <w:rPr>
          <w:rFonts w:ascii="Arial" w:hAnsi="Arial" w:cs="Arial"/>
          <w:color w:val="000000"/>
          <w:sz w:val="22"/>
          <w:szCs w:val="22"/>
        </w:rPr>
        <w:t>Bigonnesse</w:t>
      </w:r>
      <w:proofErr w:type="spellEnd"/>
      <w:r w:rsidRPr="008F3AFC">
        <w:rPr>
          <w:rFonts w:ascii="Arial" w:hAnsi="Arial" w:cs="Arial"/>
          <w:color w:val="000000"/>
          <w:sz w:val="22"/>
          <w:szCs w:val="22"/>
        </w:rPr>
        <w:t>, C. and Chaudhury, H. (2022) 'Ageing in place processes in the neighbourhood environment: a proposed conceptual framework from a capability approach',</w:t>
      </w:r>
      <w:r w:rsidRPr="008F3AFC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8F3AFC">
        <w:rPr>
          <w:rStyle w:val="Emphasis"/>
          <w:rFonts w:ascii="Arial" w:hAnsi="Arial" w:cs="Arial"/>
          <w:color w:val="000000"/>
          <w:sz w:val="22"/>
          <w:szCs w:val="22"/>
        </w:rPr>
        <w:t>European Journal of Ageing</w:t>
      </w:r>
      <w:r w:rsidRPr="008F3AFC">
        <w:rPr>
          <w:rFonts w:ascii="Arial" w:hAnsi="Arial" w:cs="Arial"/>
          <w:color w:val="000000"/>
          <w:sz w:val="22"/>
          <w:szCs w:val="22"/>
        </w:rPr>
        <w:t>, 19(1), pp. 63–74. Available at:</w:t>
      </w:r>
      <w:r w:rsidRPr="008F3AFC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8" w:history="1">
        <w:r w:rsidRPr="008F3AFC">
          <w:rPr>
            <w:rStyle w:val="Hyperlink"/>
            <w:rFonts w:ascii="Arial" w:hAnsi="Arial" w:cs="Arial"/>
            <w:sz w:val="22"/>
            <w:szCs w:val="22"/>
          </w:rPr>
          <w:t>https://doi.org/10.1007/s10433-020-00599-y</w:t>
        </w:r>
      </w:hyperlink>
    </w:p>
    <w:p w14:paraId="312A2D0D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 xml:space="preserve">Burton, J.K., Wolters, A.T., Towers, A.M., Jones, L., Meyer, J., Gordon, A.L., Irvine, L., Hanratty, B., Spilsbury, K., Peryer, G., Rand, S., Killett, A., </w:t>
      </w:r>
      <w:proofErr w:type="spellStart"/>
      <w:r w:rsidRPr="00F55606">
        <w:rPr>
          <w:rFonts w:ascii="Arial" w:hAnsi="Arial" w:cs="Arial"/>
          <w:color w:val="000000"/>
          <w:sz w:val="22"/>
          <w:szCs w:val="22"/>
        </w:rPr>
        <w:t>Akdur</w:t>
      </w:r>
      <w:proofErr w:type="spellEnd"/>
      <w:r w:rsidRPr="00F55606">
        <w:rPr>
          <w:rFonts w:ascii="Arial" w:hAnsi="Arial" w:cs="Arial"/>
          <w:color w:val="000000"/>
          <w:sz w:val="22"/>
          <w:szCs w:val="22"/>
        </w:rPr>
        <w:t>, G., Allan, S., Biswas, P. and Goodman, C. (2022) 'Developing a minimum data set for older adult care homes in the UK: exploring the concept and defining early core principles',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The Lancet Healthy Longevity</w:t>
      </w:r>
      <w:r w:rsidRPr="00F55606">
        <w:rPr>
          <w:rFonts w:ascii="Arial" w:hAnsi="Arial" w:cs="Arial"/>
          <w:color w:val="000000"/>
          <w:sz w:val="22"/>
          <w:szCs w:val="22"/>
        </w:rPr>
        <w:t>, 3(3), pp. e186–e193.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9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https://doi.org/10.1016/S2666-7568(22)00010-1</w:t>
        </w:r>
      </w:hyperlink>
    </w:p>
    <w:p w14:paraId="3A0F2543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Campaign to End Loneliness (2022)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Facts and statistics about loneliness</w:t>
      </w:r>
      <w:r w:rsidRPr="00F55606">
        <w:rPr>
          <w:rFonts w:ascii="Arial" w:hAnsi="Arial" w:cs="Arial"/>
          <w:color w:val="000000"/>
          <w:sz w:val="22"/>
          <w:szCs w:val="22"/>
        </w:rPr>
        <w:t>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0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https://www.campaigntoendloneliness.org/facts-and-statistics/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72155780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Department of Health and Social Care (2025)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Care and support statutory guidance</w:t>
      </w:r>
      <w:r w:rsidRPr="00F55606">
        <w:rPr>
          <w:rFonts w:ascii="Arial" w:hAnsi="Arial" w:cs="Arial"/>
          <w:color w:val="000000"/>
          <w:sz w:val="22"/>
          <w:szCs w:val="22"/>
        </w:rPr>
        <w:t>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1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https://www.gov.uk/guidance/care-and-support-statutory-guidance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37CAB360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Great Britain. Parliament (2005)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Mental Capacity Act 2005</w:t>
      </w:r>
      <w:r w:rsidRPr="00F55606">
        <w:rPr>
          <w:rFonts w:ascii="Arial" w:hAnsi="Arial" w:cs="Arial"/>
          <w:color w:val="000000"/>
          <w:sz w:val="22"/>
          <w:szCs w:val="22"/>
        </w:rPr>
        <w:t>. London: The Stationery Office.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2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https://www.legislation.gov.uk/ukpga/2005/9/contents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765036AC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lastRenderedPageBreak/>
        <w:t>Great Britain. Parliament (2014)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Care Act 2014</w:t>
      </w:r>
      <w:r w:rsidRPr="00F55606">
        <w:rPr>
          <w:rFonts w:ascii="Arial" w:hAnsi="Arial" w:cs="Arial"/>
          <w:color w:val="000000"/>
          <w:sz w:val="22"/>
          <w:szCs w:val="22"/>
        </w:rPr>
        <w:t>. London: The Stationery Office.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3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7E4E6BA7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Iqbal, A., Kinghorn, P., Glasby, J., Tanner, D. and Roberts, T. (2023) 'A scoping review of the costs, consequences, and wider impacts of residential care home closures in a UK context',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Health &amp; Social Care in the Community</w:t>
      </w:r>
      <w:r w:rsidRPr="00F55606">
        <w:rPr>
          <w:rFonts w:ascii="Arial" w:hAnsi="Arial" w:cs="Arial"/>
          <w:color w:val="000000"/>
          <w:sz w:val="22"/>
          <w:szCs w:val="22"/>
        </w:rPr>
        <w:t>, 2023, article 6630651.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4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https://doi.org/10.1155/2023/6630651</w:t>
        </w:r>
      </w:hyperlink>
    </w:p>
    <w:p w14:paraId="2184D996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Lewis, C. and Buffel, T. (2020) 'Aging in place and the places of aging: a longitudinal study',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Journal of Aging Studies</w:t>
      </w:r>
      <w:r w:rsidRPr="00F55606">
        <w:rPr>
          <w:rFonts w:ascii="Arial" w:hAnsi="Arial" w:cs="Arial"/>
          <w:color w:val="000000"/>
          <w:sz w:val="22"/>
          <w:szCs w:val="22"/>
        </w:rPr>
        <w:t>, 54, p. 100870.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5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https://doi.org/10.1016/j.jaging.2020.100870</w:t>
        </w:r>
      </w:hyperlink>
    </w:p>
    <w:p w14:paraId="009C02F9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National Institute for Health and Care Excellence (2015)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Home care: delivering personal care and practical support to older people living in their own homes (NG21).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6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https://www.nice.org.uk/guidance/ng21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7C2AB5C3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National Institute for Health and Care Excellence (2015)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Older people with social care needs and multiple long-term conditions (NG22).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7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https://www.nice.org.uk/guidance/ng22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0D8BF999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NHS England (2019)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The NHS Long Term Plan</w:t>
      </w:r>
      <w:r w:rsidRPr="00F55606">
        <w:rPr>
          <w:rFonts w:ascii="Arial" w:hAnsi="Arial" w:cs="Arial"/>
          <w:color w:val="000000"/>
          <w:sz w:val="22"/>
          <w:szCs w:val="22"/>
        </w:rPr>
        <w:t>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8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https://www.england.nhs.uk/long-term-plan/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4DF315E8" w14:textId="77777777" w:rsidR="00EF1868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Office of the Public Guardian and Ministry of Justice (2023)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Mental Capacity Act: making decisions</w:t>
      </w:r>
      <w:r w:rsidRPr="00F55606">
        <w:rPr>
          <w:rFonts w:ascii="Arial" w:hAnsi="Arial" w:cs="Arial"/>
          <w:color w:val="000000"/>
          <w:sz w:val="22"/>
          <w:szCs w:val="22"/>
        </w:rPr>
        <w:t>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9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https://www.gov.uk/government/collections/mental-capacity-act-making-decisions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602C5B37" w14:textId="70D6A62E" w:rsidR="00777498" w:rsidRPr="00777498" w:rsidRDefault="0077749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777498">
        <w:rPr>
          <w:rFonts w:ascii="Arial" w:hAnsi="Arial" w:cs="Arial"/>
          <w:color w:val="000000"/>
          <w:sz w:val="22"/>
          <w:szCs w:val="22"/>
        </w:rPr>
        <w:t>Sixsmith, A. and Sixsmith, J. (2008) 'Ageing in Place in the United Kingdom',</w:t>
      </w:r>
      <w:r w:rsidRPr="00777498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777498">
        <w:rPr>
          <w:rStyle w:val="Emphasis"/>
          <w:rFonts w:ascii="Arial" w:hAnsi="Arial" w:cs="Arial"/>
          <w:color w:val="000000"/>
          <w:sz w:val="22"/>
          <w:szCs w:val="22"/>
        </w:rPr>
        <w:t>Ageing International</w:t>
      </w:r>
      <w:r w:rsidRPr="00777498">
        <w:rPr>
          <w:rFonts w:ascii="Arial" w:hAnsi="Arial" w:cs="Arial"/>
          <w:color w:val="000000"/>
          <w:sz w:val="22"/>
          <w:szCs w:val="22"/>
        </w:rPr>
        <w:t>, 32(3), pp. 219–235. Available at:</w:t>
      </w:r>
      <w:r w:rsidRPr="00777498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0" w:history="1">
        <w:r w:rsidRPr="00777498">
          <w:rPr>
            <w:rStyle w:val="Hyperlink"/>
            <w:rFonts w:ascii="Arial" w:hAnsi="Arial" w:cs="Arial"/>
            <w:sz w:val="22"/>
            <w:szCs w:val="22"/>
          </w:rPr>
          <w:t>https://doi.org/10.1007/s12126-008-9019-y</w:t>
        </w:r>
      </w:hyperlink>
    </w:p>
    <w:p w14:paraId="649E1DDE" w14:textId="77777777" w:rsidR="00EF1868" w:rsidRPr="00777498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777498">
        <w:rPr>
          <w:rFonts w:ascii="Arial" w:hAnsi="Arial" w:cs="Arial"/>
          <w:color w:val="000000"/>
          <w:sz w:val="22"/>
          <w:szCs w:val="22"/>
        </w:rPr>
        <w:t>Social Care Institute for Excellence (SCIE) (no date)</w:t>
      </w:r>
      <w:r w:rsidRPr="00777498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777498">
        <w:rPr>
          <w:rStyle w:val="Emphasis"/>
          <w:rFonts w:ascii="Arial" w:hAnsi="Arial" w:cs="Arial"/>
          <w:color w:val="000000"/>
          <w:sz w:val="22"/>
          <w:szCs w:val="22"/>
        </w:rPr>
        <w:t>MCA: Care planning, involvement and person-centred care</w:t>
      </w:r>
      <w:r w:rsidRPr="00777498">
        <w:rPr>
          <w:rFonts w:ascii="Arial" w:hAnsi="Arial" w:cs="Arial"/>
          <w:color w:val="000000"/>
          <w:sz w:val="22"/>
          <w:szCs w:val="22"/>
        </w:rPr>
        <w:t>. Available at:</w:t>
      </w:r>
      <w:r w:rsidRPr="00777498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1" w:history="1">
        <w:r w:rsidRPr="00777498">
          <w:rPr>
            <w:rStyle w:val="Hyperlink"/>
            <w:rFonts w:ascii="Arial" w:hAnsi="Arial" w:cs="Arial"/>
            <w:sz w:val="22"/>
            <w:szCs w:val="22"/>
          </w:rPr>
          <w:t>https://www.scie.org.uk/mca/care-planning</w:t>
        </w:r>
      </w:hyperlink>
      <w:r w:rsidRPr="00777498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777498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20ECC17E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The Health Foundation (2016)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Person-centred care made simple: What everyone should know about person-centred care</w:t>
      </w:r>
      <w:r w:rsidRPr="00F55606">
        <w:rPr>
          <w:rFonts w:ascii="Arial" w:hAnsi="Arial" w:cs="Arial"/>
          <w:color w:val="000000"/>
          <w:sz w:val="22"/>
          <w:szCs w:val="22"/>
        </w:rPr>
        <w:t>. London: The Health Foundation.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2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https://www.health.org.uk/publications/person-centred-care-made-simple</w:t>
        </w:r>
      </w:hyperlink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35C7B6AC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lastRenderedPageBreak/>
        <w:t xml:space="preserve">Victor, C.R., </w:t>
      </w:r>
      <w:proofErr w:type="spellStart"/>
      <w:r w:rsidRPr="00F55606">
        <w:rPr>
          <w:rFonts w:ascii="Arial" w:hAnsi="Arial" w:cs="Arial"/>
          <w:color w:val="000000"/>
          <w:sz w:val="22"/>
          <w:szCs w:val="22"/>
        </w:rPr>
        <w:t>Scambler</w:t>
      </w:r>
      <w:proofErr w:type="spellEnd"/>
      <w:r w:rsidRPr="00F55606">
        <w:rPr>
          <w:rFonts w:ascii="Arial" w:hAnsi="Arial" w:cs="Arial"/>
          <w:color w:val="000000"/>
          <w:sz w:val="22"/>
          <w:szCs w:val="22"/>
        </w:rPr>
        <w:t>, S., Bowling, A. and Bond, J. (2005) 'The prevalence of, and risk factors for, loneliness in later life: a survey of older people in Great Britain',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Ageing &amp; Society</w:t>
      </w:r>
      <w:r w:rsidRPr="00F55606">
        <w:rPr>
          <w:rFonts w:ascii="Arial" w:hAnsi="Arial" w:cs="Arial"/>
          <w:color w:val="000000"/>
          <w:sz w:val="22"/>
          <w:szCs w:val="22"/>
        </w:rPr>
        <w:t>, 25(3), pp. 357–375.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3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https://doi.org/10.1017/S0144686X04003332</w:t>
        </w:r>
      </w:hyperlink>
    </w:p>
    <w:p w14:paraId="49B7AB4B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 xml:space="preserve">Wiles, J.L., </w:t>
      </w:r>
      <w:proofErr w:type="spellStart"/>
      <w:r w:rsidRPr="00F55606">
        <w:rPr>
          <w:rFonts w:ascii="Arial" w:hAnsi="Arial" w:cs="Arial"/>
          <w:color w:val="000000"/>
          <w:sz w:val="22"/>
          <w:szCs w:val="22"/>
        </w:rPr>
        <w:t>Leibing</w:t>
      </w:r>
      <w:proofErr w:type="spellEnd"/>
      <w:r w:rsidRPr="00F55606">
        <w:rPr>
          <w:rFonts w:ascii="Arial" w:hAnsi="Arial" w:cs="Arial"/>
          <w:color w:val="000000"/>
          <w:sz w:val="22"/>
          <w:szCs w:val="22"/>
        </w:rPr>
        <w:t>, A., Guberman, N., Reeve, J. and Allen, R.E.S. (2012) 'The meaning of "aging in place" to older people',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The Gerontologist</w:t>
      </w:r>
      <w:r w:rsidRPr="00F55606">
        <w:rPr>
          <w:rFonts w:ascii="Arial" w:hAnsi="Arial" w:cs="Arial"/>
          <w:color w:val="000000"/>
          <w:sz w:val="22"/>
          <w:szCs w:val="22"/>
        </w:rPr>
        <w:t>, 52(3), pp. 357–366.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4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https://doi.org/10.1093/geront/gnr098</w:t>
        </w:r>
      </w:hyperlink>
    </w:p>
    <w:p w14:paraId="263328AD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Winfield, A. and Burns, E. (2016) 'Let's all get home safely: a commentary on NICE and SCIE guidelines (NG27) transition between inpatient hospital settings and community or care home settings for adults with social care needs',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Age and Ageing</w:t>
      </w:r>
      <w:r w:rsidRPr="00F55606">
        <w:rPr>
          <w:rFonts w:ascii="Arial" w:hAnsi="Arial" w:cs="Arial"/>
          <w:color w:val="000000"/>
          <w:sz w:val="22"/>
          <w:szCs w:val="22"/>
        </w:rPr>
        <w:t>, 45(6), pp. 757–760.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5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https://doi.org/10.1093/ageing/afw151</w:t>
        </w:r>
      </w:hyperlink>
    </w:p>
    <w:p w14:paraId="13AC32D1" w14:textId="77777777" w:rsidR="00EF1868" w:rsidRPr="00F55606" w:rsidRDefault="00EF1868" w:rsidP="00EF1868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World Health Organization (2015)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World report on ageing and health</w:t>
      </w:r>
      <w:r w:rsidRPr="00F55606">
        <w:rPr>
          <w:rFonts w:ascii="Arial" w:hAnsi="Arial" w:cs="Arial"/>
          <w:color w:val="000000"/>
          <w:sz w:val="22"/>
          <w:szCs w:val="22"/>
        </w:rPr>
        <w:t>. Geneva: World Health Organization. 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6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https://www.who.int/publications/i/item/9789241565042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502637B8" w14:textId="77777777" w:rsidR="00EF1868" w:rsidRPr="00F55606" w:rsidRDefault="00EF1868" w:rsidP="00EF1868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F55606">
        <w:rPr>
          <w:rFonts w:ascii="Arial" w:hAnsi="Arial" w:cs="Arial"/>
          <w:color w:val="000000"/>
          <w:sz w:val="22"/>
          <w:szCs w:val="22"/>
        </w:rPr>
        <w:t>World Health Organization (2021)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Style w:val="Emphasis"/>
          <w:rFonts w:ascii="Arial" w:hAnsi="Arial" w:cs="Arial"/>
          <w:color w:val="000000"/>
          <w:sz w:val="22"/>
          <w:szCs w:val="22"/>
        </w:rPr>
        <w:t>UN Decade of Healthy Ageing (2021–2030).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Available at:</w:t>
      </w:r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27" w:history="1">
        <w:r w:rsidRPr="00F55606">
          <w:rPr>
            <w:rStyle w:val="Hyperlink"/>
            <w:rFonts w:ascii="Arial" w:hAnsi="Arial" w:cs="Arial"/>
            <w:sz w:val="22"/>
            <w:szCs w:val="22"/>
          </w:rPr>
          <w:t>https://www.who.int/initiatives/decade-of-healthy-ageing</w:t>
        </w:r>
      </w:hyperlink>
      <w:r w:rsidRPr="00F55606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F55606">
        <w:rPr>
          <w:rFonts w:ascii="Arial" w:hAnsi="Arial" w:cs="Arial"/>
          <w:color w:val="000000"/>
          <w:sz w:val="22"/>
          <w:szCs w:val="22"/>
        </w:rPr>
        <w:t>(Accessed: 30 June 2026).</w:t>
      </w:r>
    </w:p>
    <w:p w14:paraId="05DBBC7C" w14:textId="77777777" w:rsidR="0045770A" w:rsidRPr="00F55606" w:rsidRDefault="0045770A" w:rsidP="00EF1868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5770A" w:rsidRPr="00F556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B75"/>
    <w:rsid w:val="002A344C"/>
    <w:rsid w:val="0045770A"/>
    <w:rsid w:val="00530E03"/>
    <w:rsid w:val="00764758"/>
    <w:rsid w:val="00777498"/>
    <w:rsid w:val="007974EE"/>
    <w:rsid w:val="008F3AFC"/>
    <w:rsid w:val="00964BD4"/>
    <w:rsid w:val="009A23AD"/>
    <w:rsid w:val="00A76519"/>
    <w:rsid w:val="00AC347C"/>
    <w:rsid w:val="00AE2B75"/>
    <w:rsid w:val="00AF220F"/>
    <w:rsid w:val="00BD0F4B"/>
    <w:rsid w:val="00C92ADC"/>
    <w:rsid w:val="00EF1868"/>
    <w:rsid w:val="00F55606"/>
    <w:rsid w:val="00F66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E0AA60"/>
  <w15:chartTrackingRefBased/>
  <w15:docId w15:val="{9FC8D8DD-0339-C44D-8940-B197E15A72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2B75"/>
  </w:style>
  <w:style w:type="paragraph" w:styleId="Heading1">
    <w:name w:val="heading 1"/>
    <w:basedOn w:val="Normal"/>
    <w:next w:val="Normal"/>
    <w:link w:val="Heading1Char"/>
    <w:uiPriority w:val="9"/>
    <w:qFormat/>
    <w:rsid w:val="00AE2B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2B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2B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2B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2B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2B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2B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2B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2B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2B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2B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2B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2B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2B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2B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2B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2B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2B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2B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2B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2B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2B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2B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2B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2B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2B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2B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2B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2B7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23AD"/>
    <w:rPr>
      <w:color w:val="467886" w:themeColor="hyperlink"/>
      <w:u w:val="single"/>
    </w:rPr>
  </w:style>
  <w:style w:type="paragraph" w:customStyle="1" w:styleId="isselectedend">
    <w:name w:val="isselectedend"/>
    <w:basedOn w:val="Normal"/>
    <w:rsid w:val="00EF18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EF1868"/>
  </w:style>
  <w:style w:type="character" w:styleId="Emphasis">
    <w:name w:val="Emphasis"/>
    <w:basedOn w:val="DefaultParagraphFont"/>
    <w:uiPriority w:val="20"/>
    <w:qFormat/>
    <w:rsid w:val="00EF1868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EF18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0433-020-00599-y" TargetMode="External"/><Relationship Id="rId13" Type="http://schemas.openxmlformats.org/officeDocument/2006/relationships/hyperlink" Target="https://www.legislation.gov.uk/ukpga/2014/23/contents" TargetMode="External"/><Relationship Id="rId18" Type="http://schemas.openxmlformats.org/officeDocument/2006/relationships/hyperlink" Target="https://www.england.nhs.uk/long-term-plan/" TargetMode="External"/><Relationship Id="rId26" Type="http://schemas.openxmlformats.org/officeDocument/2006/relationships/hyperlink" Target="https://www.who.int/publications/i/item/9789241565042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cie.org.uk/mca/care-planning" TargetMode="External"/><Relationship Id="rId7" Type="http://schemas.openxmlformats.org/officeDocument/2006/relationships/hyperlink" Target="https://doi.org/10.1093/geront/29.2.183" TargetMode="External"/><Relationship Id="rId12" Type="http://schemas.openxmlformats.org/officeDocument/2006/relationships/hyperlink" Target="https://www.legislation.gov.uk/ukpga/2005/9/contents" TargetMode="External"/><Relationship Id="rId17" Type="http://schemas.openxmlformats.org/officeDocument/2006/relationships/hyperlink" Target="https://www.nice.org.uk/guidance/ng22" TargetMode="External"/><Relationship Id="rId25" Type="http://schemas.openxmlformats.org/officeDocument/2006/relationships/hyperlink" Target="https://doi.org/10.1093/ageing/afw15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ice.org.uk/guidance/ng21" TargetMode="External"/><Relationship Id="rId20" Type="http://schemas.openxmlformats.org/officeDocument/2006/relationships/hyperlink" Target="https://doi.org/10.1007/s12126-008-9019-y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doi.org/10.1016/j.lanepe.2025.101463" TargetMode="External"/><Relationship Id="rId11" Type="http://schemas.openxmlformats.org/officeDocument/2006/relationships/hyperlink" Target="https://www.gov.uk/guidance/care-and-support-statutory-guidance" TargetMode="External"/><Relationship Id="rId24" Type="http://schemas.openxmlformats.org/officeDocument/2006/relationships/hyperlink" Target="https://doi.org/10.1093/geront/gnr098" TargetMode="External"/><Relationship Id="rId5" Type="http://schemas.openxmlformats.org/officeDocument/2006/relationships/hyperlink" Target="https://www.ageuk.org.uk/discover/2024/september/state-of-health-and-care-of-older-people-in-england-2024/" TargetMode="External"/><Relationship Id="rId15" Type="http://schemas.openxmlformats.org/officeDocument/2006/relationships/hyperlink" Target="https://doi.org/10.1016/j.jaging.2020.100870" TargetMode="External"/><Relationship Id="rId23" Type="http://schemas.openxmlformats.org/officeDocument/2006/relationships/hyperlink" Target="https://doi.org/10.1017/S0144686X04003332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ampaigntoendloneliness.org/facts-and-statistics/" TargetMode="External"/><Relationship Id="rId19" Type="http://schemas.openxmlformats.org/officeDocument/2006/relationships/hyperlink" Target="https://www.gov.uk/government/collections/mental-capacity-act-making-decisions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oi.org/10.1016/S2666-7568(22)00010-1" TargetMode="External"/><Relationship Id="rId14" Type="http://schemas.openxmlformats.org/officeDocument/2006/relationships/hyperlink" Target="https://doi.org/10.1155/2023/6630651" TargetMode="External"/><Relationship Id="rId22" Type="http://schemas.openxmlformats.org/officeDocument/2006/relationships/hyperlink" Target="https://www.health.org.uk/publications/person-centred-care-made-simple" TargetMode="External"/><Relationship Id="rId27" Type="http://schemas.openxmlformats.org/officeDocument/2006/relationships/hyperlink" Target="https://www.who.int/initiatives/decade-of-healthy-age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1042</Words>
  <Characters>5945</Characters>
  <Application>Microsoft Office Word</Application>
  <DocSecurity>0</DocSecurity>
  <Lines>49</Lines>
  <Paragraphs>13</Paragraphs>
  <ScaleCrop>false</ScaleCrop>
  <Company/>
  <LinksUpToDate>false</LinksUpToDate>
  <CharactersWithSpaces>6974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Sameena Shahban (2325941)</dc:creator>
  <cp:keywords/>
  <dc:description/>
  <cp:lastModifiedBy>Sameena Shahban (2325941)</cp:lastModifiedBy>
  <cp:revision>13</cp:revision>
  <dcterms:created xsi:type="dcterms:W3CDTF">2026-06-30T08:58:00Z</dcterms:created>
  <dcterms:modified xsi:type="dcterms:W3CDTF">2026-07-07T12:48:00Z</dcterms:modified>
</cp:coreProperties>
</file>