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489CC9" w14:textId="77777777" w:rsidR="00A31DCA" w:rsidRPr="002E5287" w:rsidRDefault="00A31DCA" w:rsidP="00A31DCA">
      <w:pPr>
        <w:spacing w:line="360" w:lineRule="auto"/>
        <w:jc w:val="center"/>
        <w:rPr>
          <w:rFonts w:ascii="Arial" w:hAnsi="Arial" w:cs="Arial"/>
          <w:b/>
          <w:bCs/>
          <w:sz w:val="28"/>
          <w:szCs w:val="24"/>
          <w:lang w:val="en-GB"/>
        </w:rPr>
      </w:pPr>
      <w:r w:rsidRPr="002E5287">
        <w:rPr>
          <w:rFonts w:ascii="Arial" w:hAnsi="Arial" w:cs="Arial"/>
          <w:noProof/>
          <w:sz w:val="24"/>
          <w:szCs w:val="24"/>
          <w:lang w:val="en-GB" w:eastAsia="en-GB"/>
        </w:rPr>
        <w:drawing>
          <wp:anchor distT="0" distB="0" distL="114300" distR="114300" simplePos="0" relativeHeight="251656192" behindDoc="0" locked="0" layoutInCell="1" allowOverlap="1" wp14:anchorId="3EE84E53" wp14:editId="1F8D9870">
            <wp:simplePos x="0" y="0"/>
            <wp:positionH relativeFrom="margin">
              <wp:align>center</wp:align>
            </wp:positionH>
            <wp:positionV relativeFrom="paragraph">
              <wp:posOffset>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21B3B798" w14:textId="77777777" w:rsidR="00A31DCA" w:rsidRPr="002E5287" w:rsidRDefault="00A31DCA" w:rsidP="00A31DCA">
      <w:pPr>
        <w:spacing w:line="360" w:lineRule="auto"/>
        <w:jc w:val="center"/>
        <w:rPr>
          <w:rFonts w:ascii="Arial" w:hAnsi="Arial" w:cs="Arial"/>
          <w:b/>
          <w:bCs/>
          <w:sz w:val="28"/>
          <w:szCs w:val="24"/>
          <w:lang w:val="en-GB"/>
        </w:rPr>
      </w:pPr>
      <w:r w:rsidRPr="002E5287">
        <w:rPr>
          <w:rFonts w:ascii="Arial" w:hAnsi="Arial" w:cs="Arial"/>
          <w:b/>
          <w:bCs/>
          <w:sz w:val="28"/>
          <w:szCs w:val="24"/>
          <w:lang w:val="en-GB"/>
        </w:rPr>
        <w:t>Master of Business Administration</w:t>
      </w:r>
    </w:p>
    <w:p w14:paraId="0696FD44" w14:textId="4E2BE516" w:rsidR="00A31DCA" w:rsidRPr="00DE7AA6" w:rsidRDefault="00A31DCA" w:rsidP="00DE7AA6">
      <w:pPr>
        <w:spacing w:line="360" w:lineRule="auto"/>
        <w:jc w:val="center"/>
        <w:rPr>
          <w:rFonts w:ascii="Arial" w:hAnsi="Arial" w:cs="Arial"/>
          <w:b/>
          <w:bCs/>
          <w:sz w:val="28"/>
          <w:szCs w:val="24"/>
          <w:lang w:val="en-GB"/>
        </w:rPr>
      </w:pPr>
      <w:r w:rsidRPr="002E5287">
        <w:rPr>
          <w:rFonts w:ascii="Arial" w:hAnsi="Arial" w:cs="Arial"/>
          <w:b/>
          <w:bCs/>
          <w:sz w:val="28"/>
          <w:szCs w:val="24"/>
          <w:lang w:val="en-GB"/>
        </w:rPr>
        <w:t>Student Name:</w:t>
      </w:r>
      <w:r w:rsidR="000621B1" w:rsidRPr="000621B1">
        <w:t xml:space="preserve"> </w:t>
      </w:r>
      <w:r w:rsidR="000621B1" w:rsidRPr="000621B1">
        <w:rPr>
          <w:rFonts w:ascii="Arial" w:hAnsi="Arial" w:cs="Arial"/>
          <w:b/>
          <w:bCs/>
          <w:sz w:val="28"/>
          <w:szCs w:val="24"/>
          <w:lang w:val="en-GB"/>
        </w:rPr>
        <w:t>Md Sonet Islam</w:t>
      </w:r>
      <w:r w:rsidRPr="002E5287">
        <w:rPr>
          <w:rFonts w:ascii="Arial" w:hAnsi="Arial" w:cs="Arial"/>
          <w:sz w:val="28"/>
          <w:szCs w:val="24"/>
          <w:lang w:val="en-GB"/>
        </w:rPr>
        <w:t xml:space="preserve"> </w:t>
      </w:r>
    </w:p>
    <w:p w14:paraId="697ED246" w14:textId="3A1A4FE1" w:rsidR="00A31DCA" w:rsidRPr="002E5287" w:rsidRDefault="00A31DCA" w:rsidP="00A31DCA">
      <w:pPr>
        <w:spacing w:line="360" w:lineRule="auto"/>
        <w:jc w:val="center"/>
        <w:rPr>
          <w:rFonts w:ascii="Arial" w:hAnsi="Arial" w:cs="Arial"/>
          <w:sz w:val="28"/>
          <w:szCs w:val="24"/>
          <w:lang w:val="en-GB"/>
        </w:rPr>
      </w:pPr>
      <w:r w:rsidRPr="002E5287">
        <w:rPr>
          <w:rFonts w:ascii="Arial" w:hAnsi="Arial" w:cs="Arial"/>
          <w:b/>
          <w:bCs/>
          <w:sz w:val="28"/>
          <w:szCs w:val="24"/>
          <w:lang w:val="en-GB"/>
        </w:rPr>
        <w:t>Student Number:</w:t>
      </w:r>
      <w:r w:rsidR="000621B1" w:rsidRPr="000621B1">
        <w:t xml:space="preserve"> </w:t>
      </w:r>
      <w:r w:rsidR="002D1910">
        <w:rPr>
          <w:rFonts w:ascii="Arial" w:hAnsi="Arial" w:cs="Arial"/>
          <w:b/>
          <w:bCs/>
          <w:sz w:val="28"/>
          <w:szCs w:val="24"/>
          <w:lang w:val="en-GB"/>
        </w:rPr>
        <w:t>2504936</w:t>
      </w:r>
    </w:p>
    <w:p w14:paraId="4155A697" w14:textId="7E31837D" w:rsidR="00A31DCA" w:rsidRPr="002E5287" w:rsidRDefault="00A31DCA" w:rsidP="00A31DCA">
      <w:pPr>
        <w:spacing w:line="360" w:lineRule="auto"/>
        <w:jc w:val="center"/>
        <w:rPr>
          <w:rFonts w:ascii="Arial" w:hAnsi="Arial" w:cs="Arial"/>
          <w:b/>
          <w:bCs/>
          <w:sz w:val="28"/>
          <w:szCs w:val="24"/>
          <w:lang w:val="en-GB"/>
        </w:rPr>
      </w:pPr>
      <w:r w:rsidRPr="002E5287">
        <w:rPr>
          <w:rFonts w:ascii="Arial" w:hAnsi="Arial" w:cs="Arial"/>
          <w:b/>
          <w:bCs/>
          <w:sz w:val="28"/>
          <w:szCs w:val="24"/>
          <w:lang w:val="en-GB"/>
        </w:rPr>
        <w:t xml:space="preserve">Module code: </w:t>
      </w:r>
      <w:r w:rsidR="008A0DD0" w:rsidRPr="008A0DD0">
        <w:rPr>
          <w:rFonts w:ascii="Arial" w:hAnsi="Arial" w:cs="Arial"/>
          <w:b/>
          <w:bCs/>
          <w:sz w:val="28"/>
          <w:szCs w:val="24"/>
          <w:lang w:val="en-GB"/>
        </w:rPr>
        <w:t>LCMB703</w:t>
      </w:r>
      <w:r w:rsidR="00B60E67">
        <w:rPr>
          <w:rFonts w:ascii="Arial" w:hAnsi="Arial" w:cs="Arial"/>
          <w:b/>
          <w:bCs/>
          <w:sz w:val="28"/>
          <w:szCs w:val="24"/>
          <w:lang w:val="en-GB"/>
        </w:rPr>
        <w:t>7</w:t>
      </w:r>
    </w:p>
    <w:p w14:paraId="0DE4BC8F" w14:textId="7BBEEC78" w:rsidR="00A31DCA" w:rsidRPr="008A0DD0" w:rsidRDefault="00A31DCA" w:rsidP="008A0DD0">
      <w:pPr>
        <w:spacing w:line="360" w:lineRule="auto"/>
        <w:jc w:val="center"/>
        <w:rPr>
          <w:rFonts w:ascii="Arial" w:hAnsi="Arial" w:cs="Arial"/>
          <w:b/>
          <w:bCs/>
          <w:sz w:val="28"/>
          <w:szCs w:val="24"/>
          <w:lang w:val="en-GB"/>
        </w:rPr>
      </w:pPr>
      <w:r w:rsidRPr="002E5287">
        <w:rPr>
          <w:rFonts w:ascii="Arial" w:hAnsi="Arial" w:cs="Arial"/>
          <w:b/>
          <w:bCs/>
          <w:sz w:val="28"/>
          <w:szCs w:val="24"/>
          <w:lang w:val="en-GB"/>
        </w:rPr>
        <w:t xml:space="preserve">Module Name: </w:t>
      </w:r>
      <w:r w:rsidR="008A0DD0" w:rsidRPr="008A0DD0">
        <w:rPr>
          <w:rFonts w:ascii="Arial" w:hAnsi="Arial" w:cs="Arial"/>
          <w:b/>
          <w:bCs/>
          <w:sz w:val="28"/>
          <w:szCs w:val="24"/>
          <w:lang w:val="en-GB"/>
        </w:rPr>
        <w:t>Business Development Proposal</w:t>
      </w:r>
    </w:p>
    <w:p w14:paraId="1B227B4A" w14:textId="1FA5CCAA" w:rsidR="0065437D" w:rsidRPr="002E5287" w:rsidRDefault="00A31DCA" w:rsidP="004439A2">
      <w:pPr>
        <w:spacing w:line="360" w:lineRule="auto"/>
        <w:jc w:val="center"/>
        <w:rPr>
          <w:rFonts w:ascii="Arial" w:hAnsi="Arial" w:cs="Arial"/>
          <w:b/>
          <w:bCs/>
          <w:sz w:val="28"/>
          <w:szCs w:val="24"/>
          <w:lang w:val="en-GB"/>
        </w:rPr>
      </w:pPr>
      <w:r w:rsidRPr="002E5287">
        <w:rPr>
          <w:rFonts w:ascii="Arial" w:hAnsi="Arial" w:cs="Arial"/>
          <w:b/>
          <w:bCs/>
          <w:sz w:val="28"/>
          <w:szCs w:val="24"/>
          <w:lang w:val="en-GB"/>
        </w:rPr>
        <w:t xml:space="preserve">Title: </w:t>
      </w:r>
      <w:r w:rsidR="004439A2" w:rsidRPr="004439A2">
        <w:rPr>
          <w:rFonts w:ascii="Arial" w:hAnsi="Arial" w:cs="Arial"/>
          <w:b/>
          <w:bCs/>
          <w:sz w:val="28"/>
          <w:szCs w:val="24"/>
          <w:lang w:val="en-GB"/>
        </w:rPr>
        <w:t>"</w:t>
      </w:r>
      <w:r w:rsidR="008A0DD0" w:rsidRPr="008A0DD0">
        <w:t xml:space="preserve"> </w:t>
      </w:r>
      <w:r w:rsidR="007B7149" w:rsidRPr="007B7149">
        <w:rPr>
          <w:rFonts w:ascii="Arial" w:hAnsi="Arial" w:cs="Arial"/>
          <w:b/>
          <w:bCs/>
          <w:sz w:val="28"/>
          <w:szCs w:val="24"/>
          <w:lang w:val="en-GB"/>
        </w:rPr>
        <w:t>Developing a Premium Specialty Coffee Shop through Ethical Sourcing and Sustainable Supply Chain Management to Enhance Competitive Advantage in the UK</w:t>
      </w:r>
      <w:r w:rsidR="004439A2" w:rsidRPr="004439A2">
        <w:rPr>
          <w:rFonts w:ascii="Arial" w:hAnsi="Arial" w:cs="Arial"/>
          <w:b/>
          <w:bCs/>
          <w:sz w:val="28"/>
          <w:szCs w:val="24"/>
          <w:lang w:val="en-GB"/>
        </w:rPr>
        <w:t>"</w:t>
      </w:r>
    </w:p>
    <w:p w14:paraId="09021493" w14:textId="0117E2F0" w:rsidR="006E29E7" w:rsidRPr="000621B1" w:rsidRDefault="006E29E7" w:rsidP="000621B1">
      <w:pPr>
        <w:spacing w:line="360" w:lineRule="auto"/>
        <w:jc w:val="center"/>
        <w:rPr>
          <w:rFonts w:ascii="Arial" w:hAnsi="Arial" w:cs="Arial"/>
          <w:b/>
          <w:bCs/>
          <w:sz w:val="28"/>
          <w:szCs w:val="24"/>
          <w:lang w:val="en-GB"/>
        </w:rPr>
      </w:pPr>
      <w:r w:rsidRPr="002E5287">
        <w:rPr>
          <w:rFonts w:ascii="Arial" w:hAnsi="Arial" w:cs="Arial"/>
          <w:b/>
          <w:bCs/>
          <w:sz w:val="28"/>
          <w:szCs w:val="24"/>
          <w:lang w:val="en-GB"/>
        </w:rPr>
        <w:t xml:space="preserve">Supervisor: </w:t>
      </w:r>
      <w:r w:rsidR="000621B1" w:rsidRPr="000621B1">
        <w:rPr>
          <w:rFonts w:ascii="Arial" w:hAnsi="Arial" w:cs="Arial"/>
          <w:b/>
          <w:bCs/>
          <w:sz w:val="28"/>
          <w:szCs w:val="24"/>
          <w:lang w:val="en-GB"/>
        </w:rPr>
        <w:t>Balendran Kandasamy</w:t>
      </w:r>
    </w:p>
    <w:p w14:paraId="1D38A85A" w14:textId="48902FC3" w:rsidR="00493CD3" w:rsidRPr="002E5287" w:rsidRDefault="00493CD3" w:rsidP="00A31DCA">
      <w:pPr>
        <w:spacing w:line="360" w:lineRule="auto"/>
        <w:jc w:val="center"/>
        <w:rPr>
          <w:rFonts w:ascii="Arial" w:hAnsi="Arial" w:cs="Arial"/>
          <w:b/>
          <w:bCs/>
          <w:sz w:val="28"/>
          <w:szCs w:val="24"/>
          <w:lang w:val="en-GB"/>
        </w:rPr>
      </w:pPr>
      <w:r w:rsidRPr="002E5287">
        <w:rPr>
          <w:rFonts w:ascii="Arial" w:hAnsi="Arial" w:cs="Arial"/>
          <w:b/>
          <w:bCs/>
          <w:sz w:val="28"/>
          <w:szCs w:val="24"/>
          <w:lang w:val="en-GB"/>
        </w:rPr>
        <w:t xml:space="preserve">Words Count: </w:t>
      </w:r>
    </w:p>
    <w:p w14:paraId="4F22319B" w14:textId="77777777" w:rsidR="0065437D" w:rsidRPr="002E5287" w:rsidRDefault="0065437D">
      <w:pPr>
        <w:spacing w:line="278" w:lineRule="auto"/>
        <w:rPr>
          <w:rFonts w:ascii="Arial" w:hAnsi="Arial" w:cs="Arial"/>
          <w:b/>
          <w:bCs/>
          <w:sz w:val="28"/>
          <w:szCs w:val="24"/>
          <w:lang w:val="en-GB"/>
        </w:rPr>
      </w:pPr>
      <w:r w:rsidRPr="002E5287">
        <w:rPr>
          <w:rFonts w:ascii="Arial" w:hAnsi="Arial" w:cs="Arial"/>
          <w:b/>
          <w:bCs/>
          <w:sz w:val="28"/>
          <w:szCs w:val="24"/>
          <w:lang w:val="en-GB"/>
        </w:rPr>
        <w:br w:type="page"/>
      </w:r>
    </w:p>
    <w:p w14:paraId="044431BD" w14:textId="77777777" w:rsidR="00E23192" w:rsidRPr="002E5287" w:rsidRDefault="00E23192" w:rsidP="006B0B70">
      <w:pPr>
        <w:pBdr>
          <w:top w:val="single" w:sz="4" w:space="1" w:color="auto"/>
          <w:left w:val="single" w:sz="4" w:space="4" w:color="auto"/>
          <w:bottom w:val="single" w:sz="4" w:space="31" w:color="auto"/>
          <w:right w:val="single" w:sz="4" w:space="4" w:color="auto"/>
        </w:pBdr>
        <w:spacing w:after="120"/>
        <w:rPr>
          <w:rFonts w:ascii="Arial" w:hAnsi="Arial" w:cs="Arial"/>
          <w:lang w:val="en-GB"/>
        </w:rPr>
        <w:sectPr w:rsidR="00E23192" w:rsidRPr="002E5287" w:rsidSect="00E23192">
          <w:pgSz w:w="11906" w:h="16838"/>
          <w:pgMar w:top="1440" w:right="1440" w:bottom="1440" w:left="1440" w:header="708" w:footer="708" w:gutter="0"/>
          <w:pgBorders w:display="firstPage" w:offsetFrom="page">
            <w:top w:val="stars" w:sz="12" w:space="24" w:color="auto"/>
            <w:left w:val="stars" w:sz="12" w:space="24" w:color="auto"/>
            <w:bottom w:val="stars" w:sz="12" w:space="24" w:color="auto"/>
            <w:right w:val="stars" w:sz="12" w:space="24" w:color="auto"/>
          </w:pgBorders>
          <w:cols w:space="708"/>
          <w:docGrid w:linePitch="360"/>
        </w:sectPr>
      </w:pPr>
    </w:p>
    <w:p w14:paraId="6DD5F800"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jc w:val="center"/>
        <w:rPr>
          <w:rFonts w:ascii="Arial" w:hAnsi="Arial" w:cs="Arial"/>
          <w:lang w:val="en-GB"/>
        </w:rPr>
      </w:pPr>
      <w:r w:rsidRPr="002E5287">
        <w:rPr>
          <w:rFonts w:ascii="Arial" w:hAnsi="Arial" w:cs="Arial"/>
          <w:noProof/>
          <w:lang w:val="en-GB" w:eastAsia="en-GB"/>
        </w:rPr>
        <w:lastRenderedPageBreak/>
        <w:drawing>
          <wp:inline distT="0" distB="0" distL="0" distR="0" wp14:anchorId="5949BE15" wp14:editId="7D0E23E3">
            <wp:extent cx="2844800" cy="1168400"/>
            <wp:effectExtent l="0" t="0" r="0" b="0"/>
            <wp:docPr id="1828942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p w14:paraId="4497F908"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jc w:val="center"/>
        <w:rPr>
          <w:rFonts w:ascii="Arial" w:hAnsi="Arial" w:cs="Arial"/>
          <w:b/>
          <w:sz w:val="28"/>
          <w:szCs w:val="28"/>
          <w:lang w:val="en-GB"/>
        </w:rPr>
      </w:pPr>
    </w:p>
    <w:p w14:paraId="15398A71"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jc w:val="center"/>
        <w:rPr>
          <w:rFonts w:ascii="Arial" w:hAnsi="Arial" w:cs="Arial"/>
          <w:sz w:val="28"/>
          <w:szCs w:val="28"/>
          <w:lang w:val="en-GB"/>
        </w:rPr>
      </w:pPr>
      <w:r w:rsidRPr="002E5287">
        <w:rPr>
          <w:rFonts w:ascii="Arial" w:hAnsi="Arial" w:cs="Arial"/>
          <w:b/>
          <w:sz w:val="28"/>
          <w:szCs w:val="28"/>
          <w:lang w:val="en-GB"/>
        </w:rPr>
        <w:t>Master’s Degrees by Examination and Dissertation</w:t>
      </w:r>
    </w:p>
    <w:p w14:paraId="5B80BF0E"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jc w:val="center"/>
        <w:rPr>
          <w:rFonts w:ascii="Arial" w:hAnsi="Arial" w:cs="Arial"/>
          <w:sz w:val="28"/>
          <w:szCs w:val="28"/>
          <w:lang w:val="en-GB"/>
        </w:rPr>
      </w:pPr>
      <w:r w:rsidRPr="002E5287">
        <w:rPr>
          <w:rFonts w:ascii="Arial" w:hAnsi="Arial" w:cs="Arial"/>
          <w:b/>
          <w:sz w:val="28"/>
          <w:szCs w:val="28"/>
          <w:lang w:val="en-GB"/>
        </w:rPr>
        <w:t>Declaration Form</w:t>
      </w:r>
    </w:p>
    <w:p w14:paraId="752E6A27"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line="480" w:lineRule="auto"/>
        <w:rPr>
          <w:rFonts w:ascii="Arial" w:hAnsi="Arial" w:cs="Arial"/>
          <w:lang w:val="en-GB"/>
        </w:rPr>
      </w:pPr>
    </w:p>
    <w:p w14:paraId="10AB53DB" w14:textId="6D16A244" w:rsidR="0065437D" w:rsidRPr="002E5287" w:rsidRDefault="0065437D" w:rsidP="0065437D">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2E5287">
        <w:rPr>
          <w:rFonts w:ascii="Arial" w:hAnsi="Arial" w:cs="Arial"/>
          <w:sz w:val="24"/>
          <w:szCs w:val="24"/>
          <w:lang w:val="en-GB"/>
        </w:rPr>
        <w:t xml:space="preserve">I, </w:t>
      </w:r>
      <w:r w:rsidR="000621B1" w:rsidRPr="000621B1">
        <w:rPr>
          <w:rFonts w:ascii="Arial" w:hAnsi="Arial" w:cs="Arial"/>
          <w:bCs/>
          <w:sz w:val="24"/>
          <w:szCs w:val="24"/>
          <w:lang w:val="en-GB"/>
        </w:rPr>
        <w:t>Md Sonet Islam</w:t>
      </w:r>
      <w:r w:rsidR="000621B1" w:rsidRPr="002E5287">
        <w:rPr>
          <w:rFonts w:ascii="Arial" w:hAnsi="Arial" w:cs="Arial"/>
          <w:sz w:val="28"/>
          <w:szCs w:val="24"/>
          <w:lang w:val="en-GB"/>
        </w:rPr>
        <w:t xml:space="preserve"> </w:t>
      </w:r>
      <w:r w:rsidRPr="002E5287">
        <w:rPr>
          <w:rFonts w:ascii="Arial" w:hAnsi="Arial" w:cs="Arial"/>
          <w:sz w:val="24"/>
          <w:szCs w:val="24"/>
          <w:lang w:val="en-GB"/>
        </w:rPr>
        <w:t xml:space="preserve">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17BCAB70"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2E5287">
        <w:rPr>
          <w:rFonts w:ascii="Arial" w:hAnsi="Arial" w:cs="Arial"/>
          <w:sz w:val="24"/>
          <w:szCs w:val="24"/>
          <w:lang w:val="en-GB"/>
        </w:rPr>
        <w:t xml:space="preserve"> </w:t>
      </w:r>
    </w:p>
    <w:p w14:paraId="597DF5D0" w14:textId="30B62EE2" w:rsidR="0065437D" w:rsidRPr="002E5287" w:rsidRDefault="0065437D" w:rsidP="00E358F4">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2E5287">
        <w:rPr>
          <w:rFonts w:ascii="Arial" w:hAnsi="Arial" w:cs="Arial"/>
          <w:sz w:val="24"/>
          <w:szCs w:val="24"/>
          <w:lang w:val="en-GB"/>
        </w:rPr>
        <w:t xml:space="preserve">Signature: </w:t>
      </w:r>
      <w:r w:rsidR="00E358F4" w:rsidRPr="00E358F4">
        <w:rPr>
          <w:rFonts w:ascii="Arial" w:hAnsi="Arial" w:cs="Arial"/>
          <w:bCs/>
          <w:sz w:val="24"/>
          <w:szCs w:val="24"/>
          <w:lang w:val="en-GB"/>
        </w:rPr>
        <w:t>Md Sonet Islam</w:t>
      </w:r>
    </w:p>
    <w:p w14:paraId="504C1E27" w14:textId="16466DCD" w:rsidR="0065437D" w:rsidRPr="002E5287" w:rsidRDefault="0065437D" w:rsidP="00E358F4">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2E5287">
        <w:rPr>
          <w:rFonts w:ascii="Arial" w:hAnsi="Arial" w:cs="Arial"/>
          <w:sz w:val="24"/>
          <w:szCs w:val="24"/>
          <w:lang w:val="en-GB"/>
        </w:rPr>
        <w:t xml:space="preserve">Date: </w:t>
      </w:r>
    </w:p>
    <w:p w14:paraId="132DA619"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rPr>
          <w:rFonts w:ascii="Arial" w:hAnsi="Arial" w:cs="Arial"/>
          <w:lang w:val="en-GB"/>
        </w:rPr>
      </w:pPr>
    </w:p>
    <w:p w14:paraId="546F70D7" w14:textId="77777777" w:rsidR="00A31DCA" w:rsidRPr="002E5287" w:rsidRDefault="00A31DCA" w:rsidP="00A31DCA">
      <w:pPr>
        <w:spacing w:line="360" w:lineRule="auto"/>
        <w:jc w:val="center"/>
        <w:rPr>
          <w:rFonts w:ascii="Arial" w:hAnsi="Arial" w:cs="Arial"/>
          <w:b/>
          <w:bCs/>
          <w:sz w:val="28"/>
          <w:szCs w:val="24"/>
          <w:lang w:val="en-GB"/>
        </w:rPr>
      </w:pPr>
    </w:p>
    <w:p w14:paraId="77091BF3" w14:textId="77777777" w:rsidR="00C65345" w:rsidRDefault="00C65345" w:rsidP="00A31DCA">
      <w:pPr>
        <w:spacing w:line="360" w:lineRule="auto"/>
        <w:rPr>
          <w:rFonts w:ascii="Arial" w:hAnsi="Arial" w:cs="Arial"/>
          <w:b/>
          <w:lang w:val="en-GB"/>
        </w:rPr>
      </w:pPr>
    </w:p>
    <w:p w14:paraId="0D2CBAC3" w14:textId="77777777" w:rsidR="00C65345" w:rsidRDefault="00C65345" w:rsidP="00A31DCA">
      <w:pPr>
        <w:spacing w:line="360" w:lineRule="auto"/>
        <w:rPr>
          <w:rFonts w:ascii="Arial" w:hAnsi="Arial" w:cs="Arial"/>
          <w:b/>
          <w:lang w:val="en-GB"/>
        </w:rPr>
      </w:pPr>
    </w:p>
    <w:p w14:paraId="0FE213E2" w14:textId="77777777" w:rsidR="00C65345" w:rsidRDefault="00C65345" w:rsidP="00A31DCA">
      <w:pPr>
        <w:spacing w:line="360" w:lineRule="auto"/>
        <w:rPr>
          <w:rFonts w:ascii="Arial" w:hAnsi="Arial" w:cs="Arial"/>
          <w:b/>
          <w:lang w:val="en-GB"/>
        </w:rPr>
      </w:pPr>
    </w:p>
    <w:p w14:paraId="3C0D2CD3" w14:textId="77777777" w:rsidR="00C65345" w:rsidRDefault="00C65345" w:rsidP="00A31DCA">
      <w:pPr>
        <w:spacing w:line="360" w:lineRule="auto"/>
        <w:rPr>
          <w:rFonts w:ascii="Arial" w:hAnsi="Arial" w:cs="Arial"/>
          <w:b/>
          <w:lang w:val="en-GB"/>
        </w:rPr>
      </w:pPr>
    </w:p>
    <w:p w14:paraId="27606DFD" w14:textId="77777777" w:rsidR="00C65345" w:rsidRDefault="00C65345" w:rsidP="00A31DCA">
      <w:pPr>
        <w:spacing w:line="360" w:lineRule="auto"/>
        <w:rPr>
          <w:rFonts w:ascii="Arial" w:hAnsi="Arial" w:cs="Arial"/>
          <w:b/>
          <w:lang w:val="en-GB"/>
        </w:rPr>
      </w:pPr>
    </w:p>
    <w:p w14:paraId="7E35EA1B" w14:textId="77777777" w:rsidR="00C65345" w:rsidRDefault="00C65345" w:rsidP="00A31DCA">
      <w:pPr>
        <w:spacing w:line="360" w:lineRule="auto"/>
        <w:rPr>
          <w:rFonts w:ascii="Arial" w:hAnsi="Arial" w:cs="Arial"/>
          <w:b/>
          <w:lang w:val="en-GB"/>
        </w:rPr>
      </w:pPr>
    </w:p>
    <w:p w14:paraId="44FDFB72" w14:textId="77777777" w:rsidR="00C65345" w:rsidRDefault="00C65345" w:rsidP="00A31DCA">
      <w:pPr>
        <w:spacing w:line="360" w:lineRule="auto"/>
        <w:rPr>
          <w:rFonts w:ascii="Arial" w:hAnsi="Arial" w:cs="Arial"/>
          <w:b/>
          <w:lang w:val="en-GB"/>
        </w:rPr>
      </w:pPr>
    </w:p>
    <w:p w14:paraId="148B0E99" w14:textId="77777777" w:rsidR="00C65345" w:rsidRPr="00C65345" w:rsidRDefault="00C65345" w:rsidP="00C65345">
      <w:pPr>
        <w:pStyle w:val="Heading1"/>
        <w:jc w:val="center"/>
        <w:rPr>
          <w:lang w:val="en-GB"/>
        </w:rPr>
      </w:pPr>
      <w:bookmarkStart w:id="0" w:name="_Toc240811370"/>
      <w:r w:rsidRPr="00C65345">
        <w:rPr>
          <w:lang w:val="en-GB"/>
        </w:rPr>
        <w:lastRenderedPageBreak/>
        <w:t>Executive Summary</w:t>
      </w:r>
      <w:bookmarkEnd w:id="0"/>
    </w:p>
    <w:p w14:paraId="35BBBC14" w14:textId="77777777" w:rsidR="00C65345" w:rsidRPr="00C65345" w:rsidRDefault="00C65345" w:rsidP="00C65345">
      <w:pPr>
        <w:spacing w:before="240" w:line="360" w:lineRule="auto"/>
        <w:jc w:val="both"/>
        <w:rPr>
          <w:rFonts w:ascii="Arial" w:hAnsi="Arial" w:cs="Arial"/>
          <w:sz w:val="24"/>
          <w:lang w:val="en-GB"/>
        </w:rPr>
      </w:pPr>
      <w:r w:rsidRPr="00C65345">
        <w:rPr>
          <w:rFonts w:ascii="Arial" w:hAnsi="Arial" w:cs="Arial"/>
          <w:sz w:val="24"/>
          <w:lang w:val="en-GB"/>
        </w:rPr>
        <w:t>The Ethical Bean Coffee House (TEBC) is a planned high quality, specialist coffee house in Monmouth Street, Covent Garden, London. The business taps into a well-established UK coffee-shop chain with a combination of specialty coffee quality and a reassuringly ethical supply chain, transparency, sustainability and bespoke customer service. TEBC will not be selling coffee primarily on price, but it will focus on differentiation – with customers who appreciate high quality coffee and want to see where it comes from and where it goes.</w:t>
      </w:r>
    </w:p>
    <w:p w14:paraId="7E2B2374" w14:textId="77777777" w:rsidR="00C65345" w:rsidRPr="00C65345" w:rsidRDefault="00C65345" w:rsidP="00C65345">
      <w:pPr>
        <w:spacing w:before="240" w:line="360" w:lineRule="auto"/>
        <w:jc w:val="both"/>
        <w:rPr>
          <w:rFonts w:ascii="Arial" w:hAnsi="Arial" w:cs="Arial"/>
          <w:sz w:val="24"/>
          <w:lang w:val="en-GB"/>
        </w:rPr>
      </w:pPr>
      <w:r w:rsidRPr="00C65345">
        <w:rPr>
          <w:rFonts w:ascii="Arial" w:hAnsi="Arial" w:cs="Arial"/>
          <w:sz w:val="24"/>
          <w:lang w:val="en-GB"/>
        </w:rPr>
        <w:t>This market opportunity is backed by the ongoing growth of the UK coffee-shop market, such as the demand for specialty products, and hospitality and experience-led consumption. A mix of local workers and residents, and significant visitor activity, provide a broad range of potential customers in the area of Covent Garden. The proposal acknowledges however, that too much foot traffic may not necessarily mean too many sales. There are specialty and chain competitors in the local market, and customers are able to switch to other food-and-beverage options or make their own at home rather than buying at the café. Therefore, TEBC concentrates on a real customer need and not on the assumption that market growth will ensure demand.</w:t>
      </w:r>
    </w:p>
    <w:p w14:paraId="57FC1153" w14:textId="77777777" w:rsidR="00C65345" w:rsidRPr="00C65345" w:rsidRDefault="00C65345" w:rsidP="00C65345">
      <w:pPr>
        <w:spacing w:before="240" w:line="360" w:lineRule="auto"/>
        <w:jc w:val="both"/>
        <w:rPr>
          <w:rFonts w:ascii="Arial" w:hAnsi="Arial" w:cs="Arial"/>
          <w:sz w:val="24"/>
          <w:lang w:val="en-GB"/>
        </w:rPr>
      </w:pPr>
      <w:r w:rsidRPr="00C65345">
        <w:rPr>
          <w:rFonts w:ascii="Arial" w:hAnsi="Arial" w:cs="Arial"/>
          <w:sz w:val="24"/>
          <w:lang w:val="en-GB"/>
        </w:rPr>
        <w:t>The main target audience are consumers who value the ethical aspect of their coffee, professional city residents and selected visitors in and around Covent Garden. These consumers are likely to appreciate specialty quality coffee, ease of service, a unique ambiance and verifiable proof of responsible sourcing. TEBC's value proposition is to offer premium specialty coffee in a customer experience café with ethical sourcing, traceability and sustainability more prominent in the customer journey. It will be backed up with personalised service, well-chosen suppliers, trained baristas and clear customer communication.</w:t>
      </w:r>
    </w:p>
    <w:p w14:paraId="7C31847A" w14:textId="77777777" w:rsidR="00C65345" w:rsidRPr="00C65345" w:rsidRDefault="00C65345" w:rsidP="00C65345">
      <w:pPr>
        <w:spacing w:before="240" w:line="360" w:lineRule="auto"/>
        <w:jc w:val="both"/>
        <w:rPr>
          <w:rFonts w:ascii="Arial" w:hAnsi="Arial" w:cs="Arial"/>
          <w:sz w:val="24"/>
          <w:lang w:val="en-GB"/>
        </w:rPr>
      </w:pPr>
      <w:r w:rsidRPr="00C65345">
        <w:rPr>
          <w:rFonts w:ascii="Arial" w:hAnsi="Arial" w:cs="Arial"/>
          <w:sz w:val="24"/>
          <w:lang w:val="en-GB"/>
        </w:rPr>
        <w:t xml:space="preserve">The proposed competitive advantage would be based on specialty quality and customer experience with ethical differentiation. The term ethical coffee sourcing is not exclusive as the competition also can speak of sustainability and provenance. TEBC will therefore try to reinforce the differentiation by building credible supplier relations, traceability, applying sustainability practices in a consistent way and being visible in customer communications. A staged approach will first target a smaller </w:t>
      </w:r>
      <w:r w:rsidRPr="00C65345">
        <w:rPr>
          <w:rFonts w:ascii="Arial" w:hAnsi="Arial" w:cs="Arial"/>
          <w:sz w:val="24"/>
          <w:lang w:val="en-GB"/>
        </w:rPr>
        <w:lastRenderedPageBreak/>
        <w:t>portion of the Covent Garden and a targeted group of customers, before the business will expand into the rest of the space.</w:t>
      </w:r>
    </w:p>
    <w:p w14:paraId="12B428AB" w14:textId="77777777" w:rsidR="00C65345" w:rsidRPr="00C65345" w:rsidRDefault="00C65345" w:rsidP="00C65345">
      <w:pPr>
        <w:spacing w:before="240" w:line="360" w:lineRule="auto"/>
        <w:jc w:val="both"/>
        <w:rPr>
          <w:rFonts w:ascii="Arial" w:hAnsi="Arial" w:cs="Arial"/>
          <w:sz w:val="24"/>
          <w:lang w:val="en-GB"/>
        </w:rPr>
      </w:pPr>
      <w:r w:rsidRPr="00C65345">
        <w:rPr>
          <w:rFonts w:ascii="Arial" w:hAnsi="Arial" w:cs="Arial"/>
          <w:sz w:val="24"/>
          <w:lang w:val="en-GB"/>
        </w:rPr>
        <w:t>From an operational viewpoint, the project will rely on a physical café, a digital payment system, a customer-engagement system and a stock-management system. The first operating model will focus on reliable suppliers, the correct espresso and preparation equipment, trained staff, efficient customer flow, inventory controls and standard operating procedures. In Year 1, their planning assumption is that they will have 135 transactions per trading day, over 310 trading days, which means that they will have about 41,850 transactions and are expecting to generate £292,950 in revenue, with the average transaction value being £7. The contribution margin for a business is 70% with a 30% variable-cost assumption. The total fixed operating costs are of the order of £205,000 which means it should break even at about £292,857 in revenue, approximately 41,837 transactions or about 135 transactions per day. This means there is just a small margin of safety and it is important to validate the demand, control costs and protect working capital.</w:t>
      </w:r>
    </w:p>
    <w:p w14:paraId="2488F4C6" w14:textId="77777777" w:rsidR="00C65345" w:rsidRPr="00C65345" w:rsidRDefault="00C65345" w:rsidP="00C65345">
      <w:pPr>
        <w:spacing w:before="240" w:line="360" w:lineRule="auto"/>
        <w:jc w:val="both"/>
        <w:rPr>
          <w:rFonts w:ascii="Arial" w:hAnsi="Arial" w:cs="Arial"/>
          <w:sz w:val="24"/>
          <w:lang w:val="en-GB"/>
        </w:rPr>
      </w:pPr>
      <w:r w:rsidRPr="00C65345">
        <w:rPr>
          <w:rFonts w:ascii="Arial" w:hAnsi="Arial" w:cs="Arial"/>
          <w:sz w:val="24"/>
          <w:lang w:val="en-GB"/>
        </w:rPr>
        <w:t>The proposed start-up investment is around £200k for premises and fit-out, equipment, initial stock, professional/pre-opening costs, recruitment/training, launch marketing and working capital. It will be a phased implementation that will take 4 months to implement, including funding and compliance, premises and equipment, supplier confirmation, recruitment and training, marketing, soft launch and full launch, and KPI monitoring post launch.</w:t>
      </w:r>
    </w:p>
    <w:p w14:paraId="61F7479B" w14:textId="77777777" w:rsidR="00527C4D" w:rsidRDefault="00C65345" w:rsidP="00C65345">
      <w:pPr>
        <w:spacing w:before="240" w:line="360" w:lineRule="auto"/>
        <w:jc w:val="both"/>
        <w:rPr>
          <w:rFonts w:ascii="Arial" w:hAnsi="Arial" w:cs="Arial"/>
          <w:sz w:val="24"/>
          <w:lang w:val="en-GB"/>
        </w:rPr>
      </w:pPr>
      <w:r w:rsidRPr="00C65345">
        <w:rPr>
          <w:rFonts w:ascii="Arial" w:hAnsi="Arial" w:cs="Arial"/>
          <w:sz w:val="24"/>
          <w:lang w:val="en-GB"/>
        </w:rPr>
        <w:t>The outcomes expected are a financially managed specialty café, the building of repeat customers, a realistic approach to ethical sourcing and a logical way of thinking about future growth opportunities, along with a consistent service quality. The key success factors will be proven customer demand, ethical and reliable suppliers, quality consistency of specialty coffees, trained staff, measurable aspects of service, disciplined cost control and credible aspects of the sustainability communication. Overall, the proposal is seen as a good one to support a staged and conditional launch, provided it is finalized with funding, regulation, premises, supplier, staffing and demand validation.</w:t>
      </w:r>
    </w:p>
    <w:p w14:paraId="72537C3D" w14:textId="5DB10DDF" w:rsidR="00A31DCA" w:rsidRPr="002E5287" w:rsidRDefault="00A31DCA" w:rsidP="00C65345">
      <w:pPr>
        <w:spacing w:before="240" w:line="360" w:lineRule="auto"/>
        <w:jc w:val="both"/>
        <w:rPr>
          <w:rFonts w:ascii="Arial" w:hAnsi="Arial" w:cs="Arial"/>
          <w:b/>
          <w:lang w:val="en-GB"/>
        </w:rPr>
      </w:pPr>
      <w:r w:rsidRPr="002E5287">
        <w:rPr>
          <w:rFonts w:ascii="Arial" w:hAnsi="Arial" w:cs="Arial"/>
          <w:b/>
          <w:lang w:val="en-GB"/>
        </w:rPr>
        <w:br w:type="page"/>
      </w:r>
    </w:p>
    <w:sdt>
      <w:sdtPr>
        <w:rPr>
          <w:rFonts w:asciiTheme="minorHAnsi" w:eastAsiaTheme="minorHAnsi" w:hAnsiTheme="minorHAnsi" w:cstheme="minorBidi"/>
          <w:b/>
          <w:color w:val="auto"/>
          <w:sz w:val="22"/>
          <w:szCs w:val="22"/>
          <w:lang w:val="en-GB"/>
        </w:rPr>
        <w:id w:val="-1536878671"/>
        <w:docPartObj>
          <w:docPartGallery w:val="Table of Contents"/>
          <w:docPartUnique/>
        </w:docPartObj>
      </w:sdtPr>
      <w:sdtEndPr>
        <w:rPr>
          <w:rFonts w:ascii="Arial" w:hAnsi="Arial" w:cs="Arial"/>
          <w:b w:val="0"/>
          <w:bCs/>
          <w:noProof/>
          <w:sz w:val="24"/>
          <w:szCs w:val="24"/>
        </w:rPr>
      </w:sdtEndPr>
      <w:sdtContent>
        <w:p w14:paraId="285BB61B" w14:textId="77777777" w:rsidR="00A31DCA" w:rsidRPr="00A359D9" w:rsidRDefault="00A31DCA" w:rsidP="00A359D9">
          <w:pPr>
            <w:pStyle w:val="TOCHeading"/>
            <w:spacing w:after="240"/>
            <w:jc w:val="both"/>
            <w:rPr>
              <w:rFonts w:cs="Arial"/>
              <w:b/>
              <w:bCs/>
              <w:szCs w:val="24"/>
              <w:u w:val="single"/>
              <w:lang w:val="en-GB"/>
            </w:rPr>
          </w:pPr>
          <w:r w:rsidRPr="00A359D9">
            <w:rPr>
              <w:rFonts w:cs="Arial"/>
              <w:b/>
              <w:bCs/>
              <w:szCs w:val="24"/>
              <w:u w:val="single"/>
              <w:lang w:val="en-GB"/>
            </w:rPr>
            <w:t>Table of Contents</w:t>
          </w:r>
        </w:p>
        <w:bookmarkStart w:id="1" w:name="_GoBack"/>
        <w:p w14:paraId="3683C257" w14:textId="0CB82EBA" w:rsidR="002D09B1" w:rsidRPr="002D09B1" w:rsidRDefault="00A31DCA" w:rsidP="002D09B1">
          <w:pPr>
            <w:pStyle w:val="TOC1"/>
            <w:tabs>
              <w:tab w:val="right" w:leader="dot" w:pos="9016"/>
            </w:tabs>
            <w:jc w:val="both"/>
            <w:rPr>
              <w:rFonts w:ascii="Arial" w:eastAsiaTheme="minorEastAsia" w:hAnsi="Arial" w:cs="Arial"/>
              <w:noProof/>
              <w:sz w:val="24"/>
              <w:szCs w:val="24"/>
              <w:lang w:val="en-GB" w:eastAsia="en-GB"/>
            </w:rPr>
          </w:pPr>
          <w:r w:rsidRPr="002D09B1">
            <w:rPr>
              <w:rFonts w:ascii="Arial" w:hAnsi="Arial" w:cs="Arial"/>
              <w:bCs/>
              <w:noProof/>
              <w:sz w:val="24"/>
              <w:szCs w:val="24"/>
              <w:lang w:val="en-GB"/>
            </w:rPr>
            <w:fldChar w:fldCharType="begin"/>
          </w:r>
          <w:r w:rsidRPr="002D09B1">
            <w:rPr>
              <w:rFonts w:ascii="Arial" w:hAnsi="Arial" w:cs="Arial"/>
              <w:bCs/>
              <w:noProof/>
              <w:sz w:val="24"/>
              <w:szCs w:val="24"/>
              <w:lang w:val="en-GB"/>
            </w:rPr>
            <w:instrText xml:space="preserve"> TOC \o "1-3" \h \z \u </w:instrText>
          </w:r>
          <w:r w:rsidRPr="002D09B1">
            <w:rPr>
              <w:rFonts w:ascii="Arial" w:hAnsi="Arial" w:cs="Arial"/>
              <w:bCs/>
              <w:noProof/>
              <w:sz w:val="24"/>
              <w:szCs w:val="24"/>
              <w:lang w:val="en-GB"/>
            </w:rPr>
            <w:fldChar w:fldCharType="separate"/>
          </w:r>
          <w:hyperlink w:anchor="_Toc240811370" w:history="1">
            <w:r w:rsidR="002D09B1" w:rsidRPr="002D09B1">
              <w:rPr>
                <w:rStyle w:val="Hyperlink"/>
                <w:rFonts w:ascii="Arial" w:hAnsi="Arial" w:cs="Arial"/>
                <w:noProof/>
                <w:sz w:val="24"/>
                <w:szCs w:val="24"/>
                <w:lang w:val="en-GB"/>
              </w:rPr>
              <w:t>Executive Summary</w:t>
            </w:r>
            <w:r w:rsidR="002D09B1" w:rsidRPr="002D09B1">
              <w:rPr>
                <w:rFonts w:ascii="Arial" w:hAnsi="Arial" w:cs="Arial"/>
                <w:noProof/>
                <w:webHidden/>
                <w:sz w:val="24"/>
                <w:szCs w:val="24"/>
              </w:rPr>
              <w:tab/>
            </w:r>
            <w:r w:rsidR="002D09B1" w:rsidRPr="002D09B1">
              <w:rPr>
                <w:rFonts w:ascii="Arial" w:hAnsi="Arial" w:cs="Arial"/>
                <w:noProof/>
                <w:webHidden/>
                <w:sz w:val="24"/>
                <w:szCs w:val="24"/>
              </w:rPr>
              <w:fldChar w:fldCharType="begin"/>
            </w:r>
            <w:r w:rsidR="002D09B1" w:rsidRPr="002D09B1">
              <w:rPr>
                <w:rFonts w:ascii="Arial" w:hAnsi="Arial" w:cs="Arial"/>
                <w:noProof/>
                <w:webHidden/>
                <w:sz w:val="24"/>
                <w:szCs w:val="24"/>
              </w:rPr>
              <w:instrText xml:space="preserve"> PAGEREF _Toc240811370 \h </w:instrText>
            </w:r>
            <w:r w:rsidR="002D09B1" w:rsidRPr="002D09B1">
              <w:rPr>
                <w:rFonts w:ascii="Arial" w:hAnsi="Arial" w:cs="Arial"/>
                <w:noProof/>
                <w:webHidden/>
                <w:sz w:val="24"/>
                <w:szCs w:val="24"/>
              </w:rPr>
            </w:r>
            <w:r w:rsidR="002D09B1" w:rsidRPr="002D09B1">
              <w:rPr>
                <w:rFonts w:ascii="Arial" w:hAnsi="Arial" w:cs="Arial"/>
                <w:noProof/>
                <w:webHidden/>
                <w:sz w:val="24"/>
                <w:szCs w:val="24"/>
              </w:rPr>
              <w:fldChar w:fldCharType="separate"/>
            </w:r>
            <w:r w:rsidR="002D09B1" w:rsidRPr="002D09B1">
              <w:rPr>
                <w:rFonts w:ascii="Arial" w:hAnsi="Arial" w:cs="Arial"/>
                <w:noProof/>
                <w:webHidden/>
                <w:sz w:val="24"/>
                <w:szCs w:val="24"/>
              </w:rPr>
              <w:t>ii</w:t>
            </w:r>
            <w:r w:rsidR="002D09B1" w:rsidRPr="002D09B1">
              <w:rPr>
                <w:rFonts w:ascii="Arial" w:hAnsi="Arial" w:cs="Arial"/>
                <w:noProof/>
                <w:webHidden/>
                <w:sz w:val="24"/>
                <w:szCs w:val="24"/>
              </w:rPr>
              <w:fldChar w:fldCharType="end"/>
            </w:r>
          </w:hyperlink>
        </w:p>
        <w:p w14:paraId="77C35918" w14:textId="3831FE94" w:rsidR="002D09B1" w:rsidRPr="002D09B1" w:rsidRDefault="002D09B1" w:rsidP="002D09B1">
          <w:pPr>
            <w:pStyle w:val="TOC1"/>
            <w:tabs>
              <w:tab w:val="right" w:leader="dot" w:pos="9016"/>
            </w:tabs>
            <w:jc w:val="both"/>
            <w:rPr>
              <w:rFonts w:ascii="Arial" w:eastAsiaTheme="minorEastAsia" w:hAnsi="Arial" w:cs="Arial"/>
              <w:noProof/>
              <w:sz w:val="24"/>
              <w:szCs w:val="24"/>
              <w:lang w:val="en-GB" w:eastAsia="en-GB"/>
            </w:rPr>
          </w:pPr>
          <w:hyperlink w:anchor="_Toc240811371" w:history="1">
            <w:r w:rsidRPr="002D09B1">
              <w:rPr>
                <w:rStyle w:val="Hyperlink"/>
                <w:rFonts w:ascii="Arial" w:eastAsia="Times New Roman" w:hAnsi="Arial" w:cs="Arial"/>
                <w:noProof/>
                <w:sz w:val="24"/>
                <w:szCs w:val="24"/>
                <w:lang w:val="en-GB" w:eastAsia="en-GB"/>
              </w:rPr>
              <w:t>Chapter 1: Introduction</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_Toc240811371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1</w:t>
            </w:r>
            <w:r w:rsidRPr="002D09B1">
              <w:rPr>
                <w:rFonts w:ascii="Arial" w:hAnsi="Arial" w:cs="Arial"/>
                <w:noProof/>
                <w:webHidden/>
                <w:sz w:val="24"/>
                <w:szCs w:val="24"/>
              </w:rPr>
              <w:fldChar w:fldCharType="end"/>
            </w:r>
          </w:hyperlink>
        </w:p>
        <w:p w14:paraId="1C3DF797" w14:textId="6395169C"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372" w:history="1">
            <w:r w:rsidRPr="002D09B1">
              <w:rPr>
                <w:rStyle w:val="Hyperlink"/>
                <w:rFonts w:ascii="Arial" w:eastAsia="Times New Roman" w:hAnsi="Arial" w:cs="Arial"/>
                <w:noProof/>
                <w:sz w:val="24"/>
                <w:szCs w:val="24"/>
                <w:lang w:val="en-GB" w:eastAsia="en-GB"/>
              </w:rPr>
              <w:t>1.1 Background and Context</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_Toc240811372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1</w:t>
            </w:r>
            <w:r w:rsidRPr="002D09B1">
              <w:rPr>
                <w:rFonts w:ascii="Arial" w:hAnsi="Arial" w:cs="Arial"/>
                <w:noProof/>
                <w:webHidden/>
                <w:sz w:val="24"/>
                <w:szCs w:val="24"/>
              </w:rPr>
              <w:fldChar w:fldCharType="end"/>
            </w:r>
          </w:hyperlink>
        </w:p>
        <w:p w14:paraId="105017BA" w14:textId="6D96A5C3"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373" w:history="1">
            <w:r w:rsidRPr="002D09B1">
              <w:rPr>
                <w:rStyle w:val="Hyperlink"/>
                <w:rFonts w:ascii="Arial" w:eastAsia="Times New Roman" w:hAnsi="Arial" w:cs="Arial"/>
                <w:noProof/>
                <w:sz w:val="24"/>
                <w:szCs w:val="24"/>
                <w:lang w:val="en-GB" w:eastAsia="en-GB"/>
              </w:rPr>
              <w:t>1.2 Problem or Opportunity Statement</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_Toc240811373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1</w:t>
            </w:r>
            <w:r w:rsidRPr="002D09B1">
              <w:rPr>
                <w:rFonts w:ascii="Arial" w:hAnsi="Arial" w:cs="Arial"/>
                <w:noProof/>
                <w:webHidden/>
                <w:sz w:val="24"/>
                <w:szCs w:val="24"/>
              </w:rPr>
              <w:fldChar w:fldCharType="end"/>
            </w:r>
          </w:hyperlink>
        </w:p>
        <w:p w14:paraId="6BAAF310" w14:textId="7C530C36"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374" w:history="1">
            <w:r w:rsidRPr="002D09B1">
              <w:rPr>
                <w:rStyle w:val="Hyperlink"/>
                <w:rFonts w:ascii="Arial" w:eastAsia="Times New Roman" w:hAnsi="Arial" w:cs="Arial"/>
                <w:noProof/>
                <w:sz w:val="24"/>
                <w:szCs w:val="24"/>
                <w:lang w:val="en-GB" w:eastAsia="en-GB"/>
              </w:rPr>
              <w:t>1.3 Initial Observation of Demand</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_Toc240811374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2</w:t>
            </w:r>
            <w:r w:rsidRPr="002D09B1">
              <w:rPr>
                <w:rFonts w:ascii="Arial" w:hAnsi="Arial" w:cs="Arial"/>
                <w:noProof/>
                <w:webHidden/>
                <w:sz w:val="24"/>
                <w:szCs w:val="24"/>
              </w:rPr>
              <w:fldChar w:fldCharType="end"/>
            </w:r>
          </w:hyperlink>
        </w:p>
        <w:p w14:paraId="183BAB5F" w14:textId="51B0F9BD"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375" w:history="1">
            <w:r w:rsidRPr="002D09B1">
              <w:rPr>
                <w:rStyle w:val="Hyperlink"/>
                <w:rFonts w:ascii="Arial" w:eastAsia="Times New Roman" w:hAnsi="Arial" w:cs="Arial"/>
                <w:noProof/>
                <w:sz w:val="24"/>
                <w:szCs w:val="24"/>
                <w:lang w:val="en-GB" w:eastAsia="en-GB"/>
              </w:rPr>
              <w:t>1.4 Aim, Objectives and Research Questions</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_Toc240811375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2</w:t>
            </w:r>
            <w:r w:rsidRPr="002D09B1">
              <w:rPr>
                <w:rFonts w:ascii="Arial" w:hAnsi="Arial" w:cs="Arial"/>
                <w:noProof/>
                <w:webHidden/>
                <w:sz w:val="24"/>
                <w:szCs w:val="24"/>
              </w:rPr>
              <w:fldChar w:fldCharType="end"/>
            </w:r>
          </w:hyperlink>
        </w:p>
        <w:p w14:paraId="442A070C" w14:textId="26BFE109" w:rsidR="002D09B1" w:rsidRPr="002D09B1" w:rsidRDefault="002D09B1" w:rsidP="002D09B1">
          <w:pPr>
            <w:pStyle w:val="TOC3"/>
            <w:tabs>
              <w:tab w:val="right" w:leader="dot" w:pos="9016"/>
            </w:tabs>
            <w:jc w:val="both"/>
            <w:rPr>
              <w:rFonts w:ascii="Arial" w:eastAsiaTheme="minorEastAsia" w:hAnsi="Arial" w:cs="Arial"/>
              <w:noProof/>
              <w:sz w:val="24"/>
              <w:szCs w:val="24"/>
              <w:lang w:val="en-GB" w:eastAsia="en-GB"/>
            </w:rPr>
          </w:pPr>
          <w:hyperlink w:anchor="_Toc240811376" w:history="1">
            <w:r w:rsidRPr="002D09B1">
              <w:rPr>
                <w:rStyle w:val="Hyperlink"/>
                <w:rFonts w:ascii="Arial" w:eastAsia="Times New Roman" w:hAnsi="Arial" w:cs="Arial"/>
                <w:noProof/>
                <w:sz w:val="24"/>
                <w:szCs w:val="24"/>
                <w:lang w:val="en-GB" w:eastAsia="en-GB"/>
              </w:rPr>
              <w:t>Aim</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_Toc240811376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2</w:t>
            </w:r>
            <w:r w:rsidRPr="002D09B1">
              <w:rPr>
                <w:rFonts w:ascii="Arial" w:hAnsi="Arial" w:cs="Arial"/>
                <w:noProof/>
                <w:webHidden/>
                <w:sz w:val="24"/>
                <w:szCs w:val="24"/>
              </w:rPr>
              <w:fldChar w:fldCharType="end"/>
            </w:r>
          </w:hyperlink>
        </w:p>
        <w:p w14:paraId="1B5D1F4B" w14:textId="0D16C144" w:rsidR="002D09B1" w:rsidRPr="002D09B1" w:rsidRDefault="002D09B1" w:rsidP="002D09B1">
          <w:pPr>
            <w:pStyle w:val="TOC3"/>
            <w:tabs>
              <w:tab w:val="right" w:leader="dot" w:pos="9016"/>
            </w:tabs>
            <w:jc w:val="both"/>
            <w:rPr>
              <w:rFonts w:ascii="Arial" w:eastAsiaTheme="minorEastAsia" w:hAnsi="Arial" w:cs="Arial"/>
              <w:noProof/>
              <w:sz w:val="24"/>
              <w:szCs w:val="24"/>
              <w:lang w:val="en-GB" w:eastAsia="en-GB"/>
            </w:rPr>
          </w:pPr>
          <w:hyperlink w:anchor="_Toc240811377" w:history="1">
            <w:r w:rsidRPr="002D09B1">
              <w:rPr>
                <w:rStyle w:val="Hyperlink"/>
                <w:rFonts w:ascii="Arial" w:eastAsia="Times New Roman" w:hAnsi="Arial" w:cs="Arial"/>
                <w:noProof/>
                <w:sz w:val="24"/>
                <w:szCs w:val="24"/>
                <w:lang w:val="en-GB" w:eastAsia="en-GB"/>
              </w:rPr>
              <w:t>Objectives</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_Toc240811377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2</w:t>
            </w:r>
            <w:r w:rsidRPr="002D09B1">
              <w:rPr>
                <w:rFonts w:ascii="Arial" w:hAnsi="Arial" w:cs="Arial"/>
                <w:noProof/>
                <w:webHidden/>
                <w:sz w:val="24"/>
                <w:szCs w:val="24"/>
              </w:rPr>
              <w:fldChar w:fldCharType="end"/>
            </w:r>
          </w:hyperlink>
        </w:p>
        <w:p w14:paraId="5E86421B" w14:textId="4BFC71C1" w:rsidR="002D09B1" w:rsidRPr="002D09B1" w:rsidRDefault="002D09B1" w:rsidP="002D09B1">
          <w:pPr>
            <w:pStyle w:val="TOC3"/>
            <w:tabs>
              <w:tab w:val="right" w:leader="dot" w:pos="9016"/>
            </w:tabs>
            <w:jc w:val="both"/>
            <w:rPr>
              <w:rFonts w:ascii="Arial" w:eastAsiaTheme="minorEastAsia" w:hAnsi="Arial" w:cs="Arial"/>
              <w:noProof/>
              <w:sz w:val="24"/>
              <w:szCs w:val="24"/>
              <w:lang w:val="en-GB" w:eastAsia="en-GB"/>
            </w:rPr>
          </w:pPr>
          <w:hyperlink w:anchor="_Toc240811378" w:history="1">
            <w:r w:rsidRPr="002D09B1">
              <w:rPr>
                <w:rStyle w:val="Hyperlink"/>
                <w:rFonts w:ascii="Arial" w:eastAsia="Times New Roman" w:hAnsi="Arial" w:cs="Arial"/>
                <w:noProof/>
                <w:sz w:val="24"/>
                <w:szCs w:val="24"/>
                <w:lang w:val="en-GB" w:eastAsia="en-GB"/>
              </w:rPr>
              <w:t>Research Questions</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_Toc240811378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3</w:t>
            </w:r>
            <w:r w:rsidRPr="002D09B1">
              <w:rPr>
                <w:rFonts w:ascii="Arial" w:hAnsi="Arial" w:cs="Arial"/>
                <w:noProof/>
                <w:webHidden/>
                <w:sz w:val="24"/>
                <w:szCs w:val="24"/>
              </w:rPr>
              <w:fldChar w:fldCharType="end"/>
            </w:r>
          </w:hyperlink>
        </w:p>
        <w:p w14:paraId="5FA2F90C" w14:textId="5BB9AC2B"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379" w:history="1">
            <w:r w:rsidRPr="002D09B1">
              <w:rPr>
                <w:rStyle w:val="Hyperlink"/>
                <w:rFonts w:ascii="Arial" w:eastAsia="Times New Roman" w:hAnsi="Arial" w:cs="Arial"/>
                <w:noProof/>
                <w:sz w:val="24"/>
                <w:szCs w:val="24"/>
                <w:lang w:val="en-GB" w:eastAsia="en-GB"/>
              </w:rPr>
              <w:t>1.5 Scope and Boundaries</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_Toc240811379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3</w:t>
            </w:r>
            <w:r w:rsidRPr="002D09B1">
              <w:rPr>
                <w:rFonts w:ascii="Arial" w:hAnsi="Arial" w:cs="Arial"/>
                <w:noProof/>
                <w:webHidden/>
                <w:sz w:val="24"/>
                <w:szCs w:val="24"/>
              </w:rPr>
              <w:fldChar w:fldCharType="end"/>
            </w:r>
          </w:hyperlink>
        </w:p>
        <w:p w14:paraId="0A392923" w14:textId="6F9AB59D"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380" w:history="1">
            <w:r w:rsidRPr="002D09B1">
              <w:rPr>
                <w:rStyle w:val="Hyperlink"/>
                <w:rFonts w:ascii="Arial" w:eastAsia="Times New Roman" w:hAnsi="Arial" w:cs="Arial"/>
                <w:noProof/>
                <w:sz w:val="24"/>
                <w:szCs w:val="24"/>
                <w:lang w:val="en-GB" w:eastAsia="en-GB"/>
              </w:rPr>
              <w:t>1.6 Structure of the Report</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_Toc240811380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3</w:t>
            </w:r>
            <w:r w:rsidRPr="002D09B1">
              <w:rPr>
                <w:rFonts w:ascii="Arial" w:hAnsi="Arial" w:cs="Arial"/>
                <w:noProof/>
                <w:webHidden/>
                <w:sz w:val="24"/>
                <w:szCs w:val="24"/>
              </w:rPr>
              <w:fldChar w:fldCharType="end"/>
            </w:r>
          </w:hyperlink>
        </w:p>
        <w:p w14:paraId="4DEBED25" w14:textId="0F2CE23A" w:rsidR="002D09B1" w:rsidRPr="002D09B1" w:rsidRDefault="002D09B1" w:rsidP="002D09B1">
          <w:pPr>
            <w:pStyle w:val="TOC1"/>
            <w:tabs>
              <w:tab w:val="right" w:leader="dot" w:pos="9016"/>
            </w:tabs>
            <w:jc w:val="both"/>
            <w:rPr>
              <w:rFonts w:ascii="Arial" w:eastAsiaTheme="minorEastAsia" w:hAnsi="Arial" w:cs="Arial"/>
              <w:noProof/>
              <w:sz w:val="24"/>
              <w:szCs w:val="24"/>
              <w:lang w:val="en-GB" w:eastAsia="en-GB"/>
            </w:rPr>
          </w:pPr>
          <w:hyperlink w:anchor="_Toc240811381" w:history="1">
            <w:r w:rsidRPr="002D09B1">
              <w:rPr>
                <w:rStyle w:val="Hyperlink"/>
                <w:rFonts w:ascii="Arial" w:eastAsia="Times New Roman" w:hAnsi="Arial" w:cs="Arial"/>
                <w:noProof/>
                <w:sz w:val="24"/>
                <w:szCs w:val="24"/>
                <w:lang w:val="en-GB" w:eastAsia="en-GB"/>
              </w:rPr>
              <w:t>Chapter 2: Company Description</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_Toc240811381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5</w:t>
            </w:r>
            <w:r w:rsidRPr="002D09B1">
              <w:rPr>
                <w:rFonts w:ascii="Arial" w:hAnsi="Arial" w:cs="Arial"/>
                <w:noProof/>
                <w:webHidden/>
                <w:sz w:val="24"/>
                <w:szCs w:val="24"/>
              </w:rPr>
              <w:fldChar w:fldCharType="end"/>
            </w:r>
          </w:hyperlink>
        </w:p>
        <w:p w14:paraId="6EF57E94" w14:textId="380FCAEF"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382" w:history="1">
            <w:r w:rsidRPr="002D09B1">
              <w:rPr>
                <w:rStyle w:val="Hyperlink"/>
                <w:rFonts w:ascii="Arial" w:eastAsia="Times New Roman" w:hAnsi="Arial" w:cs="Arial"/>
                <w:noProof/>
                <w:sz w:val="24"/>
                <w:szCs w:val="24"/>
                <w:lang w:val="en-GB" w:eastAsia="en-GB"/>
              </w:rPr>
              <w:t>2.1 Business Identity and Legal Structure</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_Toc240811382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5</w:t>
            </w:r>
            <w:r w:rsidRPr="002D09B1">
              <w:rPr>
                <w:rFonts w:ascii="Arial" w:hAnsi="Arial" w:cs="Arial"/>
                <w:noProof/>
                <w:webHidden/>
                <w:sz w:val="24"/>
                <w:szCs w:val="24"/>
              </w:rPr>
              <w:fldChar w:fldCharType="end"/>
            </w:r>
          </w:hyperlink>
        </w:p>
        <w:p w14:paraId="5B05E14F" w14:textId="18A6F252"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383" w:history="1">
            <w:r w:rsidRPr="002D09B1">
              <w:rPr>
                <w:rStyle w:val="Hyperlink"/>
                <w:rFonts w:ascii="Arial" w:eastAsia="Times New Roman" w:hAnsi="Arial" w:cs="Arial"/>
                <w:noProof/>
                <w:sz w:val="24"/>
                <w:szCs w:val="24"/>
                <w:lang w:val="en-GB" w:eastAsia="en-GB"/>
              </w:rPr>
              <w:t>2.2 Product or Service and the Problem Solved</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_Toc240811383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5</w:t>
            </w:r>
            <w:r w:rsidRPr="002D09B1">
              <w:rPr>
                <w:rFonts w:ascii="Arial" w:hAnsi="Arial" w:cs="Arial"/>
                <w:noProof/>
                <w:webHidden/>
                <w:sz w:val="24"/>
                <w:szCs w:val="24"/>
              </w:rPr>
              <w:fldChar w:fldCharType="end"/>
            </w:r>
          </w:hyperlink>
        </w:p>
        <w:p w14:paraId="0BA1831F" w14:textId="4CA8E820"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384" w:history="1">
            <w:r w:rsidRPr="002D09B1">
              <w:rPr>
                <w:rStyle w:val="Hyperlink"/>
                <w:rFonts w:ascii="Arial" w:eastAsia="Times New Roman" w:hAnsi="Arial" w:cs="Arial"/>
                <w:noProof/>
                <w:sz w:val="24"/>
                <w:szCs w:val="24"/>
                <w:lang w:val="en-GB" w:eastAsia="en-GB"/>
              </w:rPr>
              <w:t>2.3 Founding Idea and Brief History</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_Toc240811384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6</w:t>
            </w:r>
            <w:r w:rsidRPr="002D09B1">
              <w:rPr>
                <w:rFonts w:ascii="Arial" w:hAnsi="Arial" w:cs="Arial"/>
                <w:noProof/>
                <w:webHidden/>
                <w:sz w:val="24"/>
                <w:szCs w:val="24"/>
              </w:rPr>
              <w:fldChar w:fldCharType="end"/>
            </w:r>
          </w:hyperlink>
        </w:p>
        <w:p w14:paraId="4E2FF38F" w14:textId="59880A5A"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385" w:history="1">
            <w:r w:rsidRPr="002D09B1">
              <w:rPr>
                <w:rStyle w:val="Hyperlink"/>
                <w:rFonts w:ascii="Arial" w:eastAsia="Times New Roman" w:hAnsi="Arial" w:cs="Arial"/>
                <w:noProof/>
                <w:sz w:val="24"/>
                <w:szCs w:val="24"/>
                <w:lang w:val="en-GB" w:eastAsia="en-GB"/>
              </w:rPr>
              <w:t>2.4 Mission, Vision and Values</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_Toc240811385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6</w:t>
            </w:r>
            <w:r w:rsidRPr="002D09B1">
              <w:rPr>
                <w:rFonts w:ascii="Arial" w:hAnsi="Arial" w:cs="Arial"/>
                <w:noProof/>
                <w:webHidden/>
                <w:sz w:val="24"/>
                <w:szCs w:val="24"/>
              </w:rPr>
              <w:fldChar w:fldCharType="end"/>
            </w:r>
          </w:hyperlink>
        </w:p>
        <w:p w14:paraId="209F90BD" w14:textId="6955C0B7" w:rsidR="002D09B1" w:rsidRPr="002D09B1" w:rsidRDefault="002D09B1" w:rsidP="002D09B1">
          <w:pPr>
            <w:pStyle w:val="TOC3"/>
            <w:tabs>
              <w:tab w:val="right" w:leader="dot" w:pos="9016"/>
            </w:tabs>
            <w:jc w:val="both"/>
            <w:rPr>
              <w:rFonts w:ascii="Arial" w:eastAsiaTheme="minorEastAsia" w:hAnsi="Arial" w:cs="Arial"/>
              <w:noProof/>
              <w:sz w:val="24"/>
              <w:szCs w:val="24"/>
              <w:lang w:val="en-GB" w:eastAsia="en-GB"/>
            </w:rPr>
          </w:pPr>
          <w:hyperlink w:anchor="_Toc240811386" w:history="1">
            <w:r w:rsidRPr="002D09B1">
              <w:rPr>
                <w:rStyle w:val="Hyperlink"/>
                <w:rFonts w:ascii="Arial" w:eastAsia="Times New Roman" w:hAnsi="Arial" w:cs="Arial"/>
                <w:noProof/>
                <w:sz w:val="24"/>
                <w:szCs w:val="24"/>
                <w:lang w:val="en-GB" w:eastAsia="en-GB"/>
              </w:rPr>
              <w:t>Mission</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_Toc240811386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6</w:t>
            </w:r>
            <w:r w:rsidRPr="002D09B1">
              <w:rPr>
                <w:rFonts w:ascii="Arial" w:hAnsi="Arial" w:cs="Arial"/>
                <w:noProof/>
                <w:webHidden/>
                <w:sz w:val="24"/>
                <w:szCs w:val="24"/>
              </w:rPr>
              <w:fldChar w:fldCharType="end"/>
            </w:r>
          </w:hyperlink>
        </w:p>
        <w:p w14:paraId="248069B2" w14:textId="506AF007" w:rsidR="002D09B1" w:rsidRPr="002D09B1" w:rsidRDefault="002D09B1" w:rsidP="002D09B1">
          <w:pPr>
            <w:pStyle w:val="TOC3"/>
            <w:tabs>
              <w:tab w:val="right" w:leader="dot" w:pos="9016"/>
            </w:tabs>
            <w:jc w:val="both"/>
            <w:rPr>
              <w:rFonts w:ascii="Arial" w:eastAsiaTheme="minorEastAsia" w:hAnsi="Arial" w:cs="Arial"/>
              <w:noProof/>
              <w:sz w:val="24"/>
              <w:szCs w:val="24"/>
              <w:lang w:val="en-GB" w:eastAsia="en-GB"/>
            </w:rPr>
          </w:pPr>
          <w:hyperlink w:anchor="_Toc240811387" w:history="1">
            <w:r w:rsidRPr="002D09B1">
              <w:rPr>
                <w:rStyle w:val="Hyperlink"/>
                <w:rFonts w:ascii="Arial" w:eastAsia="Times New Roman" w:hAnsi="Arial" w:cs="Arial"/>
                <w:noProof/>
                <w:sz w:val="24"/>
                <w:szCs w:val="24"/>
                <w:lang w:val="en-GB" w:eastAsia="en-GB"/>
              </w:rPr>
              <w:t>Vision</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_Toc240811387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6</w:t>
            </w:r>
            <w:r w:rsidRPr="002D09B1">
              <w:rPr>
                <w:rFonts w:ascii="Arial" w:hAnsi="Arial" w:cs="Arial"/>
                <w:noProof/>
                <w:webHidden/>
                <w:sz w:val="24"/>
                <w:szCs w:val="24"/>
              </w:rPr>
              <w:fldChar w:fldCharType="end"/>
            </w:r>
          </w:hyperlink>
        </w:p>
        <w:p w14:paraId="6D638CA1" w14:textId="33965931"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388" w:history="1">
            <w:r w:rsidRPr="002D09B1">
              <w:rPr>
                <w:rStyle w:val="Hyperlink"/>
                <w:rFonts w:ascii="Arial" w:eastAsia="Times New Roman" w:hAnsi="Arial" w:cs="Arial"/>
                <w:noProof/>
                <w:sz w:val="24"/>
                <w:szCs w:val="24"/>
                <w:lang w:val="en-GB" w:eastAsia="en-GB"/>
              </w:rPr>
              <w:t>2.5 Business Objectives and Goals</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_Toc240811388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7</w:t>
            </w:r>
            <w:r w:rsidRPr="002D09B1">
              <w:rPr>
                <w:rFonts w:ascii="Arial" w:hAnsi="Arial" w:cs="Arial"/>
                <w:noProof/>
                <w:webHidden/>
                <w:sz w:val="24"/>
                <w:szCs w:val="24"/>
              </w:rPr>
              <w:fldChar w:fldCharType="end"/>
            </w:r>
          </w:hyperlink>
        </w:p>
        <w:p w14:paraId="1F16FAD2" w14:textId="5281464C"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389" w:history="1">
            <w:r w:rsidRPr="002D09B1">
              <w:rPr>
                <w:rStyle w:val="Hyperlink"/>
                <w:rFonts w:ascii="Arial" w:eastAsia="Times New Roman" w:hAnsi="Arial" w:cs="Arial"/>
                <w:noProof/>
                <w:sz w:val="24"/>
                <w:szCs w:val="24"/>
                <w:lang w:val="en-GB" w:eastAsia="en-GB"/>
              </w:rPr>
              <w:t>2.6 Alignment with Trends and Opportunity</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_Toc240811389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7</w:t>
            </w:r>
            <w:r w:rsidRPr="002D09B1">
              <w:rPr>
                <w:rFonts w:ascii="Arial" w:hAnsi="Arial" w:cs="Arial"/>
                <w:noProof/>
                <w:webHidden/>
                <w:sz w:val="24"/>
                <w:szCs w:val="24"/>
              </w:rPr>
              <w:fldChar w:fldCharType="end"/>
            </w:r>
          </w:hyperlink>
        </w:p>
        <w:p w14:paraId="4FA1075B" w14:textId="04504C8C" w:rsidR="002D09B1" w:rsidRPr="002D09B1" w:rsidRDefault="002D09B1" w:rsidP="002D09B1">
          <w:pPr>
            <w:pStyle w:val="TOC1"/>
            <w:tabs>
              <w:tab w:val="right" w:leader="dot" w:pos="9016"/>
            </w:tabs>
            <w:jc w:val="both"/>
            <w:rPr>
              <w:rFonts w:ascii="Arial" w:eastAsiaTheme="minorEastAsia" w:hAnsi="Arial" w:cs="Arial"/>
              <w:noProof/>
              <w:sz w:val="24"/>
              <w:szCs w:val="24"/>
              <w:lang w:val="en-GB" w:eastAsia="en-GB"/>
            </w:rPr>
          </w:pPr>
          <w:hyperlink w:anchor="_Toc240811390" w:history="1">
            <w:r w:rsidRPr="002D09B1">
              <w:rPr>
                <w:rStyle w:val="Hyperlink"/>
                <w:rFonts w:ascii="Arial" w:eastAsia="Times New Roman" w:hAnsi="Arial" w:cs="Arial"/>
                <w:noProof/>
                <w:sz w:val="24"/>
                <w:szCs w:val="24"/>
                <w:lang w:val="en-GB" w:eastAsia="en-GB"/>
              </w:rPr>
              <w:t>Chapter 3: Literature Review</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_Toc240811390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9</w:t>
            </w:r>
            <w:r w:rsidRPr="002D09B1">
              <w:rPr>
                <w:rFonts w:ascii="Arial" w:hAnsi="Arial" w:cs="Arial"/>
                <w:noProof/>
                <w:webHidden/>
                <w:sz w:val="24"/>
                <w:szCs w:val="24"/>
              </w:rPr>
              <w:fldChar w:fldCharType="end"/>
            </w:r>
          </w:hyperlink>
        </w:p>
        <w:p w14:paraId="6FA40952" w14:textId="04AF7C40"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391" w:history="1">
            <w:r w:rsidRPr="002D09B1">
              <w:rPr>
                <w:rStyle w:val="Hyperlink"/>
                <w:rFonts w:ascii="Arial" w:eastAsia="Times New Roman" w:hAnsi="Arial" w:cs="Arial"/>
                <w:noProof/>
                <w:sz w:val="24"/>
                <w:szCs w:val="24"/>
                <w:lang w:val="en-GB" w:eastAsia="en-GB"/>
              </w:rPr>
              <w:t>3.1 Introduction</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_Toc240811391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9</w:t>
            </w:r>
            <w:r w:rsidRPr="002D09B1">
              <w:rPr>
                <w:rFonts w:ascii="Arial" w:hAnsi="Arial" w:cs="Arial"/>
                <w:noProof/>
                <w:webHidden/>
                <w:sz w:val="24"/>
                <w:szCs w:val="24"/>
              </w:rPr>
              <w:fldChar w:fldCharType="end"/>
            </w:r>
          </w:hyperlink>
        </w:p>
        <w:p w14:paraId="030671C6" w14:textId="1107126F"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392" w:history="1">
            <w:r w:rsidRPr="002D09B1">
              <w:rPr>
                <w:rStyle w:val="Hyperlink"/>
                <w:rFonts w:ascii="Arial" w:eastAsia="Times New Roman" w:hAnsi="Arial" w:cs="Arial"/>
                <w:noProof/>
                <w:sz w:val="24"/>
                <w:szCs w:val="24"/>
                <w:lang w:val="en-GB" w:eastAsia="en-GB"/>
              </w:rPr>
              <w:t>3.2 Specialty Coffee, Consumer Value and Ethical Consumption</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_Toc240811392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9</w:t>
            </w:r>
            <w:r w:rsidRPr="002D09B1">
              <w:rPr>
                <w:rFonts w:ascii="Arial" w:hAnsi="Arial" w:cs="Arial"/>
                <w:noProof/>
                <w:webHidden/>
                <w:sz w:val="24"/>
                <w:szCs w:val="24"/>
              </w:rPr>
              <w:fldChar w:fldCharType="end"/>
            </w:r>
          </w:hyperlink>
        </w:p>
        <w:p w14:paraId="29476A76" w14:textId="42572314"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393" w:history="1">
            <w:r w:rsidRPr="002D09B1">
              <w:rPr>
                <w:rStyle w:val="Hyperlink"/>
                <w:rFonts w:ascii="Arial" w:eastAsia="Times New Roman" w:hAnsi="Arial" w:cs="Arial"/>
                <w:noProof/>
                <w:sz w:val="24"/>
                <w:szCs w:val="24"/>
                <w:lang w:val="en-GB" w:eastAsia="en-GB"/>
              </w:rPr>
              <w:t>3.3 Ethical Sourcing and Sustainable Supply-Chain Management</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_Toc240811393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9</w:t>
            </w:r>
            <w:r w:rsidRPr="002D09B1">
              <w:rPr>
                <w:rFonts w:ascii="Arial" w:hAnsi="Arial" w:cs="Arial"/>
                <w:noProof/>
                <w:webHidden/>
                <w:sz w:val="24"/>
                <w:szCs w:val="24"/>
              </w:rPr>
              <w:fldChar w:fldCharType="end"/>
            </w:r>
          </w:hyperlink>
        </w:p>
        <w:p w14:paraId="33CBE6D2" w14:textId="7DADC5C5"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394" w:history="1">
            <w:r w:rsidRPr="002D09B1">
              <w:rPr>
                <w:rStyle w:val="Hyperlink"/>
                <w:rFonts w:ascii="Arial" w:eastAsia="Times New Roman" w:hAnsi="Arial" w:cs="Arial"/>
                <w:noProof/>
                <w:sz w:val="24"/>
                <w:szCs w:val="24"/>
                <w:lang w:val="en-GB" w:eastAsia="en-GB"/>
              </w:rPr>
              <w:t>3.4 Competitive Advantage: Porter and RBV/VRIO</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_Toc240811394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10</w:t>
            </w:r>
            <w:r w:rsidRPr="002D09B1">
              <w:rPr>
                <w:rFonts w:ascii="Arial" w:hAnsi="Arial" w:cs="Arial"/>
                <w:noProof/>
                <w:webHidden/>
                <w:sz w:val="24"/>
                <w:szCs w:val="24"/>
              </w:rPr>
              <w:fldChar w:fldCharType="end"/>
            </w:r>
          </w:hyperlink>
        </w:p>
        <w:p w14:paraId="3062C861" w14:textId="2C5F913D"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395" w:history="1">
            <w:r w:rsidRPr="002D09B1">
              <w:rPr>
                <w:rStyle w:val="Hyperlink"/>
                <w:rFonts w:ascii="Arial" w:eastAsia="Times New Roman" w:hAnsi="Arial" w:cs="Arial"/>
                <w:noProof/>
                <w:sz w:val="24"/>
                <w:szCs w:val="24"/>
                <w:lang w:val="en-GB" w:eastAsia="en-GB"/>
              </w:rPr>
              <w:t>3.5 External and Industry Environment: PESTLE and Five Forces</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_Toc240811395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10</w:t>
            </w:r>
            <w:r w:rsidRPr="002D09B1">
              <w:rPr>
                <w:rFonts w:ascii="Arial" w:hAnsi="Arial" w:cs="Arial"/>
                <w:noProof/>
                <w:webHidden/>
                <w:sz w:val="24"/>
                <w:szCs w:val="24"/>
              </w:rPr>
              <w:fldChar w:fldCharType="end"/>
            </w:r>
          </w:hyperlink>
        </w:p>
        <w:p w14:paraId="58ADECA8" w14:textId="26DB2947"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396" w:history="1">
            <w:r w:rsidRPr="002D09B1">
              <w:rPr>
                <w:rStyle w:val="Hyperlink"/>
                <w:rFonts w:ascii="Arial" w:eastAsia="Times New Roman" w:hAnsi="Arial" w:cs="Arial"/>
                <w:noProof/>
                <w:sz w:val="24"/>
                <w:szCs w:val="24"/>
                <w:lang w:val="en-GB" w:eastAsia="en-GB"/>
              </w:rPr>
              <w:t>3.6 Value Creation and Sustainability: Value Chain and TBL</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_Toc240811396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11</w:t>
            </w:r>
            <w:r w:rsidRPr="002D09B1">
              <w:rPr>
                <w:rFonts w:ascii="Arial" w:hAnsi="Arial" w:cs="Arial"/>
                <w:noProof/>
                <w:webHidden/>
                <w:sz w:val="24"/>
                <w:szCs w:val="24"/>
              </w:rPr>
              <w:fldChar w:fldCharType="end"/>
            </w:r>
          </w:hyperlink>
        </w:p>
        <w:p w14:paraId="235CC472" w14:textId="7A66B132"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397" w:history="1">
            <w:r w:rsidRPr="002D09B1">
              <w:rPr>
                <w:rStyle w:val="Hyperlink"/>
                <w:rFonts w:ascii="Arial" w:eastAsia="Times New Roman" w:hAnsi="Arial" w:cs="Arial"/>
                <w:noProof/>
                <w:sz w:val="24"/>
                <w:szCs w:val="24"/>
                <w:lang w:val="en-GB" w:eastAsia="en-GB"/>
              </w:rPr>
              <w:t>3.7 Customer and Business Model Tools: VPC and BMC</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_Toc240811397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11</w:t>
            </w:r>
            <w:r w:rsidRPr="002D09B1">
              <w:rPr>
                <w:rFonts w:ascii="Arial" w:hAnsi="Arial" w:cs="Arial"/>
                <w:noProof/>
                <w:webHidden/>
                <w:sz w:val="24"/>
                <w:szCs w:val="24"/>
              </w:rPr>
              <w:fldChar w:fldCharType="end"/>
            </w:r>
          </w:hyperlink>
        </w:p>
        <w:p w14:paraId="38E913F8" w14:textId="049B02FA"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398" w:history="1">
            <w:r w:rsidRPr="002D09B1">
              <w:rPr>
                <w:rStyle w:val="Hyperlink"/>
                <w:rFonts w:ascii="Arial" w:eastAsia="Times New Roman" w:hAnsi="Arial" w:cs="Arial"/>
                <w:noProof/>
                <w:sz w:val="24"/>
                <w:szCs w:val="24"/>
                <w:lang w:val="en-GB" w:eastAsia="en-GB"/>
              </w:rPr>
              <w:t>3.8 Integrated Framework and Research Gap</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_Toc240811398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12</w:t>
            </w:r>
            <w:r w:rsidRPr="002D09B1">
              <w:rPr>
                <w:rFonts w:ascii="Arial" w:hAnsi="Arial" w:cs="Arial"/>
                <w:noProof/>
                <w:webHidden/>
                <w:sz w:val="24"/>
                <w:szCs w:val="24"/>
              </w:rPr>
              <w:fldChar w:fldCharType="end"/>
            </w:r>
          </w:hyperlink>
        </w:p>
        <w:p w14:paraId="60AFE0AA" w14:textId="5C54DBD3" w:rsidR="002D09B1" w:rsidRPr="002D09B1" w:rsidRDefault="002D09B1" w:rsidP="002D09B1">
          <w:pPr>
            <w:pStyle w:val="TOC1"/>
            <w:tabs>
              <w:tab w:val="right" w:leader="dot" w:pos="9016"/>
            </w:tabs>
            <w:jc w:val="both"/>
            <w:rPr>
              <w:rFonts w:ascii="Arial" w:eastAsiaTheme="minorEastAsia" w:hAnsi="Arial" w:cs="Arial"/>
              <w:noProof/>
              <w:sz w:val="24"/>
              <w:szCs w:val="24"/>
              <w:lang w:val="en-GB" w:eastAsia="en-GB"/>
            </w:rPr>
          </w:pPr>
          <w:hyperlink w:anchor="_Toc240811399" w:history="1">
            <w:r w:rsidRPr="002D09B1">
              <w:rPr>
                <w:rStyle w:val="Hyperlink"/>
                <w:rFonts w:ascii="Arial" w:eastAsia="Times New Roman" w:hAnsi="Arial" w:cs="Arial"/>
                <w:noProof/>
                <w:sz w:val="24"/>
                <w:szCs w:val="24"/>
                <w:lang w:val="en-GB" w:eastAsia="en-GB"/>
              </w:rPr>
              <w:t>Chapter 4: RESEARCH METHODOLOGY</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_Toc240811399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13</w:t>
            </w:r>
            <w:r w:rsidRPr="002D09B1">
              <w:rPr>
                <w:rFonts w:ascii="Arial" w:hAnsi="Arial" w:cs="Arial"/>
                <w:noProof/>
                <w:webHidden/>
                <w:sz w:val="24"/>
                <w:szCs w:val="24"/>
              </w:rPr>
              <w:fldChar w:fldCharType="end"/>
            </w:r>
          </w:hyperlink>
        </w:p>
        <w:p w14:paraId="564AD636" w14:textId="01D290BB"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00" w:history="1">
            <w:r w:rsidRPr="002D09B1">
              <w:rPr>
                <w:rStyle w:val="Hyperlink"/>
                <w:rFonts w:ascii="Arial" w:eastAsia="Times New Roman" w:hAnsi="Arial" w:cs="Arial"/>
                <w:noProof/>
                <w:sz w:val="24"/>
                <w:szCs w:val="24"/>
                <w:lang w:val="en-GB" w:eastAsia="en-GB"/>
              </w:rPr>
              <w:t>4.1 Introduction</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_Toc240811400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13</w:t>
            </w:r>
            <w:r w:rsidRPr="002D09B1">
              <w:rPr>
                <w:rFonts w:ascii="Arial" w:hAnsi="Arial" w:cs="Arial"/>
                <w:noProof/>
                <w:webHidden/>
                <w:sz w:val="24"/>
                <w:szCs w:val="24"/>
              </w:rPr>
              <w:fldChar w:fldCharType="end"/>
            </w:r>
          </w:hyperlink>
        </w:p>
        <w:p w14:paraId="1008CA82" w14:textId="58650667"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01" w:history="1">
            <w:r w:rsidRPr="002D09B1">
              <w:rPr>
                <w:rStyle w:val="Hyperlink"/>
                <w:rFonts w:ascii="Arial" w:eastAsia="Times New Roman" w:hAnsi="Arial" w:cs="Arial"/>
                <w:noProof/>
                <w:sz w:val="24"/>
                <w:szCs w:val="24"/>
                <w:lang w:val="en-GB" w:eastAsia="en-GB"/>
              </w:rPr>
              <w:t>4.2 Research Approach and Design</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_Toc240811401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13</w:t>
            </w:r>
            <w:r w:rsidRPr="002D09B1">
              <w:rPr>
                <w:rFonts w:ascii="Arial" w:hAnsi="Arial" w:cs="Arial"/>
                <w:noProof/>
                <w:webHidden/>
                <w:sz w:val="24"/>
                <w:szCs w:val="24"/>
              </w:rPr>
              <w:fldChar w:fldCharType="end"/>
            </w:r>
          </w:hyperlink>
        </w:p>
        <w:p w14:paraId="3C4D9E7D" w14:textId="08617F9F"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02" w:history="1">
            <w:r w:rsidRPr="002D09B1">
              <w:rPr>
                <w:rStyle w:val="Hyperlink"/>
                <w:rFonts w:ascii="Arial" w:eastAsia="Times New Roman" w:hAnsi="Arial" w:cs="Arial"/>
                <w:noProof/>
                <w:sz w:val="24"/>
                <w:szCs w:val="24"/>
                <w:lang w:val="en-GB" w:eastAsia="en-GB"/>
              </w:rPr>
              <w:t>4.3 Data Sources and Literature Search Strategy</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_Toc240811402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14</w:t>
            </w:r>
            <w:r w:rsidRPr="002D09B1">
              <w:rPr>
                <w:rFonts w:ascii="Arial" w:hAnsi="Arial" w:cs="Arial"/>
                <w:noProof/>
                <w:webHidden/>
                <w:sz w:val="24"/>
                <w:szCs w:val="24"/>
              </w:rPr>
              <w:fldChar w:fldCharType="end"/>
            </w:r>
          </w:hyperlink>
        </w:p>
        <w:p w14:paraId="08C60345" w14:textId="6363A3FA"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03" w:history="1">
            <w:r w:rsidRPr="002D09B1">
              <w:rPr>
                <w:rStyle w:val="Hyperlink"/>
                <w:rFonts w:ascii="Arial" w:eastAsia="Times New Roman" w:hAnsi="Arial" w:cs="Arial"/>
                <w:noProof/>
                <w:sz w:val="24"/>
                <w:szCs w:val="24"/>
                <w:lang w:val="en-GB" w:eastAsia="en-GB"/>
              </w:rPr>
              <w:t>4.4 Inclusion and Exclusion Criteria</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_Toc240811403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14</w:t>
            </w:r>
            <w:r w:rsidRPr="002D09B1">
              <w:rPr>
                <w:rFonts w:ascii="Arial" w:hAnsi="Arial" w:cs="Arial"/>
                <w:noProof/>
                <w:webHidden/>
                <w:sz w:val="24"/>
                <w:szCs w:val="24"/>
              </w:rPr>
              <w:fldChar w:fldCharType="end"/>
            </w:r>
          </w:hyperlink>
        </w:p>
        <w:p w14:paraId="2F782A16" w14:textId="5008E196"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04" w:history="1">
            <w:r w:rsidRPr="002D09B1">
              <w:rPr>
                <w:rStyle w:val="Hyperlink"/>
                <w:rFonts w:ascii="Arial" w:eastAsia="Times New Roman" w:hAnsi="Arial" w:cs="Arial"/>
                <w:noProof/>
                <w:sz w:val="24"/>
                <w:szCs w:val="24"/>
                <w:lang w:val="en-GB" w:eastAsia="en-GB"/>
              </w:rPr>
              <w:t>4.5 Data Analysis</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_Toc240811404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15</w:t>
            </w:r>
            <w:r w:rsidRPr="002D09B1">
              <w:rPr>
                <w:rFonts w:ascii="Arial" w:hAnsi="Arial" w:cs="Arial"/>
                <w:noProof/>
                <w:webHidden/>
                <w:sz w:val="24"/>
                <w:szCs w:val="24"/>
              </w:rPr>
              <w:fldChar w:fldCharType="end"/>
            </w:r>
          </w:hyperlink>
        </w:p>
        <w:p w14:paraId="2FF3546D" w14:textId="7487878B"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05" w:history="1">
            <w:r w:rsidRPr="002D09B1">
              <w:rPr>
                <w:rStyle w:val="Hyperlink"/>
                <w:rFonts w:ascii="Arial" w:eastAsia="Times New Roman" w:hAnsi="Arial" w:cs="Arial"/>
                <w:noProof/>
                <w:sz w:val="24"/>
                <w:szCs w:val="24"/>
                <w:lang w:val="en-GB" w:eastAsia="en-GB"/>
              </w:rPr>
              <w:t>4.6 Application of Strategic Frameworks</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_Toc240811405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15</w:t>
            </w:r>
            <w:r w:rsidRPr="002D09B1">
              <w:rPr>
                <w:rFonts w:ascii="Arial" w:hAnsi="Arial" w:cs="Arial"/>
                <w:noProof/>
                <w:webHidden/>
                <w:sz w:val="24"/>
                <w:szCs w:val="24"/>
              </w:rPr>
              <w:fldChar w:fldCharType="end"/>
            </w:r>
          </w:hyperlink>
        </w:p>
        <w:p w14:paraId="24FAA98C" w14:textId="31F442BF"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06" w:history="1">
            <w:r w:rsidRPr="002D09B1">
              <w:rPr>
                <w:rStyle w:val="Hyperlink"/>
                <w:rFonts w:ascii="Arial" w:eastAsia="Times New Roman" w:hAnsi="Arial" w:cs="Arial"/>
                <w:noProof/>
                <w:sz w:val="24"/>
                <w:szCs w:val="24"/>
                <w:lang w:val="en-GB" w:eastAsia="en-GB"/>
              </w:rPr>
              <w:t>4.7 Reliability, validity and limitations</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_Toc240811406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16</w:t>
            </w:r>
            <w:r w:rsidRPr="002D09B1">
              <w:rPr>
                <w:rFonts w:ascii="Arial" w:hAnsi="Arial" w:cs="Arial"/>
                <w:noProof/>
                <w:webHidden/>
                <w:sz w:val="24"/>
                <w:szCs w:val="24"/>
              </w:rPr>
              <w:fldChar w:fldCharType="end"/>
            </w:r>
          </w:hyperlink>
        </w:p>
        <w:p w14:paraId="3F47326E" w14:textId="7E091A2A"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07" w:history="1">
            <w:r w:rsidRPr="002D09B1">
              <w:rPr>
                <w:rStyle w:val="Hyperlink"/>
                <w:rFonts w:ascii="Arial" w:eastAsia="Times New Roman" w:hAnsi="Arial" w:cs="Arial"/>
                <w:noProof/>
                <w:sz w:val="24"/>
                <w:szCs w:val="24"/>
                <w:lang w:val="en-GB" w:eastAsia="en-GB"/>
              </w:rPr>
              <w:t>4.8 Ethical Considerations</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_Toc240811407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16</w:t>
            </w:r>
            <w:r w:rsidRPr="002D09B1">
              <w:rPr>
                <w:rFonts w:ascii="Arial" w:hAnsi="Arial" w:cs="Arial"/>
                <w:noProof/>
                <w:webHidden/>
                <w:sz w:val="24"/>
                <w:szCs w:val="24"/>
              </w:rPr>
              <w:fldChar w:fldCharType="end"/>
            </w:r>
          </w:hyperlink>
        </w:p>
        <w:p w14:paraId="2966863F" w14:textId="70770F06" w:rsidR="002D09B1" w:rsidRPr="002D09B1" w:rsidRDefault="002D09B1" w:rsidP="002D09B1">
          <w:pPr>
            <w:pStyle w:val="TOC1"/>
            <w:tabs>
              <w:tab w:val="right" w:leader="dot" w:pos="9016"/>
            </w:tabs>
            <w:jc w:val="both"/>
            <w:rPr>
              <w:rFonts w:ascii="Arial" w:eastAsiaTheme="minorEastAsia" w:hAnsi="Arial" w:cs="Arial"/>
              <w:noProof/>
              <w:sz w:val="24"/>
              <w:szCs w:val="24"/>
              <w:lang w:val="en-GB" w:eastAsia="en-GB"/>
            </w:rPr>
          </w:pPr>
          <w:hyperlink w:anchor="_Toc240811408" w:history="1">
            <w:r w:rsidRPr="002D09B1">
              <w:rPr>
                <w:rStyle w:val="Hyperlink"/>
                <w:rFonts w:ascii="Arial" w:eastAsia="Times New Roman" w:hAnsi="Arial" w:cs="Arial"/>
                <w:noProof/>
                <w:sz w:val="24"/>
                <w:szCs w:val="24"/>
                <w:lang w:val="en-GB" w:eastAsia="en-GB"/>
              </w:rPr>
              <w:t>Chapter 5: Market Opportunity Analysis</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_Toc240811408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17</w:t>
            </w:r>
            <w:r w:rsidRPr="002D09B1">
              <w:rPr>
                <w:rFonts w:ascii="Arial" w:hAnsi="Arial" w:cs="Arial"/>
                <w:noProof/>
                <w:webHidden/>
                <w:sz w:val="24"/>
                <w:szCs w:val="24"/>
              </w:rPr>
              <w:fldChar w:fldCharType="end"/>
            </w:r>
          </w:hyperlink>
        </w:p>
        <w:p w14:paraId="5D38E205" w14:textId="3DB73A82"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09" w:history="1">
            <w:r w:rsidRPr="002D09B1">
              <w:rPr>
                <w:rStyle w:val="Hyperlink"/>
                <w:rFonts w:ascii="Arial" w:hAnsi="Arial" w:cs="Arial"/>
                <w:noProof/>
                <w:sz w:val="24"/>
                <w:szCs w:val="24"/>
                <w:lang w:val="en-GB" w:eastAsia="en-GB"/>
              </w:rPr>
              <w:t>5.1 Introduction</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_Toc240811409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17</w:t>
            </w:r>
            <w:r w:rsidRPr="002D09B1">
              <w:rPr>
                <w:rFonts w:ascii="Arial" w:hAnsi="Arial" w:cs="Arial"/>
                <w:noProof/>
                <w:webHidden/>
                <w:sz w:val="24"/>
                <w:szCs w:val="24"/>
              </w:rPr>
              <w:fldChar w:fldCharType="end"/>
            </w:r>
          </w:hyperlink>
        </w:p>
        <w:p w14:paraId="6A43D06D" w14:textId="384C6A7D"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10" w:history="1">
            <w:r w:rsidRPr="002D09B1">
              <w:rPr>
                <w:rStyle w:val="Hyperlink"/>
                <w:rFonts w:ascii="Arial" w:hAnsi="Arial" w:cs="Arial"/>
                <w:noProof/>
                <w:sz w:val="24"/>
                <w:szCs w:val="24"/>
                <w:lang w:val="en-GB" w:eastAsia="en-GB"/>
              </w:rPr>
              <w:t>5.2 UK Coffee Market Context</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_Toc240811410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17</w:t>
            </w:r>
            <w:r w:rsidRPr="002D09B1">
              <w:rPr>
                <w:rFonts w:ascii="Arial" w:hAnsi="Arial" w:cs="Arial"/>
                <w:noProof/>
                <w:webHidden/>
                <w:sz w:val="24"/>
                <w:szCs w:val="24"/>
              </w:rPr>
              <w:fldChar w:fldCharType="end"/>
            </w:r>
          </w:hyperlink>
        </w:p>
        <w:p w14:paraId="469FD40B" w14:textId="45392F15"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11" w:history="1">
            <w:r w:rsidRPr="002D09B1">
              <w:rPr>
                <w:rStyle w:val="Hyperlink"/>
                <w:rFonts w:ascii="Arial" w:hAnsi="Arial" w:cs="Arial"/>
                <w:noProof/>
                <w:sz w:val="24"/>
                <w:szCs w:val="24"/>
                <w:lang w:val="en-GB" w:eastAsia="en-GB"/>
              </w:rPr>
              <w:t>5.3 Local Market Opportunity: Covent Garden</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_Toc240811411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17</w:t>
            </w:r>
            <w:r w:rsidRPr="002D09B1">
              <w:rPr>
                <w:rFonts w:ascii="Arial" w:hAnsi="Arial" w:cs="Arial"/>
                <w:noProof/>
                <w:webHidden/>
                <w:sz w:val="24"/>
                <w:szCs w:val="24"/>
              </w:rPr>
              <w:fldChar w:fldCharType="end"/>
            </w:r>
          </w:hyperlink>
        </w:p>
        <w:p w14:paraId="7C9679CB" w14:textId="0280B364"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12" w:history="1">
            <w:r w:rsidRPr="002D09B1">
              <w:rPr>
                <w:rStyle w:val="Hyperlink"/>
                <w:rFonts w:ascii="Arial" w:hAnsi="Arial" w:cs="Arial"/>
                <w:noProof/>
                <w:sz w:val="24"/>
                <w:szCs w:val="24"/>
                <w:lang w:val="en-GB" w:eastAsia="en-GB"/>
              </w:rPr>
              <w:t>5.4 Market Segmentation and Targeting</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_Toc240811412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20</w:t>
            </w:r>
            <w:r w:rsidRPr="002D09B1">
              <w:rPr>
                <w:rFonts w:ascii="Arial" w:hAnsi="Arial" w:cs="Arial"/>
                <w:noProof/>
                <w:webHidden/>
                <w:sz w:val="24"/>
                <w:szCs w:val="24"/>
              </w:rPr>
              <w:fldChar w:fldCharType="end"/>
            </w:r>
          </w:hyperlink>
        </w:p>
        <w:p w14:paraId="33CB4BBF" w14:textId="29ED317E"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13" w:history="1">
            <w:r w:rsidRPr="002D09B1">
              <w:rPr>
                <w:rStyle w:val="Hyperlink"/>
                <w:rFonts w:ascii="Arial" w:hAnsi="Arial" w:cs="Arial"/>
                <w:noProof/>
                <w:sz w:val="24"/>
                <w:szCs w:val="24"/>
                <w:lang w:val="en-GB" w:eastAsia="en-GB"/>
              </w:rPr>
              <w:t>5.5 Indicative TAM, SAM and SOM</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_Toc240811413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21</w:t>
            </w:r>
            <w:r w:rsidRPr="002D09B1">
              <w:rPr>
                <w:rFonts w:ascii="Arial" w:hAnsi="Arial" w:cs="Arial"/>
                <w:noProof/>
                <w:webHidden/>
                <w:sz w:val="24"/>
                <w:szCs w:val="24"/>
              </w:rPr>
              <w:fldChar w:fldCharType="end"/>
            </w:r>
          </w:hyperlink>
        </w:p>
        <w:p w14:paraId="1925A08D" w14:textId="47862D82"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14" w:history="1">
            <w:r w:rsidRPr="002D09B1">
              <w:rPr>
                <w:rStyle w:val="Hyperlink"/>
                <w:rFonts w:ascii="Arial" w:hAnsi="Arial" w:cs="Arial"/>
                <w:noProof/>
                <w:sz w:val="24"/>
                <w:szCs w:val="24"/>
                <w:lang w:val="en-GB" w:eastAsia="en-GB"/>
              </w:rPr>
              <w:t>5.6 Customer Needs and Commercial Opportunity</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_Toc240811414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23</w:t>
            </w:r>
            <w:r w:rsidRPr="002D09B1">
              <w:rPr>
                <w:rFonts w:ascii="Arial" w:hAnsi="Arial" w:cs="Arial"/>
                <w:noProof/>
                <w:webHidden/>
                <w:sz w:val="24"/>
                <w:szCs w:val="24"/>
              </w:rPr>
              <w:fldChar w:fldCharType="end"/>
            </w:r>
          </w:hyperlink>
        </w:p>
        <w:p w14:paraId="538D039C" w14:textId="5D1E138A"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15" w:history="1">
            <w:r w:rsidRPr="002D09B1">
              <w:rPr>
                <w:rStyle w:val="Hyperlink"/>
                <w:rFonts w:ascii="Arial" w:hAnsi="Arial" w:cs="Arial"/>
                <w:noProof/>
                <w:sz w:val="24"/>
                <w:szCs w:val="24"/>
                <w:lang w:val="en-GB" w:eastAsia="en-GB"/>
              </w:rPr>
              <w:t>5.7 Market Opportunity Assessment</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_Toc240811415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23</w:t>
            </w:r>
            <w:r w:rsidRPr="002D09B1">
              <w:rPr>
                <w:rFonts w:ascii="Arial" w:hAnsi="Arial" w:cs="Arial"/>
                <w:noProof/>
                <w:webHidden/>
                <w:sz w:val="24"/>
                <w:szCs w:val="24"/>
              </w:rPr>
              <w:fldChar w:fldCharType="end"/>
            </w:r>
          </w:hyperlink>
        </w:p>
        <w:p w14:paraId="63D04EF6" w14:textId="0B272D89" w:rsidR="002D09B1" w:rsidRPr="002D09B1" w:rsidRDefault="002D09B1" w:rsidP="002D09B1">
          <w:pPr>
            <w:pStyle w:val="TOC1"/>
            <w:tabs>
              <w:tab w:val="right" w:leader="dot" w:pos="9016"/>
            </w:tabs>
            <w:jc w:val="both"/>
            <w:rPr>
              <w:rFonts w:ascii="Arial" w:eastAsiaTheme="minorEastAsia" w:hAnsi="Arial" w:cs="Arial"/>
              <w:noProof/>
              <w:sz w:val="24"/>
              <w:szCs w:val="24"/>
              <w:lang w:val="en-GB" w:eastAsia="en-GB"/>
            </w:rPr>
          </w:pPr>
          <w:hyperlink w:anchor="_Toc240811416" w:history="1">
            <w:r w:rsidRPr="002D09B1">
              <w:rPr>
                <w:rStyle w:val="Hyperlink"/>
                <w:rFonts w:ascii="Arial" w:hAnsi="Arial" w:cs="Arial"/>
                <w:noProof/>
                <w:sz w:val="24"/>
                <w:szCs w:val="24"/>
                <w:lang w:val="en-GB" w:eastAsia="en-GB"/>
              </w:rPr>
              <w:t>Chapter 6: Competitive Environment Analysis</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_Toc240811416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25</w:t>
            </w:r>
            <w:r w:rsidRPr="002D09B1">
              <w:rPr>
                <w:rFonts w:ascii="Arial" w:hAnsi="Arial" w:cs="Arial"/>
                <w:noProof/>
                <w:webHidden/>
                <w:sz w:val="24"/>
                <w:szCs w:val="24"/>
              </w:rPr>
              <w:fldChar w:fldCharType="end"/>
            </w:r>
          </w:hyperlink>
        </w:p>
        <w:p w14:paraId="497224A9" w14:textId="4D65AF16"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17" w:history="1">
            <w:r w:rsidRPr="002D09B1">
              <w:rPr>
                <w:rStyle w:val="Hyperlink"/>
                <w:rFonts w:ascii="Arial" w:hAnsi="Arial" w:cs="Arial"/>
                <w:noProof/>
                <w:sz w:val="24"/>
                <w:szCs w:val="24"/>
                <w:lang w:val="en-GB" w:eastAsia="en-GB"/>
              </w:rPr>
              <w:t>6.1 Introduction</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_Toc240811417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25</w:t>
            </w:r>
            <w:r w:rsidRPr="002D09B1">
              <w:rPr>
                <w:rFonts w:ascii="Arial" w:hAnsi="Arial" w:cs="Arial"/>
                <w:noProof/>
                <w:webHidden/>
                <w:sz w:val="24"/>
                <w:szCs w:val="24"/>
              </w:rPr>
              <w:fldChar w:fldCharType="end"/>
            </w:r>
          </w:hyperlink>
        </w:p>
        <w:p w14:paraId="3AF53373" w14:textId="36A57DA8"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18" w:history="1">
            <w:r w:rsidRPr="002D09B1">
              <w:rPr>
                <w:rStyle w:val="Hyperlink"/>
                <w:rFonts w:ascii="Arial" w:hAnsi="Arial" w:cs="Arial"/>
                <w:noProof/>
                <w:sz w:val="24"/>
                <w:szCs w:val="24"/>
                <w:lang w:val="en-GB" w:eastAsia="en-GB"/>
              </w:rPr>
              <w:t>6.2 Competitor Analysis</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_Toc240811418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25</w:t>
            </w:r>
            <w:r w:rsidRPr="002D09B1">
              <w:rPr>
                <w:rFonts w:ascii="Arial" w:hAnsi="Arial" w:cs="Arial"/>
                <w:noProof/>
                <w:webHidden/>
                <w:sz w:val="24"/>
                <w:szCs w:val="24"/>
              </w:rPr>
              <w:fldChar w:fldCharType="end"/>
            </w:r>
          </w:hyperlink>
        </w:p>
        <w:p w14:paraId="6BC38443" w14:textId="5A859DEB"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19" w:history="1">
            <w:r w:rsidRPr="002D09B1">
              <w:rPr>
                <w:rStyle w:val="Hyperlink"/>
                <w:rFonts w:ascii="Arial" w:hAnsi="Arial" w:cs="Arial"/>
                <w:noProof/>
                <w:sz w:val="24"/>
                <w:szCs w:val="24"/>
                <w:lang w:val="en-GB" w:eastAsia="en-GB"/>
              </w:rPr>
              <w:t>6.3 Porter’s Five Force</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_Toc240811419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28</w:t>
            </w:r>
            <w:r w:rsidRPr="002D09B1">
              <w:rPr>
                <w:rFonts w:ascii="Arial" w:hAnsi="Arial" w:cs="Arial"/>
                <w:noProof/>
                <w:webHidden/>
                <w:sz w:val="24"/>
                <w:szCs w:val="24"/>
              </w:rPr>
              <w:fldChar w:fldCharType="end"/>
            </w:r>
          </w:hyperlink>
        </w:p>
        <w:p w14:paraId="46B5F51A" w14:textId="202A20AA"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20" w:history="1">
            <w:r w:rsidRPr="002D09B1">
              <w:rPr>
                <w:rStyle w:val="Hyperlink"/>
                <w:rFonts w:ascii="Arial" w:hAnsi="Arial" w:cs="Arial"/>
                <w:noProof/>
                <w:sz w:val="24"/>
                <w:szCs w:val="24"/>
                <w:lang w:val="en-GB" w:eastAsia="en-GB"/>
              </w:rPr>
              <w:t>6.4 PESTLE Analysis</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_Toc240811420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30</w:t>
            </w:r>
            <w:r w:rsidRPr="002D09B1">
              <w:rPr>
                <w:rFonts w:ascii="Arial" w:hAnsi="Arial" w:cs="Arial"/>
                <w:noProof/>
                <w:webHidden/>
                <w:sz w:val="24"/>
                <w:szCs w:val="24"/>
              </w:rPr>
              <w:fldChar w:fldCharType="end"/>
            </w:r>
          </w:hyperlink>
        </w:p>
        <w:p w14:paraId="4D88BC8A" w14:textId="19F6ECFC"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21" w:history="1">
            <w:r w:rsidRPr="002D09B1">
              <w:rPr>
                <w:rStyle w:val="Hyperlink"/>
                <w:rFonts w:ascii="Arial" w:hAnsi="Arial" w:cs="Arial"/>
                <w:noProof/>
                <w:sz w:val="24"/>
                <w:szCs w:val="24"/>
                <w:lang w:val="en-GB" w:eastAsia="en-GB"/>
              </w:rPr>
              <w:t>6.5 Evidence-Based Positioning Gap</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_Toc240811421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32</w:t>
            </w:r>
            <w:r w:rsidRPr="002D09B1">
              <w:rPr>
                <w:rFonts w:ascii="Arial" w:hAnsi="Arial" w:cs="Arial"/>
                <w:noProof/>
                <w:webHidden/>
                <w:sz w:val="24"/>
                <w:szCs w:val="24"/>
              </w:rPr>
              <w:fldChar w:fldCharType="end"/>
            </w:r>
          </w:hyperlink>
        </w:p>
        <w:p w14:paraId="11B5C8A9" w14:textId="24815E17"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22" w:history="1">
            <w:r w:rsidRPr="002D09B1">
              <w:rPr>
                <w:rStyle w:val="Hyperlink"/>
                <w:rFonts w:ascii="Arial" w:hAnsi="Arial" w:cs="Arial"/>
                <w:noProof/>
                <w:sz w:val="24"/>
                <w:szCs w:val="24"/>
                <w:lang w:val="en-GB" w:eastAsia="en-GB"/>
              </w:rPr>
              <w:t>6.6 Chapter Synthesis</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_Toc240811422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33</w:t>
            </w:r>
            <w:r w:rsidRPr="002D09B1">
              <w:rPr>
                <w:rFonts w:ascii="Arial" w:hAnsi="Arial" w:cs="Arial"/>
                <w:noProof/>
                <w:webHidden/>
                <w:sz w:val="24"/>
                <w:szCs w:val="24"/>
              </w:rPr>
              <w:fldChar w:fldCharType="end"/>
            </w:r>
          </w:hyperlink>
        </w:p>
        <w:p w14:paraId="05DFBCA9" w14:textId="6856E757" w:rsidR="002D09B1" w:rsidRPr="002D09B1" w:rsidRDefault="002D09B1" w:rsidP="002D09B1">
          <w:pPr>
            <w:pStyle w:val="TOC1"/>
            <w:tabs>
              <w:tab w:val="right" w:leader="dot" w:pos="9016"/>
            </w:tabs>
            <w:jc w:val="both"/>
            <w:rPr>
              <w:rFonts w:ascii="Arial" w:eastAsiaTheme="minorEastAsia" w:hAnsi="Arial" w:cs="Arial"/>
              <w:noProof/>
              <w:sz w:val="24"/>
              <w:szCs w:val="24"/>
              <w:lang w:val="en-GB" w:eastAsia="en-GB"/>
            </w:rPr>
          </w:pPr>
          <w:hyperlink w:anchor="_Toc240811423" w:history="1">
            <w:r w:rsidRPr="002D09B1">
              <w:rPr>
                <w:rStyle w:val="Hyperlink"/>
                <w:rFonts w:ascii="Arial" w:eastAsia="Times New Roman" w:hAnsi="Arial" w:cs="Arial"/>
                <w:noProof/>
                <w:sz w:val="24"/>
                <w:szCs w:val="24"/>
                <w:lang w:val="en-GB" w:eastAsia="en-GB"/>
              </w:rPr>
              <w:t>Chapter 7: Business Strategy</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_Toc240811423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34</w:t>
            </w:r>
            <w:r w:rsidRPr="002D09B1">
              <w:rPr>
                <w:rFonts w:ascii="Arial" w:hAnsi="Arial" w:cs="Arial"/>
                <w:noProof/>
                <w:webHidden/>
                <w:sz w:val="24"/>
                <w:szCs w:val="24"/>
              </w:rPr>
              <w:fldChar w:fldCharType="end"/>
            </w:r>
          </w:hyperlink>
        </w:p>
        <w:p w14:paraId="73555AE3" w14:textId="26DECDF0"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24" w:history="1">
            <w:r w:rsidRPr="002D09B1">
              <w:rPr>
                <w:rStyle w:val="Hyperlink"/>
                <w:rFonts w:ascii="Arial" w:eastAsia="Times New Roman" w:hAnsi="Arial" w:cs="Arial"/>
                <w:noProof/>
                <w:sz w:val="24"/>
                <w:szCs w:val="24"/>
                <w:lang w:val="en-GB" w:eastAsia="en-GB"/>
              </w:rPr>
              <w:t>7.1 Strategic Situation and Frameworks</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_Toc240811424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34</w:t>
            </w:r>
            <w:r w:rsidRPr="002D09B1">
              <w:rPr>
                <w:rFonts w:ascii="Arial" w:hAnsi="Arial" w:cs="Arial"/>
                <w:noProof/>
                <w:webHidden/>
                <w:sz w:val="24"/>
                <w:szCs w:val="24"/>
              </w:rPr>
              <w:fldChar w:fldCharType="end"/>
            </w:r>
          </w:hyperlink>
        </w:p>
        <w:p w14:paraId="2C8C98D9" w14:textId="05C41ECF"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25" w:history="1">
            <w:r w:rsidRPr="002D09B1">
              <w:rPr>
                <w:rStyle w:val="Hyperlink"/>
                <w:rFonts w:ascii="Arial" w:eastAsia="Times New Roman" w:hAnsi="Arial" w:cs="Arial"/>
                <w:noProof/>
                <w:sz w:val="24"/>
                <w:szCs w:val="24"/>
                <w:lang w:val="en-GB" w:eastAsia="en-GB"/>
              </w:rPr>
              <w:t>7.2 Internal Analysis Using VRIO</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_Toc240811425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34</w:t>
            </w:r>
            <w:r w:rsidRPr="002D09B1">
              <w:rPr>
                <w:rFonts w:ascii="Arial" w:hAnsi="Arial" w:cs="Arial"/>
                <w:noProof/>
                <w:webHidden/>
                <w:sz w:val="24"/>
                <w:szCs w:val="24"/>
              </w:rPr>
              <w:fldChar w:fldCharType="end"/>
            </w:r>
          </w:hyperlink>
        </w:p>
        <w:p w14:paraId="28D08357" w14:textId="10924FCE"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26" w:history="1">
            <w:r w:rsidRPr="002D09B1">
              <w:rPr>
                <w:rStyle w:val="Hyperlink"/>
                <w:rFonts w:ascii="Arial" w:eastAsia="Times New Roman" w:hAnsi="Arial" w:cs="Arial"/>
                <w:noProof/>
                <w:sz w:val="24"/>
                <w:szCs w:val="24"/>
                <w:lang w:val="en-GB" w:eastAsia="en-GB"/>
              </w:rPr>
              <w:t>7.3 SWOT and Strategic Issues</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_Toc240811426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36</w:t>
            </w:r>
            <w:r w:rsidRPr="002D09B1">
              <w:rPr>
                <w:rFonts w:ascii="Arial" w:hAnsi="Arial" w:cs="Arial"/>
                <w:noProof/>
                <w:webHidden/>
                <w:sz w:val="24"/>
                <w:szCs w:val="24"/>
              </w:rPr>
              <w:fldChar w:fldCharType="end"/>
            </w:r>
          </w:hyperlink>
        </w:p>
        <w:p w14:paraId="624B7785" w14:textId="089482C5"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27" w:history="1">
            <w:r w:rsidRPr="002D09B1">
              <w:rPr>
                <w:rStyle w:val="Hyperlink"/>
                <w:rFonts w:ascii="Arial" w:eastAsia="Times New Roman" w:hAnsi="Arial" w:cs="Arial"/>
                <w:noProof/>
                <w:sz w:val="24"/>
                <w:szCs w:val="24"/>
                <w:lang w:val="en-GB" w:eastAsia="en-GB"/>
              </w:rPr>
              <w:t>7.4 Strategic Alternatives and Choice</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_Toc240811427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37</w:t>
            </w:r>
            <w:r w:rsidRPr="002D09B1">
              <w:rPr>
                <w:rFonts w:ascii="Arial" w:hAnsi="Arial" w:cs="Arial"/>
                <w:noProof/>
                <w:webHidden/>
                <w:sz w:val="24"/>
                <w:szCs w:val="24"/>
              </w:rPr>
              <w:fldChar w:fldCharType="end"/>
            </w:r>
          </w:hyperlink>
        </w:p>
        <w:p w14:paraId="04351E22" w14:textId="415FBF5E" w:rsidR="002D09B1" w:rsidRPr="002D09B1" w:rsidRDefault="002D09B1" w:rsidP="002D09B1">
          <w:pPr>
            <w:pStyle w:val="TOC3"/>
            <w:tabs>
              <w:tab w:val="right" w:leader="dot" w:pos="9016"/>
            </w:tabs>
            <w:jc w:val="both"/>
            <w:rPr>
              <w:rFonts w:ascii="Arial" w:eastAsiaTheme="minorEastAsia" w:hAnsi="Arial" w:cs="Arial"/>
              <w:noProof/>
              <w:sz w:val="24"/>
              <w:szCs w:val="24"/>
              <w:lang w:val="en-GB" w:eastAsia="en-GB"/>
            </w:rPr>
          </w:pPr>
          <w:hyperlink w:anchor="_Toc240811428" w:history="1">
            <w:r w:rsidRPr="002D09B1">
              <w:rPr>
                <w:rStyle w:val="Hyperlink"/>
                <w:rFonts w:ascii="Arial" w:eastAsia="Times New Roman" w:hAnsi="Arial" w:cs="Arial"/>
                <w:noProof/>
                <w:sz w:val="24"/>
                <w:szCs w:val="24"/>
                <w:lang w:val="en-GB" w:eastAsia="en-GB"/>
              </w:rPr>
              <w:t>Alternative 1: Premium Specialty Differentiation</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_Toc240811428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37</w:t>
            </w:r>
            <w:r w:rsidRPr="002D09B1">
              <w:rPr>
                <w:rFonts w:ascii="Arial" w:hAnsi="Arial" w:cs="Arial"/>
                <w:noProof/>
                <w:webHidden/>
                <w:sz w:val="24"/>
                <w:szCs w:val="24"/>
              </w:rPr>
              <w:fldChar w:fldCharType="end"/>
            </w:r>
          </w:hyperlink>
        </w:p>
        <w:p w14:paraId="04D1B8A6" w14:textId="13AD88C6" w:rsidR="002D09B1" w:rsidRPr="002D09B1" w:rsidRDefault="002D09B1" w:rsidP="002D09B1">
          <w:pPr>
            <w:pStyle w:val="TOC3"/>
            <w:tabs>
              <w:tab w:val="right" w:leader="dot" w:pos="9016"/>
            </w:tabs>
            <w:jc w:val="both"/>
            <w:rPr>
              <w:rFonts w:ascii="Arial" w:eastAsiaTheme="minorEastAsia" w:hAnsi="Arial" w:cs="Arial"/>
              <w:noProof/>
              <w:sz w:val="24"/>
              <w:szCs w:val="24"/>
              <w:lang w:val="en-GB" w:eastAsia="en-GB"/>
            </w:rPr>
          </w:pPr>
          <w:hyperlink w:anchor="_Toc240811429" w:history="1">
            <w:r w:rsidRPr="002D09B1">
              <w:rPr>
                <w:rStyle w:val="Hyperlink"/>
                <w:rFonts w:ascii="Arial" w:eastAsia="Times New Roman" w:hAnsi="Arial" w:cs="Arial"/>
                <w:noProof/>
                <w:sz w:val="24"/>
                <w:szCs w:val="24"/>
                <w:lang w:val="en-GB" w:eastAsia="en-GB"/>
              </w:rPr>
              <w:t>Alternative 2: Ethical Differentiation</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_Toc240811429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38</w:t>
            </w:r>
            <w:r w:rsidRPr="002D09B1">
              <w:rPr>
                <w:rFonts w:ascii="Arial" w:hAnsi="Arial" w:cs="Arial"/>
                <w:noProof/>
                <w:webHidden/>
                <w:sz w:val="24"/>
                <w:szCs w:val="24"/>
              </w:rPr>
              <w:fldChar w:fldCharType="end"/>
            </w:r>
          </w:hyperlink>
        </w:p>
        <w:p w14:paraId="7CA577EA" w14:textId="1E40030E" w:rsidR="002D09B1" w:rsidRPr="002D09B1" w:rsidRDefault="002D09B1" w:rsidP="002D09B1">
          <w:pPr>
            <w:pStyle w:val="TOC3"/>
            <w:tabs>
              <w:tab w:val="right" w:leader="dot" w:pos="9016"/>
            </w:tabs>
            <w:jc w:val="both"/>
            <w:rPr>
              <w:rFonts w:ascii="Arial" w:eastAsiaTheme="minorEastAsia" w:hAnsi="Arial" w:cs="Arial"/>
              <w:noProof/>
              <w:sz w:val="24"/>
              <w:szCs w:val="24"/>
              <w:lang w:val="en-GB" w:eastAsia="en-GB"/>
            </w:rPr>
          </w:pPr>
          <w:hyperlink w:anchor="_Toc240811430" w:history="1">
            <w:r w:rsidRPr="002D09B1">
              <w:rPr>
                <w:rStyle w:val="Hyperlink"/>
                <w:rFonts w:ascii="Arial" w:eastAsia="Times New Roman" w:hAnsi="Arial" w:cs="Arial"/>
                <w:noProof/>
                <w:sz w:val="24"/>
                <w:szCs w:val="24"/>
                <w:lang w:val="en-GB" w:eastAsia="en-GB"/>
              </w:rPr>
              <w:t>Alternative 3: Focused Entry Followed by Evidence-Led Expansion</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_Toc240811430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38</w:t>
            </w:r>
            <w:r w:rsidRPr="002D09B1">
              <w:rPr>
                <w:rFonts w:ascii="Arial" w:hAnsi="Arial" w:cs="Arial"/>
                <w:noProof/>
                <w:webHidden/>
                <w:sz w:val="24"/>
                <w:szCs w:val="24"/>
              </w:rPr>
              <w:fldChar w:fldCharType="end"/>
            </w:r>
          </w:hyperlink>
        </w:p>
        <w:p w14:paraId="72F65460" w14:textId="69A3907A"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31" w:history="1">
            <w:r w:rsidRPr="002D09B1">
              <w:rPr>
                <w:rStyle w:val="Hyperlink"/>
                <w:rFonts w:ascii="Arial" w:eastAsia="Times New Roman" w:hAnsi="Arial" w:cs="Arial"/>
                <w:noProof/>
                <w:sz w:val="24"/>
                <w:szCs w:val="24"/>
                <w:lang w:val="en-GB" w:eastAsia="en-GB"/>
              </w:rPr>
              <w:t>7.5 USP, Value Proposition and Positioning</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_Toc240811431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40</w:t>
            </w:r>
            <w:r w:rsidRPr="002D09B1">
              <w:rPr>
                <w:rFonts w:ascii="Arial" w:hAnsi="Arial" w:cs="Arial"/>
                <w:noProof/>
                <w:webHidden/>
                <w:sz w:val="24"/>
                <w:szCs w:val="24"/>
              </w:rPr>
              <w:fldChar w:fldCharType="end"/>
            </w:r>
          </w:hyperlink>
        </w:p>
        <w:p w14:paraId="6F0FD731" w14:textId="49CAD090"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32" w:history="1">
            <w:r w:rsidRPr="002D09B1">
              <w:rPr>
                <w:rStyle w:val="Hyperlink"/>
                <w:rFonts w:ascii="Arial" w:eastAsia="Times New Roman" w:hAnsi="Arial" w:cs="Arial"/>
                <w:noProof/>
                <w:sz w:val="24"/>
                <w:szCs w:val="24"/>
                <w:lang w:val="en-GB" w:eastAsia="en-GB"/>
              </w:rPr>
              <w:t>7.6 Competitive Advantage and Key Success Factors</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_Toc240811432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41</w:t>
            </w:r>
            <w:r w:rsidRPr="002D09B1">
              <w:rPr>
                <w:rFonts w:ascii="Arial" w:hAnsi="Arial" w:cs="Arial"/>
                <w:noProof/>
                <w:webHidden/>
                <w:sz w:val="24"/>
                <w:szCs w:val="24"/>
              </w:rPr>
              <w:fldChar w:fldCharType="end"/>
            </w:r>
          </w:hyperlink>
        </w:p>
        <w:p w14:paraId="4DBF576E" w14:textId="2C62711C"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33" w:history="1">
            <w:r w:rsidRPr="002D09B1">
              <w:rPr>
                <w:rStyle w:val="Hyperlink"/>
                <w:rFonts w:ascii="Arial" w:eastAsia="Times New Roman" w:hAnsi="Arial" w:cs="Arial"/>
                <w:noProof/>
                <w:sz w:val="24"/>
                <w:szCs w:val="24"/>
                <w:lang w:val="en-GB" w:eastAsia="en-GB"/>
              </w:rPr>
              <w:t>7.7 Strategic Synthesis</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_Toc240811433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42</w:t>
            </w:r>
            <w:r w:rsidRPr="002D09B1">
              <w:rPr>
                <w:rFonts w:ascii="Arial" w:hAnsi="Arial" w:cs="Arial"/>
                <w:noProof/>
                <w:webHidden/>
                <w:sz w:val="24"/>
                <w:szCs w:val="24"/>
              </w:rPr>
              <w:fldChar w:fldCharType="end"/>
            </w:r>
          </w:hyperlink>
        </w:p>
        <w:p w14:paraId="4089EEB4" w14:textId="084E22C3" w:rsidR="002D09B1" w:rsidRPr="002D09B1" w:rsidRDefault="002D09B1" w:rsidP="002D09B1">
          <w:pPr>
            <w:pStyle w:val="TOC1"/>
            <w:tabs>
              <w:tab w:val="right" w:leader="dot" w:pos="9016"/>
            </w:tabs>
            <w:jc w:val="both"/>
            <w:rPr>
              <w:rFonts w:ascii="Arial" w:eastAsiaTheme="minorEastAsia" w:hAnsi="Arial" w:cs="Arial"/>
              <w:noProof/>
              <w:sz w:val="24"/>
              <w:szCs w:val="24"/>
              <w:lang w:val="en-GB" w:eastAsia="en-GB"/>
            </w:rPr>
          </w:pPr>
          <w:hyperlink w:anchor="_Toc240811434" w:history="1">
            <w:r w:rsidRPr="002D09B1">
              <w:rPr>
                <w:rStyle w:val="Hyperlink"/>
                <w:rFonts w:ascii="Arial" w:eastAsia="Times New Roman" w:hAnsi="Arial" w:cs="Arial"/>
                <w:noProof/>
                <w:sz w:val="24"/>
                <w:szCs w:val="24"/>
                <w:lang w:val="en-GB" w:eastAsia="en-GB"/>
              </w:rPr>
              <w:t>Chapter 8: Business Model Canvas</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_Toc240811434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43</w:t>
            </w:r>
            <w:r w:rsidRPr="002D09B1">
              <w:rPr>
                <w:rFonts w:ascii="Arial" w:hAnsi="Arial" w:cs="Arial"/>
                <w:noProof/>
                <w:webHidden/>
                <w:sz w:val="24"/>
                <w:szCs w:val="24"/>
              </w:rPr>
              <w:fldChar w:fldCharType="end"/>
            </w:r>
          </w:hyperlink>
        </w:p>
        <w:p w14:paraId="06973DC5" w14:textId="076DB7C4"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35" w:history="1">
            <w:r w:rsidRPr="002D09B1">
              <w:rPr>
                <w:rStyle w:val="Hyperlink"/>
                <w:rFonts w:ascii="Arial" w:eastAsia="Times New Roman" w:hAnsi="Arial" w:cs="Arial"/>
                <w:noProof/>
                <w:sz w:val="24"/>
                <w:szCs w:val="24"/>
                <w:lang w:val="en-GB" w:eastAsia="en-GB"/>
              </w:rPr>
              <w:t>8.1 Model Overview and Alignment</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_Toc240811435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43</w:t>
            </w:r>
            <w:r w:rsidRPr="002D09B1">
              <w:rPr>
                <w:rFonts w:ascii="Arial" w:hAnsi="Arial" w:cs="Arial"/>
                <w:noProof/>
                <w:webHidden/>
                <w:sz w:val="24"/>
                <w:szCs w:val="24"/>
              </w:rPr>
              <w:fldChar w:fldCharType="end"/>
            </w:r>
          </w:hyperlink>
        </w:p>
        <w:p w14:paraId="732961E4" w14:textId="3F2110EF"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36" w:history="1">
            <w:r w:rsidRPr="002D09B1">
              <w:rPr>
                <w:rStyle w:val="Hyperlink"/>
                <w:rFonts w:ascii="Arial" w:eastAsia="Times New Roman" w:hAnsi="Arial" w:cs="Arial"/>
                <w:noProof/>
                <w:sz w:val="24"/>
                <w:szCs w:val="24"/>
                <w:lang w:val="en-GB" w:eastAsia="en-GB"/>
              </w:rPr>
              <w:t>8.2 Customer Segments and Value Proposition</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_Toc240811436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43</w:t>
            </w:r>
            <w:r w:rsidRPr="002D09B1">
              <w:rPr>
                <w:rFonts w:ascii="Arial" w:hAnsi="Arial" w:cs="Arial"/>
                <w:noProof/>
                <w:webHidden/>
                <w:sz w:val="24"/>
                <w:szCs w:val="24"/>
              </w:rPr>
              <w:fldChar w:fldCharType="end"/>
            </w:r>
          </w:hyperlink>
        </w:p>
        <w:p w14:paraId="159D51EE" w14:textId="1299F51F"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37" w:history="1">
            <w:r w:rsidRPr="002D09B1">
              <w:rPr>
                <w:rStyle w:val="Hyperlink"/>
                <w:rFonts w:ascii="Arial" w:eastAsia="Times New Roman" w:hAnsi="Arial" w:cs="Arial"/>
                <w:noProof/>
                <w:sz w:val="24"/>
                <w:szCs w:val="24"/>
                <w:lang w:val="en-GB" w:eastAsia="en-GB"/>
              </w:rPr>
              <w:t>8.3 Channels and Customer Relationships</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_Toc240811437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44</w:t>
            </w:r>
            <w:r w:rsidRPr="002D09B1">
              <w:rPr>
                <w:rFonts w:ascii="Arial" w:hAnsi="Arial" w:cs="Arial"/>
                <w:noProof/>
                <w:webHidden/>
                <w:sz w:val="24"/>
                <w:szCs w:val="24"/>
              </w:rPr>
              <w:fldChar w:fldCharType="end"/>
            </w:r>
          </w:hyperlink>
        </w:p>
        <w:p w14:paraId="4F5CD2BB" w14:textId="6CDDFAB8"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38" w:history="1">
            <w:r w:rsidRPr="002D09B1">
              <w:rPr>
                <w:rStyle w:val="Hyperlink"/>
                <w:rFonts w:ascii="Arial" w:eastAsia="Times New Roman" w:hAnsi="Arial" w:cs="Arial"/>
                <w:noProof/>
                <w:sz w:val="24"/>
                <w:szCs w:val="24"/>
                <w:lang w:val="en-GB" w:eastAsia="en-GB"/>
              </w:rPr>
              <w:t>8.4 Revenue Streams and Cost Structure</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_Toc240811438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44</w:t>
            </w:r>
            <w:r w:rsidRPr="002D09B1">
              <w:rPr>
                <w:rFonts w:ascii="Arial" w:hAnsi="Arial" w:cs="Arial"/>
                <w:noProof/>
                <w:webHidden/>
                <w:sz w:val="24"/>
                <w:szCs w:val="24"/>
              </w:rPr>
              <w:fldChar w:fldCharType="end"/>
            </w:r>
          </w:hyperlink>
        </w:p>
        <w:p w14:paraId="370D1D69" w14:textId="47AD3217"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39" w:history="1">
            <w:r w:rsidRPr="002D09B1">
              <w:rPr>
                <w:rStyle w:val="Hyperlink"/>
                <w:rFonts w:ascii="Arial" w:eastAsia="Times New Roman" w:hAnsi="Arial" w:cs="Arial"/>
                <w:noProof/>
                <w:sz w:val="24"/>
                <w:szCs w:val="24"/>
                <w:lang w:val="en-GB" w:eastAsia="en-GB"/>
              </w:rPr>
              <w:t>8.5 Key Resources, Activities and Partnerships</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_Toc240811439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44</w:t>
            </w:r>
            <w:r w:rsidRPr="002D09B1">
              <w:rPr>
                <w:rFonts w:ascii="Arial" w:hAnsi="Arial" w:cs="Arial"/>
                <w:noProof/>
                <w:webHidden/>
                <w:sz w:val="24"/>
                <w:szCs w:val="24"/>
              </w:rPr>
              <w:fldChar w:fldCharType="end"/>
            </w:r>
          </w:hyperlink>
        </w:p>
        <w:p w14:paraId="0D2E17F2" w14:textId="0C09C79F"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40" w:history="1">
            <w:r w:rsidRPr="002D09B1">
              <w:rPr>
                <w:rStyle w:val="Hyperlink"/>
                <w:rFonts w:ascii="Arial" w:eastAsia="Times New Roman" w:hAnsi="Arial" w:cs="Arial"/>
                <w:noProof/>
                <w:sz w:val="24"/>
                <w:szCs w:val="24"/>
                <w:lang w:val="en-GB" w:eastAsia="en-GB"/>
              </w:rPr>
              <w:t>8.6 Integration, Assumptions and Conclusion</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_Toc240811440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45</w:t>
            </w:r>
            <w:r w:rsidRPr="002D09B1">
              <w:rPr>
                <w:rFonts w:ascii="Arial" w:hAnsi="Arial" w:cs="Arial"/>
                <w:noProof/>
                <w:webHidden/>
                <w:sz w:val="24"/>
                <w:szCs w:val="24"/>
              </w:rPr>
              <w:fldChar w:fldCharType="end"/>
            </w:r>
          </w:hyperlink>
        </w:p>
        <w:p w14:paraId="3C594760" w14:textId="1048508A" w:rsidR="002D09B1" w:rsidRPr="002D09B1" w:rsidRDefault="002D09B1" w:rsidP="002D09B1">
          <w:pPr>
            <w:pStyle w:val="TOC1"/>
            <w:tabs>
              <w:tab w:val="right" w:leader="dot" w:pos="9016"/>
            </w:tabs>
            <w:jc w:val="both"/>
            <w:rPr>
              <w:rFonts w:ascii="Arial" w:eastAsiaTheme="minorEastAsia" w:hAnsi="Arial" w:cs="Arial"/>
              <w:noProof/>
              <w:sz w:val="24"/>
              <w:szCs w:val="24"/>
              <w:lang w:val="en-GB" w:eastAsia="en-GB"/>
            </w:rPr>
          </w:pPr>
          <w:hyperlink w:anchor="_Toc240811441" w:history="1">
            <w:r w:rsidRPr="002D09B1">
              <w:rPr>
                <w:rStyle w:val="Hyperlink"/>
                <w:rFonts w:ascii="Arial" w:eastAsia="Times New Roman" w:hAnsi="Arial" w:cs="Arial"/>
                <w:noProof/>
                <w:sz w:val="24"/>
                <w:szCs w:val="24"/>
                <w:lang w:val="en-GB" w:eastAsia="en-GB"/>
              </w:rPr>
              <w:t>Chapter 9: Financial, Marketing and Sales, and Human Capital Management Plan</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_Toc240811441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46</w:t>
            </w:r>
            <w:r w:rsidRPr="002D09B1">
              <w:rPr>
                <w:rFonts w:ascii="Arial" w:hAnsi="Arial" w:cs="Arial"/>
                <w:noProof/>
                <w:webHidden/>
                <w:sz w:val="24"/>
                <w:szCs w:val="24"/>
              </w:rPr>
              <w:fldChar w:fldCharType="end"/>
            </w:r>
          </w:hyperlink>
        </w:p>
        <w:p w14:paraId="48140B03" w14:textId="7D4BBD3B"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42" w:history="1">
            <w:r w:rsidRPr="002D09B1">
              <w:rPr>
                <w:rStyle w:val="Hyperlink"/>
                <w:rFonts w:ascii="Arial" w:eastAsia="Times New Roman" w:hAnsi="Arial" w:cs="Arial"/>
                <w:noProof/>
                <w:sz w:val="24"/>
                <w:szCs w:val="24"/>
                <w:lang w:val="en-GB" w:eastAsia="en-GB"/>
              </w:rPr>
              <w:t>9.1 Integrated Plan Overview</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_Toc240811442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46</w:t>
            </w:r>
            <w:r w:rsidRPr="002D09B1">
              <w:rPr>
                <w:rFonts w:ascii="Arial" w:hAnsi="Arial" w:cs="Arial"/>
                <w:noProof/>
                <w:webHidden/>
                <w:sz w:val="24"/>
                <w:szCs w:val="24"/>
              </w:rPr>
              <w:fldChar w:fldCharType="end"/>
            </w:r>
          </w:hyperlink>
        </w:p>
        <w:p w14:paraId="43F74376" w14:textId="0D4E7D46"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43" w:history="1">
            <w:r w:rsidRPr="002D09B1">
              <w:rPr>
                <w:rStyle w:val="Hyperlink"/>
                <w:rFonts w:ascii="Arial" w:eastAsia="Times New Roman" w:hAnsi="Arial" w:cs="Arial"/>
                <w:noProof/>
                <w:sz w:val="24"/>
                <w:szCs w:val="24"/>
                <w:lang w:val="en-GB" w:eastAsia="en-GB"/>
              </w:rPr>
              <w:t>9.2 Financial Plan</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_Toc240811443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46</w:t>
            </w:r>
            <w:r w:rsidRPr="002D09B1">
              <w:rPr>
                <w:rFonts w:ascii="Arial" w:hAnsi="Arial" w:cs="Arial"/>
                <w:noProof/>
                <w:webHidden/>
                <w:sz w:val="24"/>
                <w:szCs w:val="24"/>
              </w:rPr>
              <w:fldChar w:fldCharType="end"/>
            </w:r>
          </w:hyperlink>
        </w:p>
        <w:p w14:paraId="7FE3E9BE" w14:textId="6ACB4162" w:rsidR="002D09B1" w:rsidRPr="002D09B1" w:rsidRDefault="002D09B1" w:rsidP="002D09B1">
          <w:pPr>
            <w:pStyle w:val="TOC3"/>
            <w:tabs>
              <w:tab w:val="right" w:leader="dot" w:pos="9016"/>
            </w:tabs>
            <w:jc w:val="both"/>
            <w:rPr>
              <w:rFonts w:ascii="Arial" w:eastAsiaTheme="minorEastAsia" w:hAnsi="Arial" w:cs="Arial"/>
              <w:noProof/>
              <w:sz w:val="24"/>
              <w:szCs w:val="24"/>
              <w:lang w:val="en-GB" w:eastAsia="en-GB"/>
            </w:rPr>
          </w:pPr>
          <w:hyperlink w:anchor="_Toc240811444" w:history="1">
            <w:r w:rsidRPr="002D09B1">
              <w:rPr>
                <w:rStyle w:val="Hyperlink"/>
                <w:rFonts w:ascii="Arial" w:eastAsia="Times New Roman" w:hAnsi="Arial" w:cs="Arial"/>
                <w:noProof/>
                <w:sz w:val="24"/>
                <w:szCs w:val="24"/>
                <w:lang w:val="en-GB" w:eastAsia="en-GB"/>
              </w:rPr>
              <w:t>9.2.1 Economic assumptions and business model</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_Toc240811444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46</w:t>
            </w:r>
            <w:r w:rsidRPr="002D09B1">
              <w:rPr>
                <w:rFonts w:ascii="Arial" w:hAnsi="Arial" w:cs="Arial"/>
                <w:noProof/>
                <w:webHidden/>
                <w:sz w:val="24"/>
                <w:szCs w:val="24"/>
              </w:rPr>
              <w:fldChar w:fldCharType="end"/>
            </w:r>
          </w:hyperlink>
        </w:p>
        <w:p w14:paraId="658B2318" w14:textId="20F17428" w:rsidR="002D09B1" w:rsidRPr="002D09B1" w:rsidRDefault="002D09B1" w:rsidP="002D09B1">
          <w:pPr>
            <w:pStyle w:val="TOC3"/>
            <w:tabs>
              <w:tab w:val="right" w:leader="dot" w:pos="9016"/>
            </w:tabs>
            <w:jc w:val="both"/>
            <w:rPr>
              <w:rFonts w:ascii="Arial" w:eastAsiaTheme="minorEastAsia" w:hAnsi="Arial" w:cs="Arial"/>
              <w:noProof/>
              <w:sz w:val="24"/>
              <w:szCs w:val="24"/>
              <w:lang w:val="en-GB" w:eastAsia="en-GB"/>
            </w:rPr>
          </w:pPr>
          <w:hyperlink w:anchor="_Toc240811445" w:history="1">
            <w:r w:rsidRPr="002D09B1">
              <w:rPr>
                <w:rStyle w:val="Hyperlink"/>
                <w:rFonts w:ascii="Arial" w:eastAsia="Times New Roman" w:hAnsi="Arial" w:cs="Arial"/>
                <w:noProof/>
                <w:sz w:val="24"/>
                <w:szCs w:val="24"/>
                <w:lang w:val="en-GB" w:eastAsia="en-GB"/>
              </w:rPr>
              <w:t>9.2.2 Start-up investment and funding</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_Toc240811445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47</w:t>
            </w:r>
            <w:r w:rsidRPr="002D09B1">
              <w:rPr>
                <w:rFonts w:ascii="Arial" w:hAnsi="Arial" w:cs="Arial"/>
                <w:noProof/>
                <w:webHidden/>
                <w:sz w:val="24"/>
                <w:szCs w:val="24"/>
              </w:rPr>
              <w:fldChar w:fldCharType="end"/>
            </w:r>
          </w:hyperlink>
        </w:p>
        <w:p w14:paraId="25CE4057" w14:textId="334B5EEC" w:rsidR="002D09B1" w:rsidRPr="002D09B1" w:rsidRDefault="002D09B1" w:rsidP="002D09B1">
          <w:pPr>
            <w:pStyle w:val="TOC3"/>
            <w:tabs>
              <w:tab w:val="right" w:leader="dot" w:pos="9016"/>
            </w:tabs>
            <w:jc w:val="both"/>
            <w:rPr>
              <w:rFonts w:ascii="Arial" w:eastAsiaTheme="minorEastAsia" w:hAnsi="Arial" w:cs="Arial"/>
              <w:noProof/>
              <w:sz w:val="24"/>
              <w:szCs w:val="24"/>
              <w:lang w:val="en-GB" w:eastAsia="en-GB"/>
            </w:rPr>
          </w:pPr>
          <w:hyperlink w:anchor="_Toc240811446" w:history="1">
            <w:r w:rsidRPr="002D09B1">
              <w:rPr>
                <w:rStyle w:val="Hyperlink"/>
                <w:rFonts w:ascii="Arial" w:eastAsia="Times New Roman" w:hAnsi="Arial" w:cs="Arial"/>
                <w:noProof/>
                <w:sz w:val="24"/>
                <w:szCs w:val="24"/>
                <w:lang w:val="en-GB" w:eastAsia="en-GB"/>
              </w:rPr>
              <w:t>9.2.3 Operating cost structure</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_Toc240811446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48</w:t>
            </w:r>
            <w:r w:rsidRPr="002D09B1">
              <w:rPr>
                <w:rFonts w:ascii="Arial" w:hAnsi="Arial" w:cs="Arial"/>
                <w:noProof/>
                <w:webHidden/>
                <w:sz w:val="24"/>
                <w:szCs w:val="24"/>
              </w:rPr>
              <w:fldChar w:fldCharType="end"/>
            </w:r>
          </w:hyperlink>
        </w:p>
        <w:p w14:paraId="7486FD4E" w14:textId="046349D8" w:rsidR="002D09B1" w:rsidRPr="002D09B1" w:rsidRDefault="002D09B1" w:rsidP="002D09B1">
          <w:pPr>
            <w:pStyle w:val="TOC3"/>
            <w:tabs>
              <w:tab w:val="right" w:leader="dot" w:pos="9016"/>
            </w:tabs>
            <w:jc w:val="both"/>
            <w:rPr>
              <w:rFonts w:ascii="Arial" w:eastAsiaTheme="minorEastAsia" w:hAnsi="Arial" w:cs="Arial"/>
              <w:noProof/>
              <w:sz w:val="24"/>
              <w:szCs w:val="24"/>
              <w:lang w:val="en-GB" w:eastAsia="en-GB"/>
            </w:rPr>
          </w:pPr>
          <w:hyperlink w:anchor="_Toc240811447" w:history="1">
            <w:r w:rsidRPr="002D09B1">
              <w:rPr>
                <w:rStyle w:val="Hyperlink"/>
                <w:rFonts w:ascii="Arial" w:eastAsia="Times New Roman" w:hAnsi="Arial" w:cs="Arial"/>
                <w:noProof/>
                <w:sz w:val="24"/>
                <w:szCs w:val="24"/>
                <w:lang w:val="en-GB" w:eastAsia="en-GB"/>
              </w:rPr>
              <w:t>9.2.4 Revenue and profitability projection</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_Toc240811447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48</w:t>
            </w:r>
            <w:r w:rsidRPr="002D09B1">
              <w:rPr>
                <w:rFonts w:ascii="Arial" w:hAnsi="Arial" w:cs="Arial"/>
                <w:noProof/>
                <w:webHidden/>
                <w:sz w:val="24"/>
                <w:szCs w:val="24"/>
              </w:rPr>
              <w:fldChar w:fldCharType="end"/>
            </w:r>
          </w:hyperlink>
        </w:p>
        <w:p w14:paraId="79B07FE9" w14:textId="33CD145A" w:rsidR="002D09B1" w:rsidRPr="002D09B1" w:rsidRDefault="002D09B1" w:rsidP="002D09B1">
          <w:pPr>
            <w:pStyle w:val="TOC3"/>
            <w:tabs>
              <w:tab w:val="right" w:leader="dot" w:pos="9016"/>
            </w:tabs>
            <w:jc w:val="both"/>
            <w:rPr>
              <w:rFonts w:ascii="Arial" w:eastAsiaTheme="minorEastAsia" w:hAnsi="Arial" w:cs="Arial"/>
              <w:noProof/>
              <w:sz w:val="24"/>
              <w:szCs w:val="24"/>
              <w:lang w:val="en-GB" w:eastAsia="en-GB"/>
            </w:rPr>
          </w:pPr>
          <w:hyperlink w:anchor="_Toc240811448" w:history="1">
            <w:r w:rsidRPr="002D09B1">
              <w:rPr>
                <w:rStyle w:val="Hyperlink"/>
                <w:rFonts w:ascii="Arial" w:eastAsia="Times New Roman" w:hAnsi="Arial" w:cs="Arial"/>
                <w:noProof/>
                <w:sz w:val="24"/>
                <w:szCs w:val="24"/>
                <w:lang w:val="en-GB" w:eastAsia="en-GB"/>
              </w:rPr>
              <w:t>9.2.5 Break-even and sensitivity</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_Toc240811448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49</w:t>
            </w:r>
            <w:r w:rsidRPr="002D09B1">
              <w:rPr>
                <w:rFonts w:ascii="Arial" w:hAnsi="Arial" w:cs="Arial"/>
                <w:noProof/>
                <w:webHidden/>
                <w:sz w:val="24"/>
                <w:szCs w:val="24"/>
              </w:rPr>
              <w:fldChar w:fldCharType="end"/>
            </w:r>
          </w:hyperlink>
        </w:p>
        <w:p w14:paraId="0328011D" w14:textId="53B979A6"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49" w:history="1">
            <w:r w:rsidRPr="002D09B1">
              <w:rPr>
                <w:rStyle w:val="Hyperlink"/>
                <w:rFonts w:ascii="Arial" w:eastAsia="Times New Roman" w:hAnsi="Arial" w:cs="Arial"/>
                <w:noProof/>
                <w:sz w:val="24"/>
                <w:szCs w:val="24"/>
                <w:lang w:val="en-GB" w:eastAsia="en-GB"/>
              </w:rPr>
              <w:t>9.3 Marketing and Sales Plan</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_Toc240811449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49</w:t>
            </w:r>
            <w:r w:rsidRPr="002D09B1">
              <w:rPr>
                <w:rFonts w:ascii="Arial" w:hAnsi="Arial" w:cs="Arial"/>
                <w:noProof/>
                <w:webHidden/>
                <w:sz w:val="24"/>
                <w:szCs w:val="24"/>
              </w:rPr>
              <w:fldChar w:fldCharType="end"/>
            </w:r>
          </w:hyperlink>
        </w:p>
        <w:p w14:paraId="30BF6591" w14:textId="7E8EE431" w:rsidR="002D09B1" w:rsidRPr="002D09B1" w:rsidRDefault="002D09B1" w:rsidP="002D09B1">
          <w:pPr>
            <w:pStyle w:val="TOC3"/>
            <w:tabs>
              <w:tab w:val="right" w:leader="dot" w:pos="9016"/>
            </w:tabs>
            <w:jc w:val="both"/>
            <w:rPr>
              <w:rFonts w:ascii="Arial" w:eastAsiaTheme="minorEastAsia" w:hAnsi="Arial" w:cs="Arial"/>
              <w:noProof/>
              <w:sz w:val="24"/>
              <w:szCs w:val="24"/>
              <w:lang w:val="en-GB" w:eastAsia="en-GB"/>
            </w:rPr>
          </w:pPr>
          <w:hyperlink w:anchor="_Toc240811450" w:history="1">
            <w:r w:rsidRPr="002D09B1">
              <w:rPr>
                <w:rStyle w:val="Hyperlink"/>
                <w:rFonts w:ascii="Arial" w:eastAsia="Times New Roman" w:hAnsi="Arial" w:cs="Arial"/>
                <w:noProof/>
                <w:sz w:val="24"/>
                <w:szCs w:val="24"/>
                <w:lang w:val="en-GB" w:eastAsia="en-GB"/>
              </w:rPr>
              <w:t>9.3.1 Segmentation, targeting and positioning</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_Toc240811450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49</w:t>
            </w:r>
            <w:r w:rsidRPr="002D09B1">
              <w:rPr>
                <w:rFonts w:ascii="Arial" w:hAnsi="Arial" w:cs="Arial"/>
                <w:noProof/>
                <w:webHidden/>
                <w:sz w:val="24"/>
                <w:szCs w:val="24"/>
              </w:rPr>
              <w:fldChar w:fldCharType="end"/>
            </w:r>
          </w:hyperlink>
        </w:p>
        <w:p w14:paraId="39A82FB7" w14:textId="155475E3"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51" w:history="1">
            <w:r w:rsidRPr="002D09B1">
              <w:rPr>
                <w:rStyle w:val="Hyperlink"/>
                <w:rFonts w:ascii="Arial" w:eastAsia="Times New Roman" w:hAnsi="Arial" w:cs="Arial"/>
                <w:noProof/>
                <w:sz w:val="24"/>
                <w:szCs w:val="24"/>
                <w:lang w:val="en-GB" w:eastAsia="en-GB"/>
              </w:rPr>
              <w:t>9.3.2 Marketing mix: 7Ps</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_Toc240811451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50</w:t>
            </w:r>
            <w:r w:rsidRPr="002D09B1">
              <w:rPr>
                <w:rFonts w:ascii="Arial" w:hAnsi="Arial" w:cs="Arial"/>
                <w:noProof/>
                <w:webHidden/>
                <w:sz w:val="24"/>
                <w:szCs w:val="24"/>
              </w:rPr>
              <w:fldChar w:fldCharType="end"/>
            </w:r>
          </w:hyperlink>
        </w:p>
        <w:p w14:paraId="043B4744" w14:textId="69137CE8" w:rsidR="002D09B1" w:rsidRPr="002D09B1" w:rsidRDefault="002D09B1" w:rsidP="002D09B1">
          <w:pPr>
            <w:pStyle w:val="TOC3"/>
            <w:tabs>
              <w:tab w:val="right" w:leader="dot" w:pos="9016"/>
            </w:tabs>
            <w:jc w:val="both"/>
            <w:rPr>
              <w:rFonts w:ascii="Arial" w:eastAsiaTheme="minorEastAsia" w:hAnsi="Arial" w:cs="Arial"/>
              <w:noProof/>
              <w:sz w:val="24"/>
              <w:szCs w:val="24"/>
              <w:lang w:val="en-GB" w:eastAsia="en-GB"/>
            </w:rPr>
          </w:pPr>
          <w:hyperlink w:anchor="_Toc240811452" w:history="1">
            <w:r w:rsidRPr="002D09B1">
              <w:rPr>
                <w:rStyle w:val="Hyperlink"/>
                <w:rFonts w:ascii="Arial" w:eastAsia="Times New Roman" w:hAnsi="Arial" w:cs="Arial"/>
                <w:noProof/>
                <w:sz w:val="24"/>
                <w:szCs w:val="24"/>
                <w:lang w:val="en-GB" w:eastAsia="en-GB"/>
              </w:rPr>
              <w:t>9.3.3 Customer acquisition and sales process</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_Toc240811452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51</w:t>
            </w:r>
            <w:r w:rsidRPr="002D09B1">
              <w:rPr>
                <w:rFonts w:ascii="Arial" w:hAnsi="Arial" w:cs="Arial"/>
                <w:noProof/>
                <w:webHidden/>
                <w:sz w:val="24"/>
                <w:szCs w:val="24"/>
              </w:rPr>
              <w:fldChar w:fldCharType="end"/>
            </w:r>
          </w:hyperlink>
        </w:p>
        <w:p w14:paraId="7129AFA0" w14:textId="11A8B9FF"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53" w:history="1">
            <w:r w:rsidRPr="002D09B1">
              <w:rPr>
                <w:rStyle w:val="Hyperlink"/>
                <w:rFonts w:ascii="Arial" w:eastAsia="Times New Roman" w:hAnsi="Arial" w:cs="Arial"/>
                <w:noProof/>
                <w:sz w:val="24"/>
                <w:szCs w:val="24"/>
                <w:lang w:val="en-GB" w:eastAsia="en-GB"/>
              </w:rPr>
              <w:t>9.4 Human Capital Management Plan</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_Toc240811453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52</w:t>
            </w:r>
            <w:r w:rsidRPr="002D09B1">
              <w:rPr>
                <w:rFonts w:ascii="Arial" w:hAnsi="Arial" w:cs="Arial"/>
                <w:noProof/>
                <w:webHidden/>
                <w:sz w:val="24"/>
                <w:szCs w:val="24"/>
              </w:rPr>
              <w:fldChar w:fldCharType="end"/>
            </w:r>
          </w:hyperlink>
        </w:p>
        <w:p w14:paraId="6743889B" w14:textId="2C0471D0" w:rsidR="002D09B1" w:rsidRPr="002D09B1" w:rsidRDefault="002D09B1" w:rsidP="002D09B1">
          <w:pPr>
            <w:pStyle w:val="TOC3"/>
            <w:tabs>
              <w:tab w:val="right" w:leader="dot" w:pos="9016"/>
            </w:tabs>
            <w:jc w:val="both"/>
            <w:rPr>
              <w:rFonts w:ascii="Arial" w:eastAsiaTheme="minorEastAsia" w:hAnsi="Arial" w:cs="Arial"/>
              <w:noProof/>
              <w:sz w:val="24"/>
              <w:szCs w:val="24"/>
              <w:lang w:val="en-GB" w:eastAsia="en-GB"/>
            </w:rPr>
          </w:pPr>
          <w:hyperlink w:anchor="_Toc240811454" w:history="1">
            <w:r w:rsidRPr="002D09B1">
              <w:rPr>
                <w:rStyle w:val="Hyperlink"/>
                <w:rFonts w:ascii="Arial" w:eastAsia="Times New Roman" w:hAnsi="Arial" w:cs="Arial"/>
                <w:noProof/>
                <w:sz w:val="24"/>
                <w:szCs w:val="24"/>
                <w:lang w:val="en-GB" w:eastAsia="en-GB"/>
              </w:rPr>
              <w:t>9.4.1 Organisational structure and staffing</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_Toc240811454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52</w:t>
            </w:r>
            <w:r w:rsidRPr="002D09B1">
              <w:rPr>
                <w:rFonts w:ascii="Arial" w:hAnsi="Arial" w:cs="Arial"/>
                <w:noProof/>
                <w:webHidden/>
                <w:sz w:val="24"/>
                <w:szCs w:val="24"/>
              </w:rPr>
              <w:fldChar w:fldCharType="end"/>
            </w:r>
          </w:hyperlink>
        </w:p>
        <w:p w14:paraId="24DC8956" w14:textId="5614F569" w:rsidR="002D09B1" w:rsidRPr="002D09B1" w:rsidRDefault="002D09B1" w:rsidP="002D09B1">
          <w:pPr>
            <w:pStyle w:val="TOC3"/>
            <w:tabs>
              <w:tab w:val="right" w:leader="dot" w:pos="9016"/>
            </w:tabs>
            <w:jc w:val="both"/>
            <w:rPr>
              <w:rFonts w:ascii="Arial" w:eastAsiaTheme="minorEastAsia" w:hAnsi="Arial" w:cs="Arial"/>
              <w:noProof/>
              <w:sz w:val="24"/>
              <w:szCs w:val="24"/>
              <w:lang w:val="en-GB" w:eastAsia="en-GB"/>
            </w:rPr>
          </w:pPr>
          <w:hyperlink w:anchor="_Toc240811455" w:history="1">
            <w:r w:rsidRPr="002D09B1">
              <w:rPr>
                <w:rStyle w:val="Hyperlink"/>
                <w:rFonts w:ascii="Arial" w:eastAsia="Times New Roman" w:hAnsi="Arial" w:cs="Arial"/>
                <w:noProof/>
                <w:sz w:val="24"/>
                <w:szCs w:val="24"/>
                <w:lang w:val="en-GB" w:eastAsia="en-GB"/>
              </w:rPr>
              <w:t>9.4.2 Recruitment, development and retention</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_Toc240811455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52</w:t>
            </w:r>
            <w:r w:rsidRPr="002D09B1">
              <w:rPr>
                <w:rFonts w:ascii="Arial" w:hAnsi="Arial" w:cs="Arial"/>
                <w:noProof/>
                <w:webHidden/>
                <w:sz w:val="24"/>
                <w:szCs w:val="24"/>
              </w:rPr>
              <w:fldChar w:fldCharType="end"/>
            </w:r>
          </w:hyperlink>
        </w:p>
        <w:p w14:paraId="3B8D78B7" w14:textId="4447DE68" w:rsidR="002D09B1" w:rsidRPr="002D09B1" w:rsidRDefault="002D09B1" w:rsidP="002D09B1">
          <w:pPr>
            <w:pStyle w:val="TOC3"/>
            <w:tabs>
              <w:tab w:val="right" w:leader="dot" w:pos="9016"/>
            </w:tabs>
            <w:jc w:val="both"/>
            <w:rPr>
              <w:rFonts w:ascii="Arial" w:eastAsiaTheme="minorEastAsia" w:hAnsi="Arial" w:cs="Arial"/>
              <w:noProof/>
              <w:sz w:val="24"/>
              <w:szCs w:val="24"/>
              <w:lang w:val="en-GB" w:eastAsia="en-GB"/>
            </w:rPr>
          </w:pPr>
          <w:hyperlink w:anchor="_Toc240811456" w:history="1">
            <w:r w:rsidRPr="002D09B1">
              <w:rPr>
                <w:rStyle w:val="Hyperlink"/>
                <w:rFonts w:ascii="Arial" w:eastAsia="Times New Roman" w:hAnsi="Arial" w:cs="Arial"/>
                <w:noProof/>
                <w:sz w:val="24"/>
                <w:szCs w:val="24"/>
                <w:lang w:val="en-GB" w:eastAsia="en-GB"/>
              </w:rPr>
              <w:t>9.4.3 Employment and operational compliance</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_Toc240811456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53</w:t>
            </w:r>
            <w:r w:rsidRPr="002D09B1">
              <w:rPr>
                <w:rFonts w:ascii="Arial" w:hAnsi="Arial" w:cs="Arial"/>
                <w:noProof/>
                <w:webHidden/>
                <w:sz w:val="24"/>
                <w:szCs w:val="24"/>
              </w:rPr>
              <w:fldChar w:fldCharType="end"/>
            </w:r>
          </w:hyperlink>
        </w:p>
        <w:p w14:paraId="3D5CE178" w14:textId="34C8382C"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57" w:history="1">
            <w:r w:rsidRPr="002D09B1">
              <w:rPr>
                <w:rStyle w:val="Hyperlink"/>
                <w:rFonts w:ascii="Arial" w:eastAsia="Times New Roman" w:hAnsi="Arial" w:cs="Arial"/>
                <w:noProof/>
                <w:sz w:val="24"/>
                <w:szCs w:val="24"/>
                <w:lang w:val="en-GB" w:eastAsia="en-GB"/>
              </w:rPr>
              <w:t>9.5 Integration, Scalability and Conclusion</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_Toc240811457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53</w:t>
            </w:r>
            <w:r w:rsidRPr="002D09B1">
              <w:rPr>
                <w:rFonts w:ascii="Arial" w:hAnsi="Arial" w:cs="Arial"/>
                <w:noProof/>
                <w:webHidden/>
                <w:sz w:val="24"/>
                <w:szCs w:val="24"/>
              </w:rPr>
              <w:fldChar w:fldCharType="end"/>
            </w:r>
          </w:hyperlink>
        </w:p>
        <w:p w14:paraId="2F427C08" w14:textId="7714B381" w:rsidR="002D09B1" w:rsidRPr="002D09B1" w:rsidRDefault="002D09B1" w:rsidP="002D09B1">
          <w:pPr>
            <w:pStyle w:val="TOC1"/>
            <w:tabs>
              <w:tab w:val="right" w:leader="dot" w:pos="9016"/>
            </w:tabs>
            <w:jc w:val="both"/>
            <w:rPr>
              <w:rFonts w:ascii="Arial" w:eastAsiaTheme="minorEastAsia" w:hAnsi="Arial" w:cs="Arial"/>
              <w:noProof/>
              <w:sz w:val="24"/>
              <w:szCs w:val="24"/>
              <w:lang w:val="en-GB" w:eastAsia="en-GB"/>
            </w:rPr>
          </w:pPr>
          <w:hyperlink w:anchor="_Toc240811458" w:history="1">
            <w:r w:rsidRPr="002D09B1">
              <w:rPr>
                <w:rStyle w:val="Hyperlink"/>
                <w:rFonts w:ascii="Arial" w:eastAsia="Times New Roman" w:hAnsi="Arial" w:cs="Arial"/>
                <w:noProof/>
                <w:sz w:val="24"/>
                <w:szCs w:val="24"/>
                <w:lang w:val="en-GB" w:eastAsia="en-GB"/>
              </w:rPr>
              <w:t>Chapter 10: Operations Plan</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_Toc240811458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54</w:t>
            </w:r>
            <w:r w:rsidRPr="002D09B1">
              <w:rPr>
                <w:rFonts w:ascii="Arial" w:hAnsi="Arial" w:cs="Arial"/>
                <w:noProof/>
                <w:webHidden/>
                <w:sz w:val="24"/>
                <w:szCs w:val="24"/>
              </w:rPr>
              <w:fldChar w:fldCharType="end"/>
            </w:r>
          </w:hyperlink>
        </w:p>
        <w:p w14:paraId="249D04AB" w14:textId="34654A2A"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59" w:history="1">
            <w:r w:rsidRPr="002D09B1">
              <w:rPr>
                <w:rStyle w:val="Hyperlink"/>
                <w:rFonts w:ascii="Arial" w:eastAsia="Times New Roman" w:hAnsi="Arial" w:cs="Arial"/>
                <w:noProof/>
                <w:sz w:val="24"/>
                <w:szCs w:val="24"/>
                <w:lang w:val="en-GB" w:eastAsia="en-GB"/>
              </w:rPr>
              <w:t>10.1 Operating Model</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_Toc240811459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54</w:t>
            </w:r>
            <w:r w:rsidRPr="002D09B1">
              <w:rPr>
                <w:rFonts w:ascii="Arial" w:hAnsi="Arial" w:cs="Arial"/>
                <w:noProof/>
                <w:webHidden/>
                <w:sz w:val="24"/>
                <w:szCs w:val="24"/>
              </w:rPr>
              <w:fldChar w:fldCharType="end"/>
            </w:r>
          </w:hyperlink>
        </w:p>
        <w:p w14:paraId="36C8CBB8" w14:textId="166CDF95"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60" w:history="1">
            <w:r w:rsidRPr="002D09B1">
              <w:rPr>
                <w:rStyle w:val="Hyperlink"/>
                <w:rFonts w:ascii="Arial" w:eastAsia="Times New Roman" w:hAnsi="Arial" w:cs="Arial"/>
                <w:noProof/>
                <w:sz w:val="24"/>
                <w:szCs w:val="24"/>
                <w:lang w:val="en-GB" w:eastAsia="en-GB"/>
              </w:rPr>
              <w:t>10.2 Operational Workflow and Capacity</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_Toc240811460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54</w:t>
            </w:r>
            <w:r w:rsidRPr="002D09B1">
              <w:rPr>
                <w:rFonts w:ascii="Arial" w:hAnsi="Arial" w:cs="Arial"/>
                <w:noProof/>
                <w:webHidden/>
                <w:sz w:val="24"/>
                <w:szCs w:val="24"/>
              </w:rPr>
              <w:fldChar w:fldCharType="end"/>
            </w:r>
          </w:hyperlink>
        </w:p>
        <w:p w14:paraId="503C2324" w14:textId="751A90D0"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61" w:history="1">
            <w:r w:rsidRPr="002D09B1">
              <w:rPr>
                <w:rStyle w:val="Hyperlink"/>
                <w:rFonts w:ascii="Arial" w:eastAsia="Times New Roman" w:hAnsi="Arial" w:cs="Arial"/>
                <w:noProof/>
                <w:sz w:val="24"/>
                <w:szCs w:val="24"/>
                <w:lang w:val="en-GB" w:eastAsia="en-GB"/>
              </w:rPr>
              <w:t>10.3 Location, Facilities, Equipment and Technology</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_Toc240811461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55</w:t>
            </w:r>
            <w:r w:rsidRPr="002D09B1">
              <w:rPr>
                <w:rFonts w:ascii="Arial" w:hAnsi="Arial" w:cs="Arial"/>
                <w:noProof/>
                <w:webHidden/>
                <w:sz w:val="24"/>
                <w:szCs w:val="24"/>
              </w:rPr>
              <w:fldChar w:fldCharType="end"/>
            </w:r>
          </w:hyperlink>
        </w:p>
        <w:p w14:paraId="2E1CF8FE" w14:textId="4C267D20"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62" w:history="1">
            <w:r w:rsidRPr="002D09B1">
              <w:rPr>
                <w:rStyle w:val="Hyperlink"/>
                <w:rFonts w:ascii="Arial" w:eastAsia="Times New Roman" w:hAnsi="Arial" w:cs="Arial"/>
                <w:noProof/>
                <w:sz w:val="24"/>
                <w:szCs w:val="24"/>
                <w:lang w:val="en-GB" w:eastAsia="en-GB"/>
              </w:rPr>
              <w:t>10.4 Supply Chain, Procurement, Inventory and Logistic</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_Toc240811462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55</w:t>
            </w:r>
            <w:r w:rsidRPr="002D09B1">
              <w:rPr>
                <w:rFonts w:ascii="Arial" w:hAnsi="Arial" w:cs="Arial"/>
                <w:noProof/>
                <w:webHidden/>
                <w:sz w:val="24"/>
                <w:szCs w:val="24"/>
              </w:rPr>
              <w:fldChar w:fldCharType="end"/>
            </w:r>
          </w:hyperlink>
        </w:p>
        <w:p w14:paraId="2888E4BE" w14:textId="3E6307B9"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63" w:history="1">
            <w:r w:rsidRPr="002D09B1">
              <w:rPr>
                <w:rStyle w:val="Hyperlink"/>
                <w:rFonts w:ascii="Arial" w:eastAsia="Times New Roman" w:hAnsi="Arial" w:cs="Arial"/>
                <w:noProof/>
                <w:sz w:val="24"/>
                <w:szCs w:val="24"/>
                <w:lang w:val="en-GB" w:eastAsia="en-GB"/>
              </w:rPr>
              <w:t>10.5 Quality, Compliance and Operational Controls</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_Toc240811463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56</w:t>
            </w:r>
            <w:r w:rsidRPr="002D09B1">
              <w:rPr>
                <w:rFonts w:ascii="Arial" w:hAnsi="Arial" w:cs="Arial"/>
                <w:noProof/>
                <w:webHidden/>
                <w:sz w:val="24"/>
                <w:szCs w:val="24"/>
              </w:rPr>
              <w:fldChar w:fldCharType="end"/>
            </w:r>
          </w:hyperlink>
        </w:p>
        <w:p w14:paraId="26BC16E8" w14:textId="1B9020D9"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64" w:history="1">
            <w:r w:rsidRPr="002D09B1">
              <w:rPr>
                <w:rStyle w:val="Hyperlink"/>
                <w:rFonts w:ascii="Arial" w:eastAsia="Times New Roman" w:hAnsi="Arial" w:cs="Arial"/>
                <w:noProof/>
                <w:sz w:val="24"/>
                <w:szCs w:val="24"/>
                <w:lang w:val="en-GB" w:eastAsia="en-GB"/>
              </w:rPr>
              <w:t>10.6 Operational Synthesis</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_Toc240811464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57</w:t>
            </w:r>
            <w:r w:rsidRPr="002D09B1">
              <w:rPr>
                <w:rFonts w:ascii="Arial" w:hAnsi="Arial" w:cs="Arial"/>
                <w:noProof/>
                <w:webHidden/>
                <w:sz w:val="24"/>
                <w:szCs w:val="24"/>
              </w:rPr>
              <w:fldChar w:fldCharType="end"/>
            </w:r>
          </w:hyperlink>
        </w:p>
        <w:p w14:paraId="18C77982" w14:textId="05C46290" w:rsidR="002D09B1" w:rsidRPr="002D09B1" w:rsidRDefault="002D09B1" w:rsidP="002D09B1">
          <w:pPr>
            <w:pStyle w:val="TOC1"/>
            <w:tabs>
              <w:tab w:val="right" w:leader="dot" w:pos="9016"/>
            </w:tabs>
            <w:jc w:val="both"/>
            <w:rPr>
              <w:rFonts w:ascii="Arial" w:eastAsiaTheme="minorEastAsia" w:hAnsi="Arial" w:cs="Arial"/>
              <w:noProof/>
              <w:sz w:val="24"/>
              <w:szCs w:val="24"/>
              <w:lang w:val="en-GB" w:eastAsia="en-GB"/>
            </w:rPr>
          </w:pPr>
          <w:hyperlink w:anchor="_Toc240811465" w:history="1">
            <w:r w:rsidRPr="002D09B1">
              <w:rPr>
                <w:rStyle w:val="Hyperlink"/>
                <w:rFonts w:ascii="Arial" w:eastAsia="Times New Roman" w:hAnsi="Arial" w:cs="Arial"/>
                <w:noProof/>
                <w:sz w:val="24"/>
                <w:szCs w:val="24"/>
                <w:lang w:val="en-GB" w:eastAsia="en-GB"/>
              </w:rPr>
              <w:t>Chapter 11: Feasibility Analysis</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_Toc240811465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58</w:t>
            </w:r>
            <w:r w:rsidRPr="002D09B1">
              <w:rPr>
                <w:rFonts w:ascii="Arial" w:hAnsi="Arial" w:cs="Arial"/>
                <w:noProof/>
                <w:webHidden/>
                <w:sz w:val="24"/>
                <w:szCs w:val="24"/>
              </w:rPr>
              <w:fldChar w:fldCharType="end"/>
            </w:r>
          </w:hyperlink>
        </w:p>
        <w:p w14:paraId="378D1EAF" w14:textId="6A15B5C4"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66" w:history="1">
            <w:r w:rsidRPr="002D09B1">
              <w:rPr>
                <w:rStyle w:val="Hyperlink"/>
                <w:rFonts w:ascii="Arial" w:eastAsia="Times New Roman" w:hAnsi="Arial" w:cs="Arial"/>
                <w:noProof/>
                <w:sz w:val="24"/>
                <w:szCs w:val="24"/>
                <w:lang w:val="en-GB" w:eastAsia="en-GB"/>
              </w:rPr>
              <w:t>11.1 Feasibility Basis and Decision Criteria</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_Toc240811466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58</w:t>
            </w:r>
            <w:r w:rsidRPr="002D09B1">
              <w:rPr>
                <w:rFonts w:ascii="Arial" w:hAnsi="Arial" w:cs="Arial"/>
                <w:noProof/>
                <w:webHidden/>
                <w:sz w:val="24"/>
                <w:szCs w:val="24"/>
              </w:rPr>
              <w:fldChar w:fldCharType="end"/>
            </w:r>
          </w:hyperlink>
        </w:p>
        <w:p w14:paraId="3BDEEABA" w14:textId="72F085EE"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67" w:history="1">
            <w:r w:rsidRPr="002D09B1">
              <w:rPr>
                <w:rStyle w:val="Hyperlink"/>
                <w:rFonts w:ascii="Arial" w:eastAsia="Times New Roman" w:hAnsi="Arial" w:cs="Arial"/>
                <w:noProof/>
                <w:sz w:val="24"/>
                <w:szCs w:val="24"/>
                <w:lang w:val="en-GB" w:eastAsia="en-GB"/>
              </w:rPr>
              <w:t>11.2 Ethical and Market Feasibility</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_Toc240811467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58</w:t>
            </w:r>
            <w:r w:rsidRPr="002D09B1">
              <w:rPr>
                <w:rFonts w:ascii="Arial" w:hAnsi="Arial" w:cs="Arial"/>
                <w:noProof/>
                <w:webHidden/>
                <w:sz w:val="24"/>
                <w:szCs w:val="24"/>
              </w:rPr>
              <w:fldChar w:fldCharType="end"/>
            </w:r>
          </w:hyperlink>
        </w:p>
        <w:p w14:paraId="71DFC286" w14:textId="127DB29D"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68" w:history="1">
            <w:r w:rsidRPr="002D09B1">
              <w:rPr>
                <w:rStyle w:val="Hyperlink"/>
                <w:rFonts w:ascii="Arial" w:eastAsia="Times New Roman" w:hAnsi="Arial" w:cs="Arial"/>
                <w:noProof/>
                <w:sz w:val="24"/>
                <w:szCs w:val="24"/>
                <w:lang w:val="en-GB" w:eastAsia="en-GB"/>
              </w:rPr>
              <w:t>11.3 Technical and Operational Feasibility</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_Toc240811468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59</w:t>
            </w:r>
            <w:r w:rsidRPr="002D09B1">
              <w:rPr>
                <w:rFonts w:ascii="Arial" w:hAnsi="Arial" w:cs="Arial"/>
                <w:noProof/>
                <w:webHidden/>
                <w:sz w:val="24"/>
                <w:szCs w:val="24"/>
              </w:rPr>
              <w:fldChar w:fldCharType="end"/>
            </w:r>
          </w:hyperlink>
        </w:p>
        <w:p w14:paraId="30369088" w14:textId="009422B2"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69" w:history="1">
            <w:r w:rsidRPr="002D09B1">
              <w:rPr>
                <w:rStyle w:val="Hyperlink"/>
                <w:rFonts w:ascii="Arial" w:eastAsia="Times New Roman" w:hAnsi="Arial" w:cs="Arial"/>
                <w:noProof/>
                <w:sz w:val="24"/>
                <w:szCs w:val="24"/>
                <w:lang w:val="en-GB" w:eastAsia="en-GB"/>
              </w:rPr>
              <w:t>11.4 Financial Feasibility</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_Toc240811469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59</w:t>
            </w:r>
            <w:r w:rsidRPr="002D09B1">
              <w:rPr>
                <w:rFonts w:ascii="Arial" w:hAnsi="Arial" w:cs="Arial"/>
                <w:noProof/>
                <w:webHidden/>
                <w:sz w:val="24"/>
                <w:szCs w:val="24"/>
              </w:rPr>
              <w:fldChar w:fldCharType="end"/>
            </w:r>
          </w:hyperlink>
        </w:p>
        <w:p w14:paraId="38538301" w14:textId="46C75CAF"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70" w:history="1">
            <w:r w:rsidRPr="002D09B1">
              <w:rPr>
                <w:rStyle w:val="Hyperlink"/>
                <w:rFonts w:ascii="Arial" w:eastAsia="Times New Roman" w:hAnsi="Arial" w:cs="Arial"/>
                <w:noProof/>
                <w:sz w:val="24"/>
                <w:szCs w:val="24"/>
                <w:lang w:val="en-GB" w:eastAsia="en-GB"/>
              </w:rPr>
              <w:t>11.5 Strategic Fit, Risks and Mitigation</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_Toc240811470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60</w:t>
            </w:r>
            <w:r w:rsidRPr="002D09B1">
              <w:rPr>
                <w:rFonts w:ascii="Arial" w:hAnsi="Arial" w:cs="Arial"/>
                <w:noProof/>
                <w:webHidden/>
                <w:sz w:val="24"/>
                <w:szCs w:val="24"/>
              </w:rPr>
              <w:fldChar w:fldCharType="end"/>
            </w:r>
          </w:hyperlink>
        </w:p>
        <w:p w14:paraId="76D58FC8" w14:textId="36FDAC3A"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71" w:history="1">
            <w:r w:rsidRPr="002D09B1">
              <w:rPr>
                <w:rStyle w:val="Hyperlink"/>
                <w:rFonts w:ascii="Arial" w:eastAsia="Times New Roman" w:hAnsi="Arial" w:cs="Arial"/>
                <w:noProof/>
                <w:sz w:val="24"/>
                <w:szCs w:val="24"/>
                <w:lang w:val="en-GB" w:eastAsia="en-GB"/>
              </w:rPr>
              <w:t>11.6 Integrated Viability Judgement</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_Toc240811471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60</w:t>
            </w:r>
            <w:r w:rsidRPr="002D09B1">
              <w:rPr>
                <w:rFonts w:ascii="Arial" w:hAnsi="Arial" w:cs="Arial"/>
                <w:noProof/>
                <w:webHidden/>
                <w:sz w:val="24"/>
                <w:szCs w:val="24"/>
              </w:rPr>
              <w:fldChar w:fldCharType="end"/>
            </w:r>
          </w:hyperlink>
        </w:p>
        <w:p w14:paraId="79F9E45D" w14:textId="2C01F180" w:rsidR="002D09B1" w:rsidRPr="002D09B1" w:rsidRDefault="002D09B1" w:rsidP="002D09B1">
          <w:pPr>
            <w:pStyle w:val="TOC1"/>
            <w:tabs>
              <w:tab w:val="right" w:leader="dot" w:pos="9016"/>
            </w:tabs>
            <w:jc w:val="both"/>
            <w:rPr>
              <w:rFonts w:ascii="Arial" w:eastAsiaTheme="minorEastAsia" w:hAnsi="Arial" w:cs="Arial"/>
              <w:noProof/>
              <w:sz w:val="24"/>
              <w:szCs w:val="24"/>
              <w:lang w:val="en-GB" w:eastAsia="en-GB"/>
            </w:rPr>
          </w:pPr>
          <w:hyperlink w:anchor="_Toc240811472" w:history="1">
            <w:r w:rsidRPr="002D09B1">
              <w:rPr>
                <w:rStyle w:val="Hyperlink"/>
                <w:rFonts w:ascii="Arial" w:eastAsia="Times New Roman" w:hAnsi="Arial" w:cs="Arial"/>
                <w:noProof/>
                <w:sz w:val="24"/>
                <w:szCs w:val="24"/>
                <w:lang w:val="en-GB" w:eastAsia="en-GB"/>
              </w:rPr>
              <w:t>Chapter 12: Implementation Plan</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_Toc240811472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61</w:t>
            </w:r>
            <w:r w:rsidRPr="002D09B1">
              <w:rPr>
                <w:rFonts w:ascii="Arial" w:hAnsi="Arial" w:cs="Arial"/>
                <w:noProof/>
                <w:webHidden/>
                <w:sz w:val="24"/>
                <w:szCs w:val="24"/>
              </w:rPr>
              <w:fldChar w:fldCharType="end"/>
            </w:r>
          </w:hyperlink>
        </w:p>
        <w:p w14:paraId="02BAB59B" w14:textId="4A15F56F"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73" w:history="1">
            <w:r w:rsidRPr="002D09B1">
              <w:rPr>
                <w:rStyle w:val="Hyperlink"/>
                <w:rFonts w:ascii="Arial" w:eastAsia="Times New Roman" w:hAnsi="Arial" w:cs="Arial"/>
                <w:noProof/>
                <w:sz w:val="24"/>
                <w:szCs w:val="24"/>
                <w:lang w:val="en-GB" w:eastAsia="en-GB"/>
              </w:rPr>
              <w:t>12.1 Implementation Approach and Launch Phases</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_Toc240811473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61</w:t>
            </w:r>
            <w:r w:rsidRPr="002D09B1">
              <w:rPr>
                <w:rFonts w:ascii="Arial" w:hAnsi="Arial" w:cs="Arial"/>
                <w:noProof/>
                <w:webHidden/>
                <w:sz w:val="24"/>
                <w:szCs w:val="24"/>
              </w:rPr>
              <w:fldChar w:fldCharType="end"/>
            </w:r>
          </w:hyperlink>
        </w:p>
        <w:p w14:paraId="4FD5AB7D" w14:textId="50E8E55B"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74" w:history="1">
            <w:r w:rsidRPr="002D09B1">
              <w:rPr>
                <w:rStyle w:val="Hyperlink"/>
                <w:rFonts w:ascii="Arial" w:eastAsia="Times New Roman" w:hAnsi="Arial" w:cs="Arial"/>
                <w:noProof/>
                <w:sz w:val="24"/>
                <w:szCs w:val="24"/>
                <w:lang w:val="en-GB" w:eastAsia="en-GB"/>
              </w:rPr>
              <w:t>12.2 Milestones and Timeline</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_Toc240811474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61</w:t>
            </w:r>
            <w:r w:rsidRPr="002D09B1">
              <w:rPr>
                <w:rFonts w:ascii="Arial" w:hAnsi="Arial" w:cs="Arial"/>
                <w:noProof/>
                <w:webHidden/>
                <w:sz w:val="24"/>
                <w:szCs w:val="24"/>
              </w:rPr>
              <w:fldChar w:fldCharType="end"/>
            </w:r>
          </w:hyperlink>
        </w:p>
        <w:p w14:paraId="5320AC62" w14:textId="71F62679"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75" w:history="1">
            <w:r w:rsidRPr="002D09B1">
              <w:rPr>
                <w:rStyle w:val="Hyperlink"/>
                <w:rFonts w:ascii="Arial" w:eastAsia="Times New Roman" w:hAnsi="Arial" w:cs="Arial"/>
                <w:noProof/>
                <w:sz w:val="24"/>
                <w:szCs w:val="24"/>
                <w:lang w:val="en-GB" w:eastAsia="en-GB"/>
              </w:rPr>
              <w:t>12.3 Resource Allocation and Priorities</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_Toc240811475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62</w:t>
            </w:r>
            <w:r w:rsidRPr="002D09B1">
              <w:rPr>
                <w:rFonts w:ascii="Arial" w:hAnsi="Arial" w:cs="Arial"/>
                <w:noProof/>
                <w:webHidden/>
                <w:sz w:val="24"/>
                <w:szCs w:val="24"/>
              </w:rPr>
              <w:fldChar w:fldCharType="end"/>
            </w:r>
          </w:hyperlink>
        </w:p>
        <w:p w14:paraId="27821181" w14:textId="5FF65673"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76" w:history="1">
            <w:r w:rsidRPr="002D09B1">
              <w:rPr>
                <w:rStyle w:val="Hyperlink"/>
                <w:rFonts w:ascii="Arial" w:eastAsia="Times New Roman" w:hAnsi="Arial" w:cs="Arial"/>
                <w:noProof/>
                <w:sz w:val="24"/>
                <w:szCs w:val="24"/>
                <w:lang w:val="en-GB" w:eastAsia="en-GB"/>
              </w:rPr>
              <w:t>12.4 KPIs, Monitoring and Control</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_Toc240811476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62</w:t>
            </w:r>
            <w:r w:rsidRPr="002D09B1">
              <w:rPr>
                <w:rFonts w:ascii="Arial" w:hAnsi="Arial" w:cs="Arial"/>
                <w:noProof/>
                <w:webHidden/>
                <w:sz w:val="24"/>
                <w:szCs w:val="24"/>
              </w:rPr>
              <w:fldChar w:fldCharType="end"/>
            </w:r>
          </w:hyperlink>
        </w:p>
        <w:p w14:paraId="43E65CE7" w14:textId="428BE4DD"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77" w:history="1">
            <w:r w:rsidRPr="002D09B1">
              <w:rPr>
                <w:rStyle w:val="Hyperlink"/>
                <w:rFonts w:ascii="Arial" w:eastAsia="Times New Roman" w:hAnsi="Arial" w:cs="Arial"/>
                <w:noProof/>
                <w:sz w:val="24"/>
                <w:szCs w:val="24"/>
                <w:lang w:val="en-GB" w:eastAsia="en-GB"/>
              </w:rPr>
              <w:t>12.5 Change Management and Implementation Risks</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_Toc240811477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63</w:t>
            </w:r>
            <w:r w:rsidRPr="002D09B1">
              <w:rPr>
                <w:rFonts w:ascii="Arial" w:hAnsi="Arial" w:cs="Arial"/>
                <w:noProof/>
                <w:webHidden/>
                <w:sz w:val="24"/>
                <w:szCs w:val="24"/>
              </w:rPr>
              <w:fldChar w:fldCharType="end"/>
            </w:r>
          </w:hyperlink>
        </w:p>
        <w:p w14:paraId="7786D7FD" w14:textId="6F9CC959"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78" w:history="1">
            <w:r w:rsidRPr="002D09B1">
              <w:rPr>
                <w:rStyle w:val="Hyperlink"/>
                <w:rFonts w:ascii="Arial" w:eastAsia="Times New Roman" w:hAnsi="Arial" w:cs="Arial"/>
                <w:noProof/>
                <w:sz w:val="24"/>
                <w:szCs w:val="24"/>
                <w:lang w:val="en-GB" w:eastAsia="en-GB"/>
              </w:rPr>
              <w:t>12.6 I</w:t>
            </w:r>
            <w:r w:rsidRPr="002D09B1">
              <w:rPr>
                <w:rStyle w:val="Hyperlink"/>
                <w:rFonts w:ascii="Arial" w:hAnsi="Arial" w:cs="Arial"/>
                <w:noProof/>
                <w:sz w:val="24"/>
                <w:szCs w:val="24"/>
                <w:lang w:val="en-GB" w:eastAsia="en-GB"/>
              </w:rPr>
              <w:t>mplementation Readiness Summary</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_Toc240811478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64</w:t>
            </w:r>
            <w:r w:rsidRPr="002D09B1">
              <w:rPr>
                <w:rFonts w:ascii="Arial" w:hAnsi="Arial" w:cs="Arial"/>
                <w:noProof/>
                <w:webHidden/>
                <w:sz w:val="24"/>
                <w:szCs w:val="24"/>
              </w:rPr>
              <w:fldChar w:fldCharType="end"/>
            </w:r>
          </w:hyperlink>
        </w:p>
        <w:p w14:paraId="0B190F75" w14:textId="28C1E565" w:rsidR="002D09B1" w:rsidRPr="002D09B1" w:rsidRDefault="002D09B1" w:rsidP="002D09B1">
          <w:pPr>
            <w:pStyle w:val="TOC1"/>
            <w:tabs>
              <w:tab w:val="right" w:leader="dot" w:pos="9016"/>
            </w:tabs>
            <w:jc w:val="both"/>
            <w:rPr>
              <w:rFonts w:ascii="Arial" w:eastAsiaTheme="minorEastAsia" w:hAnsi="Arial" w:cs="Arial"/>
              <w:noProof/>
              <w:sz w:val="24"/>
              <w:szCs w:val="24"/>
              <w:lang w:val="en-GB" w:eastAsia="en-GB"/>
            </w:rPr>
          </w:pPr>
          <w:hyperlink w:anchor="_Toc240811479" w:history="1">
            <w:r w:rsidRPr="002D09B1">
              <w:rPr>
                <w:rStyle w:val="Hyperlink"/>
                <w:rFonts w:ascii="Arial" w:eastAsia="Times New Roman" w:hAnsi="Arial" w:cs="Arial"/>
                <w:noProof/>
                <w:sz w:val="24"/>
                <w:szCs w:val="24"/>
                <w:lang w:val="en-GB" w:eastAsia="en-GB"/>
              </w:rPr>
              <w:t>Chapter 13: Conclusion and Recommendations</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_Toc240811479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65</w:t>
            </w:r>
            <w:r w:rsidRPr="002D09B1">
              <w:rPr>
                <w:rFonts w:ascii="Arial" w:hAnsi="Arial" w:cs="Arial"/>
                <w:noProof/>
                <w:webHidden/>
                <w:sz w:val="24"/>
                <w:szCs w:val="24"/>
              </w:rPr>
              <w:fldChar w:fldCharType="end"/>
            </w:r>
          </w:hyperlink>
        </w:p>
        <w:p w14:paraId="5B72A96F" w14:textId="39C02A81"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80" w:history="1">
            <w:r w:rsidRPr="002D09B1">
              <w:rPr>
                <w:rStyle w:val="Hyperlink"/>
                <w:rFonts w:ascii="Arial" w:eastAsia="Times New Roman" w:hAnsi="Arial" w:cs="Arial"/>
                <w:noProof/>
                <w:sz w:val="24"/>
                <w:szCs w:val="24"/>
                <w:lang w:val="en-GB" w:eastAsia="en-GB"/>
              </w:rPr>
              <w:t>13.1 Conclusion</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_Toc240811480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65</w:t>
            </w:r>
            <w:r w:rsidRPr="002D09B1">
              <w:rPr>
                <w:rFonts w:ascii="Arial" w:hAnsi="Arial" w:cs="Arial"/>
                <w:noProof/>
                <w:webHidden/>
                <w:sz w:val="24"/>
                <w:szCs w:val="24"/>
              </w:rPr>
              <w:fldChar w:fldCharType="end"/>
            </w:r>
          </w:hyperlink>
        </w:p>
        <w:p w14:paraId="58DAEE6D" w14:textId="4C005832"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81" w:history="1">
            <w:r w:rsidRPr="002D09B1">
              <w:rPr>
                <w:rStyle w:val="Hyperlink"/>
                <w:rFonts w:ascii="Arial" w:eastAsia="Times New Roman" w:hAnsi="Arial" w:cs="Arial"/>
                <w:noProof/>
                <w:sz w:val="24"/>
                <w:szCs w:val="24"/>
                <w:lang w:val="en-GB" w:eastAsia="en-GB"/>
              </w:rPr>
              <w:t>13.2 Integrated Findings and Feasibility Judgement</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_Toc240811481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65</w:t>
            </w:r>
            <w:r w:rsidRPr="002D09B1">
              <w:rPr>
                <w:rFonts w:ascii="Arial" w:hAnsi="Arial" w:cs="Arial"/>
                <w:noProof/>
                <w:webHidden/>
                <w:sz w:val="24"/>
                <w:szCs w:val="24"/>
              </w:rPr>
              <w:fldChar w:fldCharType="end"/>
            </w:r>
          </w:hyperlink>
        </w:p>
        <w:p w14:paraId="61F9A30A" w14:textId="702C64BA"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82" w:history="1">
            <w:r w:rsidRPr="002D09B1">
              <w:rPr>
                <w:rStyle w:val="Hyperlink"/>
                <w:rFonts w:ascii="Arial" w:eastAsia="Times New Roman" w:hAnsi="Arial" w:cs="Arial"/>
                <w:noProof/>
                <w:sz w:val="24"/>
                <w:szCs w:val="24"/>
                <w:lang w:val="en-GB" w:eastAsia="en-GB"/>
              </w:rPr>
              <w:t>13.3 Recommendations</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_Toc240811482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66</w:t>
            </w:r>
            <w:r w:rsidRPr="002D09B1">
              <w:rPr>
                <w:rFonts w:ascii="Arial" w:hAnsi="Arial" w:cs="Arial"/>
                <w:noProof/>
                <w:webHidden/>
                <w:sz w:val="24"/>
                <w:szCs w:val="24"/>
              </w:rPr>
              <w:fldChar w:fldCharType="end"/>
            </w:r>
          </w:hyperlink>
        </w:p>
        <w:p w14:paraId="40F08F7F" w14:textId="370FBEE2"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83" w:history="1">
            <w:r w:rsidRPr="002D09B1">
              <w:rPr>
                <w:rStyle w:val="Hyperlink"/>
                <w:rFonts w:ascii="Arial" w:eastAsia="Times New Roman" w:hAnsi="Arial" w:cs="Arial"/>
                <w:noProof/>
                <w:sz w:val="24"/>
                <w:szCs w:val="24"/>
                <w:lang w:val="en-GB" w:eastAsia="en-GB"/>
              </w:rPr>
              <w:t>13.4 Final Decision and Future Development</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_Toc240811483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67</w:t>
            </w:r>
            <w:r w:rsidRPr="002D09B1">
              <w:rPr>
                <w:rFonts w:ascii="Arial" w:hAnsi="Arial" w:cs="Arial"/>
                <w:noProof/>
                <w:webHidden/>
                <w:sz w:val="24"/>
                <w:szCs w:val="24"/>
              </w:rPr>
              <w:fldChar w:fldCharType="end"/>
            </w:r>
          </w:hyperlink>
        </w:p>
        <w:p w14:paraId="67BDE54F" w14:textId="7347E986" w:rsidR="002D09B1" w:rsidRPr="002D09B1" w:rsidRDefault="002D09B1" w:rsidP="002D09B1">
          <w:pPr>
            <w:pStyle w:val="TOC1"/>
            <w:tabs>
              <w:tab w:val="right" w:leader="dot" w:pos="9016"/>
            </w:tabs>
            <w:jc w:val="both"/>
            <w:rPr>
              <w:rFonts w:ascii="Arial" w:eastAsiaTheme="minorEastAsia" w:hAnsi="Arial" w:cs="Arial"/>
              <w:noProof/>
              <w:sz w:val="24"/>
              <w:szCs w:val="24"/>
              <w:lang w:val="en-GB" w:eastAsia="en-GB"/>
            </w:rPr>
          </w:pPr>
          <w:hyperlink w:anchor="_Toc240811484" w:history="1">
            <w:r w:rsidRPr="002D09B1">
              <w:rPr>
                <w:rStyle w:val="Hyperlink"/>
                <w:rFonts w:ascii="Arial" w:eastAsia="Times New Roman" w:hAnsi="Arial" w:cs="Arial"/>
                <w:noProof/>
                <w:sz w:val="24"/>
                <w:szCs w:val="24"/>
                <w:lang w:val="en-GB" w:eastAsia="en-GB"/>
              </w:rPr>
              <w:t>Chapter 14: Reflection</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_Toc240811484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68</w:t>
            </w:r>
            <w:r w:rsidRPr="002D09B1">
              <w:rPr>
                <w:rFonts w:ascii="Arial" w:hAnsi="Arial" w:cs="Arial"/>
                <w:noProof/>
                <w:webHidden/>
                <w:sz w:val="24"/>
                <w:szCs w:val="24"/>
              </w:rPr>
              <w:fldChar w:fldCharType="end"/>
            </w:r>
          </w:hyperlink>
        </w:p>
        <w:p w14:paraId="7B12F04C" w14:textId="7CB209AD"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85" w:history="1">
            <w:r w:rsidRPr="002D09B1">
              <w:rPr>
                <w:rStyle w:val="Hyperlink"/>
                <w:rFonts w:ascii="Arial" w:eastAsia="Times New Roman" w:hAnsi="Arial" w:cs="Arial"/>
                <w:noProof/>
                <w:sz w:val="24"/>
                <w:szCs w:val="24"/>
                <w:lang w:val="en-GB" w:eastAsia="en-GB"/>
              </w:rPr>
              <w:t>14.1 Reflection on the Business Development Experience</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_Toc240811485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68</w:t>
            </w:r>
            <w:r w:rsidRPr="002D09B1">
              <w:rPr>
                <w:rFonts w:ascii="Arial" w:hAnsi="Arial" w:cs="Arial"/>
                <w:noProof/>
                <w:webHidden/>
                <w:sz w:val="24"/>
                <w:szCs w:val="24"/>
              </w:rPr>
              <w:fldChar w:fldCharType="end"/>
            </w:r>
          </w:hyperlink>
        </w:p>
        <w:p w14:paraId="20998354" w14:textId="36B86D4E"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86" w:history="1">
            <w:r w:rsidRPr="002D09B1">
              <w:rPr>
                <w:rStyle w:val="Hyperlink"/>
                <w:rFonts w:ascii="Arial" w:eastAsia="Times New Roman" w:hAnsi="Arial" w:cs="Arial"/>
                <w:noProof/>
                <w:sz w:val="24"/>
                <w:szCs w:val="24"/>
                <w:lang w:val="en-GB" w:eastAsia="en-GB"/>
              </w:rPr>
              <w:t>14.2 What I Learned from the Experience</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_Toc240811486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68</w:t>
            </w:r>
            <w:r w:rsidRPr="002D09B1">
              <w:rPr>
                <w:rFonts w:ascii="Arial" w:hAnsi="Arial" w:cs="Arial"/>
                <w:noProof/>
                <w:webHidden/>
                <w:sz w:val="24"/>
                <w:szCs w:val="24"/>
              </w:rPr>
              <w:fldChar w:fldCharType="end"/>
            </w:r>
          </w:hyperlink>
        </w:p>
        <w:p w14:paraId="3C5000C3" w14:textId="3C99E49D" w:rsidR="002D09B1" w:rsidRPr="002D09B1" w:rsidRDefault="002D09B1" w:rsidP="002D09B1">
          <w:pPr>
            <w:pStyle w:val="TOC2"/>
            <w:tabs>
              <w:tab w:val="right" w:leader="dot" w:pos="9016"/>
            </w:tabs>
            <w:jc w:val="both"/>
            <w:rPr>
              <w:rFonts w:ascii="Arial" w:eastAsiaTheme="minorEastAsia" w:hAnsi="Arial" w:cs="Arial"/>
              <w:noProof/>
              <w:sz w:val="24"/>
              <w:szCs w:val="24"/>
              <w:lang w:val="en-GB" w:eastAsia="en-GB"/>
            </w:rPr>
          </w:pPr>
          <w:hyperlink w:anchor="_Toc240811487" w:history="1">
            <w:r w:rsidRPr="002D09B1">
              <w:rPr>
                <w:rStyle w:val="Hyperlink"/>
                <w:rFonts w:ascii="Arial" w:eastAsia="Times New Roman" w:hAnsi="Arial" w:cs="Arial"/>
                <w:noProof/>
                <w:sz w:val="24"/>
                <w:szCs w:val="24"/>
                <w:lang w:val="en-GB" w:eastAsia="en-GB"/>
              </w:rPr>
              <w:t>14.3 What I Would Do Differently Next Time</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_Toc240811487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69</w:t>
            </w:r>
            <w:r w:rsidRPr="002D09B1">
              <w:rPr>
                <w:rFonts w:ascii="Arial" w:hAnsi="Arial" w:cs="Arial"/>
                <w:noProof/>
                <w:webHidden/>
                <w:sz w:val="24"/>
                <w:szCs w:val="24"/>
              </w:rPr>
              <w:fldChar w:fldCharType="end"/>
            </w:r>
          </w:hyperlink>
        </w:p>
        <w:p w14:paraId="643A0B1C" w14:textId="46D1691E" w:rsidR="002D09B1" w:rsidRPr="002D09B1" w:rsidRDefault="002D09B1" w:rsidP="002D09B1">
          <w:pPr>
            <w:pStyle w:val="TOC1"/>
            <w:tabs>
              <w:tab w:val="right" w:leader="dot" w:pos="9016"/>
            </w:tabs>
            <w:jc w:val="both"/>
            <w:rPr>
              <w:rFonts w:ascii="Arial" w:eastAsiaTheme="minorEastAsia" w:hAnsi="Arial" w:cs="Arial"/>
              <w:noProof/>
              <w:sz w:val="24"/>
              <w:szCs w:val="24"/>
              <w:lang w:val="en-GB" w:eastAsia="en-GB"/>
            </w:rPr>
          </w:pPr>
          <w:hyperlink w:anchor="_Toc240811488" w:history="1">
            <w:r w:rsidRPr="002D09B1">
              <w:rPr>
                <w:rStyle w:val="Hyperlink"/>
                <w:rFonts w:ascii="Arial" w:eastAsia="Times New Roman" w:hAnsi="Arial" w:cs="Arial"/>
                <w:noProof/>
                <w:sz w:val="24"/>
                <w:szCs w:val="24"/>
                <w:lang w:val="en-GB" w:eastAsia="en-GB"/>
              </w:rPr>
              <w:t>Reference</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_Toc240811488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71</w:t>
            </w:r>
            <w:r w:rsidRPr="002D09B1">
              <w:rPr>
                <w:rFonts w:ascii="Arial" w:hAnsi="Arial" w:cs="Arial"/>
                <w:noProof/>
                <w:webHidden/>
                <w:sz w:val="24"/>
                <w:szCs w:val="24"/>
              </w:rPr>
              <w:fldChar w:fldCharType="end"/>
            </w:r>
          </w:hyperlink>
        </w:p>
        <w:p w14:paraId="21C91BF2" w14:textId="7B8A327F" w:rsidR="002D09B1" w:rsidRPr="002D09B1" w:rsidRDefault="002D09B1" w:rsidP="002D09B1">
          <w:pPr>
            <w:pStyle w:val="TOC1"/>
            <w:tabs>
              <w:tab w:val="right" w:leader="dot" w:pos="9016"/>
            </w:tabs>
            <w:jc w:val="both"/>
            <w:rPr>
              <w:rFonts w:ascii="Arial" w:eastAsiaTheme="minorEastAsia" w:hAnsi="Arial" w:cs="Arial"/>
              <w:noProof/>
              <w:sz w:val="24"/>
              <w:szCs w:val="24"/>
              <w:lang w:val="en-GB" w:eastAsia="en-GB"/>
            </w:rPr>
          </w:pPr>
          <w:hyperlink w:anchor="_Toc240811489" w:history="1">
            <w:r w:rsidRPr="002D09B1">
              <w:rPr>
                <w:rStyle w:val="Hyperlink"/>
                <w:rFonts w:ascii="Arial" w:eastAsia="Times New Roman" w:hAnsi="Arial" w:cs="Arial"/>
                <w:noProof/>
                <w:sz w:val="24"/>
                <w:szCs w:val="24"/>
                <w:lang w:val="en-GB" w:eastAsia="en-GB"/>
              </w:rPr>
              <w:t>Appendix 8</w:t>
            </w:r>
            <w:r w:rsidRPr="002D09B1">
              <w:rPr>
                <w:rFonts w:ascii="Arial" w:hAnsi="Arial" w:cs="Arial"/>
                <w:noProof/>
                <w:webHidden/>
                <w:sz w:val="24"/>
                <w:szCs w:val="24"/>
              </w:rPr>
              <w:tab/>
            </w:r>
            <w:r w:rsidRPr="002D09B1">
              <w:rPr>
                <w:rFonts w:ascii="Arial" w:hAnsi="Arial" w:cs="Arial"/>
                <w:noProof/>
                <w:webHidden/>
                <w:sz w:val="24"/>
                <w:szCs w:val="24"/>
              </w:rPr>
              <w:fldChar w:fldCharType="begin"/>
            </w:r>
            <w:r w:rsidRPr="002D09B1">
              <w:rPr>
                <w:rFonts w:ascii="Arial" w:hAnsi="Arial" w:cs="Arial"/>
                <w:noProof/>
                <w:webHidden/>
                <w:sz w:val="24"/>
                <w:szCs w:val="24"/>
              </w:rPr>
              <w:instrText xml:space="preserve"> PAGEREF _Toc240811489 \h </w:instrText>
            </w:r>
            <w:r w:rsidRPr="002D09B1">
              <w:rPr>
                <w:rFonts w:ascii="Arial" w:hAnsi="Arial" w:cs="Arial"/>
                <w:noProof/>
                <w:webHidden/>
                <w:sz w:val="24"/>
                <w:szCs w:val="24"/>
              </w:rPr>
            </w:r>
            <w:r w:rsidRPr="002D09B1">
              <w:rPr>
                <w:rFonts w:ascii="Arial" w:hAnsi="Arial" w:cs="Arial"/>
                <w:noProof/>
                <w:webHidden/>
                <w:sz w:val="24"/>
                <w:szCs w:val="24"/>
              </w:rPr>
              <w:fldChar w:fldCharType="separate"/>
            </w:r>
            <w:r w:rsidRPr="002D09B1">
              <w:rPr>
                <w:rFonts w:ascii="Arial" w:hAnsi="Arial" w:cs="Arial"/>
                <w:noProof/>
                <w:webHidden/>
                <w:sz w:val="24"/>
                <w:szCs w:val="24"/>
              </w:rPr>
              <w:t>79</w:t>
            </w:r>
            <w:r w:rsidRPr="002D09B1">
              <w:rPr>
                <w:rFonts w:ascii="Arial" w:hAnsi="Arial" w:cs="Arial"/>
                <w:noProof/>
                <w:webHidden/>
                <w:sz w:val="24"/>
                <w:szCs w:val="24"/>
              </w:rPr>
              <w:fldChar w:fldCharType="end"/>
            </w:r>
          </w:hyperlink>
        </w:p>
        <w:p w14:paraId="68C6C127" w14:textId="495E021C" w:rsidR="00E10813" w:rsidRDefault="00A31DCA" w:rsidP="002D09B1">
          <w:pPr>
            <w:jc w:val="both"/>
            <w:rPr>
              <w:rFonts w:ascii="Arial" w:hAnsi="Arial" w:cs="Arial"/>
              <w:sz w:val="24"/>
              <w:szCs w:val="24"/>
              <w:lang w:val="en-GB"/>
            </w:rPr>
          </w:pPr>
          <w:r w:rsidRPr="002D09B1">
            <w:rPr>
              <w:rFonts w:ascii="Arial" w:hAnsi="Arial" w:cs="Arial"/>
              <w:bCs/>
              <w:noProof/>
              <w:sz w:val="24"/>
              <w:szCs w:val="24"/>
              <w:lang w:val="en-GB"/>
            </w:rPr>
            <w:fldChar w:fldCharType="end"/>
          </w:r>
        </w:p>
        <w:bookmarkEnd w:id="1" w:displacedByCustomXml="next"/>
      </w:sdtContent>
    </w:sdt>
    <w:p w14:paraId="3EAB928E" w14:textId="3B17B68B" w:rsidR="00E10813" w:rsidRDefault="00E10813" w:rsidP="00EE305D">
      <w:pPr>
        <w:jc w:val="center"/>
        <w:rPr>
          <w:rFonts w:ascii="Arial" w:hAnsi="Arial" w:cs="Arial"/>
          <w:sz w:val="24"/>
          <w:szCs w:val="24"/>
          <w:lang w:val="en-GB"/>
        </w:rPr>
      </w:pPr>
    </w:p>
    <w:p w14:paraId="17C2C79E" w14:textId="621DEC4E" w:rsidR="000A7E8F" w:rsidRDefault="000A7E8F" w:rsidP="00EE305D">
      <w:pPr>
        <w:jc w:val="center"/>
        <w:rPr>
          <w:rFonts w:ascii="Arial" w:hAnsi="Arial" w:cs="Arial"/>
          <w:sz w:val="24"/>
          <w:szCs w:val="24"/>
          <w:lang w:val="en-GB"/>
        </w:rPr>
      </w:pPr>
    </w:p>
    <w:p w14:paraId="30FF4940" w14:textId="768E63D0" w:rsidR="000A7E8F" w:rsidRDefault="000A7E8F" w:rsidP="00EE305D">
      <w:pPr>
        <w:jc w:val="center"/>
        <w:rPr>
          <w:rFonts w:ascii="Arial" w:hAnsi="Arial" w:cs="Arial"/>
          <w:sz w:val="24"/>
          <w:szCs w:val="24"/>
          <w:lang w:val="en-GB"/>
        </w:rPr>
      </w:pPr>
    </w:p>
    <w:p w14:paraId="4F981653" w14:textId="69102267" w:rsidR="000A7E8F" w:rsidRDefault="000A7E8F" w:rsidP="00EE305D">
      <w:pPr>
        <w:jc w:val="center"/>
        <w:rPr>
          <w:rFonts w:ascii="Arial" w:hAnsi="Arial" w:cs="Arial"/>
          <w:sz w:val="24"/>
          <w:szCs w:val="24"/>
          <w:lang w:val="en-GB"/>
        </w:rPr>
      </w:pPr>
    </w:p>
    <w:p w14:paraId="2B04AC2D" w14:textId="438C0565" w:rsidR="000A7E8F" w:rsidRDefault="000A7E8F" w:rsidP="00EE305D">
      <w:pPr>
        <w:jc w:val="center"/>
        <w:rPr>
          <w:rFonts w:ascii="Arial" w:hAnsi="Arial" w:cs="Arial"/>
          <w:sz w:val="24"/>
          <w:szCs w:val="24"/>
          <w:lang w:val="en-GB"/>
        </w:rPr>
      </w:pPr>
    </w:p>
    <w:p w14:paraId="6DB7DD0A" w14:textId="1884178E" w:rsidR="000A7E8F" w:rsidRDefault="000A7E8F" w:rsidP="00EE305D">
      <w:pPr>
        <w:jc w:val="center"/>
        <w:rPr>
          <w:rFonts w:ascii="Arial" w:hAnsi="Arial" w:cs="Arial"/>
          <w:sz w:val="24"/>
          <w:szCs w:val="24"/>
          <w:lang w:val="en-GB"/>
        </w:rPr>
      </w:pPr>
    </w:p>
    <w:p w14:paraId="1E885743" w14:textId="3D49D2DC" w:rsidR="000A7E8F" w:rsidRDefault="000A7E8F" w:rsidP="00EE305D">
      <w:pPr>
        <w:jc w:val="center"/>
        <w:rPr>
          <w:rFonts w:ascii="Arial" w:hAnsi="Arial" w:cs="Arial"/>
          <w:sz w:val="24"/>
          <w:szCs w:val="24"/>
          <w:lang w:val="en-GB"/>
        </w:rPr>
      </w:pPr>
    </w:p>
    <w:p w14:paraId="542B0428" w14:textId="4F40DAA0" w:rsidR="000A7E8F" w:rsidRDefault="000A7E8F" w:rsidP="00EE305D">
      <w:pPr>
        <w:jc w:val="center"/>
        <w:rPr>
          <w:rFonts w:ascii="Arial" w:hAnsi="Arial" w:cs="Arial"/>
          <w:sz w:val="24"/>
          <w:szCs w:val="24"/>
          <w:lang w:val="en-GB"/>
        </w:rPr>
      </w:pPr>
    </w:p>
    <w:p w14:paraId="060FFFC0" w14:textId="097BDDBC" w:rsidR="000A7E8F" w:rsidRDefault="000A7E8F" w:rsidP="00EE305D">
      <w:pPr>
        <w:jc w:val="center"/>
        <w:rPr>
          <w:rFonts w:ascii="Arial" w:hAnsi="Arial" w:cs="Arial"/>
          <w:sz w:val="24"/>
          <w:szCs w:val="24"/>
          <w:lang w:val="en-GB"/>
        </w:rPr>
      </w:pPr>
    </w:p>
    <w:p w14:paraId="6FF62DCA" w14:textId="06372468" w:rsidR="000A7E8F" w:rsidRDefault="000A7E8F" w:rsidP="00EE305D">
      <w:pPr>
        <w:jc w:val="center"/>
        <w:rPr>
          <w:rFonts w:ascii="Arial" w:hAnsi="Arial" w:cs="Arial"/>
          <w:sz w:val="24"/>
          <w:szCs w:val="24"/>
          <w:lang w:val="en-GB"/>
        </w:rPr>
      </w:pPr>
    </w:p>
    <w:p w14:paraId="0C7C5D8F" w14:textId="5994E035" w:rsidR="000A7E8F" w:rsidRDefault="000A7E8F" w:rsidP="00EE305D">
      <w:pPr>
        <w:jc w:val="center"/>
        <w:rPr>
          <w:rFonts w:ascii="Arial" w:hAnsi="Arial" w:cs="Arial"/>
          <w:sz w:val="24"/>
          <w:szCs w:val="24"/>
          <w:lang w:val="en-GB"/>
        </w:rPr>
      </w:pPr>
    </w:p>
    <w:p w14:paraId="3F6A43AB" w14:textId="24319B55" w:rsidR="000A7E8F" w:rsidRDefault="000A7E8F" w:rsidP="00EE305D">
      <w:pPr>
        <w:jc w:val="center"/>
        <w:rPr>
          <w:rFonts w:ascii="Arial" w:hAnsi="Arial" w:cs="Arial"/>
          <w:sz w:val="24"/>
          <w:szCs w:val="24"/>
          <w:lang w:val="en-GB"/>
        </w:rPr>
      </w:pPr>
    </w:p>
    <w:p w14:paraId="1E20C9D9" w14:textId="015F7067" w:rsidR="000A7E8F" w:rsidRDefault="000A7E8F" w:rsidP="00EE305D">
      <w:pPr>
        <w:jc w:val="center"/>
        <w:rPr>
          <w:rFonts w:ascii="Arial" w:hAnsi="Arial" w:cs="Arial"/>
          <w:sz w:val="24"/>
          <w:szCs w:val="24"/>
          <w:lang w:val="en-GB"/>
        </w:rPr>
      </w:pPr>
    </w:p>
    <w:p w14:paraId="4567D30B" w14:textId="13B538AE" w:rsidR="000A7E8F" w:rsidRDefault="000A7E8F" w:rsidP="00EE305D">
      <w:pPr>
        <w:jc w:val="center"/>
        <w:rPr>
          <w:rFonts w:ascii="Arial" w:hAnsi="Arial" w:cs="Arial"/>
          <w:sz w:val="24"/>
          <w:szCs w:val="24"/>
          <w:lang w:val="en-GB"/>
        </w:rPr>
      </w:pPr>
    </w:p>
    <w:p w14:paraId="7C1EF5CA" w14:textId="2F74B701" w:rsidR="000A7E8F" w:rsidRDefault="000A7E8F" w:rsidP="00067740">
      <w:pPr>
        <w:rPr>
          <w:rFonts w:ascii="Arial" w:hAnsi="Arial" w:cs="Arial"/>
          <w:sz w:val="24"/>
          <w:szCs w:val="24"/>
          <w:lang w:val="en-GB"/>
        </w:rPr>
      </w:pPr>
    </w:p>
    <w:p w14:paraId="4E84AE50" w14:textId="77777777" w:rsidR="00E10813" w:rsidRDefault="00E10813" w:rsidP="00EE305D">
      <w:pPr>
        <w:jc w:val="center"/>
        <w:rPr>
          <w:rFonts w:ascii="Arial" w:hAnsi="Arial" w:cs="Arial"/>
          <w:sz w:val="24"/>
          <w:szCs w:val="24"/>
          <w:lang w:val="en-GB"/>
        </w:rPr>
      </w:pPr>
    </w:p>
    <w:p w14:paraId="68603D91" w14:textId="297A2907" w:rsidR="00EE305D" w:rsidRDefault="0092558D" w:rsidP="00EE305D">
      <w:pPr>
        <w:jc w:val="center"/>
        <w:rPr>
          <w:rFonts w:ascii="Arial" w:hAnsi="Arial" w:cs="Arial"/>
          <w:b/>
          <w:bCs/>
          <w:sz w:val="28"/>
        </w:rPr>
      </w:pPr>
      <w:r>
        <w:rPr>
          <w:rFonts w:ascii="Arial" w:hAnsi="Arial" w:cs="Arial"/>
          <w:sz w:val="24"/>
          <w:szCs w:val="24"/>
          <w:lang w:val="en-GB"/>
        </w:rPr>
        <w:t xml:space="preserve"> </w:t>
      </w:r>
      <w:r w:rsidR="00EE305D" w:rsidRPr="003A3104">
        <w:rPr>
          <w:rFonts w:ascii="Arial" w:hAnsi="Arial" w:cs="Arial"/>
          <w:b/>
          <w:bCs/>
          <w:sz w:val="28"/>
        </w:rPr>
        <w:t>List of Table</w:t>
      </w:r>
    </w:p>
    <w:p w14:paraId="7BBF079B" w14:textId="2A396CA4" w:rsidR="003F0BC2" w:rsidRDefault="003F0BC2">
      <w:pPr>
        <w:pStyle w:val="TableofFigures"/>
        <w:tabs>
          <w:tab w:val="right" w:leader="dot" w:pos="9016"/>
        </w:tabs>
        <w:rPr>
          <w:rFonts w:eastAsiaTheme="minorEastAsia"/>
          <w:noProof/>
          <w:lang w:val="en-GB" w:eastAsia="en-GB"/>
        </w:rPr>
      </w:pPr>
      <w:r>
        <w:rPr>
          <w:rFonts w:ascii="Arial" w:hAnsi="Arial" w:cs="Arial"/>
          <w:sz w:val="24"/>
          <w:szCs w:val="24"/>
          <w:lang w:val="en-GB"/>
        </w:rPr>
        <w:fldChar w:fldCharType="begin"/>
      </w:r>
      <w:r>
        <w:rPr>
          <w:rFonts w:ascii="Arial" w:hAnsi="Arial" w:cs="Arial"/>
          <w:sz w:val="24"/>
          <w:szCs w:val="24"/>
          <w:lang w:val="en-GB"/>
        </w:rPr>
        <w:instrText xml:space="preserve"> TOC \h \z \c "Table" </w:instrText>
      </w:r>
      <w:r>
        <w:rPr>
          <w:rFonts w:ascii="Arial" w:hAnsi="Arial" w:cs="Arial"/>
          <w:sz w:val="24"/>
          <w:szCs w:val="24"/>
          <w:lang w:val="en-GB"/>
        </w:rPr>
        <w:fldChar w:fldCharType="separate"/>
      </w:r>
      <w:hyperlink w:anchor="_Toc240810932" w:history="1">
        <w:r w:rsidRPr="00C8011C">
          <w:rPr>
            <w:rStyle w:val="Hyperlink"/>
            <w:rFonts w:ascii="Arial" w:hAnsi="Arial" w:cs="Arial"/>
            <w:noProof/>
          </w:rPr>
          <w:t>Table 1: Local Customer Pools and Demand Characteristics</w:t>
        </w:r>
        <w:r>
          <w:rPr>
            <w:noProof/>
            <w:webHidden/>
          </w:rPr>
          <w:tab/>
        </w:r>
        <w:r>
          <w:rPr>
            <w:noProof/>
            <w:webHidden/>
          </w:rPr>
          <w:fldChar w:fldCharType="begin"/>
        </w:r>
        <w:r>
          <w:rPr>
            <w:noProof/>
            <w:webHidden/>
          </w:rPr>
          <w:instrText xml:space="preserve"> PAGEREF _Toc240810932 \h </w:instrText>
        </w:r>
        <w:r>
          <w:rPr>
            <w:noProof/>
            <w:webHidden/>
          </w:rPr>
        </w:r>
        <w:r>
          <w:rPr>
            <w:noProof/>
            <w:webHidden/>
          </w:rPr>
          <w:fldChar w:fldCharType="separate"/>
        </w:r>
        <w:r>
          <w:rPr>
            <w:noProof/>
            <w:webHidden/>
          </w:rPr>
          <w:t>18</w:t>
        </w:r>
        <w:r>
          <w:rPr>
            <w:noProof/>
            <w:webHidden/>
          </w:rPr>
          <w:fldChar w:fldCharType="end"/>
        </w:r>
      </w:hyperlink>
    </w:p>
    <w:p w14:paraId="6A93B6BF" w14:textId="4EB1A6C9" w:rsidR="003F0BC2" w:rsidRDefault="003F0BC2">
      <w:pPr>
        <w:pStyle w:val="TableofFigures"/>
        <w:tabs>
          <w:tab w:val="right" w:leader="dot" w:pos="9016"/>
        </w:tabs>
        <w:rPr>
          <w:rFonts w:eastAsiaTheme="minorEastAsia"/>
          <w:noProof/>
          <w:lang w:val="en-GB" w:eastAsia="en-GB"/>
        </w:rPr>
      </w:pPr>
      <w:hyperlink w:anchor="_Toc240810933" w:history="1">
        <w:r w:rsidRPr="00C8011C">
          <w:rPr>
            <w:rStyle w:val="Hyperlink"/>
            <w:rFonts w:ascii="Arial" w:hAnsi="Arial" w:cs="Arial"/>
            <w:noProof/>
          </w:rPr>
          <w:t>Table 2: Illustrative Local Demand Scenario</w:t>
        </w:r>
        <w:r>
          <w:rPr>
            <w:noProof/>
            <w:webHidden/>
          </w:rPr>
          <w:tab/>
        </w:r>
        <w:r>
          <w:rPr>
            <w:noProof/>
            <w:webHidden/>
          </w:rPr>
          <w:fldChar w:fldCharType="begin"/>
        </w:r>
        <w:r>
          <w:rPr>
            <w:noProof/>
            <w:webHidden/>
          </w:rPr>
          <w:instrText xml:space="preserve"> PAGEREF _Toc240810933 \h </w:instrText>
        </w:r>
        <w:r>
          <w:rPr>
            <w:noProof/>
            <w:webHidden/>
          </w:rPr>
        </w:r>
        <w:r>
          <w:rPr>
            <w:noProof/>
            <w:webHidden/>
          </w:rPr>
          <w:fldChar w:fldCharType="separate"/>
        </w:r>
        <w:r>
          <w:rPr>
            <w:noProof/>
            <w:webHidden/>
          </w:rPr>
          <w:t>19</w:t>
        </w:r>
        <w:r>
          <w:rPr>
            <w:noProof/>
            <w:webHidden/>
          </w:rPr>
          <w:fldChar w:fldCharType="end"/>
        </w:r>
      </w:hyperlink>
    </w:p>
    <w:p w14:paraId="3FD6BDE4" w14:textId="4D84876B" w:rsidR="003F0BC2" w:rsidRDefault="003F0BC2">
      <w:pPr>
        <w:pStyle w:val="TableofFigures"/>
        <w:tabs>
          <w:tab w:val="right" w:leader="dot" w:pos="9016"/>
        </w:tabs>
        <w:rPr>
          <w:rFonts w:eastAsiaTheme="minorEastAsia"/>
          <w:noProof/>
          <w:lang w:val="en-GB" w:eastAsia="en-GB"/>
        </w:rPr>
      </w:pPr>
      <w:hyperlink w:anchor="_Toc240810934" w:history="1">
        <w:r w:rsidRPr="00C8011C">
          <w:rPr>
            <w:rStyle w:val="Hyperlink"/>
            <w:rFonts w:ascii="Arial" w:hAnsi="Arial" w:cs="Arial"/>
            <w:noProof/>
          </w:rPr>
          <w:t>Table 3: Indicative Market Opportunity</w:t>
        </w:r>
        <w:r>
          <w:rPr>
            <w:noProof/>
            <w:webHidden/>
          </w:rPr>
          <w:tab/>
        </w:r>
        <w:r>
          <w:rPr>
            <w:noProof/>
            <w:webHidden/>
          </w:rPr>
          <w:fldChar w:fldCharType="begin"/>
        </w:r>
        <w:r>
          <w:rPr>
            <w:noProof/>
            <w:webHidden/>
          </w:rPr>
          <w:instrText xml:space="preserve"> PAGEREF _Toc240810934 \h </w:instrText>
        </w:r>
        <w:r>
          <w:rPr>
            <w:noProof/>
            <w:webHidden/>
          </w:rPr>
        </w:r>
        <w:r>
          <w:rPr>
            <w:noProof/>
            <w:webHidden/>
          </w:rPr>
          <w:fldChar w:fldCharType="separate"/>
        </w:r>
        <w:r>
          <w:rPr>
            <w:noProof/>
            <w:webHidden/>
          </w:rPr>
          <w:t>22</w:t>
        </w:r>
        <w:r>
          <w:rPr>
            <w:noProof/>
            <w:webHidden/>
          </w:rPr>
          <w:fldChar w:fldCharType="end"/>
        </w:r>
      </w:hyperlink>
    </w:p>
    <w:p w14:paraId="2C3F9B03" w14:textId="6733DB96" w:rsidR="003F0BC2" w:rsidRDefault="003F0BC2">
      <w:pPr>
        <w:pStyle w:val="TableofFigures"/>
        <w:tabs>
          <w:tab w:val="right" w:leader="dot" w:pos="9016"/>
        </w:tabs>
        <w:rPr>
          <w:rFonts w:eastAsiaTheme="minorEastAsia"/>
          <w:noProof/>
          <w:lang w:val="en-GB" w:eastAsia="en-GB"/>
        </w:rPr>
      </w:pPr>
      <w:hyperlink w:anchor="_Toc240810935" w:history="1">
        <w:r w:rsidRPr="00C8011C">
          <w:rPr>
            <w:rStyle w:val="Hyperlink"/>
            <w:rFonts w:ascii="Arial" w:hAnsi="Arial" w:cs="Arial"/>
            <w:noProof/>
          </w:rPr>
          <w:t>Table 4: Competitor Comparison</w:t>
        </w:r>
        <w:r>
          <w:rPr>
            <w:noProof/>
            <w:webHidden/>
          </w:rPr>
          <w:tab/>
        </w:r>
        <w:r>
          <w:rPr>
            <w:noProof/>
            <w:webHidden/>
          </w:rPr>
          <w:fldChar w:fldCharType="begin"/>
        </w:r>
        <w:r>
          <w:rPr>
            <w:noProof/>
            <w:webHidden/>
          </w:rPr>
          <w:instrText xml:space="preserve"> PAGEREF _Toc240810935 \h </w:instrText>
        </w:r>
        <w:r>
          <w:rPr>
            <w:noProof/>
            <w:webHidden/>
          </w:rPr>
        </w:r>
        <w:r>
          <w:rPr>
            <w:noProof/>
            <w:webHidden/>
          </w:rPr>
          <w:fldChar w:fldCharType="separate"/>
        </w:r>
        <w:r>
          <w:rPr>
            <w:noProof/>
            <w:webHidden/>
          </w:rPr>
          <w:t>25</w:t>
        </w:r>
        <w:r>
          <w:rPr>
            <w:noProof/>
            <w:webHidden/>
          </w:rPr>
          <w:fldChar w:fldCharType="end"/>
        </w:r>
      </w:hyperlink>
    </w:p>
    <w:p w14:paraId="1F2A8AFF" w14:textId="7B365176" w:rsidR="003F0BC2" w:rsidRDefault="003F0BC2">
      <w:pPr>
        <w:pStyle w:val="TableofFigures"/>
        <w:tabs>
          <w:tab w:val="right" w:leader="dot" w:pos="9016"/>
        </w:tabs>
        <w:rPr>
          <w:rFonts w:eastAsiaTheme="minorEastAsia"/>
          <w:noProof/>
          <w:lang w:val="en-GB" w:eastAsia="en-GB"/>
        </w:rPr>
      </w:pPr>
      <w:hyperlink w:anchor="_Toc240810936" w:history="1">
        <w:r w:rsidRPr="00C8011C">
          <w:rPr>
            <w:rStyle w:val="Hyperlink"/>
            <w:rFonts w:ascii="Arial" w:hAnsi="Arial" w:cs="Arial"/>
            <w:noProof/>
          </w:rPr>
          <w:t>Table 5: Five Forces Assessment</w:t>
        </w:r>
        <w:r>
          <w:rPr>
            <w:noProof/>
            <w:webHidden/>
          </w:rPr>
          <w:tab/>
        </w:r>
        <w:r>
          <w:rPr>
            <w:noProof/>
            <w:webHidden/>
          </w:rPr>
          <w:fldChar w:fldCharType="begin"/>
        </w:r>
        <w:r>
          <w:rPr>
            <w:noProof/>
            <w:webHidden/>
          </w:rPr>
          <w:instrText xml:space="preserve"> PAGEREF _Toc240810936 \h </w:instrText>
        </w:r>
        <w:r>
          <w:rPr>
            <w:noProof/>
            <w:webHidden/>
          </w:rPr>
        </w:r>
        <w:r>
          <w:rPr>
            <w:noProof/>
            <w:webHidden/>
          </w:rPr>
          <w:fldChar w:fldCharType="separate"/>
        </w:r>
        <w:r>
          <w:rPr>
            <w:noProof/>
            <w:webHidden/>
          </w:rPr>
          <w:t>28</w:t>
        </w:r>
        <w:r>
          <w:rPr>
            <w:noProof/>
            <w:webHidden/>
          </w:rPr>
          <w:fldChar w:fldCharType="end"/>
        </w:r>
      </w:hyperlink>
    </w:p>
    <w:p w14:paraId="3E23285C" w14:textId="351A0CD8" w:rsidR="003F0BC2" w:rsidRDefault="003F0BC2">
      <w:pPr>
        <w:pStyle w:val="TableofFigures"/>
        <w:tabs>
          <w:tab w:val="right" w:leader="dot" w:pos="9016"/>
        </w:tabs>
        <w:rPr>
          <w:rFonts w:eastAsiaTheme="minorEastAsia"/>
          <w:noProof/>
          <w:lang w:val="en-GB" w:eastAsia="en-GB"/>
        </w:rPr>
      </w:pPr>
      <w:hyperlink w:anchor="_Toc240810937" w:history="1">
        <w:r w:rsidRPr="00C8011C">
          <w:rPr>
            <w:rStyle w:val="Hyperlink"/>
            <w:rFonts w:ascii="Arial" w:hAnsi="Arial" w:cs="Arial"/>
            <w:noProof/>
          </w:rPr>
          <w:t>Table 6: PESTLE Analysis</w:t>
        </w:r>
        <w:r>
          <w:rPr>
            <w:noProof/>
            <w:webHidden/>
          </w:rPr>
          <w:tab/>
        </w:r>
        <w:r>
          <w:rPr>
            <w:noProof/>
            <w:webHidden/>
          </w:rPr>
          <w:fldChar w:fldCharType="begin"/>
        </w:r>
        <w:r>
          <w:rPr>
            <w:noProof/>
            <w:webHidden/>
          </w:rPr>
          <w:instrText xml:space="preserve"> PAGEREF _Toc240810937 \h </w:instrText>
        </w:r>
        <w:r>
          <w:rPr>
            <w:noProof/>
            <w:webHidden/>
          </w:rPr>
        </w:r>
        <w:r>
          <w:rPr>
            <w:noProof/>
            <w:webHidden/>
          </w:rPr>
          <w:fldChar w:fldCharType="separate"/>
        </w:r>
        <w:r>
          <w:rPr>
            <w:noProof/>
            <w:webHidden/>
          </w:rPr>
          <w:t>30</w:t>
        </w:r>
        <w:r>
          <w:rPr>
            <w:noProof/>
            <w:webHidden/>
          </w:rPr>
          <w:fldChar w:fldCharType="end"/>
        </w:r>
      </w:hyperlink>
    </w:p>
    <w:p w14:paraId="65D03573" w14:textId="0774EBB5" w:rsidR="003F0BC2" w:rsidRDefault="003F0BC2">
      <w:pPr>
        <w:pStyle w:val="TableofFigures"/>
        <w:tabs>
          <w:tab w:val="right" w:leader="dot" w:pos="9016"/>
        </w:tabs>
        <w:rPr>
          <w:rFonts w:eastAsiaTheme="minorEastAsia"/>
          <w:noProof/>
          <w:lang w:val="en-GB" w:eastAsia="en-GB"/>
        </w:rPr>
      </w:pPr>
      <w:hyperlink w:anchor="_Toc240810938" w:history="1">
        <w:r w:rsidRPr="00C8011C">
          <w:rPr>
            <w:rStyle w:val="Hyperlink"/>
            <w:rFonts w:ascii="Arial" w:hAnsi="Arial" w:cs="Arial"/>
            <w:noProof/>
          </w:rPr>
          <w:t>Table 7.: VRIO Analysis of The Ethical Bean Coffee House</w:t>
        </w:r>
        <w:r>
          <w:rPr>
            <w:noProof/>
            <w:webHidden/>
          </w:rPr>
          <w:tab/>
        </w:r>
        <w:r>
          <w:rPr>
            <w:noProof/>
            <w:webHidden/>
          </w:rPr>
          <w:fldChar w:fldCharType="begin"/>
        </w:r>
        <w:r>
          <w:rPr>
            <w:noProof/>
            <w:webHidden/>
          </w:rPr>
          <w:instrText xml:space="preserve"> PAGEREF _Toc240810938 \h </w:instrText>
        </w:r>
        <w:r>
          <w:rPr>
            <w:noProof/>
            <w:webHidden/>
          </w:rPr>
        </w:r>
        <w:r>
          <w:rPr>
            <w:noProof/>
            <w:webHidden/>
          </w:rPr>
          <w:fldChar w:fldCharType="separate"/>
        </w:r>
        <w:r>
          <w:rPr>
            <w:noProof/>
            <w:webHidden/>
          </w:rPr>
          <w:t>35</w:t>
        </w:r>
        <w:r>
          <w:rPr>
            <w:noProof/>
            <w:webHidden/>
          </w:rPr>
          <w:fldChar w:fldCharType="end"/>
        </w:r>
      </w:hyperlink>
    </w:p>
    <w:p w14:paraId="7F9F696B" w14:textId="0F7CC4D5" w:rsidR="003F0BC2" w:rsidRDefault="003F0BC2">
      <w:pPr>
        <w:pStyle w:val="TableofFigures"/>
        <w:tabs>
          <w:tab w:val="right" w:leader="dot" w:pos="9016"/>
        </w:tabs>
        <w:rPr>
          <w:rFonts w:eastAsiaTheme="minorEastAsia"/>
          <w:noProof/>
          <w:lang w:val="en-GB" w:eastAsia="en-GB"/>
        </w:rPr>
      </w:pPr>
      <w:hyperlink w:anchor="_Toc240810939" w:history="1">
        <w:r w:rsidRPr="00C8011C">
          <w:rPr>
            <w:rStyle w:val="Hyperlink"/>
            <w:rFonts w:ascii="Arial" w:hAnsi="Arial" w:cs="Arial"/>
            <w:noProof/>
          </w:rPr>
          <w:t>Table 8: SWOT Analysis of The Ethical Bean Coffee House</w:t>
        </w:r>
        <w:r>
          <w:rPr>
            <w:noProof/>
            <w:webHidden/>
          </w:rPr>
          <w:tab/>
        </w:r>
        <w:r>
          <w:rPr>
            <w:noProof/>
            <w:webHidden/>
          </w:rPr>
          <w:fldChar w:fldCharType="begin"/>
        </w:r>
        <w:r>
          <w:rPr>
            <w:noProof/>
            <w:webHidden/>
          </w:rPr>
          <w:instrText xml:space="preserve"> PAGEREF _Toc240810939 \h </w:instrText>
        </w:r>
        <w:r>
          <w:rPr>
            <w:noProof/>
            <w:webHidden/>
          </w:rPr>
        </w:r>
        <w:r>
          <w:rPr>
            <w:noProof/>
            <w:webHidden/>
          </w:rPr>
          <w:fldChar w:fldCharType="separate"/>
        </w:r>
        <w:r>
          <w:rPr>
            <w:noProof/>
            <w:webHidden/>
          </w:rPr>
          <w:t>36</w:t>
        </w:r>
        <w:r>
          <w:rPr>
            <w:noProof/>
            <w:webHidden/>
          </w:rPr>
          <w:fldChar w:fldCharType="end"/>
        </w:r>
      </w:hyperlink>
    </w:p>
    <w:p w14:paraId="219C3C9D" w14:textId="12F87453" w:rsidR="003F0BC2" w:rsidRDefault="003F0BC2">
      <w:pPr>
        <w:pStyle w:val="TableofFigures"/>
        <w:tabs>
          <w:tab w:val="right" w:leader="dot" w:pos="9016"/>
        </w:tabs>
        <w:rPr>
          <w:rFonts w:eastAsiaTheme="minorEastAsia"/>
          <w:noProof/>
          <w:lang w:val="en-GB" w:eastAsia="en-GB"/>
        </w:rPr>
      </w:pPr>
      <w:hyperlink w:anchor="_Toc240810940" w:history="1">
        <w:r w:rsidRPr="00C8011C">
          <w:rPr>
            <w:rStyle w:val="Hyperlink"/>
            <w:rFonts w:ascii="Arial" w:hAnsi="Arial" w:cs="Arial"/>
            <w:noProof/>
          </w:rPr>
          <w:t>Table 9: Evaluation of Strategic Alternatives</w:t>
        </w:r>
        <w:r>
          <w:rPr>
            <w:noProof/>
            <w:webHidden/>
          </w:rPr>
          <w:tab/>
        </w:r>
        <w:r>
          <w:rPr>
            <w:noProof/>
            <w:webHidden/>
          </w:rPr>
          <w:fldChar w:fldCharType="begin"/>
        </w:r>
        <w:r>
          <w:rPr>
            <w:noProof/>
            <w:webHidden/>
          </w:rPr>
          <w:instrText xml:space="preserve"> PAGEREF _Toc240810940 \h </w:instrText>
        </w:r>
        <w:r>
          <w:rPr>
            <w:noProof/>
            <w:webHidden/>
          </w:rPr>
        </w:r>
        <w:r>
          <w:rPr>
            <w:noProof/>
            <w:webHidden/>
          </w:rPr>
          <w:fldChar w:fldCharType="separate"/>
        </w:r>
        <w:r>
          <w:rPr>
            <w:noProof/>
            <w:webHidden/>
          </w:rPr>
          <w:t>39</w:t>
        </w:r>
        <w:r>
          <w:rPr>
            <w:noProof/>
            <w:webHidden/>
          </w:rPr>
          <w:fldChar w:fldCharType="end"/>
        </w:r>
      </w:hyperlink>
    </w:p>
    <w:p w14:paraId="01CE0790" w14:textId="22353AE4" w:rsidR="003F0BC2" w:rsidRDefault="003F0BC2">
      <w:pPr>
        <w:pStyle w:val="TableofFigures"/>
        <w:tabs>
          <w:tab w:val="right" w:leader="dot" w:pos="9016"/>
        </w:tabs>
        <w:rPr>
          <w:rFonts w:eastAsiaTheme="minorEastAsia"/>
          <w:noProof/>
          <w:lang w:val="en-GB" w:eastAsia="en-GB"/>
        </w:rPr>
      </w:pPr>
      <w:hyperlink w:anchor="_Toc240810941" w:history="1">
        <w:r w:rsidRPr="00C8011C">
          <w:rPr>
            <w:rStyle w:val="Hyperlink"/>
            <w:rFonts w:ascii="Arial" w:hAnsi="Arial" w:cs="Arial"/>
            <w:noProof/>
          </w:rPr>
          <w:t>Table 10.Economic assumptions and business model</w:t>
        </w:r>
        <w:r>
          <w:rPr>
            <w:noProof/>
            <w:webHidden/>
          </w:rPr>
          <w:tab/>
        </w:r>
        <w:r>
          <w:rPr>
            <w:noProof/>
            <w:webHidden/>
          </w:rPr>
          <w:fldChar w:fldCharType="begin"/>
        </w:r>
        <w:r>
          <w:rPr>
            <w:noProof/>
            <w:webHidden/>
          </w:rPr>
          <w:instrText xml:space="preserve"> PAGEREF _Toc240810941 \h </w:instrText>
        </w:r>
        <w:r>
          <w:rPr>
            <w:noProof/>
            <w:webHidden/>
          </w:rPr>
        </w:r>
        <w:r>
          <w:rPr>
            <w:noProof/>
            <w:webHidden/>
          </w:rPr>
          <w:fldChar w:fldCharType="separate"/>
        </w:r>
        <w:r>
          <w:rPr>
            <w:noProof/>
            <w:webHidden/>
          </w:rPr>
          <w:t>46</w:t>
        </w:r>
        <w:r>
          <w:rPr>
            <w:noProof/>
            <w:webHidden/>
          </w:rPr>
          <w:fldChar w:fldCharType="end"/>
        </w:r>
      </w:hyperlink>
    </w:p>
    <w:p w14:paraId="5804DF73" w14:textId="3BCF8034" w:rsidR="003F0BC2" w:rsidRDefault="003F0BC2">
      <w:pPr>
        <w:pStyle w:val="TableofFigures"/>
        <w:tabs>
          <w:tab w:val="right" w:leader="dot" w:pos="9016"/>
        </w:tabs>
        <w:rPr>
          <w:rFonts w:eastAsiaTheme="minorEastAsia"/>
          <w:noProof/>
          <w:lang w:val="en-GB" w:eastAsia="en-GB"/>
        </w:rPr>
      </w:pPr>
      <w:hyperlink w:anchor="_Toc240810942" w:history="1">
        <w:r w:rsidRPr="00C8011C">
          <w:rPr>
            <w:rStyle w:val="Hyperlink"/>
            <w:rFonts w:ascii="Arial" w:hAnsi="Arial" w:cs="Arial"/>
            <w:noProof/>
          </w:rPr>
          <w:t>Table 11.Revenue and profitability projection</w:t>
        </w:r>
        <w:r>
          <w:rPr>
            <w:noProof/>
            <w:webHidden/>
          </w:rPr>
          <w:tab/>
        </w:r>
        <w:r>
          <w:rPr>
            <w:noProof/>
            <w:webHidden/>
          </w:rPr>
          <w:fldChar w:fldCharType="begin"/>
        </w:r>
        <w:r>
          <w:rPr>
            <w:noProof/>
            <w:webHidden/>
          </w:rPr>
          <w:instrText xml:space="preserve"> PAGEREF _Toc240810942 \h </w:instrText>
        </w:r>
        <w:r>
          <w:rPr>
            <w:noProof/>
            <w:webHidden/>
          </w:rPr>
        </w:r>
        <w:r>
          <w:rPr>
            <w:noProof/>
            <w:webHidden/>
          </w:rPr>
          <w:fldChar w:fldCharType="separate"/>
        </w:r>
        <w:r>
          <w:rPr>
            <w:noProof/>
            <w:webHidden/>
          </w:rPr>
          <w:t>48</w:t>
        </w:r>
        <w:r>
          <w:rPr>
            <w:noProof/>
            <w:webHidden/>
          </w:rPr>
          <w:fldChar w:fldCharType="end"/>
        </w:r>
      </w:hyperlink>
    </w:p>
    <w:p w14:paraId="4DFD2B33" w14:textId="58A2D1E5" w:rsidR="003F0BC2" w:rsidRDefault="003F0BC2">
      <w:pPr>
        <w:pStyle w:val="TableofFigures"/>
        <w:tabs>
          <w:tab w:val="right" w:leader="dot" w:pos="9016"/>
        </w:tabs>
        <w:rPr>
          <w:rFonts w:eastAsiaTheme="minorEastAsia"/>
          <w:noProof/>
          <w:lang w:val="en-GB" w:eastAsia="en-GB"/>
        </w:rPr>
      </w:pPr>
      <w:hyperlink w:anchor="_Toc240810943" w:history="1">
        <w:r w:rsidRPr="00C8011C">
          <w:rPr>
            <w:rStyle w:val="Hyperlink"/>
            <w:rFonts w:ascii="Arial" w:hAnsi="Arial" w:cs="Arial"/>
            <w:noProof/>
          </w:rPr>
          <w:t>Table 12.Marketing mix</w:t>
        </w:r>
        <w:r>
          <w:rPr>
            <w:noProof/>
            <w:webHidden/>
          </w:rPr>
          <w:tab/>
        </w:r>
        <w:r>
          <w:rPr>
            <w:noProof/>
            <w:webHidden/>
          </w:rPr>
          <w:fldChar w:fldCharType="begin"/>
        </w:r>
        <w:r>
          <w:rPr>
            <w:noProof/>
            <w:webHidden/>
          </w:rPr>
          <w:instrText xml:space="preserve"> PAGEREF _Toc240810943 \h </w:instrText>
        </w:r>
        <w:r>
          <w:rPr>
            <w:noProof/>
            <w:webHidden/>
          </w:rPr>
        </w:r>
        <w:r>
          <w:rPr>
            <w:noProof/>
            <w:webHidden/>
          </w:rPr>
          <w:fldChar w:fldCharType="separate"/>
        </w:r>
        <w:r>
          <w:rPr>
            <w:noProof/>
            <w:webHidden/>
          </w:rPr>
          <w:t>50</w:t>
        </w:r>
        <w:r>
          <w:rPr>
            <w:noProof/>
            <w:webHidden/>
          </w:rPr>
          <w:fldChar w:fldCharType="end"/>
        </w:r>
      </w:hyperlink>
    </w:p>
    <w:p w14:paraId="046F2E01" w14:textId="48E65F33" w:rsidR="003F0BC2" w:rsidRDefault="003F0BC2">
      <w:pPr>
        <w:pStyle w:val="TableofFigures"/>
        <w:tabs>
          <w:tab w:val="right" w:leader="dot" w:pos="9016"/>
        </w:tabs>
        <w:rPr>
          <w:rFonts w:eastAsiaTheme="minorEastAsia"/>
          <w:noProof/>
          <w:lang w:val="en-GB" w:eastAsia="en-GB"/>
        </w:rPr>
      </w:pPr>
      <w:hyperlink w:anchor="_Toc240810944" w:history="1">
        <w:r w:rsidRPr="00C8011C">
          <w:rPr>
            <w:rStyle w:val="Hyperlink"/>
            <w:rFonts w:ascii="Arial" w:hAnsi="Arial" w:cs="Arial"/>
            <w:noProof/>
          </w:rPr>
          <w:t>Table 13.Milestones and Timeline</w:t>
        </w:r>
        <w:r>
          <w:rPr>
            <w:noProof/>
            <w:webHidden/>
          </w:rPr>
          <w:tab/>
        </w:r>
        <w:r>
          <w:rPr>
            <w:noProof/>
            <w:webHidden/>
          </w:rPr>
          <w:fldChar w:fldCharType="begin"/>
        </w:r>
        <w:r>
          <w:rPr>
            <w:noProof/>
            <w:webHidden/>
          </w:rPr>
          <w:instrText xml:space="preserve"> PAGEREF _Toc240810944 \h </w:instrText>
        </w:r>
        <w:r>
          <w:rPr>
            <w:noProof/>
            <w:webHidden/>
          </w:rPr>
        </w:r>
        <w:r>
          <w:rPr>
            <w:noProof/>
            <w:webHidden/>
          </w:rPr>
          <w:fldChar w:fldCharType="separate"/>
        </w:r>
        <w:r>
          <w:rPr>
            <w:noProof/>
            <w:webHidden/>
          </w:rPr>
          <w:t>61</w:t>
        </w:r>
        <w:r>
          <w:rPr>
            <w:noProof/>
            <w:webHidden/>
          </w:rPr>
          <w:fldChar w:fldCharType="end"/>
        </w:r>
      </w:hyperlink>
    </w:p>
    <w:p w14:paraId="3844941C" w14:textId="435A6F8B" w:rsidR="003F0BC2" w:rsidRDefault="003F0BC2">
      <w:pPr>
        <w:pStyle w:val="TableofFigures"/>
        <w:tabs>
          <w:tab w:val="right" w:leader="dot" w:pos="9016"/>
        </w:tabs>
        <w:rPr>
          <w:rFonts w:eastAsiaTheme="minorEastAsia"/>
          <w:noProof/>
          <w:lang w:val="en-GB" w:eastAsia="en-GB"/>
        </w:rPr>
      </w:pPr>
      <w:hyperlink w:anchor="_Toc240810945" w:history="1">
        <w:r w:rsidRPr="00C8011C">
          <w:rPr>
            <w:rStyle w:val="Hyperlink"/>
            <w:rFonts w:ascii="Arial" w:hAnsi="Arial" w:cs="Arial"/>
            <w:noProof/>
          </w:rPr>
          <w:t>Table 14.KPIs, Monitoring and Control</w:t>
        </w:r>
        <w:r>
          <w:rPr>
            <w:noProof/>
            <w:webHidden/>
          </w:rPr>
          <w:tab/>
        </w:r>
        <w:r>
          <w:rPr>
            <w:noProof/>
            <w:webHidden/>
          </w:rPr>
          <w:fldChar w:fldCharType="begin"/>
        </w:r>
        <w:r>
          <w:rPr>
            <w:noProof/>
            <w:webHidden/>
          </w:rPr>
          <w:instrText xml:space="preserve"> PAGEREF _Toc240810945 \h </w:instrText>
        </w:r>
        <w:r>
          <w:rPr>
            <w:noProof/>
            <w:webHidden/>
          </w:rPr>
        </w:r>
        <w:r>
          <w:rPr>
            <w:noProof/>
            <w:webHidden/>
          </w:rPr>
          <w:fldChar w:fldCharType="separate"/>
        </w:r>
        <w:r>
          <w:rPr>
            <w:noProof/>
            <w:webHidden/>
          </w:rPr>
          <w:t>63</w:t>
        </w:r>
        <w:r>
          <w:rPr>
            <w:noProof/>
            <w:webHidden/>
          </w:rPr>
          <w:fldChar w:fldCharType="end"/>
        </w:r>
      </w:hyperlink>
    </w:p>
    <w:p w14:paraId="170A47EA" w14:textId="7C983CB4" w:rsidR="006D021F" w:rsidRDefault="003F0BC2" w:rsidP="006E6B3E">
      <w:pPr>
        <w:spacing w:line="360" w:lineRule="auto"/>
        <w:rPr>
          <w:rFonts w:ascii="Arial" w:hAnsi="Arial" w:cs="Arial"/>
          <w:sz w:val="24"/>
          <w:szCs w:val="24"/>
          <w:lang w:val="en-GB"/>
        </w:rPr>
      </w:pPr>
      <w:r>
        <w:rPr>
          <w:rFonts w:ascii="Arial" w:hAnsi="Arial" w:cs="Arial"/>
          <w:sz w:val="24"/>
          <w:szCs w:val="24"/>
          <w:lang w:val="en-GB"/>
        </w:rPr>
        <w:fldChar w:fldCharType="end"/>
      </w:r>
    </w:p>
    <w:p w14:paraId="595DDFA5" w14:textId="77777777" w:rsidR="00EE305D" w:rsidRDefault="00EE305D" w:rsidP="00EE305D">
      <w:pPr>
        <w:jc w:val="center"/>
        <w:rPr>
          <w:rFonts w:ascii="Arial" w:hAnsi="Arial" w:cs="Arial"/>
          <w:b/>
          <w:bCs/>
          <w:sz w:val="28"/>
        </w:rPr>
      </w:pPr>
      <w:r w:rsidRPr="003A3104">
        <w:rPr>
          <w:rFonts w:ascii="Arial" w:hAnsi="Arial" w:cs="Arial"/>
          <w:b/>
          <w:bCs/>
          <w:sz w:val="28"/>
        </w:rPr>
        <w:t>List of Figure</w:t>
      </w:r>
    </w:p>
    <w:p w14:paraId="351166FC" w14:textId="248BD077" w:rsidR="000A7E8F" w:rsidRDefault="000A7E8F">
      <w:pPr>
        <w:pStyle w:val="TableofFigures"/>
        <w:tabs>
          <w:tab w:val="right" w:leader="dot" w:pos="9016"/>
        </w:tabs>
        <w:rPr>
          <w:rFonts w:eastAsiaTheme="minorEastAsia"/>
          <w:noProof/>
          <w:lang w:val="en-GB" w:eastAsia="en-GB"/>
        </w:rPr>
      </w:pPr>
      <w:r>
        <w:rPr>
          <w:rFonts w:ascii="Arial" w:hAnsi="Arial" w:cs="Arial"/>
          <w:sz w:val="24"/>
          <w:szCs w:val="24"/>
          <w:lang w:val="en-GB"/>
        </w:rPr>
        <w:fldChar w:fldCharType="begin"/>
      </w:r>
      <w:r>
        <w:rPr>
          <w:rFonts w:ascii="Arial" w:hAnsi="Arial" w:cs="Arial"/>
          <w:sz w:val="24"/>
          <w:szCs w:val="24"/>
          <w:lang w:val="en-GB"/>
        </w:rPr>
        <w:instrText xml:space="preserve"> TOC \h \z \c "Figure" </w:instrText>
      </w:r>
      <w:r>
        <w:rPr>
          <w:rFonts w:ascii="Arial" w:hAnsi="Arial" w:cs="Arial"/>
          <w:sz w:val="24"/>
          <w:szCs w:val="24"/>
          <w:lang w:val="en-GB"/>
        </w:rPr>
        <w:fldChar w:fldCharType="separate"/>
      </w:r>
      <w:hyperlink w:anchor="_Toc240023706" w:history="1">
        <w:r w:rsidRPr="00AB2AB4">
          <w:rPr>
            <w:rStyle w:val="Hyperlink"/>
            <w:rFonts w:ascii="Arial" w:hAnsi="Arial" w:cs="Arial"/>
            <w:noProof/>
          </w:rPr>
          <w:t>Figure 1.: Strategic Logic for The Ethical Bean Coffee House</w:t>
        </w:r>
        <w:r>
          <w:rPr>
            <w:noProof/>
            <w:webHidden/>
          </w:rPr>
          <w:tab/>
        </w:r>
        <w:r>
          <w:rPr>
            <w:noProof/>
            <w:webHidden/>
          </w:rPr>
          <w:fldChar w:fldCharType="begin"/>
        </w:r>
        <w:r>
          <w:rPr>
            <w:noProof/>
            <w:webHidden/>
          </w:rPr>
          <w:instrText xml:space="preserve"> PAGEREF _Toc240023706 \h </w:instrText>
        </w:r>
        <w:r>
          <w:rPr>
            <w:noProof/>
            <w:webHidden/>
          </w:rPr>
        </w:r>
        <w:r>
          <w:rPr>
            <w:noProof/>
            <w:webHidden/>
          </w:rPr>
          <w:fldChar w:fldCharType="separate"/>
        </w:r>
        <w:r>
          <w:rPr>
            <w:noProof/>
            <w:webHidden/>
          </w:rPr>
          <w:t>42</w:t>
        </w:r>
        <w:r>
          <w:rPr>
            <w:noProof/>
            <w:webHidden/>
          </w:rPr>
          <w:fldChar w:fldCharType="end"/>
        </w:r>
      </w:hyperlink>
    </w:p>
    <w:p w14:paraId="36D8B265" w14:textId="72B76DEF" w:rsidR="00EE305D" w:rsidRPr="002E5287" w:rsidRDefault="000A7E8F" w:rsidP="006E6B3E">
      <w:pPr>
        <w:spacing w:line="360" w:lineRule="auto"/>
        <w:rPr>
          <w:rFonts w:ascii="Arial" w:hAnsi="Arial" w:cs="Arial"/>
          <w:sz w:val="24"/>
          <w:szCs w:val="24"/>
          <w:lang w:val="en-GB"/>
        </w:rPr>
      </w:pPr>
      <w:r>
        <w:rPr>
          <w:rFonts w:ascii="Arial" w:hAnsi="Arial" w:cs="Arial"/>
          <w:sz w:val="24"/>
          <w:szCs w:val="24"/>
          <w:lang w:val="en-GB"/>
        </w:rPr>
        <w:fldChar w:fldCharType="end"/>
      </w:r>
    </w:p>
    <w:p w14:paraId="3571C75C" w14:textId="2DD8570E" w:rsidR="00A31DCA" w:rsidRPr="002E5287" w:rsidRDefault="00A31DCA" w:rsidP="006E6B3E">
      <w:pPr>
        <w:spacing w:line="360" w:lineRule="auto"/>
        <w:rPr>
          <w:rFonts w:ascii="Arial" w:eastAsiaTheme="majorEastAsia" w:hAnsi="Arial" w:cstheme="majorBidi"/>
          <w:b/>
          <w:color w:val="000000" w:themeColor="text1"/>
          <w:sz w:val="32"/>
          <w:szCs w:val="32"/>
          <w:lang w:val="en-GB"/>
        </w:rPr>
      </w:pPr>
    </w:p>
    <w:p w14:paraId="68F9D89B" w14:textId="77777777" w:rsidR="00A31DCA" w:rsidRPr="002E5287" w:rsidRDefault="00A31DCA" w:rsidP="00A31DCA">
      <w:pPr>
        <w:pStyle w:val="Heading1"/>
        <w:spacing w:line="360" w:lineRule="auto"/>
        <w:rPr>
          <w:lang w:val="en-GB"/>
        </w:rPr>
        <w:sectPr w:rsidR="00A31DCA" w:rsidRPr="002E5287" w:rsidSect="00E23192">
          <w:footerReference w:type="default" r:id="rId11"/>
          <w:pgSz w:w="11906" w:h="16838"/>
          <w:pgMar w:top="1440" w:right="1440" w:bottom="1440" w:left="1440" w:header="708" w:footer="708" w:gutter="0"/>
          <w:pgNumType w:fmt="lowerRoman" w:start="1"/>
          <w:cols w:space="708"/>
          <w:docGrid w:linePitch="360"/>
        </w:sectPr>
      </w:pPr>
    </w:p>
    <w:p w14:paraId="7E7C9F73" w14:textId="77777777" w:rsidR="001B41A5" w:rsidRPr="00974088" w:rsidRDefault="001B41A5" w:rsidP="00201851">
      <w:pPr>
        <w:pStyle w:val="Heading1"/>
        <w:jc w:val="center"/>
        <w:rPr>
          <w:rFonts w:eastAsia="Times New Roman"/>
          <w:lang w:val="en-GB" w:eastAsia="en-GB"/>
        </w:rPr>
      </w:pPr>
      <w:bookmarkStart w:id="2" w:name="_Toc240811371"/>
      <w:r w:rsidRPr="00974088">
        <w:rPr>
          <w:rFonts w:eastAsia="Times New Roman"/>
          <w:lang w:val="en-GB" w:eastAsia="en-GB"/>
        </w:rPr>
        <w:lastRenderedPageBreak/>
        <w:t>Chapter 1: Introduction</w:t>
      </w:r>
      <w:bookmarkEnd w:id="2"/>
    </w:p>
    <w:p w14:paraId="0DFDF218" w14:textId="77777777" w:rsidR="001B41A5" w:rsidRPr="00974088" w:rsidRDefault="001B41A5" w:rsidP="00201851">
      <w:pPr>
        <w:pStyle w:val="Heading2"/>
        <w:rPr>
          <w:rFonts w:eastAsia="Times New Roman"/>
          <w:lang w:val="en-GB" w:eastAsia="en-GB"/>
        </w:rPr>
      </w:pPr>
      <w:bookmarkStart w:id="3" w:name="_Toc240811372"/>
      <w:r w:rsidRPr="00974088">
        <w:rPr>
          <w:rFonts w:eastAsia="Times New Roman"/>
          <w:lang w:val="en-GB" w:eastAsia="en-GB"/>
        </w:rPr>
        <w:t>1.1 Background and Context</w:t>
      </w:r>
      <w:bookmarkEnd w:id="3"/>
    </w:p>
    <w:p w14:paraId="1F0A6CFE" w14:textId="0B9D0C60" w:rsidR="001B41A5" w:rsidRPr="00974088" w:rsidRDefault="001B41A5" w:rsidP="00974088">
      <w:pPr>
        <w:spacing w:line="360" w:lineRule="auto"/>
        <w:jc w:val="both"/>
        <w:rPr>
          <w:rFonts w:ascii="Arial" w:hAnsi="Arial" w:cs="Arial"/>
          <w:sz w:val="24"/>
          <w:szCs w:val="24"/>
          <w:lang w:val="en-GB" w:eastAsia="en-GB"/>
        </w:rPr>
      </w:pPr>
      <w:r w:rsidRPr="00974088">
        <w:rPr>
          <w:rFonts w:ascii="Arial" w:hAnsi="Arial" w:cs="Arial"/>
          <w:sz w:val="24"/>
          <w:szCs w:val="24"/>
          <w:lang w:val="en-GB" w:eastAsia="en-GB"/>
        </w:rPr>
        <w:t>The UK coffee shop industry represents a significant and increasingly competitive component of the foodservice sector. Coffee is deeply embedded in UK consumer culture, with the British Coffee Association reporting approximately 98 million cups consumed daily and more than 210,000 jobs supported by the wider coffee industry (British Coffee Association, 2022). Recent industry evidence indicates continued market expansion, with the UK branded coffee shop market valued at approximately £6.1 billion in 2025 and comprising 11,456 outlets, representing 5.2% growth over the previous year (World Coffee Portal, 2025). Nevertheless, rising operating costs and increasing consumer price sensitivity create challenges for coffee busines</w:t>
      </w:r>
      <w:r w:rsidR="00201851">
        <w:rPr>
          <w:rFonts w:ascii="Arial" w:hAnsi="Arial" w:cs="Arial"/>
          <w:sz w:val="24"/>
          <w:szCs w:val="24"/>
          <w:lang w:val="en-GB" w:eastAsia="en-GB"/>
        </w:rPr>
        <w:t>ses seeking sustainable growth.</w:t>
      </w:r>
    </w:p>
    <w:p w14:paraId="2F38D585" w14:textId="6B9F327F" w:rsidR="001B41A5" w:rsidRPr="00974088" w:rsidRDefault="001B41A5" w:rsidP="00974088">
      <w:pPr>
        <w:spacing w:line="360" w:lineRule="auto"/>
        <w:jc w:val="both"/>
        <w:rPr>
          <w:rFonts w:ascii="Arial" w:hAnsi="Arial" w:cs="Arial"/>
          <w:sz w:val="24"/>
          <w:szCs w:val="24"/>
          <w:lang w:val="en-GB" w:eastAsia="en-GB"/>
        </w:rPr>
      </w:pPr>
      <w:r w:rsidRPr="00974088">
        <w:rPr>
          <w:rFonts w:ascii="Arial" w:hAnsi="Arial" w:cs="Arial"/>
          <w:sz w:val="24"/>
          <w:szCs w:val="24"/>
          <w:lang w:val="en-GB" w:eastAsia="en-GB"/>
        </w:rPr>
        <w:t>The proposed The Ethical Bean Coffee House will be located on Monmouth Street, Covent Garden, London, UK, an established food, retail and tourism destination. The area has a strong specialty coffee presence, including Monmouth Coffee Company and WatchHouse, creating both an attractive customer environment and a highly competitive market (Covent Garden London, 2026). Monmouth Coffee Company operates at 27 Monmouth Street, highlighting the need for clear differentiation (Monmouth Coffee Company, 2026). Furthermore, consumers increasingly value ethical and sustainable coffee production and may demonstrate willingness to pay premiums for responsibly produced coffee (Fuller, Grebitus and Schmitz, 2022; Fuller and Grebitus, 2023). Consequently, ethical sourcing and resilient supply-chain practices provide important areas for investigation.</w:t>
      </w:r>
    </w:p>
    <w:p w14:paraId="3264135A" w14:textId="77777777" w:rsidR="001B41A5" w:rsidRPr="00974088" w:rsidRDefault="001B41A5" w:rsidP="00201851">
      <w:pPr>
        <w:pStyle w:val="Heading2"/>
        <w:jc w:val="both"/>
        <w:rPr>
          <w:rFonts w:eastAsia="Times New Roman"/>
          <w:lang w:val="en-GB" w:eastAsia="en-GB"/>
        </w:rPr>
      </w:pPr>
      <w:bookmarkStart w:id="4" w:name="_Toc240811373"/>
      <w:r w:rsidRPr="00974088">
        <w:rPr>
          <w:rFonts w:eastAsia="Times New Roman"/>
          <w:lang w:val="en-GB" w:eastAsia="en-GB"/>
        </w:rPr>
        <w:t>1.2 Problem or Opportunity Statement</w:t>
      </w:r>
      <w:bookmarkEnd w:id="4"/>
    </w:p>
    <w:p w14:paraId="7BA90718" w14:textId="7B4A6E77" w:rsidR="001B41A5" w:rsidRPr="00974088" w:rsidRDefault="00062B3E" w:rsidP="00974088">
      <w:pPr>
        <w:spacing w:line="360" w:lineRule="auto"/>
        <w:jc w:val="both"/>
        <w:rPr>
          <w:rFonts w:ascii="Arial" w:hAnsi="Arial" w:cs="Arial"/>
          <w:sz w:val="24"/>
          <w:szCs w:val="24"/>
          <w:lang w:val="en-GB" w:eastAsia="en-GB"/>
        </w:rPr>
      </w:pPr>
      <w:r w:rsidRPr="00974088">
        <w:rPr>
          <w:rFonts w:ascii="Arial" w:hAnsi="Arial" w:cs="Arial"/>
          <w:sz w:val="24"/>
          <w:szCs w:val="24"/>
          <w:lang w:val="en-GB" w:eastAsia="en-GB"/>
        </w:rPr>
        <w:t xml:space="preserve">The central business opportunity arises from continued demand for specialty coffee alongside growing consumer interest in ethical and sustainable consumption. However, Monmouth Street and the wider Covent Garden area already have established specialty coffee businesses, including Monmouth Coffee Company and Watch House, creating a competitive environment where product quality alone may not provide sufficient differentiation (Covent Garden London, 2026). The opportunity for The Ethical Bean Coffee House is therefore to investigate whether combining premium specialty coffee, transparent ethical sourcing, sustainable supply-chain </w:t>
      </w:r>
      <w:r w:rsidRPr="00974088">
        <w:rPr>
          <w:rFonts w:ascii="Arial" w:hAnsi="Arial" w:cs="Arial"/>
          <w:sz w:val="24"/>
          <w:szCs w:val="24"/>
          <w:lang w:val="en-GB" w:eastAsia="en-GB"/>
        </w:rPr>
        <w:lastRenderedPageBreak/>
        <w:t>practices and an enhanced customer experience can address an identifiable market need. The BDP will evaluate this proposition through secondary market, customer and competitor evidence rather than assuming commercial viability.</w:t>
      </w:r>
    </w:p>
    <w:p w14:paraId="1E821E61" w14:textId="77777777" w:rsidR="001B41A5" w:rsidRPr="00974088" w:rsidRDefault="001B41A5" w:rsidP="00201851">
      <w:pPr>
        <w:pStyle w:val="Heading2"/>
        <w:rPr>
          <w:rFonts w:eastAsia="Times New Roman"/>
          <w:lang w:val="en-GB" w:eastAsia="en-GB"/>
        </w:rPr>
      </w:pPr>
      <w:bookmarkStart w:id="5" w:name="_Toc240811374"/>
      <w:r w:rsidRPr="00974088">
        <w:rPr>
          <w:rFonts w:eastAsia="Times New Roman"/>
          <w:lang w:val="en-GB" w:eastAsia="en-GB"/>
        </w:rPr>
        <w:t>1.3 Initial Observation of Demand</w:t>
      </w:r>
      <w:bookmarkEnd w:id="5"/>
    </w:p>
    <w:p w14:paraId="67444121" w14:textId="11964C76" w:rsidR="001B41A5" w:rsidRPr="00974088" w:rsidRDefault="00974088" w:rsidP="00974088">
      <w:pPr>
        <w:spacing w:line="360" w:lineRule="auto"/>
        <w:jc w:val="both"/>
        <w:rPr>
          <w:rFonts w:ascii="Arial" w:hAnsi="Arial" w:cs="Arial"/>
          <w:sz w:val="24"/>
          <w:szCs w:val="24"/>
          <w:lang w:val="en-GB" w:eastAsia="en-GB"/>
        </w:rPr>
      </w:pPr>
      <w:r w:rsidRPr="00974088">
        <w:rPr>
          <w:rFonts w:ascii="Arial" w:hAnsi="Arial" w:cs="Arial"/>
          <w:sz w:val="24"/>
          <w:szCs w:val="24"/>
          <w:lang w:val="en-GB" w:eastAsia="en-GB"/>
        </w:rPr>
        <w:t>Preliminary market evidence indicates sustained consumer engagement with UK coffee shops. World Coffee Portal (2025) reports that 60% of surveyed UK coffee-shop consumers visit coffee shops multiple times per week, while average consumer spending reached approximately £6.23 per visit. This suggests continuing demand for café-based consumption despite wider cost-of-living pressures. Consumer interest in ethical consumption also provides a relevant demand signal, with Fairtrade reporting strong recognition and regular purchasing of Fairtrade products in the UK (Fairtrade, 2025). However, the presence of established specialty coffee operators in Covent Garden means that demand for coffee alone does not establish commercial potential. The BDP will therefore examine local competition, customer preferences and pricing evidence to assess the opportunity</w:t>
      </w:r>
      <w:r w:rsidR="001B41A5" w:rsidRPr="00974088">
        <w:rPr>
          <w:rFonts w:ascii="Arial" w:hAnsi="Arial" w:cs="Arial"/>
          <w:sz w:val="24"/>
          <w:szCs w:val="24"/>
          <w:lang w:val="en-GB" w:eastAsia="en-GB"/>
        </w:rPr>
        <w:t>.</w:t>
      </w:r>
    </w:p>
    <w:p w14:paraId="40838A19" w14:textId="77777777" w:rsidR="001B41A5" w:rsidRPr="00974088" w:rsidRDefault="001B41A5" w:rsidP="00201851">
      <w:pPr>
        <w:pStyle w:val="Heading2"/>
        <w:rPr>
          <w:rFonts w:eastAsia="Times New Roman"/>
          <w:lang w:val="en-GB" w:eastAsia="en-GB"/>
        </w:rPr>
      </w:pPr>
      <w:bookmarkStart w:id="6" w:name="_Toc240811375"/>
      <w:r w:rsidRPr="00974088">
        <w:rPr>
          <w:rFonts w:eastAsia="Times New Roman"/>
          <w:lang w:val="en-GB" w:eastAsia="en-GB"/>
        </w:rPr>
        <w:t>1.4 Aim, Objectives and Research Questions</w:t>
      </w:r>
      <w:bookmarkEnd w:id="6"/>
    </w:p>
    <w:p w14:paraId="1155B0BC" w14:textId="77777777" w:rsidR="001B41A5" w:rsidRPr="00974088" w:rsidRDefault="001B41A5" w:rsidP="00201851">
      <w:pPr>
        <w:pStyle w:val="Heading3"/>
        <w:rPr>
          <w:rFonts w:eastAsia="Times New Roman"/>
          <w:lang w:val="en-GB" w:eastAsia="en-GB"/>
        </w:rPr>
      </w:pPr>
      <w:bookmarkStart w:id="7" w:name="_Toc240811376"/>
      <w:r w:rsidRPr="00974088">
        <w:rPr>
          <w:rFonts w:eastAsia="Times New Roman"/>
          <w:lang w:val="en-GB" w:eastAsia="en-GB"/>
        </w:rPr>
        <w:t>Aim</w:t>
      </w:r>
      <w:bookmarkEnd w:id="7"/>
    </w:p>
    <w:p w14:paraId="1F69D2FF" w14:textId="77777777" w:rsidR="001B41A5" w:rsidRPr="00974088" w:rsidRDefault="001B41A5" w:rsidP="00974088">
      <w:pPr>
        <w:spacing w:line="360" w:lineRule="auto"/>
        <w:jc w:val="both"/>
        <w:rPr>
          <w:rFonts w:ascii="Arial" w:hAnsi="Arial" w:cs="Arial"/>
          <w:sz w:val="24"/>
          <w:szCs w:val="24"/>
          <w:lang w:val="en-GB" w:eastAsia="en-GB"/>
        </w:rPr>
      </w:pPr>
      <w:r w:rsidRPr="00974088">
        <w:rPr>
          <w:rFonts w:ascii="Arial" w:hAnsi="Arial" w:cs="Arial"/>
          <w:sz w:val="24"/>
          <w:szCs w:val="24"/>
          <w:lang w:val="en-GB" w:eastAsia="en-GB"/>
        </w:rPr>
        <w:t>To evaluate the market opportunity, strategic requirements and commercial feasibility of establishing The Ethical Bean Coffee House as an ethically sourced and sustainability-focused specialty coffee business on Monmouth Street, Covent Garden, London.</w:t>
      </w:r>
    </w:p>
    <w:p w14:paraId="39D04B0B" w14:textId="77777777" w:rsidR="001B41A5" w:rsidRPr="00974088" w:rsidRDefault="001B41A5" w:rsidP="00201851">
      <w:pPr>
        <w:pStyle w:val="Heading3"/>
        <w:rPr>
          <w:rFonts w:eastAsia="Times New Roman"/>
          <w:lang w:val="en-GB" w:eastAsia="en-GB"/>
        </w:rPr>
      </w:pPr>
      <w:bookmarkStart w:id="8" w:name="_Toc240811377"/>
      <w:r w:rsidRPr="00974088">
        <w:rPr>
          <w:rFonts w:eastAsia="Times New Roman"/>
          <w:lang w:val="en-GB" w:eastAsia="en-GB"/>
        </w:rPr>
        <w:t>Objectives</w:t>
      </w:r>
      <w:bookmarkEnd w:id="8"/>
    </w:p>
    <w:p w14:paraId="06DBA6A3" w14:textId="77777777" w:rsidR="001B41A5" w:rsidRPr="00201851" w:rsidRDefault="001B41A5" w:rsidP="008D61E6">
      <w:pPr>
        <w:pStyle w:val="ListParagraph"/>
        <w:numPr>
          <w:ilvl w:val="0"/>
          <w:numId w:val="1"/>
        </w:numPr>
        <w:spacing w:line="360" w:lineRule="auto"/>
        <w:jc w:val="both"/>
        <w:rPr>
          <w:rFonts w:ascii="Arial" w:hAnsi="Arial" w:cs="Arial"/>
          <w:sz w:val="24"/>
          <w:szCs w:val="24"/>
          <w:lang w:val="en-GB" w:eastAsia="en-GB"/>
        </w:rPr>
      </w:pPr>
      <w:r w:rsidRPr="00201851">
        <w:rPr>
          <w:rFonts w:ascii="Arial" w:hAnsi="Arial" w:cs="Arial"/>
          <w:sz w:val="24"/>
          <w:szCs w:val="24"/>
          <w:lang w:val="en-GB" w:eastAsia="en-GB"/>
        </w:rPr>
        <w:t xml:space="preserve">To evaluate the UK specialty coffee market and the local characteristics of Covent Garden using credible secondary market, demographic and industry evidence during the BDP research period. </w:t>
      </w:r>
    </w:p>
    <w:p w14:paraId="33947330" w14:textId="77777777" w:rsidR="001B41A5" w:rsidRPr="00201851" w:rsidRDefault="001B41A5" w:rsidP="008D61E6">
      <w:pPr>
        <w:pStyle w:val="ListParagraph"/>
        <w:numPr>
          <w:ilvl w:val="0"/>
          <w:numId w:val="1"/>
        </w:numPr>
        <w:spacing w:line="360" w:lineRule="auto"/>
        <w:jc w:val="both"/>
        <w:rPr>
          <w:rFonts w:ascii="Arial" w:hAnsi="Arial" w:cs="Arial"/>
          <w:sz w:val="24"/>
          <w:szCs w:val="24"/>
          <w:lang w:val="en-GB" w:eastAsia="en-GB"/>
        </w:rPr>
      </w:pPr>
      <w:r w:rsidRPr="00201851">
        <w:rPr>
          <w:rFonts w:ascii="Arial" w:hAnsi="Arial" w:cs="Arial"/>
          <w:sz w:val="24"/>
          <w:szCs w:val="24"/>
          <w:lang w:val="en-GB" w:eastAsia="en-GB"/>
        </w:rPr>
        <w:t xml:space="preserve">To analyse customer needs, purchasing behaviour and sustainability preferences relevant to premium and ethically sourced coffee consumers using published secondary evidence. </w:t>
      </w:r>
    </w:p>
    <w:p w14:paraId="6113C636" w14:textId="77777777" w:rsidR="001B41A5" w:rsidRPr="00201851" w:rsidRDefault="001B41A5" w:rsidP="008D61E6">
      <w:pPr>
        <w:pStyle w:val="ListParagraph"/>
        <w:numPr>
          <w:ilvl w:val="0"/>
          <w:numId w:val="1"/>
        </w:numPr>
        <w:spacing w:line="360" w:lineRule="auto"/>
        <w:jc w:val="both"/>
        <w:rPr>
          <w:rFonts w:ascii="Arial" w:hAnsi="Arial" w:cs="Arial"/>
          <w:sz w:val="24"/>
          <w:szCs w:val="24"/>
          <w:lang w:val="en-GB" w:eastAsia="en-GB"/>
        </w:rPr>
      </w:pPr>
      <w:r w:rsidRPr="00201851">
        <w:rPr>
          <w:rFonts w:ascii="Arial" w:hAnsi="Arial" w:cs="Arial"/>
          <w:sz w:val="24"/>
          <w:szCs w:val="24"/>
          <w:lang w:val="en-GB" w:eastAsia="en-GB"/>
        </w:rPr>
        <w:t xml:space="preserve">To evaluate the competitive environment of Monmouth Street and Covent Garden by comparing relevant competitors, pricing, product propositions, customer experience and sustainability positioning. </w:t>
      </w:r>
    </w:p>
    <w:p w14:paraId="4EA7F449" w14:textId="77777777" w:rsidR="001B41A5" w:rsidRPr="00201851" w:rsidRDefault="001B41A5" w:rsidP="008D61E6">
      <w:pPr>
        <w:pStyle w:val="ListParagraph"/>
        <w:numPr>
          <w:ilvl w:val="0"/>
          <w:numId w:val="1"/>
        </w:numPr>
        <w:spacing w:line="360" w:lineRule="auto"/>
        <w:jc w:val="both"/>
        <w:rPr>
          <w:rFonts w:ascii="Arial" w:hAnsi="Arial" w:cs="Arial"/>
          <w:sz w:val="24"/>
          <w:szCs w:val="24"/>
          <w:lang w:val="en-GB" w:eastAsia="en-GB"/>
        </w:rPr>
      </w:pPr>
      <w:r w:rsidRPr="00201851">
        <w:rPr>
          <w:rFonts w:ascii="Arial" w:hAnsi="Arial" w:cs="Arial"/>
          <w:sz w:val="24"/>
          <w:szCs w:val="24"/>
          <w:lang w:val="en-GB" w:eastAsia="en-GB"/>
        </w:rPr>
        <w:lastRenderedPageBreak/>
        <w:t xml:space="preserve">To develop and assess an evidence-based business strategy, business model, financial plan, operational plan and implementation approach for The Ethical Bean Coffee House and determine the conditions required for potential commercial feasibility. </w:t>
      </w:r>
    </w:p>
    <w:p w14:paraId="1C53793A" w14:textId="77777777" w:rsidR="001B41A5" w:rsidRPr="00974088" w:rsidRDefault="001B41A5" w:rsidP="00201851">
      <w:pPr>
        <w:pStyle w:val="Heading3"/>
        <w:rPr>
          <w:rFonts w:eastAsia="Times New Roman"/>
          <w:lang w:val="en-GB" w:eastAsia="en-GB"/>
        </w:rPr>
      </w:pPr>
      <w:bookmarkStart w:id="9" w:name="_Toc240811378"/>
      <w:r w:rsidRPr="00974088">
        <w:rPr>
          <w:rFonts w:eastAsia="Times New Roman"/>
          <w:lang w:val="en-GB" w:eastAsia="en-GB"/>
        </w:rPr>
        <w:t>Research Questions</w:t>
      </w:r>
      <w:bookmarkEnd w:id="9"/>
    </w:p>
    <w:p w14:paraId="495E5E57" w14:textId="77777777" w:rsidR="001B41A5" w:rsidRPr="00201851" w:rsidRDefault="001B41A5" w:rsidP="008D61E6">
      <w:pPr>
        <w:pStyle w:val="ListParagraph"/>
        <w:numPr>
          <w:ilvl w:val="0"/>
          <w:numId w:val="2"/>
        </w:numPr>
        <w:spacing w:line="360" w:lineRule="auto"/>
        <w:jc w:val="both"/>
        <w:rPr>
          <w:rFonts w:ascii="Arial" w:hAnsi="Arial" w:cs="Arial"/>
          <w:sz w:val="24"/>
          <w:szCs w:val="24"/>
          <w:lang w:val="en-GB" w:eastAsia="en-GB"/>
        </w:rPr>
      </w:pPr>
      <w:r w:rsidRPr="00201851">
        <w:rPr>
          <w:rFonts w:ascii="Arial" w:hAnsi="Arial" w:cs="Arial"/>
          <w:sz w:val="24"/>
          <w:szCs w:val="24"/>
          <w:lang w:val="en-GB" w:eastAsia="en-GB"/>
        </w:rPr>
        <w:t>RQ1: What market conditions and consumer trends influence the opportunity for a specialty coffee business in Covent Garden?</w:t>
      </w:r>
    </w:p>
    <w:p w14:paraId="44561941" w14:textId="77777777" w:rsidR="001B41A5" w:rsidRPr="00201851" w:rsidRDefault="001B41A5" w:rsidP="008D61E6">
      <w:pPr>
        <w:pStyle w:val="ListParagraph"/>
        <w:numPr>
          <w:ilvl w:val="0"/>
          <w:numId w:val="2"/>
        </w:numPr>
        <w:spacing w:line="360" w:lineRule="auto"/>
        <w:jc w:val="both"/>
        <w:rPr>
          <w:rFonts w:ascii="Arial" w:hAnsi="Arial" w:cs="Arial"/>
          <w:sz w:val="24"/>
          <w:szCs w:val="24"/>
          <w:lang w:val="en-GB" w:eastAsia="en-GB"/>
        </w:rPr>
      </w:pPr>
      <w:r w:rsidRPr="00201851">
        <w:rPr>
          <w:rFonts w:ascii="Arial" w:hAnsi="Arial" w:cs="Arial"/>
          <w:sz w:val="24"/>
          <w:szCs w:val="24"/>
          <w:lang w:val="en-GB" w:eastAsia="en-GB"/>
        </w:rPr>
        <w:t>RQ2: What customer needs, preferences and purchasing behaviours could support an ethically sourced and sustainability-focused coffee proposition?</w:t>
      </w:r>
    </w:p>
    <w:p w14:paraId="3613B0CD" w14:textId="77777777" w:rsidR="001B41A5" w:rsidRPr="00201851" w:rsidRDefault="001B41A5" w:rsidP="008D61E6">
      <w:pPr>
        <w:pStyle w:val="ListParagraph"/>
        <w:numPr>
          <w:ilvl w:val="0"/>
          <w:numId w:val="2"/>
        </w:numPr>
        <w:spacing w:line="360" w:lineRule="auto"/>
        <w:jc w:val="both"/>
        <w:rPr>
          <w:rFonts w:ascii="Arial" w:hAnsi="Arial" w:cs="Arial"/>
          <w:sz w:val="24"/>
          <w:szCs w:val="24"/>
          <w:lang w:val="en-GB" w:eastAsia="en-GB"/>
        </w:rPr>
      </w:pPr>
      <w:r w:rsidRPr="00201851">
        <w:rPr>
          <w:rFonts w:ascii="Arial" w:hAnsi="Arial" w:cs="Arial"/>
          <w:sz w:val="24"/>
          <w:szCs w:val="24"/>
          <w:lang w:val="en-GB" w:eastAsia="en-GB"/>
        </w:rPr>
        <w:t>RQ3: How does The Ethical Bean Coffee House's proposed positioning compare with existing coffee-shop competitors in Monmouth Street and the wider Covent Garden area?</w:t>
      </w:r>
    </w:p>
    <w:p w14:paraId="2C726850" w14:textId="77777777" w:rsidR="001B41A5" w:rsidRPr="00201851" w:rsidRDefault="001B41A5" w:rsidP="008D61E6">
      <w:pPr>
        <w:pStyle w:val="ListParagraph"/>
        <w:numPr>
          <w:ilvl w:val="0"/>
          <w:numId w:val="2"/>
        </w:numPr>
        <w:spacing w:line="360" w:lineRule="auto"/>
        <w:jc w:val="both"/>
        <w:rPr>
          <w:rFonts w:ascii="Arial" w:hAnsi="Arial" w:cs="Arial"/>
          <w:sz w:val="24"/>
          <w:szCs w:val="24"/>
          <w:lang w:val="en-GB" w:eastAsia="en-GB"/>
        </w:rPr>
      </w:pPr>
      <w:r w:rsidRPr="00201851">
        <w:rPr>
          <w:rFonts w:ascii="Arial" w:hAnsi="Arial" w:cs="Arial"/>
          <w:sz w:val="24"/>
          <w:szCs w:val="24"/>
          <w:lang w:val="en-GB" w:eastAsia="en-GB"/>
        </w:rPr>
        <w:t>RQ4: What business strategy, business model, financial structure and operational approach would be required to establish The Ethical Bean Coffee House?</w:t>
      </w:r>
    </w:p>
    <w:p w14:paraId="3C18959C" w14:textId="77777777" w:rsidR="001B41A5" w:rsidRPr="00201851" w:rsidRDefault="001B41A5" w:rsidP="008D61E6">
      <w:pPr>
        <w:pStyle w:val="ListParagraph"/>
        <w:numPr>
          <w:ilvl w:val="0"/>
          <w:numId w:val="2"/>
        </w:numPr>
        <w:spacing w:line="360" w:lineRule="auto"/>
        <w:jc w:val="both"/>
        <w:rPr>
          <w:rFonts w:ascii="Arial" w:hAnsi="Arial" w:cs="Arial"/>
          <w:sz w:val="24"/>
          <w:szCs w:val="24"/>
          <w:lang w:val="en-GB" w:eastAsia="en-GB"/>
        </w:rPr>
      </w:pPr>
      <w:r w:rsidRPr="00201851">
        <w:rPr>
          <w:rFonts w:ascii="Arial" w:hAnsi="Arial" w:cs="Arial"/>
          <w:sz w:val="24"/>
          <w:szCs w:val="24"/>
          <w:lang w:val="en-GB" w:eastAsia="en-GB"/>
        </w:rPr>
        <w:t>RQ5: Under what conditions could The Ethical Bean Coffee House represent a commercially feasible business opportunity?</w:t>
      </w:r>
    </w:p>
    <w:p w14:paraId="163065A1" w14:textId="77777777" w:rsidR="001B41A5" w:rsidRPr="00974088" w:rsidRDefault="001B41A5" w:rsidP="00974088">
      <w:pPr>
        <w:spacing w:line="360" w:lineRule="auto"/>
        <w:jc w:val="both"/>
        <w:rPr>
          <w:rFonts w:ascii="Arial" w:hAnsi="Arial" w:cs="Arial"/>
          <w:sz w:val="24"/>
          <w:szCs w:val="24"/>
          <w:lang w:val="en-GB" w:eastAsia="en-GB"/>
        </w:rPr>
      </w:pPr>
      <w:r w:rsidRPr="00974088">
        <w:rPr>
          <w:rFonts w:ascii="Arial" w:hAnsi="Arial" w:cs="Arial"/>
          <w:sz w:val="24"/>
          <w:szCs w:val="24"/>
          <w:lang w:val="en-GB" w:eastAsia="en-GB"/>
        </w:rPr>
        <w:t>These questions directly guide the subsequent market, customer, competitor, strategic, financial and implementation analyses.</w:t>
      </w:r>
    </w:p>
    <w:p w14:paraId="59B790CD" w14:textId="77777777" w:rsidR="001B41A5" w:rsidRPr="00974088" w:rsidRDefault="001B41A5" w:rsidP="00201851">
      <w:pPr>
        <w:pStyle w:val="Heading2"/>
        <w:rPr>
          <w:rFonts w:eastAsia="Times New Roman"/>
          <w:lang w:val="en-GB" w:eastAsia="en-GB"/>
        </w:rPr>
      </w:pPr>
      <w:bookmarkStart w:id="10" w:name="_Toc240811379"/>
      <w:r w:rsidRPr="00974088">
        <w:rPr>
          <w:rFonts w:eastAsia="Times New Roman"/>
          <w:lang w:val="en-GB" w:eastAsia="en-GB"/>
        </w:rPr>
        <w:t>1.5 Scope and Boundaries</w:t>
      </w:r>
      <w:bookmarkEnd w:id="10"/>
    </w:p>
    <w:p w14:paraId="723AF4F7" w14:textId="77777777" w:rsidR="001B41A5" w:rsidRPr="00974088" w:rsidRDefault="001B41A5" w:rsidP="00974088">
      <w:pPr>
        <w:spacing w:line="360" w:lineRule="auto"/>
        <w:jc w:val="both"/>
        <w:rPr>
          <w:rFonts w:ascii="Arial" w:hAnsi="Arial" w:cs="Arial"/>
          <w:sz w:val="24"/>
          <w:szCs w:val="24"/>
          <w:lang w:val="en-GB" w:eastAsia="en-GB"/>
        </w:rPr>
      </w:pPr>
      <w:r w:rsidRPr="00974088">
        <w:rPr>
          <w:rFonts w:ascii="Arial" w:hAnsi="Arial" w:cs="Arial"/>
          <w:sz w:val="24"/>
          <w:szCs w:val="24"/>
          <w:lang w:val="en-GB" w:eastAsia="en-GB"/>
        </w:rPr>
        <w:t>The BDP focuses on a proposed new specialty coffee business located on Monmouth Street, Covent Garden, London, UK. The analysis will consider premium coffee consumers, urban professionals, visitors, students, remote workers and ethically conscious customers. The study will examine specialty coffee, ethical sourcing, sustainability, customer experience and business development. The research will use secondary evidence only, including academic literature, government statistics, industry reports, official company information and other credible published sources. Primary surveys, interviews and focus groups are outside the scope. The analysis will be completed within the planned 16-week BDP timeframe.</w:t>
      </w:r>
    </w:p>
    <w:p w14:paraId="5AD4A888" w14:textId="77777777" w:rsidR="001B41A5" w:rsidRPr="00974088" w:rsidRDefault="001B41A5" w:rsidP="00201851">
      <w:pPr>
        <w:pStyle w:val="Heading2"/>
        <w:rPr>
          <w:rFonts w:eastAsia="Times New Roman"/>
          <w:lang w:val="en-GB" w:eastAsia="en-GB"/>
        </w:rPr>
      </w:pPr>
      <w:bookmarkStart w:id="11" w:name="_Toc240811380"/>
      <w:r w:rsidRPr="00974088">
        <w:rPr>
          <w:rFonts w:eastAsia="Times New Roman"/>
          <w:lang w:val="en-GB" w:eastAsia="en-GB"/>
        </w:rPr>
        <w:t>1.6 Structure of the Report</w:t>
      </w:r>
      <w:bookmarkEnd w:id="11"/>
    </w:p>
    <w:p w14:paraId="2B524C8A" w14:textId="77777777" w:rsidR="001B41A5" w:rsidRPr="00974088" w:rsidRDefault="001B41A5" w:rsidP="00974088">
      <w:pPr>
        <w:spacing w:line="360" w:lineRule="auto"/>
        <w:jc w:val="both"/>
        <w:rPr>
          <w:rFonts w:ascii="Arial" w:hAnsi="Arial" w:cs="Arial"/>
          <w:sz w:val="24"/>
          <w:szCs w:val="24"/>
          <w:lang w:val="en-GB" w:eastAsia="en-GB"/>
        </w:rPr>
      </w:pPr>
      <w:r w:rsidRPr="00974088">
        <w:rPr>
          <w:rFonts w:ascii="Arial" w:hAnsi="Arial" w:cs="Arial"/>
          <w:sz w:val="24"/>
          <w:szCs w:val="24"/>
          <w:lang w:val="en-GB" w:eastAsia="en-GB"/>
        </w:rPr>
        <w:t xml:space="preserve">Following the Introduction and Company Description, Chapter 3: Literature Review establishes the academic foundation for the proposal, while Chapter 4: Research </w:t>
      </w:r>
      <w:r w:rsidRPr="00974088">
        <w:rPr>
          <w:rFonts w:ascii="Arial" w:hAnsi="Arial" w:cs="Arial"/>
          <w:sz w:val="24"/>
          <w:szCs w:val="24"/>
          <w:lang w:val="en-GB" w:eastAsia="en-GB"/>
        </w:rPr>
        <w:lastRenderedPageBreak/>
        <w:t>Methodology explains the secondary research approach and analytical methods. The subsequent BDP chapters develop the business case through Market Opportunity Analysis, Competitive Environment Analysis, Business Strategy, Business Model Canvas, Financial, Marketing and Sales, and Human Capital Management Plan, Operations Plan, Feasibility Analysis, Implementation Plan, Conclusion and Recommendations, and Reflection. Together, these chapters will evaluate the proposed opportunity systematically rather than assuming its viability at the outset.</w:t>
      </w:r>
    </w:p>
    <w:p w14:paraId="0F4F0987" w14:textId="4735E917" w:rsidR="001B41A5" w:rsidRDefault="001B41A5" w:rsidP="001B41A5">
      <w:pPr>
        <w:spacing w:after="0" w:line="240" w:lineRule="auto"/>
        <w:rPr>
          <w:rFonts w:ascii="Times New Roman" w:eastAsia="Times New Roman" w:hAnsi="Times New Roman" w:cs="Times New Roman"/>
          <w:sz w:val="24"/>
          <w:szCs w:val="24"/>
          <w:lang w:val="en-GB" w:eastAsia="en-GB"/>
        </w:rPr>
      </w:pPr>
    </w:p>
    <w:p w14:paraId="7A3BEFD8" w14:textId="2275B149" w:rsidR="00201851" w:rsidRDefault="00201851" w:rsidP="001B41A5">
      <w:pPr>
        <w:spacing w:after="0" w:line="240" w:lineRule="auto"/>
        <w:rPr>
          <w:rFonts w:ascii="Times New Roman" w:eastAsia="Times New Roman" w:hAnsi="Times New Roman" w:cs="Times New Roman"/>
          <w:sz w:val="24"/>
          <w:szCs w:val="24"/>
          <w:lang w:val="en-GB" w:eastAsia="en-GB"/>
        </w:rPr>
      </w:pPr>
    </w:p>
    <w:p w14:paraId="181F08E6" w14:textId="705FA9B6" w:rsidR="00201851" w:rsidRDefault="00201851" w:rsidP="001B41A5">
      <w:pPr>
        <w:spacing w:after="0" w:line="240" w:lineRule="auto"/>
        <w:rPr>
          <w:rFonts w:ascii="Times New Roman" w:eastAsia="Times New Roman" w:hAnsi="Times New Roman" w:cs="Times New Roman"/>
          <w:sz w:val="24"/>
          <w:szCs w:val="24"/>
          <w:lang w:val="en-GB" w:eastAsia="en-GB"/>
        </w:rPr>
      </w:pPr>
    </w:p>
    <w:p w14:paraId="20FE9BBD" w14:textId="08ECC172" w:rsidR="00201851" w:rsidRDefault="00201851" w:rsidP="001B41A5">
      <w:pPr>
        <w:spacing w:after="0" w:line="240" w:lineRule="auto"/>
        <w:rPr>
          <w:rFonts w:ascii="Times New Roman" w:eastAsia="Times New Roman" w:hAnsi="Times New Roman" w:cs="Times New Roman"/>
          <w:sz w:val="24"/>
          <w:szCs w:val="24"/>
          <w:lang w:val="en-GB" w:eastAsia="en-GB"/>
        </w:rPr>
      </w:pPr>
    </w:p>
    <w:p w14:paraId="7DC5EEF4" w14:textId="7737FC5B" w:rsidR="00201851" w:rsidRDefault="00201851" w:rsidP="001B41A5">
      <w:pPr>
        <w:spacing w:after="0" w:line="240" w:lineRule="auto"/>
        <w:rPr>
          <w:rFonts w:ascii="Times New Roman" w:eastAsia="Times New Roman" w:hAnsi="Times New Roman" w:cs="Times New Roman"/>
          <w:sz w:val="24"/>
          <w:szCs w:val="24"/>
          <w:lang w:val="en-GB" w:eastAsia="en-GB"/>
        </w:rPr>
      </w:pPr>
    </w:p>
    <w:p w14:paraId="39D91DA7" w14:textId="23FCBF94" w:rsidR="00201851" w:rsidRDefault="00201851" w:rsidP="001B41A5">
      <w:pPr>
        <w:spacing w:after="0" w:line="240" w:lineRule="auto"/>
        <w:rPr>
          <w:rFonts w:ascii="Times New Roman" w:eastAsia="Times New Roman" w:hAnsi="Times New Roman" w:cs="Times New Roman"/>
          <w:sz w:val="24"/>
          <w:szCs w:val="24"/>
          <w:lang w:val="en-GB" w:eastAsia="en-GB"/>
        </w:rPr>
      </w:pPr>
    </w:p>
    <w:p w14:paraId="324E5208" w14:textId="60990CD5" w:rsidR="00201851" w:rsidRDefault="00201851" w:rsidP="001B41A5">
      <w:pPr>
        <w:spacing w:after="0" w:line="240" w:lineRule="auto"/>
        <w:rPr>
          <w:rFonts w:ascii="Times New Roman" w:eastAsia="Times New Roman" w:hAnsi="Times New Roman" w:cs="Times New Roman"/>
          <w:sz w:val="24"/>
          <w:szCs w:val="24"/>
          <w:lang w:val="en-GB" w:eastAsia="en-GB"/>
        </w:rPr>
      </w:pPr>
    </w:p>
    <w:p w14:paraId="6A8E24AA" w14:textId="04AA4CF8" w:rsidR="00201851" w:rsidRDefault="00201851" w:rsidP="001B41A5">
      <w:pPr>
        <w:spacing w:after="0" w:line="240" w:lineRule="auto"/>
        <w:rPr>
          <w:rFonts w:ascii="Times New Roman" w:eastAsia="Times New Roman" w:hAnsi="Times New Roman" w:cs="Times New Roman"/>
          <w:sz w:val="24"/>
          <w:szCs w:val="24"/>
          <w:lang w:val="en-GB" w:eastAsia="en-GB"/>
        </w:rPr>
      </w:pPr>
    </w:p>
    <w:p w14:paraId="14576F7F" w14:textId="0DD36701" w:rsidR="00201851" w:rsidRDefault="00201851" w:rsidP="001B41A5">
      <w:pPr>
        <w:spacing w:after="0" w:line="240" w:lineRule="auto"/>
        <w:rPr>
          <w:rFonts w:ascii="Times New Roman" w:eastAsia="Times New Roman" w:hAnsi="Times New Roman" w:cs="Times New Roman"/>
          <w:sz w:val="24"/>
          <w:szCs w:val="24"/>
          <w:lang w:val="en-GB" w:eastAsia="en-GB"/>
        </w:rPr>
      </w:pPr>
    </w:p>
    <w:p w14:paraId="02234F2F" w14:textId="35E022F9" w:rsidR="00201851" w:rsidRDefault="00201851" w:rsidP="001B41A5">
      <w:pPr>
        <w:spacing w:after="0" w:line="240" w:lineRule="auto"/>
        <w:rPr>
          <w:rFonts w:ascii="Times New Roman" w:eastAsia="Times New Roman" w:hAnsi="Times New Roman" w:cs="Times New Roman"/>
          <w:sz w:val="24"/>
          <w:szCs w:val="24"/>
          <w:lang w:val="en-GB" w:eastAsia="en-GB"/>
        </w:rPr>
      </w:pPr>
    </w:p>
    <w:p w14:paraId="72AA6DAA" w14:textId="4CB261A3" w:rsidR="00201851" w:rsidRDefault="00201851" w:rsidP="001B41A5">
      <w:pPr>
        <w:spacing w:after="0" w:line="240" w:lineRule="auto"/>
        <w:rPr>
          <w:rFonts w:ascii="Times New Roman" w:eastAsia="Times New Roman" w:hAnsi="Times New Roman" w:cs="Times New Roman"/>
          <w:sz w:val="24"/>
          <w:szCs w:val="24"/>
          <w:lang w:val="en-GB" w:eastAsia="en-GB"/>
        </w:rPr>
      </w:pPr>
    </w:p>
    <w:p w14:paraId="72589AAE" w14:textId="3831D6B8" w:rsidR="00201851" w:rsidRDefault="00201851" w:rsidP="001B41A5">
      <w:pPr>
        <w:spacing w:after="0" w:line="240" w:lineRule="auto"/>
        <w:rPr>
          <w:rFonts w:ascii="Times New Roman" w:eastAsia="Times New Roman" w:hAnsi="Times New Roman" w:cs="Times New Roman"/>
          <w:sz w:val="24"/>
          <w:szCs w:val="24"/>
          <w:lang w:val="en-GB" w:eastAsia="en-GB"/>
        </w:rPr>
      </w:pPr>
    </w:p>
    <w:p w14:paraId="6B071DA5" w14:textId="2801A984" w:rsidR="00201851" w:rsidRDefault="00201851" w:rsidP="001B41A5">
      <w:pPr>
        <w:spacing w:after="0" w:line="240" w:lineRule="auto"/>
        <w:rPr>
          <w:rFonts w:ascii="Times New Roman" w:eastAsia="Times New Roman" w:hAnsi="Times New Roman" w:cs="Times New Roman"/>
          <w:sz w:val="24"/>
          <w:szCs w:val="24"/>
          <w:lang w:val="en-GB" w:eastAsia="en-GB"/>
        </w:rPr>
      </w:pPr>
    </w:p>
    <w:p w14:paraId="62D0E9CB" w14:textId="60BC186F" w:rsidR="00201851" w:rsidRDefault="00201851" w:rsidP="001B41A5">
      <w:pPr>
        <w:spacing w:after="0" w:line="240" w:lineRule="auto"/>
        <w:rPr>
          <w:rFonts w:ascii="Times New Roman" w:eastAsia="Times New Roman" w:hAnsi="Times New Roman" w:cs="Times New Roman"/>
          <w:sz w:val="24"/>
          <w:szCs w:val="24"/>
          <w:lang w:val="en-GB" w:eastAsia="en-GB"/>
        </w:rPr>
      </w:pPr>
    </w:p>
    <w:p w14:paraId="2B023E48" w14:textId="25429F22" w:rsidR="00201851" w:rsidRDefault="00201851" w:rsidP="001B41A5">
      <w:pPr>
        <w:spacing w:after="0" w:line="240" w:lineRule="auto"/>
        <w:rPr>
          <w:rFonts w:ascii="Times New Roman" w:eastAsia="Times New Roman" w:hAnsi="Times New Roman" w:cs="Times New Roman"/>
          <w:sz w:val="24"/>
          <w:szCs w:val="24"/>
          <w:lang w:val="en-GB" w:eastAsia="en-GB"/>
        </w:rPr>
      </w:pPr>
    </w:p>
    <w:p w14:paraId="07DFA7EF" w14:textId="25D18575" w:rsidR="00201851" w:rsidRDefault="00201851" w:rsidP="001B41A5">
      <w:pPr>
        <w:spacing w:after="0" w:line="240" w:lineRule="auto"/>
        <w:rPr>
          <w:rFonts w:ascii="Times New Roman" w:eastAsia="Times New Roman" w:hAnsi="Times New Roman" w:cs="Times New Roman"/>
          <w:sz w:val="24"/>
          <w:szCs w:val="24"/>
          <w:lang w:val="en-GB" w:eastAsia="en-GB"/>
        </w:rPr>
      </w:pPr>
    </w:p>
    <w:p w14:paraId="71F994D8" w14:textId="67C38EC1" w:rsidR="00201851" w:rsidRDefault="00201851" w:rsidP="001B41A5">
      <w:pPr>
        <w:spacing w:after="0" w:line="240" w:lineRule="auto"/>
        <w:rPr>
          <w:rFonts w:ascii="Times New Roman" w:eastAsia="Times New Roman" w:hAnsi="Times New Roman" w:cs="Times New Roman"/>
          <w:sz w:val="24"/>
          <w:szCs w:val="24"/>
          <w:lang w:val="en-GB" w:eastAsia="en-GB"/>
        </w:rPr>
      </w:pPr>
    </w:p>
    <w:p w14:paraId="54486458" w14:textId="4348A4BF" w:rsidR="00201851" w:rsidRDefault="00201851" w:rsidP="001B41A5">
      <w:pPr>
        <w:spacing w:after="0" w:line="240" w:lineRule="auto"/>
        <w:rPr>
          <w:rFonts w:ascii="Times New Roman" w:eastAsia="Times New Roman" w:hAnsi="Times New Roman" w:cs="Times New Roman"/>
          <w:sz w:val="24"/>
          <w:szCs w:val="24"/>
          <w:lang w:val="en-GB" w:eastAsia="en-GB"/>
        </w:rPr>
      </w:pPr>
    </w:p>
    <w:p w14:paraId="54E5049C" w14:textId="633ADFA2" w:rsidR="00201851" w:rsidRDefault="00201851" w:rsidP="001B41A5">
      <w:pPr>
        <w:spacing w:after="0" w:line="240" w:lineRule="auto"/>
        <w:rPr>
          <w:rFonts w:ascii="Times New Roman" w:eastAsia="Times New Roman" w:hAnsi="Times New Roman" w:cs="Times New Roman"/>
          <w:sz w:val="24"/>
          <w:szCs w:val="24"/>
          <w:lang w:val="en-GB" w:eastAsia="en-GB"/>
        </w:rPr>
      </w:pPr>
    </w:p>
    <w:p w14:paraId="64A223C3" w14:textId="4D4F482D" w:rsidR="00201851" w:rsidRDefault="00201851" w:rsidP="001B41A5">
      <w:pPr>
        <w:spacing w:after="0" w:line="240" w:lineRule="auto"/>
        <w:rPr>
          <w:rFonts w:ascii="Times New Roman" w:eastAsia="Times New Roman" w:hAnsi="Times New Roman" w:cs="Times New Roman"/>
          <w:sz w:val="24"/>
          <w:szCs w:val="24"/>
          <w:lang w:val="en-GB" w:eastAsia="en-GB"/>
        </w:rPr>
      </w:pPr>
    </w:p>
    <w:p w14:paraId="7590B505" w14:textId="10BB2D93" w:rsidR="00201851" w:rsidRDefault="00201851" w:rsidP="001B41A5">
      <w:pPr>
        <w:spacing w:after="0" w:line="240" w:lineRule="auto"/>
        <w:rPr>
          <w:rFonts w:ascii="Times New Roman" w:eastAsia="Times New Roman" w:hAnsi="Times New Roman" w:cs="Times New Roman"/>
          <w:sz w:val="24"/>
          <w:szCs w:val="24"/>
          <w:lang w:val="en-GB" w:eastAsia="en-GB"/>
        </w:rPr>
      </w:pPr>
    </w:p>
    <w:p w14:paraId="77D00963" w14:textId="0D3C2321" w:rsidR="00201851" w:rsidRDefault="00201851" w:rsidP="001B41A5">
      <w:pPr>
        <w:spacing w:after="0" w:line="240" w:lineRule="auto"/>
        <w:rPr>
          <w:rFonts w:ascii="Times New Roman" w:eastAsia="Times New Roman" w:hAnsi="Times New Roman" w:cs="Times New Roman"/>
          <w:sz w:val="24"/>
          <w:szCs w:val="24"/>
          <w:lang w:val="en-GB" w:eastAsia="en-GB"/>
        </w:rPr>
      </w:pPr>
    </w:p>
    <w:p w14:paraId="571C5AAA" w14:textId="67C7C5AA" w:rsidR="00201851" w:rsidRDefault="00201851" w:rsidP="001B41A5">
      <w:pPr>
        <w:spacing w:after="0" w:line="240" w:lineRule="auto"/>
        <w:rPr>
          <w:rFonts w:ascii="Times New Roman" w:eastAsia="Times New Roman" w:hAnsi="Times New Roman" w:cs="Times New Roman"/>
          <w:sz w:val="24"/>
          <w:szCs w:val="24"/>
          <w:lang w:val="en-GB" w:eastAsia="en-GB"/>
        </w:rPr>
      </w:pPr>
    </w:p>
    <w:p w14:paraId="75F6FE5F" w14:textId="0304F2B9" w:rsidR="00201851" w:rsidRDefault="00201851" w:rsidP="001B41A5">
      <w:pPr>
        <w:spacing w:after="0" w:line="240" w:lineRule="auto"/>
        <w:rPr>
          <w:rFonts w:ascii="Times New Roman" w:eastAsia="Times New Roman" w:hAnsi="Times New Roman" w:cs="Times New Roman"/>
          <w:sz w:val="24"/>
          <w:szCs w:val="24"/>
          <w:lang w:val="en-GB" w:eastAsia="en-GB"/>
        </w:rPr>
      </w:pPr>
    </w:p>
    <w:p w14:paraId="6FE05D93" w14:textId="063742DD" w:rsidR="00201851" w:rsidRDefault="00201851" w:rsidP="001B41A5">
      <w:pPr>
        <w:spacing w:after="0" w:line="240" w:lineRule="auto"/>
        <w:rPr>
          <w:rFonts w:ascii="Times New Roman" w:eastAsia="Times New Roman" w:hAnsi="Times New Roman" w:cs="Times New Roman"/>
          <w:sz w:val="24"/>
          <w:szCs w:val="24"/>
          <w:lang w:val="en-GB" w:eastAsia="en-GB"/>
        </w:rPr>
      </w:pPr>
    </w:p>
    <w:p w14:paraId="110CDB33" w14:textId="73D924D3" w:rsidR="00201851" w:rsidRDefault="00201851" w:rsidP="001B41A5">
      <w:pPr>
        <w:spacing w:after="0" w:line="240" w:lineRule="auto"/>
        <w:rPr>
          <w:rFonts w:ascii="Times New Roman" w:eastAsia="Times New Roman" w:hAnsi="Times New Roman" w:cs="Times New Roman"/>
          <w:sz w:val="24"/>
          <w:szCs w:val="24"/>
          <w:lang w:val="en-GB" w:eastAsia="en-GB"/>
        </w:rPr>
      </w:pPr>
    </w:p>
    <w:p w14:paraId="6C669615" w14:textId="1049F4AD" w:rsidR="00201851" w:rsidRDefault="00201851" w:rsidP="001B41A5">
      <w:pPr>
        <w:spacing w:after="0" w:line="240" w:lineRule="auto"/>
        <w:rPr>
          <w:rFonts w:ascii="Times New Roman" w:eastAsia="Times New Roman" w:hAnsi="Times New Roman" w:cs="Times New Roman"/>
          <w:sz w:val="24"/>
          <w:szCs w:val="24"/>
          <w:lang w:val="en-GB" w:eastAsia="en-GB"/>
        </w:rPr>
      </w:pPr>
    </w:p>
    <w:p w14:paraId="003C5BC8" w14:textId="14984271" w:rsidR="00201851" w:rsidRDefault="00201851" w:rsidP="001B41A5">
      <w:pPr>
        <w:spacing w:after="0" w:line="240" w:lineRule="auto"/>
        <w:rPr>
          <w:rFonts w:ascii="Times New Roman" w:eastAsia="Times New Roman" w:hAnsi="Times New Roman" w:cs="Times New Roman"/>
          <w:sz w:val="24"/>
          <w:szCs w:val="24"/>
          <w:lang w:val="en-GB" w:eastAsia="en-GB"/>
        </w:rPr>
      </w:pPr>
    </w:p>
    <w:p w14:paraId="3039A585" w14:textId="43DC4983" w:rsidR="00201851" w:rsidRDefault="00201851" w:rsidP="001B41A5">
      <w:pPr>
        <w:spacing w:after="0" w:line="240" w:lineRule="auto"/>
        <w:rPr>
          <w:rFonts w:ascii="Times New Roman" w:eastAsia="Times New Roman" w:hAnsi="Times New Roman" w:cs="Times New Roman"/>
          <w:sz w:val="24"/>
          <w:szCs w:val="24"/>
          <w:lang w:val="en-GB" w:eastAsia="en-GB"/>
        </w:rPr>
      </w:pPr>
    </w:p>
    <w:p w14:paraId="74FD0DD7" w14:textId="12575543" w:rsidR="00201851" w:rsidRDefault="00201851" w:rsidP="001B41A5">
      <w:pPr>
        <w:spacing w:after="0" w:line="240" w:lineRule="auto"/>
        <w:rPr>
          <w:rFonts w:ascii="Times New Roman" w:eastAsia="Times New Roman" w:hAnsi="Times New Roman" w:cs="Times New Roman"/>
          <w:sz w:val="24"/>
          <w:szCs w:val="24"/>
          <w:lang w:val="en-GB" w:eastAsia="en-GB"/>
        </w:rPr>
      </w:pPr>
    </w:p>
    <w:p w14:paraId="3B6E95FA" w14:textId="0FDAA2F8" w:rsidR="00201851" w:rsidRDefault="00201851" w:rsidP="001B41A5">
      <w:pPr>
        <w:spacing w:after="0" w:line="240" w:lineRule="auto"/>
        <w:rPr>
          <w:rFonts w:ascii="Times New Roman" w:eastAsia="Times New Roman" w:hAnsi="Times New Roman" w:cs="Times New Roman"/>
          <w:sz w:val="24"/>
          <w:szCs w:val="24"/>
          <w:lang w:val="en-GB" w:eastAsia="en-GB"/>
        </w:rPr>
      </w:pPr>
    </w:p>
    <w:p w14:paraId="51AAB060" w14:textId="2977F326" w:rsidR="00201851" w:rsidRDefault="00201851" w:rsidP="001B41A5">
      <w:pPr>
        <w:spacing w:after="0" w:line="240" w:lineRule="auto"/>
        <w:rPr>
          <w:rFonts w:ascii="Times New Roman" w:eastAsia="Times New Roman" w:hAnsi="Times New Roman" w:cs="Times New Roman"/>
          <w:sz w:val="24"/>
          <w:szCs w:val="24"/>
          <w:lang w:val="en-GB" w:eastAsia="en-GB"/>
        </w:rPr>
      </w:pPr>
    </w:p>
    <w:p w14:paraId="79B7CA40" w14:textId="77777777" w:rsidR="00296B61" w:rsidRDefault="00296B61" w:rsidP="001B41A5">
      <w:pPr>
        <w:spacing w:after="0" w:line="240" w:lineRule="auto"/>
        <w:rPr>
          <w:rFonts w:ascii="Times New Roman" w:eastAsia="Times New Roman" w:hAnsi="Times New Roman" w:cs="Times New Roman"/>
          <w:sz w:val="24"/>
          <w:szCs w:val="24"/>
          <w:lang w:val="en-GB" w:eastAsia="en-GB"/>
        </w:rPr>
      </w:pPr>
    </w:p>
    <w:p w14:paraId="69B786D3" w14:textId="5A8818CE" w:rsidR="00201851" w:rsidRDefault="00201851" w:rsidP="001B41A5">
      <w:pPr>
        <w:spacing w:after="0" w:line="240" w:lineRule="auto"/>
        <w:rPr>
          <w:rFonts w:ascii="Times New Roman" w:eastAsia="Times New Roman" w:hAnsi="Times New Roman" w:cs="Times New Roman"/>
          <w:sz w:val="24"/>
          <w:szCs w:val="24"/>
          <w:lang w:val="en-GB" w:eastAsia="en-GB"/>
        </w:rPr>
      </w:pPr>
    </w:p>
    <w:p w14:paraId="322C8AE7" w14:textId="22977235" w:rsidR="00201851" w:rsidRDefault="00201851" w:rsidP="001B41A5">
      <w:pPr>
        <w:spacing w:after="0" w:line="240" w:lineRule="auto"/>
        <w:rPr>
          <w:rFonts w:ascii="Times New Roman" w:eastAsia="Times New Roman" w:hAnsi="Times New Roman" w:cs="Times New Roman"/>
          <w:sz w:val="24"/>
          <w:szCs w:val="24"/>
          <w:lang w:val="en-GB" w:eastAsia="en-GB"/>
        </w:rPr>
      </w:pPr>
    </w:p>
    <w:p w14:paraId="27052582" w14:textId="591D59AD" w:rsidR="00201851" w:rsidRDefault="00201851" w:rsidP="001B41A5">
      <w:pPr>
        <w:spacing w:after="0" w:line="240" w:lineRule="auto"/>
        <w:rPr>
          <w:rFonts w:ascii="Times New Roman" w:eastAsia="Times New Roman" w:hAnsi="Times New Roman" w:cs="Times New Roman"/>
          <w:sz w:val="24"/>
          <w:szCs w:val="24"/>
          <w:lang w:val="en-GB" w:eastAsia="en-GB"/>
        </w:rPr>
      </w:pPr>
    </w:p>
    <w:p w14:paraId="5606328A" w14:textId="35951C43" w:rsidR="00201851" w:rsidRDefault="00201851" w:rsidP="001B41A5">
      <w:pPr>
        <w:spacing w:after="0" w:line="240" w:lineRule="auto"/>
        <w:rPr>
          <w:rFonts w:ascii="Times New Roman" w:eastAsia="Times New Roman" w:hAnsi="Times New Roman" w:cs="Times New Roman"/>
          <w:sz w:val="24"/>
          <w:szCs w:val="24"/>
          <w:lang w:val="en-GB" w:eastAsia="en-GB"/>
        </w:rPr>
      </w:pPr>
    </w:p>
    <w:p w14:paraId="346A18DF" w14:textId="77777777" w:rsidR="00201851" w:rsidRPr="001B41A5" w:rsidRDefault="00201851" w:rsidP="001B41A5">
      <w:pPr>
        <w:spacing w:after="0" w:line="240" w:lineRule="auto"/>
        <w:rPr>
          <w:rFonts w:ascii="Times New Roman" w:eastAsia="Times New Roman" w:hAnsi="Times New Roman" w:cs="Times New Roman"/>
          <w:sz w:val="24"/>
          <w:szCs w:val="24"/>
          <w:lang w:val="en-GB" w:eastAsia="en-GB"/>
        </w:rPr>
      </w:pPr>
    </w:p>
    <w:p w14:paraId="662D26C7" w14:textId="77777777" w:rsidR="001B41A5" w:rsidRPr="00296B61" w:rsidRDefault="001B41A5" w:rsidP="00296B61">
      <w:pPr>
        <w:pStyle w:val="Heading1"/>
        <w:jc w:val="center"/>
        <w:rPr>
          <w:rFonts w:eastAsia="Times New Roman"/>
          <w:lang w:val="en-GB" w:eastAsia="en-GB"/>
        </w:rPr>
      </w:pPr>
      <w:bookmarkStart w:id="12" w:name="_Toc240811381"/>
      <w:r w:rsidRPr="00296B61">
        <w:rPr>
          <w:rFonts w:eastAsia="Times New Roman"/>
          <w:lang w:val="en-GB" w:eastAsia="en-GB"/>
        </w:rPr>
        <w:lastRenderedPageBreak/>
        <w:t>Chapter 2: Company Description</w:t>
      </w:r>
      <w:bookmarkEnd w:id="12"/>
    </w:p>
    <w:p w14:paraId="6D359CF9" w14:textId="77777777" w:rsidR="001B41A5" w:rsidRPr="00296B61" w:rsidRDefault="001B41A5" w:rsidP="00296B61">
      <w:pPr>
        <w:pStyle w:val="Heading2"/>
        <w:rPr>
          <w:rFonts w:eastAsia="Times New Roman"/>
          <w:lang w:val="en-GB" w:eastAsia="en-GB"/>
        </w:rPr>
      </w:pPr>
      <w:bookmarkStart w:id="13" w:name="_Toc240811382"/>
      <w:r w:rsidRPr="00296B61">
        <w:rPr>
          <w:rFonts w:eastAsia="Times New Roman"/>
          <w:lang w:val="en-GB" w:eastAsia="en-GB"/>
        </w:rPr>
        <w:t>2.1 Business Identity and Legal Structure</w:t>
      </w:r>
      <w:bookmarkEnd w:id="13"/>
    </w:p>
    <w:p w14:paraId="3CD3DFE3" w14:textId="77777777" w:rsidR="001B41A5" w:rsidRPr="00296B61" w:rsidRDefault="001B41A5" w:rsidP="00296B61">
      <w:pPr>
        <w:spacing w:before="240" w:line="360" w:lineRule="auto"/>
        <w:jc w:val="both"/>
        <w:rPr>
          <w:rFonts w:ascii="Arial" w:hAnsi="Arial" w:cs="Arial"/>
          <w:sz w:val="24"/>
          <w:szCs w:val="24"/>
          <w:lang w:val="en-GB" w:eastAsia="en-GB"/>
        </w:rPr>
      </w:pPr>
      <w:r w:rsidRPr="00296B61">
        <w:rPr>
          <w:rFonts w:ascii="Arial" w:hAnsi="Arial" w:cs="Arial"/>
          <w:sz w:val="24"/>
          <w:szCs w:val="24"/>
          <w:lang w:val="en-GB" w:eastAsia="en-GB"/>
        </w:rPr>
        <w:t>The Ethical Bean Coffee House is proposed as a new specialty coffee venture to be established on Monmouth Street, Covent Garden, London, UK. The proposed business will operate as a private limited company, subject to confirmation through the subsequent legal and financial analysis. This structure is appropriate for a new venture because it can provide a formal corporate identity and separate the company's liabilities from those of its shareholders, while supporting future investment and growth.</w:t>
      </w:r>
    </w:p>
    <w:p w14:paraId="2740E2CE" w14:textId="77777777" w:rsidR="001B41A5" w:rsidRPr="00296B61" w:rsidRDefault="001B41A5" w:rsidP="00296B61">
      <w:pPr>
        <w:spacing w:before="240" w:line="360" w:lineRule="auto"/>
        <w:jc w:val="both"/>
        <w:rPr>
          <w:rFonts w:ascii="Arial" w:hAnsi="Arial" w:cs="Arial"/>
          <w:sz w:val="24"/>
          <w:szCs w:val="24"/>
          <w:lang w:val="en-GB" w:eastAsia="en-GB"/>
        </w:rPr>
      </w:pPr>
      <w:r w:rsidRPr="00296B61">
        <w:rPr>
          <w:rFonts w:ascii="Arial" w:hAnsi="Arial" w:cs="Arial"/>
          <w:sz w:val="24"/>
          <w:szCs w:val="24"/>
          <w:lang w:val="en-GB" w:eastAsia="en-GB"/>
        </w:rPr>
        <w:t>The proposed location provides access to an established commercial and visitor environment but also places the business within a highly competitive specialty coffee cluster. Monmouth Coffee Company already operates at 27 Monmouth Street, while Covent Garden identifies several specialty coffee businesses within the surrounding area (Monmouth Coffee Company, 2026; Covent Garden London, 2026). Consequently, location alone will not constitute the business's competitive advantage.</w:t>
      </w:r>
    </w:p>
    <w:p w14:paraId="7F49BC6B" w14:textId="77777777" w:rsidR="001B41A5" w:rsidRPr="00296B61" w:rsidRDefault="001B41A5" w:rsidP="00296B61">
      <w:pPr>
        <w:pStyle w:val="Heading2"/>
        <w:rPr>
          <w:rFonts w:eastAsia="Times New Roman"/>
          <w:lang w:val="en-GB" w:eastAsia="en-GB"/>
        </w:rPr>
      </w:pPr>
      <w:bookmarkStart w:id="14" w:name="_Toc240811383"/>
      <w:r w:rsidRPr="00296B61">
        <w:rPr>
          <w:rFonts w:eastAsia="Times New Roman"/>
          <w:lang w:val="en-GB" w:eastAsia="en-GB"/>
        </w:rPr>
        <w:t>2.2 Product or Service and the Problem Solved</w:t>
      </w:r>
      <w:bookmarkEnd w:id="14"/>
    </w:p>
    <w:p w14:paraId="4ACE4EEE" w14:textId="77777777" w:rsidR="001B41A5" w:rsidRPr="00296B61" w:rsidRDefault="001B41A5" w:rsidP="00296B61">
      <w:pPr>
        <w:spacing w:before="240" w:line="360" w:lineRule="auto"/>
        <w:jc w:val="both"/>
        <w:rPr>
          <w:rFonts w:ascii="Arial" w:hAnsi="Arial" w:cs="Arial"/>
          <w:sz w:val="24"/>
          <w:szCs w:val="24"/>
          <w:lang w:val="en-GB" w:eastAsia="en-GB"/>
        </w:rPr>
      </w:pPr>
      <w:r w:rsidRPr="00296B61">
        <w:rPr>
          <w:rFonts w:ascii="Arial" w:hAnsi="Arial" w:cs="Arial"/>
          <w:sz w:val="24"/>
          <w:szCs w:val="24"/>
          <w:lang w:val="en-GB" w:eastAsia="en-GB"/>
        </w:rPr>
        <w:t>The Ethical Bean Coffee House will provide premium specialty coffee, ethically sourced beans, complementary food products and a sustainability-focused café experience. The core offer will include espresso-based beverages, filter coffee, seasonal specialty drinks, alternative milk options and selected pastries or light food. Coffee beans will be sourced through suppliers demonstrating credible ethical and environmental standards, with the business seeking to communicate information about origin, sourcing relationships and sustainability practices transparently.</w:t>
      </w:r>
    </w:p>
    <w:p w14:paraId="67B6D640" w14:textId="37C0F339" w:rsidR="001B41A5" w:rsidRDefault="001B41A5" w:rsidP="00296B61">
      <w:pPr>
        <w:spacing w:before="240" w:line="360" w:lineRule="auto"/>
        <w:jc w:val="both"/>
        <w:rPr>
          <w:rFonts w:ascii="Arial" w:hAnsi="Arial" w:cs="Arial"/>
          <w:sz w:val="24"/>
          <w:szCs w:val="24"/>
          <w:lang w:val="en-GB" w:eastAsia="en-GB"/>
        </w:rPr>
      </w:pPr>
      <w:r w:rsidRPr="00296B61">
        <w:rPr>
          <w:rFonts w:ascii="Arial" w:hAnsi="Arial" w:cs="Arial"/>
          <w:sz w:val="24"/>
          <w:szCs w:val="24"/>
          <w:lang w:val="en-GB" w:eastAsia="en-GB"/>
        </w:rPr>
        <w:t>The proposed service responds to the opportunity identified in Chapter 1 by combining product quality with responsible sourcing and customer experience. This is important because sustainability attributes can influence consumer preferences and willingness to pay for coffee (Fuller, Grebitus and Schmitz, 2022; Fuller and Grebitus, 2023). The business will also seek to reduce operational waste through reusable or recyclable packaging, responsible procurement and efficient resource use.</w:t>
      </w:r>
    </w:p>
    <w:p w14:paraId="003FB5D1" w14:textId="77777777" w:rsidR="00296B61" w:rsidRPr="00296B61" w:rsidRDefault="00296B61" w:rsidP="00296B61">
      <w:pPr>
        <w:spacing w:before="240" w:line="360" w:lineRule="auto"/>
        <w:jc w:val="both"/>
        <w:rPr>
          <w:rFonts w:ascii="Arial" w:hAnsi="Arial" w:cs="Arial"/>
          <w:sz w:val="24"/>
          <w:szCs w:val="24"/>
          <w:lang w:val="en-GB" w:eastAsia="en-GB"/>
        </w:rPr>
      </w:pPr>
    </w:p>
    <w:p w14:paraId="6C4654A0" w14:textId="77777777" w:rsidR="001B41A5" w:rsidRPr="00296B61" w:rsidRDefault="001B41A5" w:rsidP="00296B61">
      <w:pPr>
        <w:spacing w:before="240" w:line="360" w:lineRule="auto"/>
        <w:jc w:val="both"/>
        <w:rPr>
          <w:rFonts w:ascii="Arial" w:hAnsi="Arial" w:cs="Arial"/>
          <w:b/>
          <w:sz w:val="24"/>
          <w:szCs w:val="24"/>
          <w:lang w:val="en-GB" w:eastAsia="en-GB"/>
        </w:rPr>
      </w:pPr>
      <w:r w:rsidRPr="00296B61">
        <w:rPr>
          <w:rFonts w:ascii="Arial" w:hAnsi="Arial" w:cs="Arial"/>
          <w:b/>
          <w:sz w:val="24"/>
          <w:szCs w:val="24"/>
          <w:lang w:val="en-GB" w:eastAsia="en-GB"/>
        </w:rPr>
        <w:lastRenderedPageBreak/>
        <w:t>The initial value proposition is therefore:</w:t>
      </w:r>
    </w:p>
    <w:p w14:paraId="6129763C" w14:textId="77777777" w:rsidR="001B41A5" w:rsidRPr="00296B61" w:rsidRDefault="001B41A5" w:rsidP="00296B61">
      <w:pPr>
        <w:spacing w:before="240" w:line="360" w:lineRule="auto"/>
        <w:jc w:val="both"/>
        <w:rPr>
          <w:rFonts w:ascii="Arial" w:hAnsi="Arial" w:cs="Arial"/>
          <w:sz w:val="24"/>
          <w:szCs w:val="24"/>
          <w:lang w:val="en-GB" w:eastAsia="en-GB"/>
        </w:rPr>
      </w:pPr>
      <w:r w:rsidRPr="00296B61">
        <w:rPr>
          <w:rFonts w:ascii="Arial" w:hAnsi="Arial" w:cs="Arial"/>
          <w:b/>
          <w:sz w:val="24"/>
          <w:szCs w:val="24"/>
          <w:lang w:val="en-GB" w:eastAsia="en-GB"/>
        </w:rPr>
        <w:t>Premium specialty coffee delivered through transparent ethical sourcing and sustainable operations in a welcoming Covent Garden coffee-house environment</w:t>
      </w:r>
      <w:r w:rsidRPr="00296B61">
        <w:rPr>
          <w:rFonts w:ascii="Arial" w:hAnsi="Arial" w:cs="Arial"/>
          <w:sz w:val="24"/>
          <w:szCs w:val="24"/>
          <w:lang w:val="en-GB" w:eastAsia="en-GB"/>
        </w:rPr>
        <w:t>.</w:t>
      </w:r>
    </w:p>
    <w:p w14:paraId="0EA9BC3C" w14:textId="77777777" w:rsidR="001B41A5" w:rsidRPr="00296B61" w:rsidRDefault="001B41A5" w:rsidP="00296B61">
      <w:pPr>
        <w:spacing w:before="240" w:line="360" w:lineRule="auto"/>
        <w:jc w:val="both"/>
        <w:rPr>
          <w:rFonts w:ascii="Arial" w:hAnsi="Arial" w:cs="Arial"/>
          <w:sz w:val="24"/>
          <w:szCs w:val="24"/>
          <w:lang w:val="en-GB" w:eastAsia="en-GB"/>
        </w:rPr>
      </w:pPr>
      <w:r w:rsidRPr="00296B61">
        <w:rPr>
          <w:rFonts w:ascii="Arial" w:hAnsi="Arial" w:cs="Arial"/>
          <w:sz w:val="24"/>
          <w:szCs w:val="24"/>
          <w:lang w:val="en-GB" w:eastAsia="en-GB"/>
        </w:rPr>
        <w:t>The proposition will subsequently be tested against competitors, customer evidence and financial requirements.</w:t>
      </w:r>
    </w:p>
    <w:p w14:paraId="20A6F482" w14:textId="77777777" w:rsidR="001B41A5" w:rsidRPr="00296B61" w:rsidRDefault="001B41A5" w:rsidP="00296B61">
      <w:pPr>
        <w:pStyle w:val="Heading2"/>
        <w:rPr>
          <w:rFonts w:eastAsia="Times New Roman"/>
          <w:lang w:val="en-GB" w:eastAsia="en-GB"/>
        </w:rPr>
      </w:pPr>
      <w:bookmarkStart w:id="15" w:name="_Toc240811384"/>
      <w:r w:rsidRPr="00296B61">
        <w:rPr>
          <w:rFonts w:eastAsia="Times New Roman"/>
          <w:lang w:val="en-GB" w:eastAsia="en-GB"/>
        </w:rPr>
        <w:t>2.3 Founding Idea and Brief History</w:t>
      </w:r>
      <w:bookmarkEnd w:id="15"/>
    </w:p>
    <w:p w14:paraId="3FFEE73C" w14:textId="77777777" w:rsidR="001B41A5" w:rsidRPr="00296B61" w:rsidRDefault="001B41A5" w:rsidP="00296B61">
      <w:pPr>
        <w:spacing w:before="240" w:line="360" w:lineRule="auto"/>
        <w:jc w:val="both"/>
        <w:rPr>
          <w:rFonts w:ascii="Arial" w:hAnsi="Arial" w:cs="Arial"/>
          <w:sz w:val="24"/>
          <w:szCs w:val="24"/>
          <w:lang w:val="en-GB" w:eastAsia="en-GB"/>
        </w:rPr>
      </w:pPr>
      <w:r w:rsidRPr="00296B61">
        <w:rPr>
          <w:rFonts w:ascii="Arial" w:hAnsi="Arial" w:cs="Arial"/>
          <w:sz w:val="24"/>
          <w:szCs w:val="24"/>
          <w:lang w:val="en-GB" w:eastAsia="en-GB"/>
        </w:rPr>
        <w:t>The proposed business idea emerged from the intersection of three developments: the continued growth of specialty coffee consumption, increasing consumer awareness of ethical sourcing, and the environmental and social challenges associated with global coffee supply chains. Research identifies sustainability as an increasingly important dimension of coffee production and consumption, although the effectiveness and credibility of different sustainability initiatives vary (Wright et al., 2024). The concept therefore seeks to investigate whether these trends can be translated into a commercially appropriate independent coffee-shop proposition in Covent Garden.</w:t>
      </w:r>
    </w:p>
    <w:p w14:paraId="30F9B1A1" w14:textId="77777777" w:rsidR="001B41A5" w:rsidRPr="00296B61" w:rsidRDefault="001B41A5" w:rsidP="00296B61">
      <w:pPr>
        <w:pStyle w:val="Heading2"/>
        <w:rPr>
          <w:rFonts w:eastAsia="Times New Roman"/>
          <w:lang w:val="en-GB" w:eastAsia="en-GB"/>
        </w:rPr>
      </w:pPr>
      <w:bookmarkStart w:id="16" w:name="_Toc240811385"/>
      <w:r w:rsidRPr="00296B61">
        <w:rPr>
          <w:rFonts w:eastAsia="Times New Roman"/>
          <w:lang w:val="en-GB" w:eastAsia="en-GB"/>
        </w:rPr>
        <w:t>2.4 Mission, Vision and Values</w:t>
      </w:r>
      <w:bookmarkEnd w:id="16"/>
    </w:p>
    <w:p w14:paraId="7620363E" w14:textId="77777777" w:rsidR="001B41A5" w:rsidRPr="00296B61" w:rsidRDefault="001B41A5" w:rsidP="00296B61">
      <w:pPr>
        <w:pStyle w:val="Heading3"/>
        <w:rPr>
          <w:rFonts w:eastAsia="Times New Roman"/>
          <w:lang w:val="en-GB" w:eastAsia="en-GB"/>
        </w:rPr>
      </w:pPr>
      <w:bookmarkStart w:id="17" w:name="_Toc240811386"/>
      <w:r w:rsidRPr="00296B61">
        <w:rPr>
          <w:rFonts w:eastAsia="Times New Roman"/>
          <w:lang w:val="en-GB" w:eastAsia="en-GB"/>
        </w:rPr>
        <w:t>Mission</w:t>
      </w:r>
      <w:bookmarkEnd w:id="17"/>
    </w:p>
    <w:p w14:paraId="4CCDD0AC" w14:textId="77777777" w:rsidR="001B41A5" w:rsidRPr="00296B61" w:rsidRDefault="001B41A5" w:rsidP="00296B61">
      <w:pPr>
        <w:spacing w:before="240" w:line="360" w:lineRule="auto"/>
        <w:jc w:val="both"/>
        <w:rPr>
          <w:rFonts w:ascii="Arial" w:hAnsi="Arial" w:cs="Arial"/>
          <w:sz w:val="24"/>
          <w:szCs w:val="24"/>
          <w:lang w:val="en-GB" w:eastAsia="en-GB"/>
        </w:rPr>
      </w:pPr>
      <w:r w:rsidRPr="00296B61">
        <w:rPr>
          <w:rFonts w:ascii="Arial" w:hAnsi="Arial" w:cs="Arial"/>
          <w:sz w:val="24"/>
          <w:szCs w:val="24"/>
          <w:lang w:val="en-GB" w:eastAsia="en-GB"/>
        </w:rPr>
        <w:t>The mission of The Ethical Bean Coffee House is to provide high-quality specialty coffee while creating greater transparency, responsibility and sustainability across the coffee-shop experience.</w:t>
      </w:r>
    </w:p>
    <w:p w14:paraId="0ECB42E9" w14:textId="77777777" w:rsidR="001B41A5" w:rsidRPr="00296B61" w:rsidRDefault="001B41A5" w:rsidP="00296B61">
      <w:pPr>
        <w:pStyle w:val="Heading3"/>
        <w:rPr>
          <w:rFonts w:eastAsia="Times New Roman"/>
          <w:lang w:val="en-GB" w:eastAsia="en-GB"/>
        </w:rPr>
      </w:pPr>
      <w:bookmarkStart w:id="18" w:name="_Toc240811387"/>
      <w:r w:rsidRPr="00296B61">
        <w:rPr>
          <w:rFonts w:eastAsia="Times New Roman"/>
          <w:lang w:val="en-GB" w:eastAsia="en-GB"/>
        </w:rPr>
        <w:t>Vision</w:t>
      </w:r>
      <w:bookmarkEnd w:id="18"/>
    </w:p>
    <w:p w14:paraId="26D291C1" w14:textId="77777777" w:rsidR="001B41A5" w:rsidRPr="00296B61" w:rsidRDefault="001B41A5" w:rsidP="00296B61">
      <w:pPr>
        <w:spacing w:before="240" w:line="360" w:lineRule="auto"/>
        <w:jc w:val="both"/>
        <w:rPr>
          <w:rFonts w:ascii="Arial" w:hAnsi="Arial" w:cs="Arial"/>
          <w:sz w:val="24"/>
          <w:szCs w:val="24"/>
          <w:lang w:val="en-GB" w:eastAsia="en-GB"/>
        </w:rPr>
      </w:pPr>
      <w:r w:rsidRPr="00296B61">
        <w:rPr>
          <w:rFonts w:ascii="Arial" w:hAnsi="Arial" w:cs="Arial"/>
          <w:sz w:val="24"/>
          <w:szCs w:val="24"/>
          <w:lang w:val="en-GB" w:eastAsia="en-GB"/>
        </w:rPr>
        <w:t>The vision is to develop a recognised ethical specialty coffee brand that demonstrates how premium hospitality can be combined with responsible sourcing, environmental awareness and positive customer experiences.</w:t>
      </w:r>
    </w:p>
    <w:p w14:paraId="772E59EC" w14:textId="77777777" w:rsidR="001B41A5" w:rsidRPr="00296B61" w:rsidRDefault="001B41A5" w:rsidP="00296B61">
      <w:pPr>
        <w:jc w:val="both"/>
        <w:rPr>
          <w:rFonts w:ascii="Arial" w:hAnsi="Arial" w:cs="Arial"/>
          <w:b/>
          <w:sz w:val="24"/>
        </w:rPr>
      </w:pPr>
      <w:r w:rsidRPr="00296B61">
        <w:rPr>
          <w:rFonts w:ascii="Arial" w:hAnsi="Arial" w:cs="Arial"/>
          <w:b/>
          <w:sz w:val="24"/>
        </w:rPr>
        <w:t>The business will be guided by four core values:</w:t>
      </w:r>
    </w:p>
    <w:p w14:paraId="483CB782" w14:textId="77777777" w:rsidR="001B41A5" w:rsidRPr="003C1271" w:rsidRDefault="001B41A5" w:rsidP="008D61E6">
      <w:pPr>
        <w:pStyle w:val="ListParagraph"/>
        <w:numPr>
          <w:ilvl w:val="0"/>
          <w:numId w:val="3"/>
        </w:numPr>
        <w:spacing w:before="240" w:line="360" w:lineRule="auto"/>
        <w:jc w:val="both"/>
        <w:rPr>
          <w:rFonts w:ascii="Arial" w:hAnsi="Arial" w:cs="Arial"/>
          <w:sz w:val="24"/>
          <w:szCs w:val="24"/>
          <w:lang w:val="en-GB" w:eastAsia="en-GB"/>
        </w:rPr>
      </w:pPr>
      <w:r w:rsidRPr="003C1271">
        <w:rPr>
          <w:rFonts w:ascii="Arial" w:hAnsi="Arial" w:cs="Arial"/>
          <w:b/>
          <w:sz w:val="24"/>
          <w:szCs w:val="24"/>
          <w:lang w:val="en-GB" w:eastAsia="en-GB"/>
        </w:rPr>
        <w:t>Ethical sourcing –</w:t>
      </w:r>
      <w:r w:rsidRPr="003C1271">
        <w:rPr>
          <w:rFonts w:ascii="Arial" w:hAnsi="Arial" w:cs="Arial"/>
          <w:sz w:val="24"/>
          <w:szCs w:val="24"/>
          <w:lang w:val="en-GB" w:eastAsia="en-GB"/>
        </w:rPr>
        <w:t xml:space="preserve"> prioritising responsible relationships with coffee producers and suppliers. </w:t>
      </w:r>
    </w:p>
    <w:p w14:paraId="5C58CAF8" w14:textId="77777777" w:rsidR="001B41A5" w:rsidRPr="003C1271" w:rsidRDefault="001B41A5" w:rsidP="008D61E6">
      <w:pPr>
        <w:pStyle w:val="ListParagraph"/>
        <w:numPr>
          <w:ilvl w:val="0"/>
          <w:numId w:val="3"/>
        </w:numPr>
        <w:spacing w:before="240" w:line="360" w:lineRule="auto"/>
        <w:jc w:val="both"/>
        <w:rPr>
          <w:rFonts w:ascii="Arial" w:hAnsi="Arial" w:cs="Arial"/>
          <w:sz w:val="24"/>
          <w:szCs w:val="24"/>
          <w:lang w:val="en-GB" w:eastAsia="en-GB"/>
        </w:rPr>
      </w:pPr>
      <w:r w:rsidRPr="003C1271">
        <w:rPr>
          <w:rFonts w:ascii="Arial" w:hAnsi="Arial" w:cs="Arial"/>
          <w:b/>
          <w:sz w:val="24"/>
          <w:szCs w:val="24"/>
          <w:lang w:val="en-GB" w:eastAsia="en-GB"/>
        </w:rPr>
        <w:lastRenderedPageBreak/>
        <w:t>Sustainability –</w:t>
      </w:r>
      <w:r w:rsidRPr="003C1271">
        <w:rPr>
          <w:rFonts w:ascii="Arial" w:hAnsi="Arial" w:cs="Arial"/>
          <w:sz w:val="24"/>
          <w:szCs w:val="24"/>
          <w:lang w:val="en-GB" w:eastAsia="en-GB"/>
        </w:rPr>
        <w:t xml:space="preserve"> reducing unnecessary waste and environmental impacts across operations. </w:t>
      </w:r>
    </w:p>
    <w:p w14:paraId="556F76A4" w14:textId="77777777" w:rsidR="001B41A5" w:rsidRPr="003C1271" w:rsidRDefault="001B41A5" w:rsidP="008D61E6">
      <w:pPr>
        <w:pStyle w:val="ListParagraph"/>
        <w:numPr>
          <w:ilvl w:val="0"/>
          <w:numId w:val="3"/>
        </w:numPr>
        <w:spacing w:before="240" w:line="360" w:lineRule="auto"/>
        <w:jc w:val="both"/>
        <w:rPr>
          <w:rFonts w:ascii="Arial" w:hAnsi="Arial" w:cs="Arial"/>
          <w:sz w:val="24"/>
          <w:szCs w:val="24"/>
          <w:lang w:val="en-GB" w:eastAsia="en-GB"/>
        </w:rPr>
      </w:pPr>
      <w:r w:rsidRPr="003C1271">
        <w:rPr>
          <w:rFonts w:ascii="Arial" w:hAnsi="Arial" w:cs="Arial"/>
          <w:b/>
          <w:sz w:val="24"/>
          <w:szCs w:val="24"/>
          <w:lang w:val="en-GB" w:eastAsia="en-GB"/>
        </w:rPr>
        <w:t>Quality –</w:t>
      </w:r>
      <w:r w:rsidRPr="003C1271">
        <w:rPr>
          <w:rFonts w:ascii="Arial" w:hAnsi="Arial" w:cs="Arial"/>
          <w:sz w:val="24"/>
          <w:szCs w:val="24"/>
          <w:lang w:val="en-GB" w:eastAsia="en-GB"/>
        </w:rPr>
        <w:t xml:space="preserve"> maintaining high standards in coffee preparation, ingredients and customer service. </w:t>
      </w:r>
    </w:p>
    <w:p w14:paraId="302756A8" w14:textId="77777777" w:rsidR="001B41A5" w:rsidRPr="003C1271" w:rsidRDefault="001B41A5" w:rsidP="008D61E6">
      <w:pPr>
        <w:pStyle w:val="ListParagraph"/>
        <w:numPr>
          <w:ilvl w:val="0"/>
          <w:numId w:val="3"/>
        </w:numPr>
        <w:spacing w:before="240" w:line="360" w:lineRule="auto"/>
        <w:jc w:val="both"/>
        <w:rPr>
          <w:rFonts w:ascii="Arial" w:hAnsi="Arial" w:cs="Arial"/>
          <w:sz w:val="24"/>
          <w:szCs w:val="24"/>
          <w:lang w:val="en-GB" w:eastAsia="en-GB"/>
        </w:rPr>
      </w:pPr>
      <w:r w:rsidRPr="003C1271">
        <w:rPr>
          <w:rFonts w:ascii="Arial" w:hAnsi="Arial" w:cs="Arial"/>
          <w:b/>
          <w:sz w:val="24"/>
          <w:szCs w:val="24"/>
          <w:lang w:val="en-GB" w:eastAsia="en-GB"/>
        </w:rPr>
        <w:t>Transparency –</w:t>
      </w:r>
      <w:r w:rsidRPr="003C1271">
        <w:rPr>
          <w:rFonts w:ascii="Arial" w:hAnsi="Arial" w:cs="Arial"/>
          <w:sz w:val="24"/>
          <w:szCs w:val="24"/>
          <w:lang w:val="en-GB" w:eastAsia="en-GB"/>
        </w:rPr>
        <w:t xml:space="preserve"> communicating sourcing and sustainability practices honestly rather than relying on unsupported ethical claims. </w:t>
      </w:r>
    </w:p>
    <w:p w14:paraId="70344624" w14:textId="77777777" w:rsidR="001B41A5" w:rsidRPr="00296B61" w:rsidRDefault="001B41A5" w:rsidP="00296B61">
      <w:pPr>
        <w:spacing w:before="240" w:line="360" w:lineRule="auto"/>
        <w:jc w:val="both"/>
        <w:rPr>
          <w:rFonts w:ascii="Arial" w:hAnsi="Arial" w:cs="Arial"/>
          <w:sz w:val="24"/>
          <w:szCs w:val="24"/>
          <w:lang w:val="en-GB" w:eastAsia="en-GB"/>
        </w:rPr>
      </w:pPr>
      <w:r w:rsidRPr="00296B61">
        <w:rPr>
          <w:rFonts w:ascii="Arial" w:hAnsi="Arial" w:cs="Arial"/>
          <w:sz w:val="24"/>
          <w:szCs w:val="24"/>
          <w:lang w:val="en-GB" w:eastAsia="en-GB"/>
        </w:rPr>
        <w:t>These values are particularly relevant because credible sustainability communication can influence consumer perceptions and purchasing decisions (Fairtrade, 2025).</w:t>
      </w:r>
    </w:p>
    <w:p w14:paraId="2073CE7D" w14:textId="77777777" w:rsidR="001B41A5" w:rsidRPr="00296B61" w:rsidRDefault="001B41A5" w:rsidP="003C1271">
      <w:pPr>
        <w:pStyle w:val="Heading2"/>
        <w:rPr>
          <w:rFonts w:eastAsia="Times New Roman"/>
          <w:lang w:val="en-GB" w:eastAsia="en-GB"/>
        </w:rPr>
      </w:pPr>
      <w:bookmarkStart w:id="19" w:name="_Toc240811388"/>
      <w:r w:rsidRPr="00296B61">
        <w:rPr>
          <w:rFonts w:eastAsia="Times New Roman"/>
          <w:lang w:val="en-GB" w:eastAsia="en-GB"/>
        </w:rPr>
        <w:t>2.5 Business Objectives and Goals</w:t>
      </w:r>
      <w:bookmarkEnd w:id="19"/>
    </w:p>
    <w:p w14:paraId="15C54B2F" w14:textId="77777777" w:rsidR="001B41A5" w:rsidRPr="003C1271" w:rsidRDefault="001B41A5" w:rsidP="008D61E6">
      <w:pPr>
        <w:pStyle w:val="ListParagraph"/>
        <w:numPr>
          <w:ilvl w:val="0"/>
          <w:numId w:val="4"/>
        </w:numPr>
        <w:spacing w:before="240" w:line="360" w:lineRule="auto"/>
        <w:jc w:val="both"/>
        <w:rPr>
          <w:rFonts w:ascii="Arial" w:hAnsi="Arial" w:cs="Arial"/>
          <w:sz w:val="24"/>
          <w:szCs w:val="24"/>
          <w:lang w:val="en-GB" w:eastAsia="en-GB"/>
        </w:rPr>
      </w:pPr>
      <w:r w:rsidRPr="003C1271">
        <w:rPr>
          <w:rFonts w:ascii="Arial" w:hAnsi="Arial" w:cs="Arial"/>
          <w:sz w:val="24"/>
          <w:szCs w:val="24"/>
          <w:lang w:val="en-GB" w:eastAsia="en-GB"/>
        </w:rPr>
        <w:t>The initial business objectives are designed as provisional SMART objectives and will be tested and refined through the later financial and feasibility analysis.</w:t>
      </w:r>
    </w:p>
    <w:p w14:paraId="4CE1FF46" w14:textId="77777777" w:rsidR="001B41A5" w:rsidRPr="003C1271" w:rsidRDefault="001B41A5" w:rsidP="008D61E6">
      <w:pPr>
        <w:pStyle w:val="ListParagraph"/>
        <w:numPr>
          <w:ilvl w:val="0"/>
          <w:numId w:val="4"/>
        </w:numPr>
        <w:spacing w:before="240" w:line="360" w:lineRule="auto"/>
        <w:jc w:val="both"/>
        <w:rPr>
          <w:rFonts w:ascii="Arial" w:hAnsi="Arial" w:cs="Arial"/>
          <w:sz w:val="24"/>
          <w:szCs w:val="24"/>
          <w:lang w:val="en-GB" w:eastAsia="en-GB"/>
        </w:rPr>
      </w:pPr>
      <w:r w:rsidRPr="003C1271">
        <w:rPr>
          <w:rFonts w:ascii="Arial" w:hAnsi="Arial" w:cs="Arial"/>
          <w:sz w:val="24"/>
          <w:szCs w:val="24"/>
          <w:lang w:val="en-GB" w:eastAsia="en-GB"/>
        </w:rPr>
        <w:t xml:space="preserve">To complete market, competitor and customer analysis for the proposed Monmouth Street location during the first stages of the 16-week BDP. </w:t>
      </w:r>
    </w:p>
    <w:p w14:paraId="150AF8EC" w14:textId="77777777" w:rsidR="001B41A5" w:rsidRPr="003C1271" w:rsidRDefault="001B41A5" w:rsidP="008D61E6">
      <w:pPr>
        <w:pStyle w:val="ListParagraph"/>
        <w:numPr>
          <w:ilvl w:val="0"/>
          <w:numId w:val="4"/>
        </w:numPr>
        <w:spacing w:before="240" w:line="360" w:lineRule="auto"/>
        <w:jc w:val="both"/>
        <w:rPr>
          <w:rFonts w:ascii="Arial" w:hAnsi="Arial" w:cs="Arial"/>
          <w:sz w:val="24"/>
          <w:szCs w:val="24"/>
          <w:lang w:val="en-GB" w:eastAsia="en-GB"/>
        </w:rPr>
      </w:pPr>
      <w:r w:rsidRPr="003C1271">
        <w:rPr>
          <w:rFonts w:ascii="Arial" w:hAnsi="Arial" w:cs="Arial"/>
          <w:sz w:val="24"/>
          <w:szCs w:val="24"/>
          <w:lang w:val="en-GB" w:eastAsia="en-GB"/>
        </w:rPr>
        <w:t xml:space="preserve">To develop an evidence-based ethical sourcing and sustainable supply-chain model before the proposed business launch. </w:t>
      </w:r>
    </w:p>
    <w:p w14:paraId="60FC3D10" w14:textId="77777777" w:rsidR="001B41A5" w:rsidRPr="003C1271" w:rsidRDefault="001B41A5" w:rsidP="008D61E6">
      <w:pPr>
        <w:pStyle w:val="ListParagraph"/>
        <w:numPr>
          <w:ilvl w:val="0"/>
          <w:numId w:val="4"/>
        </w:numPr>
        <w:spacing w:before="240" w:line="360" w:lineRule="auto"/>
        <w:jc w:val="both"/>
        <w:rPr>
          <w:rFonts w:ascii="Arial" w:hAnsi="Arial" w:cs="Arial"/>
          <w:sz w:val="24"/>
          <w:szCs w:val="24"/>
          <w:lang w:val="en-GB" w:eastAsia="en-GB"/>
        </w:rPr>
      </w:pPr>
      <w:r w:rsidRPr="003C1271">
        <w:rPr>
          <w:rFonts w:ascii="Arial" w:hAnsi="Arial" w:cs="Arial"/>
          <w:sz w:val="24"/>
          <w:szCs w:val="24"/>
          <w:lang w:val="en-GB" w:eastAsia="en-GB"/>
        </w:rPr>
        <w:t xml:space="preserve">To establish a differentiated product and service proposition incorporating specialty coffee quality, ethical sourcing and sustainable operating practices before launch. </w:t>
      </w:r>
    </w:p>
    <w:p w14:paraId="47BF8C04" w14:textId="77777777" w:rsidR="001B41A5" w:rsidRPr="003C1271" w:rsidRDefault="001B41A5" w:rsidP="008D61E6">
      <w:pPr>
        <w:pStyle w:val="ListParagraph"/>
        <w:numPr>
          <w:ilvl w:val="0"/>
          <w:numId w:val="4"/>
        </w:numPr>
        <w:spacing w:before="240" w:line="360" w:lineRule="auto"/>
        <w:jc w:val="both"/>
        <w:rPr>
          <w:rFonts w:ascii="Arial" w:hAnsi="Arial" w:cs="Arial"/>
          <w:sz w:val="24"/>
          <w:szCs w:val="24"/>
          <w:lang w:val="en-GB" w:eastAsia="en-GB"/>
        </w:rPr>
      </w:pPr>
      <w:r w:rsidRPr="003C1271">
        <w:rPr>
          <w:rFonts w:ascii="Arial" w:hAnsi="Arial" w:cs="Arial"/>
          <w:sz w:val="24"/>
          <w:szCs w:val="24"/>
          <w:lang w:val="en-GB" w:eastAsia="en-GB"/>
        </w:rPr>
        <w:t xml:space="preserve">To develop a three-to-five-year financial forecast, break-even analysis and sensitivity analysis within the BDP to determine the financial conditions required for potential viability. </w:t>
      </w:r>
    </w:p>
    <w:p w14:paraId="1A6B634D" w14:textId="77777777" w:rsidR="001B41A5" w:rsidRPr="003C1271" w:rsidRDefault="001B41A5" w:rsidP="008D61E6">
      <w:pPr>
        <w:pStyle w:val="ListParagraph"/>
        <w:numPr>
          <w:ilvl w:val="0"/>
          <w:numId w:val="4"/>
        </w:numPr>
        <w:spacing w:before="240" w:line="360" w:lineRule="auto"/>
        <w:jc w:val="both"/>
        <w:rPr>
          <w:rFonts w:ascii="Arial" w:hAnsi="Arial" w:cs="Arial"/>
          <w:sz w:val="24"/>
          <w:szCs w:val="24"/>
          <w:lang w:val="en-GB" w:eastAsia="en-GB"/>
        </w:rPr>
      </w:pPr>
      <w:r w:rsidRPr="003C1271">
        <w:rPr>
          <w:rFonts w:ascii="Arial" w:hAnsi="Arial" w:cs="Arial"/>
          <w:sz w:val="24"/>
          <w:szCs w:val="24"/>
          <w:lang w:val="en-GB" w:eastAsia="en-GB"/>
        </w:rPr>
        <w:t xml:space="preserve">To design an implementation plan containing measurable operational, customer, financial and sustainability KPIs for the proposed first year of operation. </w:t>
      </w:r>
    </w:p>
    <w:p w14:paraId="24CD3F64" w14:textId="77777777" w:rsidR="001B41A5" w:rsidRPr="00296B61" w:rsidRDefault="001B41A5" w:rsidP="00296B61">
      <w:pPr>
        <w:spacing w:before="240" w:line="360" w:lineRule="auto"/>
        <w:jc w:val="both"/>
        <w:rPr>
          <w:rFonts w:ascii="Arial" w:hAnsi="Arial" w:cs="Arial"/>
          <w:sz w:val="24"/>
          <w:szCs w:val="24"/>
          <w:lang w:val="en-GB" w:eastAsia="en-GB"/>
        </w:rPr>
      </w:pPr>
      <w:r w:rsidRPr="00296B61">
        <w:rPr>
          <w:rFonts w:ascii="Arial" w:hAnsi="Arial" w:cs="Arial"/>
          <w:sz w:val="24"/>
          <w:szCs w:val="24"/>
          <w:lang w:val="en-GB" w:eastAsia="en-GB"/>
        </w:rPr>
        <w:t>These objectives remain subject to evidence generated through the later chapters rather than assuming that the proposed targets are automatically achievable.</w:t>
      </w:r>
    </w:p>
    <w:p w14:paraId="71059E91" w14:textId="77777777" w:rsidR="001B41A5" w:rsidRPr="00296B61" w:rsidRDefault="001B41A5" w:rsidP="003C1271">
      <w:pPr>
        <w:pStyle w:val="Heading2"/>
        <w:rPr>
          <w:rFonts w:eastAsia="Times New Roman"/>
          <w:lang w:val="en-GB" w:eastAsia="en-GB"/>
        </w:rPr>
      </w:pPr>
      <w:bookmarkStart w:id="20" w:name="_Toc240811389"/>
      <w:r w:rsidRPr="00296B61">
        <w:rPr>
          <w:rFonts w:eastAsia="Times New Roman"/>
          <w:lang w:val="en-GB" w:eastAsia="en-GB"/>
        </w:rPr>
        <w:t>2.6 Alignment with Trends and Opportunity</w:t>
      </w:r>
      <w:bookmarkEnd w:id="20"/>
    </w:p>
    <w:p w14:paraId="7FA10633" w14:textId="77777777" w:rsidR="001B41A5" w:rsidRPr="00296B61" w:rsidRDefault="001B41A5" w:rsidP="00296B61">
      <w:pPr>
        <w:spacing w:before="240" w:line="360" w:lineRule="auto"/>
        <w:jc w:val="both"/>
        <w:rPr>
          <w:rFonts w:ascii="Arial" w:hAnsi="Arial" w:cs="Arial"/>
          <w:sz w:val="24"/>
          <w:szCs w:val="24"/>
          <w:lang w:val="en-GB" w:eastAsia="en-GB"/>
        </w:rPr>
      </w:pPr>
      <w:r w:rsidRPr="00296B61">
        <w:rPr>
          <w:rFonts w:ascii="Arial" w:hAnsi="Arial" w:cs="Arial"/>
          <w:sz w:val="24"/>
          <w:szCs w:val="24"/>
          <w:lang w:val="en-GB" w:eastAsia="en-GB"/>
        </w:rPr>
        <w:t>The business concept aligns with several developments in the UK coffee sector, including continued coffee-shop market growth, consumer interest in specialty coffee and increasing attention to ethical and sustainable sourcing. The UK branded coffee-</w:t>
      </w:r>
      <w:r w:rsidRPr="00296B61">
        <w:rPr>
          <w:rFonts w:ascii="Arial" w:hAnsi="Arial" w:cs="Arial"/>
          <w:sz w:val="24"/>
          <w:szCs w:val="24"/>
          <w:lang w:val="en-GB" w:eastAsia="en-GB"/>
        </w:rPr>
        <w:lastRenderedPageBreak/>
        <w:t>shop market reached £6.1 billion in 2025, while consumer research indicates continued coffee-shop engagement despite growing price sensitivity (World Coffee Portal, 2025). Ethical consumption is also relevant, with Fairtrade reporting strong recognition and regular purchasing among UK shoppers (Fairtrade, 2025).</w:t>
      </w:r>
    </w:p>
    <w:p w14:paraId="5F77D786" w14:textId="3F5B16DC" w:rsidR="001B41A5" w:rsidRDefault="001B41A5" w:rsidP="00296B61">
      <w:pPr>
        <w:spacing w:before="240" w:line="360" w:lineRule="auto"/>
        <w:jc w:val="both"/>
        <w:rPr>
          <w:rFonts w:ascii="Arial" w:hAnsi="Arial" w:cs="Arial"/>
          <w:sz w:val="24"/>
          <w:szCs w:val="24"/>
          <w:lang w:val="en-GB" w:eastAsia="en-GB"/>
        </w:rPr>
      </w:pPr>
      <w:r w:rsidRPr="00296B61">
        <w:rPr>
          <w:rFonts w:ascii="Arial" w:hAnsi="Arial" w:cs="Arial"/>
          <w:sz w:val="24"/>
          <w:szCs w:val="24"/>
          <w:lang w:val="en-GB" w:eastAsia="en-GB"/>
        </w:rPr>
        <w:t>However, the presence of established specialty operators in Covent Garden means the proposal must demonstrate a specific and defensible point of differentiation. The subsequent BDP analysis will therefore determine whether ethical sourcing, sustainability, transparency and customer experience can create sufficient strategic and commercial differentiation for The Ethical Bean Coffee House.</w:t>
      </w:r>
    </w:p>
    <w:p w14:paraId="2488C5CC" w14:textId="1CA76880" w:rsidR="00F57D71" w:rsidRDefault="00F57D71" w:rsidP="00296B61">
      <w:pPr>
        <w:spacing w:before="240" w:line="360" w:lineRule="auto"/>
        <w:jc w:val="both"/>
        <w:rPr>
          <w:rFonts w:ascii="Arial" w:hAnsi="Arial" w:cs="Arial"/>
          <w:sz w:val="24"/>
          <w:szCs w:val="24"/>
          <w:lang w:val="en-GB" w:eastAsia="en-GB"/>
        </w:rPr>
      </w:pPr>
    </w:p>
    <w:p w14:paraId="5D60A5DA" w14:textId="3DF42C88" w:rsidR="00F57D71" w:rsidRDefault="00F57D71" w:rsidP="00296B61">
      <w:pPr>
        <w:spacing w:before="240" w:line="360" w:lineRule="auto"/>
        <w:jc w:val="both"/>
        <w:rPr>
          <w:rFonts w:ascii="Arial" w:hAnsi="Arial" w:cs="Arial"/>
          <w:sz w:val="24"/>
          <w:szCs w:val="24"/>
          <w:lang w:val="en-GB" w:eastAsia="en-GB"/>
        </w:rPr>
      </w:pPr>
    </w:p>
    <w:p w14:paraId="5B5D22F0" w14:textId="5D8A1869" w:rsidR="00F57D71" w:rsidRDefault="00F57D71" w:rsidP="00296B61">
      <w:pPr>
        <w:spacing w:before="240" w:line="360" w:lineRule="auto"/>
        <w:jc w:val="both"/>
        <w:rPr>
          <w:rFonts w:ascii="Arial" w:hAnsi="Arial" w:cs="Arial"/>
          <w:sz w:val="24"/>
          <w:szCs w:val="24"/>
          <w:lang w:val="en-GB" w:eastAsia="en-GB"/>
        </w:rPr>
      </w:pPr>
    </w:p>
    <w:p w14:paraId="15D767E9" w14:textId="62DA0E78" w:rsidR="00F57D71" w:rsidRDefault="00F57D71" w:rsidP="00296B61">
      <w:pPr>
        <w:spacing w:before="240" w:line="360" w:lineRule="auto"/>
        <w:jc w:val="both"/>
        <w:rPr>
          <w:rFonts w:ascii="Arial" w:hAnsi="Arial" w:cs="Arial"/>
          <w:sz w:val="24"/>
          <w:szCs w:val="24"/>
          <w:lang w:val="en-GB" w:eastAsia="en-GB"/>
        </w:rPr>
      </w:pPr>
    </w:p>
    <w:p w14:paraId="626A061B" w14:textId="7C943722" w:rsidR="00F57D71" w:rsidRDefault="00F57D71" w:rsidP="00296B61">
      <w:pPr>
        <w:spacing w:before="240" w:line="360" w:lineRule="auto"/>
        <w:jc w:val="both"/>
        <w:rPr>
          <w:rFonts w:ascii="Arial" w:hAnsi="Arial" w:cs="Arial"/>
          <w:sz w:val="24"/>
          <w:szCs w:val="24"/>
          <w:lang w:val="en-GB" w:eastAsia="en-GB"/>
        </w:rPr>
      </w:pPr>
    </w:p>
    <w:p w14:paraId="5D140D42" w14:textId="7F2156C2" w:rsidR="00F57D71" w:rsidRDefault="00F57D71" w:rsidP="00296B61">
      <w:pPr>
        <w:spacing w:before="240" w:line="360" w:lineRule="auto"/>
        <w:jc w:val="both"/>
        <w:rPr>
          <w:rFonts w:ascii="Arial" w:hAnsi="Arial" w:cs="Arial"/>
          <w:sz w:val="24"/>
          <w:szCs w:val="24"/>
          <w:lang w:val="en-GB" w:eastAsia="en-GB"/>
        </w:rPr>
      </w:pPr>
    </w:p>
    <w:p w14:paraId="3D0A4E35" w14:textId="1DC0B111" w:rsidR="00F57D71" w:rsidRDefault="00F57D71" w:rsidP="00296B61">
      <w:pPr>
        <w:spacing w:before="240" w:line="360" w:lineRule="auto"/>
        <w:jc w:val="both"/>
        <w:rPr>
          <w:rFonts w:ascii="Arial" w:hAnsi="Arial" w:cs="Arial"/>
          <w:sz w:val="24"/>
          <w:szCs w:val="24"/>
          <w:lang w:val="en-GB" w:eastAsia="en-GB"/>
        </w:rPr>
      </w:pPr>
    </w:p>
    <w:p w14:paraId="04559FB0" w14:textId="4918065D" w:rsidR="00F57D71" w:rsidRDefault="00F57D71" w:rsidP="00296B61">
      <w:pPr>
        <w:spacing w:before="240" w:line="360" w:lineRule="auto"/>
        <w:jc w:val="both"/>
        <w:rPr>
          <w:rFonts w:ascii="Arial" w:hAnsi="Arial" w:cs="Arial"/>
          <w:sz w:val="24"/>
          <w:szCs w:val="24"/>
          <w:lang w:val="en-GB" w:eastAsia="en-GB"/>
        </w:rPr>
      </w:pPr>
    </w:p>
    <w:p w14:paraId="39B903C4" w14:textId="65DACF01" w:rsidR="00F57D71" w:rsidRDefault="00F57D71" w:rsidP="00296B61">
      <w:pPr>
        <w:spacing w:before="240" w:line="360" w:lineRule="auto"/>
        <w:jc w:val="both"/>
        <w:rPr>
          <w:rFonts w:ascii="Arial" w:hAnsi="Arial" w:cs="Arial"/>
          <w:sz w:val="24"/>
          <w:szCs w:val="24"/>
          <w:lang w:val="en-GB" w:eastAsia="en-GB"/>
        </w:rPr>
      </w:pPr>
    </w:p>
    <w:p w14:paraId="1644505A" w14:textId="3454BA7E" w:rsidR="00F57D71" w:rsidRDefault="00F57D71" w:rsidP="00296B61">
      <w:pPr>
        <w:spacing w:before="240" w:line="360" w:lineRule="auto"/>
        <w:jc w:val="both"/>
        <w:rPr>
          <w:rFonts w:ascii="Arial" w:hAnsi="Arial" w:cs="Arial"/>
          <w:sz w:val="24"/>
          <w:szCs w:val="24"/>
          <w:lang w:val="en-GB" w:eastAsia="en-GB"/>
        </w:rPr>
      </w:pPr>
    </w:p>
    <w:p w14:paraId="31834AC4" w14:textId="4BE93AFD" w:rsidR="00F57D71" w:rsidRDefault="00F57D71" w:rsidP="00296B61">
      <w:pPr>
        <w:spacing w:before="240" w:line="360" w:lineRule="auto"/>
        <w:jc w:val="both"/>
        <w:rPr>
          <w:rFonts w:ascii="Arial" w:hAnsi="Arial" w:cs="Arial"/>
          <w:sz w:val="24"/>
          <w:szCs w:val="24"/>
          <w:lang w:val="en-GB" w:eastAsia="en-GB"/>
        </w:rPr>
      </w:pPr>
    </w:p>
    <w:p w14:paraId="4D88D8AC" w14:textId="6EB7A041" w:rsidR="00F57D71" w:rsidRDefault="00F57D71" w:rsidP="00296B61">
      <w:pPr>
        <w:spacing w:before="240" w:line="360" w:lineRule="auto"/>
        <w:jc w:val="both"/>
        <w:rPr>
          <w:rFonts w:ascii="Arial" w:hAnsi="Arial" w:cs="Arial"/>
          <w:sz w:val="24"/>
          <w:szCs w:val="24"/>
          <w:lang w:val="en-GB" w:eastAsia="en-GB"/>
        </w:rPr>
      </w:pPr>
    </w:p>
    <w:p w14:paraId="158BDFD7" w14:textId="5C1021F0" w:rsidR="00F57D71" w:rsidRDefault="00F57D71" w:rsidP="00296B61">
      <w:pPr>
        <w:spacing w:before="240" w:line="360" w:lineRule="auto"/>
        <w:jc w:val="both"/>
        <w:rPr>
          <w:rFonts w:ascii="Arial" w:hAnsi="Arial" w:cs="Arial"/>
          <w:sz w:val="24"/>
          <w:szCs w:val="24"/>
          <w:lang w:val="en-GB" w:eastAsia="en-GB"/>
        </w:rPr>
      </w:pPr>
    </w:p>
    <w:p w14:paraId="71F2D4B1" w14:textId="0A307BA8" w:rsidR="00F57D71" w:rsidRDefault="00F57D71" w:rsidP="00296B61">
      <w:pPr>
        <w:spacing w:before="240" w:line="360" w:lineRule="auto"/>
        <w:jc w:val="both"/>
        <w:rPr>
          <w:rFonts w:ascii="Arial" w:hAnsi="Arial" w:cs="Arial"/>
          <w:sz w:val="24"/>
          <w:szCs w:val="24"/>
          <w:lang w:val="en-GB" w:eastAsia="en-GB"/>
        </w:rPr>
      </w:pPr>
    </w:p>
    <w:p w14:paraId="01049D26" w14:textId="1DB2E0D2" w:rsidR="00F57D71" w:rsidRDefault="00F57D71" w:rsidP="00296B61">
      <w:pPr>
        <w:spacing w:before="240" w:line="360" w:lineRule="auto"/>
        <w:jc w:val="both"/>
        <w:rPr>
          <w:rFonts w:ascii="Arial" w:hAnsi="Arial" w:cs="Arial"/>
          <w:sz w:val="24"/>
          <w:szCs w:val="24"/>
          <w:lang w:val="en-GB" w:eastAsia="en-GB"/>
        </w:rPr>
      </w:pPr>
    </w:p>
    <w:p w14:paraId="0A235F0D" w14:textId="77777777" w:rsidR="00764905" w:rsidRPr="00764905" w:rsidRDefault="00764905" w:rsidP="00764905">
      <w:pPr>
        <w:keepNext/>
        <w:keepLines/>
        <w:spacing w:before="360" w:after="80" w:line="360" w:lineRule="auto"/>
        <w:jc w:val="center"/>
        <w:outlineLvl w:val="0"/>
        <w:rPr>
          <w:rFonts w:ascii="Arial" w:eastAsia="Times New Roman" w:hAnsi="Arial" w:cstheme="majorBidi"/>
          <w:b/>
          <w:color w:val="000000" w:themeColor="text1"/>
          <w:sz w:val="32"/>
          <w:szCs w:val="40"/>
          <w:lang w:val="en-GB" w:eastAsia="en-GB"/>
        </w:rPr>
      </w:pPr>
      <w:bookmarkStart w:id="21" w:name="_Toc240811390"/>
      <w:r w:rsidRPr="00764905">
        <w:rPr>
          <w:rFonts w:ascii="Arial" w:eastAsia="Times New Roman" w:hAnsi="Arial" w:cstheme="majorBidi"/>
          <w:b/>
          <w:color w:val="000000" w:themeColor="text1"/>
          <w:sz w:val="32"/>
          <w:szCs w:val="40"/>
          <w:lang w:val="en-GB" w:eastAsia="en-GB"/>
        </w:rPr>
        <w:lastRenderedPageBreak/>
        <w:t>Chapter 3: Literature Review</w:t>
      </w:r>
      <w:bookmarkEnd w:id="21"/>
    </w:p>
    <w:p w14:paraId="0A0225D5"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22" w:name="_Toc240811391"/>
      <w:r w:rsidRPr="00764905">
        <w:rPr>
          <w:rFonts w:ascii="Arial" w:eastAsia="Times New Roman" w:hAnsi="Arial" w:cstheme="majorBidi"/>
          <w:b/>
          <w:color w:val="000000" w:themeColor="text1"/>
          <w:sz w:val="28"/>
          <w:szCs w:val="32"/>
          <w:lang w:val="en-GB" w:eastAsia="en-GB"/>
        </w:rPr>
        <w:t>3.1 Introduction</w:t>
      </w:r>
      <w:bookmarkEnd w:id="22"/>
    </w:p>
    <w:p w14:paraId="0F720106"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This literature evaluation provides the academic underpinning for assessing The Ethical Bean Coffee House in Covent Garden's market opportunity, strategic needs, and commercial viability. Speciality coffee, customer value, ethical sourcing, sustainable supply-chain management, and competitive advantage are its priorities. Strategic frameworks are critically examined to determine how they describe the proposed business's external environment, resources, value creation, customer proposition, and business model. Porter's competitive strategy, RBV, PESTLE, Five Forces, and TBL, reinforced by Value Chain, VPC, and BMC, are key views.</w:t>
      </w:r>
    </w:p>
    <w:p w14:paraId="239DEFD7"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23" w:name="_Toc240811392"/>
      <w:r w:rsidRPr="00764905">
        <w:rPr>
          <w:rFonts w:ascii="Arial" w:eastAsia="Times New Roman" w:hAnsi="Arial" w:cstheme="majorBidi"/>
          <w:b/>
          <w:color w:val="000000" w:themeColor="text1"/>
          <w:sz w:val="28"/>
          <w:szCs w:val="32"/>
          <w:lang w:val="en-GB" w:eastAsia="en-GB"/>
        </w:rPr>
        <w:t>3.2 Specialty Coffee, Consumer Value and Ethical Consumption</w:t>
      </w:r>
      <w:bookmarkEnd w:id="23"/>
    </w:p>
    <w:p w14:paraId="7D06C878"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Over time, speciality coffee has become about quality, provenance, workmanship, and premiumization. This allows individual coffee shops to compete on client value rather than volume. Product quality, convenience, and sensory and ethical benefits can add value to consumers (Holbrook, 1999). In coffee markets, provenance and openness may increase product value when consumers consider production and sourcing.</w:t>
      </w:r>
    </w:p>
    <w:p w14:paraId="08459ABC"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According to ethical consumption literature, sustainability and responsible sourcing might affect buy intentions and willingness to pay, but favourable ethical attitudes do not always lead to purchases. This relationship can be limited by price, convenience, quality, and trust (Carrington, Neville, and Whitwell, 2010 Sustainable consumption may require balancing environmental principles with consumer needs (White, Habib and Hardisty, 2019). Thus, The Ethical Bean Coffee House may differentiate itself with ethical orientation, but sustainability may not automatically attract customers. The research recommends assessing ethical value alongside quality, pleasure, convenience, and pricing.</w:t>
      </w:r>
    </w:p>
    <w:p w14:paraId="714DCA94"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24" w:name="_Toc240811393"/>
      <w:r w:rsidRPr="00764905">
        <w:rPr>
          <w:rFonts w:ascii="Arial" w:eastAsia="Times New Roman" w:hAnsi="Arial" w:cstheme="majorBidi"/>
          <w:b/>
          <w:color w:val="000000" w:themeColor="text1"/>
          <w:sz w:val="28"/>
          <w:szCs w:val="32"/>
          <w:lang w:val="en-GB" w:eastAsia="en-GB"/>
        </w:rPr>
        <w:t>3.3 Ethical Sourcing and Sustainable Supply-Chain Management</w:t>
      </w:r>
      <w:bookmarkEnd w:id="24"/>
    </w:p>
    <w:p w14:paraId="50617704"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Source items and materials ethically, considering social, environmental, and economic implications. Sustainable supply-chain management covers procurement, supplier relationships, operations, and value creation (Carter and Rogers, 2008). Responsible sourcing and traceability can boost confidence, authenticity, and distinction for speciality coffee brands.</w:t>
      </w:r>
    </w:p>
    <w:p w14:paraId="461FB9FB"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lastRenderedPageBreak/>
        <w:t>However, sustainability presents operational issues. Responsible procurement may cost more, require more supplier verification, and make it harder to maintain standards across distant supply chains. Greenwashing can harm customer trust, thus organisations making environmental or ethical claims must give convincing evidence (Delmas and Burbano, 2011). Thus, sustainable supply-chain management is an organisational competency that requires transparency, supplier management, and operational consistency, not just a promotion. This is significant to The Ethical Bean Coffee House since it offers speciality quality, ethical sourcing, and sustainable operations.</w:t>
      </w:r>
    </w:p>
    <w:p w14:paraId="4A2EB0BE"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25" w:name="_Toc240811394"/>
      <w:r w:rsidRPr="00764905">
        <w:rPr>
          <w:rFonts w:ascii="Arial" w:eastAsia="Times New Roman" w:hAnsi="Arial" w:cstheme="majorBidi"/>
          <w:b/>
          <w:color w:val="000000" w:themeColor="text1"/>
          <w:sz w:val="28"/>
          <w:szCs w:val="32"/>
          <w:lang w:val="en-GB" w:eastAsia="en-GB"/>
        </w:rPr>
        <w:t>3.4 Competitive Advantage: Porter and RBV/VRIO</w:t>
      </w:r>
      <w:bookmarkEnd w:id="25"/>
    </w:p>
    <w:p w14:paraId="7C3F4BB3"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Porter's (1985) competitive strategy suggests cost leadership, distinctiveness, and focus for competitive advantage. Ethical sourcing, speciality quality, and customer experience may increase operating costs for The Ethical Bean Coffee House, making differentiation better than cost leadership. The business might target Covent Garden consumers seeking excellent coffee and ethical value with a focused differentiating strategy.</w:t>
      </w:r>
    </w:p>
    <w:p w14:paraId="23481AB3"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Resource-Based View complements internal perspective. Valuable, rare, difficult-to-imitate, and organisationally supported resources can sustain competitive advantage, according to Barney (1991). The VRIO logic emphasises supplier connections, sourcing knowledge, brand reputation, sustainability, and customer experience. Porter focuses on how the business competes, while RBV/VRIO explains its internal resources. Differentiation requires an attractive market position and capabilities that competitors cannot easily replicate.</w:t>
      </w:r>
    </w:p>
    <w:p w14:paraId="2035047E"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26" w:name="_Toc240811395"/>
      <w:r w:rsidRPr="00764905">
        <w:rPr>
          <w:rFonts w:ascii="Arial" w:eastAsia="Times New Roman" w:hAnsi="Arial" w:cstheme="majorBidi"/>
          <w:b/>
          <w:color w:val="000000" w:themeColor="text1"/>
          <w:sz w:val="28"/>
          <w:szCs w:val="32"/>
          <w:lang w:val="en-GB" w:eastAsia="en-GB"/>
        </w:rPr>
        <w:t>3.5 External and Industry Environment: PESTLE and Five Forces</w:t>
      </w:r>
      <w:bookmarkEnd w:id="26"/>
    </w:p>
    <w:p w14:paraId="2CFA29D8"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The PESTLE framework examines political, economic, social, technological, legal, and environmental factors (Yüksel, 2012). For The Ethical Bean Coffee House, economic pressures like inflation and operating costs, social trends around ethical consumption, digital ordering technology, legal requirements for food operations, and environmental pressures on coffee supply are important. PESTLE is generally an environmental scanning tool and does not explain firm-level capabilities or competitive positioning.</w:t>
      </w:r>
    </w:p>
    <w:p w14:paraId="142415AB"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lastRenderedPageBreak/>
        <w:t>Porter's (1979) Five Forces examines rivalry, new entrants, suppliers, buyers, and substitutes. It is especially useful in a competitive coffee-shop environment where established competitors can increase rivalry and alternative cafés, at-home coffee, and other beverages create substitution pressures. Five Forces evaluates industry structure, not customer-value design or internal capability. Therefore, it works best with RBV and Porter's Generic Strategies.</w:t>
      </w:r>
    </w:p>
    <w:p w14:paraId="475FFE90"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27" w:name="_Toc240811396"/>
      <w:r w:rsidRPr="00764905">
        <w:rPr>
          <w:rFonts w:ascii="Arial" w:eastAsia="Times New Roman" w:hAnsi="Arial" w:cstheme="majorBidi"/>
          <w:b/>
          <w:color w:val="000000" w:themeColor="text1"/>
          <w:sz w:val="28"/>
          <w:szCs w:val="32"/>
          <w:lang w:val="en-GB" w:eastAsia="en-GB"/>
        </w:rPr>
        <w:t>3.6 Value Creation and Sustainability: Value Chain and TBL</w:t>
      </w:r>
      <w:bookmarkEnd w:id="27"/>
    </w:p>
    <w:p w14:paraId="48B5B20E"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The 1985 Porter Value Chain describes how firms create value through inbound logistics, operations, marketing, sales, and service. Applied to The Ethical Bean Coffee House, value can potentially flow from ethical sourcing and supplier relationships through coffee preparation and service to the final customer experience. However, the traditional value chain may underrepresent intangible outcomes such as social responsibility and community value.</w:t>
      </w:r>
    </w:p>
    <w:p w14:paraId="7D7C9175"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The Triple Bottom Line broadens sustainability evaluation through People, Planet and Profit (Elkington, 1997). Ethical supplier relationships and labour considerations address People; waste, packaging and resource efficiency address Planet; while revenue, differentiation and commercial viability address Profit. TBL therefore complements competitive frameworks by recognising that sustainability must generate social and environmental value without ignoring financial viability.</w:t>
      </w:r>
    </w:p>
    <w:p w14:paraId="2EE5358F"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28" w:name="_Toc240811397"/>
      <w:r w:rsidRPr="00764905">
        <w:rPr>
          <w:rFonts w:ascii="Arial" w:eastAsia="Times New Roman" w:hAnsi="Arial" w:cstheme="majorBidi"/>
          <w:b/>
          <w:color w:val="000000" w:themeColor="text1"/>
          <w:sz w:val="28"/>
          <w:szCs w:val="32"/>
          <w:lang w:val="en-GB" w:eastAsia="en-GB"/>
        </w:rPr>
        <w:t>3.7 Customer and Business Model Tools: VPC and BMC</w:t>
      </w:r>
      <w:bookmarkEnd w:id="28"/>
    </w:p>
    <w:p w14:paraId="2A4472C3"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The Value Proposition Canvas helps connect customer jobs, pains and gains with the proposed value proposition (Osterwalder et al., 2014). Customers may seek quality coffee, convenience and social or work spaces while experiencing concerns about poor quality, limited transparency or unsustainable practices. The framework can therefore test the fit between these needs and the proposed combination of specialty coffee, ethical sourcing and customer experience. However, it cannot replace primary consumer research.</w:t>
      </w:r>
    </w:p>
    <w:p w14:paraId="1EF36514"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 xml:space="preserve">The Business Model Canvas integrates customer segments, value proposition, channels, relationships, revenue streams, resources, activities, partners and costs (Osterwalder and Pigneur, 2010). It is useful for connecting sustainability and </w:t>
      </w:r>
      <w:r w:rsidRPr="00764905">
        <w:rPr>
          <w:rFonts w:ascii="Arial" w:hAnsi="Arial" w:cs="Arial"/>
          <w:sz w:val="24"/>
          <w:szCs w:val="24"/>
          <w:lang w:val="en-GB" w:eastAsia="en-GB"/>
        </w:rPr>
        <w:lastRenderedPageBreak/>
        <w:t>customer value to commercial design, although it is primarily a business-design tool rather than a theory of competitive advantage.</w:t>
      </w:r>
    </w:p>
    <w:p w14:paraId="7A79799E"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29" w:name="_Toc240811398"/>
      <w:r w:rsidRPr="00764905">
        <w:rPr>
          <w:rFonts w:ascii="Arial" w:eastAsia="Times New Roman" w:hAnsi="Arial" w:cstheme="majorBidi"/>
          <w:b/>
          <w:color w:val="000000" w:themeColor="text1"/>
          <w:sz w:val="28"/>
          <w:szCs w:val="32"/>
          <w:lang w:val="en-GB" w:eastAsia="en-GB"/>
        </w:rPr>
        <w:t>3.8 Integrated Framework and Research Gap</w:t>
      </w:r>
      <w:bookmarkEnd w:id="29"/>
    </w:p>
    <w:p w14:paraId="213B9BEF"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The frameworks are most useful when integrated rather than applied independently. PESTLE identifies macro-environmental conditions, while Five Forces examines industry competition. RBV/VRIO identifies internal resources and capabilities, and Porter explains competitive positioning. Value Chain examines value-creating activities, while TBL evaluates sustainability across People, Planet and Profit. VPC links customer needs to value creation, and BMC connects the proposition to the wider business model.</w:t>
      </w:r>
    </w:p>
    <w:p w14:paraId="06D9EB48" w14:textId="77777777" w:rsidR="00764905" w:rsidRPr="00764905" w:rsidRDefault="00764905" w:rsidP="00764905">
      <w:pPr>
        <w:spacing w:line="360" w:lineRule="auto"/>
        <w:jc w:val="both"/>
        <w:rPr>
          <w:sz w:val="24"/>
          <w:szCs w:val="24"/>
          <w:lang w:val="en-GB" w:eastAsia="en-GB"/>
        </w:rPr>
      </w:pPr>
      <w:r w:rsidRPr="00764905">
        <w:rPr>
          <w:rFonts w:ascii="Arial" w:hAnsi="Arial" w:cs="Arial"/>
          <w:sz w:val="24"/>
          <w:szCs w:val="24"/>
          <w:lang w:val="en-GB" w:eastAsia="en-GB"/>
        </w:rPr>
        <w:t>The literature nevertheless reveals an integration and contextual gap. Existing research addresses ethical consumption, sustainable supply chains, specialty coffee and competitive advantage, but these themes are often examined separately. There is limited integrated consideration of how ethical sourcing → sustainable operations → customer value → differentiation → business-model feasibility can operate within an independent premium specialty coffee business in a highly competitive London location such as Covent Garden. This proposal addresses that gap by combining strategic, sustainability, customer-value and business-model perspectives to evaluate whether ethical and sustainable practices can become commercially meaningful sources of differentiation for The Ethical Bean Coffee House</w:t>
      </w:r>
      <w:r w:rsidRPr="00764905">
        <w:rPr>
          <w:sz w:val="24"/>
          <w:szCs w:val="24"/>
          <w:lang w:val="en-GB" w:eastAsia="en-GB"/>
        </w:rPr>
        <w:t>.</w:t>
      </w:r>
    </w:p>
    <w:p w14:paraId="7123D942"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w:t>
      </w:r>
    </w:p>
    <w:p w14:paraId="0752AA59" w14:textId="77777777" w:rsidR="00764905" w:rsidRPr="00764905" w:rsidRDefault="00764905" w:rsidP="00764905">
      <w:pPr>
        <w:spacing w:line="360" w:lineRule="auto"/>
        <w:jc w:val="both"/>
        <w:rPr>
          <w:rFonts w:ascii="Arial" w:hAnsi="Arial" w:cs="Arial"/>
          <w:sz w:val="24"/>
          <w:szCs w:val="24"/>
          <w:lang w:val="en-GB" w:eastAsia="en-GB"/>
        </w:rPr>
      </w:pPr>
    </w:p>
    <w:p w14:paraId="095DC511" w14:textId="77777777" w:rsidR="00764905" w:rsidRPr="00764905" w:rsidRDefault="00764905" w:rsidP="00764905">
      <w:pPr>
        <w:spacing w:line="360" w:lineRule="auto"/>
        <w:jc w:val="both"/>
        <w:rPr>
          <w:rFonts w:ascii="Arial" w:hAnsi="Arial" w:cs="Arial"/>
          <w:sz w:val="24"/>
          <w:szCs w:val="24"/>
          <w:lang w:val="en-GB" w:eastAsia="en-GB"/>
        </w:rPr>
      </w:pPr>
    </w:p>
    <w:p w14:paraId="6D5DE182" w14:textId="77777777" w:rsidR="00764905" w:rsidRPr="00764905" w:rsidRDefault="00764905" w:rsidP="00764905">
      <w:pPr>
        <w:spacing w:line="360" w:lineRule="auto"/>
        <w:jc w:val="both"/>
        <w:rPr>
          <w:rFonts w:ascii="Arial" w:hAnsi="Arial" w:cs="Arial"/>
          <w:sz w:val="24"/>
          <w:szCs w:val="24"/>
          <w:lang w:val="en-GB" w:eastAsia="en-GB"/>
        </w:rPr>
      </w:pPr>
    </w:p>
    <w:p w14:paraId="45A12B3E" w14:textId="77777777" w:rsidR="00764905" w:rsidRPr="00764905" w:rsidRDefault="00764905" w:rsidP="00764905">
      <w:pPr>
        <w:spacing w:line="360" w:lineRule="auto"/>
        <w:jc w:val="both"/>
        <w:rPr>
          <w:rFonts w:ascii="Arial" w:hAnsi="Arial" w:cs="Arial"/>
          <w:sz w:val="24"/>
          <w:szCs w:val="24"/>
          <w:lang w:val="en-GB" w:eastAsia="en-GB"/>
        </w:rPr>
      </w:pPr>
    </w:p>
    <w:p w14:paraId="5304BC78" w14:textId="77777777" w:rsidR="00764905" w:rsidRPr="00764905" w:rsidRDefault="00764905" w:rsidP="00764905">
      <w:pPr>
        <w:keepNext/>
        <w:keepLines/>
        <w:spacing w:before="360" w:after="80" w:line="360" w:lineRule="auto"/>
        <w:jc w:val="center"/>
        <w:outlineLvl w:val="0"/>
        <w:rPr>
          <w:rFonts w:ascii="Arial" w:eastAsia="Times New Roman" w:hAnsi="Arial" w:cstheme="majorBidi"/>
          <w:b/>
          <w:color w:val="000000" w:themeColor="text1"/>
          <w:sz w:val="32"/>
          <w:szCs w:val="40"/>
          <w:lang w:val="en-GB" w:eastAsia="en-GB"/>
        </w:rPr>
      </w:pPr>
      <w:bookmarkStart w:id="30" w:name="_Toc240811399"/>
      <w:r w:rsidRPr="00764905">
        <w:rPr>
          <w:rFonts w:ascii="Arial" w:eastAsia="Times New Roman" w:hAnsi="Arial" w:cstheme="majorBidi"/>
          <w:b/>
          <w:color w:val="000000" w:themeColor="text1"/>
          <w:sz w:val="32"/>
          <w:szCs w:val="40"/>
          <w:lang w:val="en-GB" w:eastAsia="en-GB"/>
        </w:rPr>
        <w:lastRenderedPageBreak/>
        <w:t>Chapter 4: RESEARCH METHODOLOGY</w:t>
      </w:r>
      <w:bookmarkEnd w:id="30"/>
    </w:p>
    <w:p w14:paraId="77BF245A"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31" w:name="_Toc240811400"/>
      <w:r w:rsidRPr="00764905">
        <w:rPr>
          <w:rFonts w:ascii="Arial" w:eastAsia="Times New Roman" w:hAnsi="Arial" w:cstheme="majorBidi"/>
          <w:b/>
          <w:color w:val="000000" w:themeColor="text1"/>
          <w:sz w:val="28"/>
          <w:szCs w:val="32"/>
          <w:lang w:val="en-GB" w:eastAsia="en-GB"/>
        </w:rPr>
        <w:t>4.1 Introduction</w:t>
      </w:r>
      <w:bookmarkEnd w:id="31"/>
    </w:p>
    <w:p w14:paraId="7AE28BF3"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The methodology to be used to investigate the business environment and strategic feasibility of The Ethical Bean Coffee House is explained in this chapter. The research design used in this research is the secondary research, which is the combination of quantitative and qualitative evidence to get balanced information about the proposed business. Both quantitative evidence (e.g. market size and growth, pricing, costs and financial assumptions) and qualitative evidence (e.g. consumer trends, competitors, sustainability, industry conditions and strategic issues) are examined. The methodology will be appropriate for application of the strategic frameworks such as PESTLE, Porter's Five Forces, SWOT, Value Chain Analysis, RBV/VRIO and Porter's Generic Strategies (Saunders, Lewis and Thornhill, 2019).</w:t>
      </w:r>
    </w:p>
    <w:p w14:paraId="601FE1D6"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32" w:name="_Toc240811401"/>
      <w:r w:rsidRPr="00764905">
        <w:rPr>
          <w:rFonts w:ascii="Arial" w:eastAsia="Times New Roman" w:hAnsi="Arial" w:cstheme="majorBidi"/>
          <w:b/>
          <w:color w:val="000000" w:themeColor="text1"/>
          <w:sz w:val="28"/>
          <w:szCs w:val="32"/>
          <w:lang w:val="en-GB" w:eastAsia="en-GB"/>
        </w:rPr>
        <w:t>4.2 Research Approach and Design</w:t>
      </w:r>
      <w:bookmarkEnd w:id="32"/>
    </w:p>
    <w:p w14:paraId="4227B29F"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The study is conducted using secondary research with exploratory and descriptive approach. The evidence needed for the proposal is required for the coffee shop market, consumer behaviour, competitors, economic condition and sustainability but it is not required to collect primary responses so secondary research is appropriate. Secondary data may give access to a broader spectrum of existing evidence and enable researchers to compare data from various sources (Saunders, Lewis and Thornhill, 2019).</w:t>
      </w:r>
    </w:p>
    <w:p w14:paraId="07FC5C7A"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Notably, the research is not just qualitative. Both qualitative and quantitative secondary evidence are analysed. Quantitative evidence comprises of market value, growth rates, prices, operating costs and financial assumptions, while qualitative evidence covers consumer preference, sustainability trends, competitor strategies, regulatory developments and industry commentary. (Creswell and Creswell, 2018).</w:t>
      </w:r>
    </w:p>
    <w:p w14:paraId="77745835"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Emphasis is on the UK, and on the market context relevant to The Ethical Bean Coffee House. Competitor evidence is taken into account when it relates to the proposed business model, customer proposition and positioning in the market.</w:t>
      </w:r>
    </w:p>
    <w:p w14:paraId="4568E9AE"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33" w:name="_Toc240811402"/>
      <w:r w:rsidRPr="00764905">
        <w:rPr>
          <w:rFonts w:ascii="Arial" w:eastAsia="Times New Roman" w:hAnsi="Arial" w:cstheme="majorBidi"/>
          <w:b/>
          <w:color w:val="000000" w:themeColor="text1"/>
          <w:sz w:val="28"/>
          <w:szCs w:val="32"/>
          <w:lang w:val="en-GB" w:eastAsia="en-GB"/>
        </w:rPr>
        <w:lastRenderedPageBreak/>
        <w:t>4.3 Data Sources and Literature Search Strategy</w:t>
      </w:r>
      <w:bookmarkEnd w:id="33"/>
    </w:p>
    <w:p w14:paraId="64D99EF0"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A search of the academic literature was carried out using the databases of Scopus, Web of Science, Science Direct, Google Scholar and the UWTSD Library databases. These sources were chosen as they offer the possibility of peer-reviewed research and approved academic publications.</w:t>
      </w:r>
    </w:p>
    <w:p w14:paraId="0BB33827"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 xml:space="preserve">Relevant industry and organisational sources were also reviewed, such as publications from UK government and institutional organisations, the Office for National Statistics (ONS), British Coffee Association, British Retail Consortium, Food Standards Agency and appropriate sustainability organisations (where relevant), as well as competitor and company reports. </w:t>
      </w:r>
    </w:p>
    <w:p w14:paraId="757DF746" w14:textId="77777777" w:rsidR="00764905" w:rsidRPr="00764905" w:rsidRDefault="00764905" w:rsidP="00764905">
      <w:pPr>
        <w:spacing w:line="360" w:lineRule="auto"/>
        <w:jc w:val="both"/>
        <w:rPr>
          <w:rFonts w:ascii="Arial" w:hAnsi="Arial" w:cs="Arial"/>
          <w:b/>
          <w:sz w:val="24"/>
          <w:szCs w:val="24"/>
          <w:lang w:val="en-GB" w:eastAsia="en-GB"/>
        </w:rPr>
      </w:pPr>
      <w:r w:rsidRPr="00764905">
        <w:rPr>
          <w:rFonts w:ascii="Arial" w:hAnsi="Arial" w:cs="Arial"/>
          <w:b/>
          <w:sz w:val="24"/>
          <w:szCs w:val="24"/>
          <w:lang w:val="en-GB" w:eastAsia="en-GB"/>
        </w:rPr>
        <w:t>Combinations of keywords were used in searches:</w:t>
      </w:r>
    </w:p>
    <w:p w14:paraId="7C8420BA"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 xml:space="preserve">In the UK, the coffee shop market is classified as follows: </w:t>
      </w:r>
    </w:p>
    <w:p w14:paraId="73E879C7" w14:textId="77777777" w:rsidR="00764905" w:rsidRPr="00764905" w:rsidRDefault="00764905" w:rsidP="00764905">
      <w:pPr>
        <w:numPr>
          <w:ilvl w:val="0"/>
          <w:numId w:val="5"/>
        </w:numPr>
        <w:spacing w:line="360" w:lineRule="auto"/>
        <w:contextualSpacing/>
        <w:jc w:val="both"/>
        <w:rPr>
          <w:rFonts w:ascii="Arial" w:hAnsi="Arial" w:cs="Arial"/>
          <w:sz w:val="24"/>
          <w:szCs w:val="24"/>
          <w:lang w:val="en-GB" w:eastAsia="en-GB"/>
        </w:rPr>
      </w:pPr>
      <w:r w:rsidRPr="00764905">
        <w:rPr>
          <w:rFonts w:ascii="Arial" w:hAnsi="Arial" w:cs="Arial"/>
          <w:sz w:val="24"/>
          <w:szCs w:val="24"/>
          <w:lang w:val="en-GB" w:eastAsia="en-GB"/>
        </w:rPr>
        <w:t xml:space="preserve">World of coffee and tea” </w:t>
      </w:r>
    </w:p>
    <w:p w14:paraId="3894AB06" w14:textId="77777777" w:rsidR="00764905" w:rsidRPr="00764905" w:rsidRDefault="00764905" w:rsidP="00764905">
      <w:pPr>
        <w:numPr>
          <w:ilvl w:val="0"/>
          <w:numId w:val="5"/>
        </w:numPr>
        <w:spacing w:line="360" w:lineRule="auto"/>
        <w:contextualSpacing/>
        <w:jc w:val="both"/>
        <w:rPr>
          <w:rFonts w:ascii="Arial" w:hAnsi="Arial" w:cs="Arial"/>
          <w:sz w:val="24"/>
          <w:szCs w:val="24"/>
          <w:lang w:val="en-GB" w:eastAsia="en-GB"/>
        </w:rPr>
      </w:pPr>
      <w:r w:rsidRPr="00764905">
        <w:rPr>
          <w:rFonts w:ascii="Arial" w:hAnsi="Arial" w:cs="Arial"/>
          <w:sz w:val="24"/>
          <w:szCs w:val="24"/>
          <w:lang w:val="en-GB" w:eastAsia="en-GB"/>
        </w:rPr>
        <w:t xml:space="preserve">“coffee consumer behaviour UK” </w:t>
      </w:r>
    </w:p>
    <w:p w14:paraId="3A71D607" w14:textId="77777777" w:rsidR="00764905" w:rsidRPr="00764905" w:rsidRDefault="00764905" w:rsidP="00764905">
      <w:pPr>
        <w:numPr>
          <w:ilvl w:val="0"/>
          <w:numId w:val="5"/>
        </w:numPr>
        <w:spacing w:line="360" w:lineRule="auto"/>
        <w:contextualSpacing/>
        <w:jc w:val="both"/>
        <w:rPr>
          <w:rFonts w:ascii="Arial" w:hAnsi="Arial" w:cs="Arial"/>
          <w:sz w:val="24"/>
          <w:szCs w:val="24"/>
          <w:lang w:val="en-GB" w:eastAsia="en-GB"/>
        </w:rPr>
      </w:pPr>
      <w:r w:rsidRPr="00764905">
        <w:rPr>
          <w:rFonts w:ascii="Arial" w:hAnsi="Arial" w:cs="Arial"/>
          <w:sz w:val="24"/>
          <w:szCs w:val="24"/>
          <w:lang w:val="en-GB" w:eastAsia="en-GB"/>
        </w:rPr>
        <w:t xml:space="preserve">“specialty coffee UK” </w:t>
      </w:r>
    </w:p>
    <w:p w14:paraId="3C2CA402" w14:textId="77777777" w:rsidR="00764905" w:rsidRPr="00764905" w:rsidRDefault="00764905" w:rsidP="00764905">
      <w:pPr>
        <w:numPr>
          <w:ilvl w:val="0"/>
          <w:numId w:val="5"/>
        </w:numPr>
        <w:spacing w:line="360" w:lineRule="auto"/>
        <w:contextualSpacing/>
        <w:jc w:val="both"/>
        <w:rPr>
          <w:rFonts w:ascii="Arial" w:hAnsi="Arial" w:cs="Arial"/>
          <w:sz w:val="24"/>
          <w:szCs w:val="24"/>
          <w:lang w:val="en-GB" w:eastAsia="en-GB"/>
        </w:rPr>
      </w:pPr>
      <w:r w:rsidRPr="00764905">
        <w:rPr>
          <w:rFonts w:ascii="Arial" w:hAnsi="Arial" w:cs="Arial"/>
          <w:sz w:val="24"/>
          <w:szCs w:val="24"/>
          <w:lang w:val="en-GB" w:eastAsia="en-GB"/>
        </w:rPr>
        <w:t xml:space="preserve">“ethical coffee consumption” </w:t>
      </w:r>
    </w:p>
    <w:p w14:paraId="179CB5EC" w14:textId="77777777" w:rsidR="00764905" w:rsidRPr="00764905" w:rsidRDefault="00764905" w:rsidP="00764905">
      <w:pPr>
        <w:numPr>
          <w:ilvl w:val="0"/>
          <w:numId w:val="5"/>
        </w:numPr>
        <w:spacing w:line="360" w:lineRule="auto"/>
        <w:contextualSpacing/>
        <w:jc w:val="both"/>
        <w:rPr>
          <w:rFonts w:ascii="Arial" w:hAnsi="Arial" w:cs="Arial"/>
          <w:sz w:val="24"/>
          <w:szCs w:val="24"/>
          <w:lang w:val="en-GB" w:eastAsia="en-GB"/>
        </w:rPr>
      </w:pPr>
      <w:r w:rsidRPr="00764905">
        <w:rPr>
          <w:rFonts w:ascii="Arial" w:hAnsi="Arial" w:cs="Arial"/>
          <w:sz w:val="24"/>
          <w:szCs w:val="24"/>
          <w:lang w:val="en-GB" w:eastAsia="en-GB"/>
        </w:rPr>
        <w:t xml:space="preserve">Sustainable coffee supply chain </w:t>
      </w:r>
    </w:p>
    <w:p w14:paraId="71FBE65D" w14:textId="77777777" w:rsidR="00764905" w:rsidRPr="00764905" w:rsidRDefault="00764905" w:rsidP="00764905">
      <w:pPr>
        <w:numPr>
          <w:ilvl w:val="0"/>
          <w:numId w:val="5"/>
        </w:numPr>
        <w:spacing w:line="360" w:lineRule="auto"/>
        <w:contextualSpacing/>
        <w:jc w:val="both"/>
        <w:rPr>
          <w:rFonts w:ascii="Arial" w:hAnsi="Arial" w:cs="Arial"/>
          <w:sz w:val="24"/>
          <w:szCs w:val="24"/>
          <w:lang w:val="en-GB" w:eastAsia="en-GB"/>
        </w:rPr>
      </w:pPr>
      <w:r w:rsidRPr="00764905">
        <w:rPr>
          <w:rFonts w:ascii="Arial" w:hAnsi="Arial" w:cs="Arial"/>
          <w:sz w:val="24"/>
          <w:szCs w:val="24"/>
          <w:lang w:val="en-GB" w:eastAsia="en-GB"/>
        </w:rPr>
        <w:t xml:space="preserve">“coffee shop competitors UK” </w:t>
      </w:r>
    </w:p>
    <w:p w14:paraId="67C17080" w14:textId="77777777" w:rsidR="00764905" w:rsidRPr="00764905" w:rsidRDefault="00764905" w:rsidP="00764905">
      <w:pPr>
        <w:numPr>
          <w:ilvl w:val="0"/>
          <w:numId w:val="5"/>
        </w:numPr>
        <w:spacing w:line="360" w:lineRule="auto"/>
        <w:contextualSpacing/>
        <w:jc w:val="both"/>
        <w:rPr>
          <w:rFonts w:ascii="Arial" w:hAnsi="Arial" w:cs="Arial"/>
          <w:sz w:val="24"/>
          <w:szCs w:val="24"/>
          <w:lang w:val="en-GB" w:eastAsia="en-GB"/>
        </w:rPr>
      </w:pPr>
      <w:r w:rsidRPr="00764905">
        <w:rPr>
          <w:rFonts w:ascii="Arial" w:hAnsi="Arial" w:cs="Arial"/>
          <w:sz w:val="24"/>
          <w:szCs w:val="24"/>
          <w:lang w:val="en-GB" w:eastAsia="en-GB"/>
        </w:rPr>
        <w:t xml:space="preserve">“coffee pricing UK” </w:t>
      </w:r>
    </w:p>
    <w:p w14:paraId="0305BBF1" w14:textId="77777777" w:rsidR="00764905" w:rsidRPr="00764905" w:rsidRDefault="00764905" w:rsidP="00764905">
      <w:pPr>
        <w:numPr>
          <w:ilvl w:val="0"/>
          <w:numId w:val="5"/>
        </w:numPr>
        <w:spacing w:line="360" w:lineRule="auto"/>
        <w:contextualSpacing/>
        <w:jc w:val="both"/>
        <w:rPr>
          <w:rFonts w:ascii="Arial" w:hAnsi="Arial" w:cs="Arial"/>
          <w:sz w:val="24"/>
          <w:szCs w:val="24"/>
          <w:lang w:val="en-GB" w:eastAsia="en-GB"/>
        </w:rPr>
      </w:pPr>
      <w:r w:rsidRPr="00764905">
        <w:rPr>
          <w:rFonts w:ascii="Arial" w:hAnsi="Arial" w:cs="Arial"/>
          <w:sz w:val="24"/>
          <w:szCs w:val="24"/>
          <w:lang w:val="en-GB" w:eastAsia="en-GB"/>
        </w:rPr>
        <w:t xml:space="preserve">“sustainable business model coffee” </w:t>
      </w:r>
    </w:p>
    <w:p w14:paraId="0E07AD13" w14:textId="77777777" w:rsidR="00764905" w:rsidRPr="00764905" w:rsidRDefault="00764905" w:rsidP="00764905">
      <w:pPr>
        <w:numPr>
          <w:ilvl w:val="0"/>
          <w:numId w:val="5"/>
        </w:numPr>
        <w:spacing w:line="360" w:lineRule="auto"/>
        <w:contextualSpacing/>
        <w:jc w:val="both"/>
        <w:rPr>
          <w:rFonts w:ascii="Arial" w:hAnsi="Arial" w:cs="Arial"/>
          <w:sz w:val="24"/>
          <w:szCs w:val="24"/>
          <w:lang w:val="en-GB" w:eastAsia="en-GB"/>
        </w:rPr>
      </w:pPr>
      <w:r w:rsidRPr="00764905">
        <w:rPr>
          <w:rFonts w:ascii="Arial" w:hAnsi="Arial" w:cs="Arial"/>
          <w:sz w:val="24"/>
          <w:szCs w:val="24"/>
          <w:lang w:val="en-GB" w:eastAsia="en-GB"/>
        </w:rPr>
        <w:t xml:space="preserve">Coffee industry Porter 5 forces model. </w:t>
      </w:r>
    </w:p>
    <w:p w14:paraId="57875EEF" w14:textId="77777777" w:rsidR="00764905" w:rsidRPr="00764905" w:rsidRDefault="00764905" w:rsidP="00764905">
      <w:pPr>
        <w:numPr>
          <w:ilvl w:val="0"/>
          <w:numId w:val="5"/>
        </w:numPr>
        <w:spacing w:line="360" w:lineRule="auto"/>
        <w:contextualSpacing/>
        <w:jc w:val="both"/>
        <w:rPr>
          <w:rFonts w:ascii="Arial" w:hAnsi="Arial" w:cs="Arial"/>
          <w:sz w:val="24"/>
          <w:szCs w:val="24"/>
          <w:lang w:val="en-GB" w:eastAsia="en-GB"/>
        </w:rPr>
      </w:pPr>
      <w:r w:rsidRPr="00764905">
        <w:rPr>
          <w:rFonts w:ascii="Arial" w:hAnsi="Arial" w:cs="Arial"/>
          <w:sz w:val="24"/>
          <w:szCs w:val="24"/>
          <w:lang w:val="en-GB" w:eastAsia="en-GB"/>
        </w:rPr>
        <w:t xml:space="preserve">Consumer preferences for “ethical coffee” </w:t>
      </w:r>
    </w:p>
    <w:p w14:paraId="7F51EE08"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The use of Boolean operators like AND and OR to narrow and/or expand the results of a search. A search of "coffee shop" AND "consumer behaviour" was performed, as well as one of "ethical coffee" AND sustainability, and one of "UK coffee market" AND growth.</w:t>
      </w:r>
    </w:p>
    <w:p w14:paraId="0525A8BD"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34" w:name="_Toc240811403"/>
      <w:r w:rsidRPr="00764905">
        <w:rPr>
          <w:rFonts w:ascii="Arial" w:eastAsia="Times New Roman" w:hAnsi="Arial" w:cstheme="majorBidi"/>
          <w:b/>
          <w:color w:val="000000" w:themeColor="text1"/>
          <w:sz w:val="28"/>
          <w:szCs w:val="32"/>
          <w:lang w:val="en-GB" w:eastAsia="en-GB"/>
        </w:rPr>
        <w:t>4.4 Inclusion and Exclusion Criteria</w:t>
      </w:r>
      <w:bookmarkEnd w:id="34"/>
    </w:p>
    <w:p w14:paraId="10C709A5"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 xml:space="preserve">Sources were selected where they were directly relevant to the UK coffee-shop industry, consumer behaviour, sustainability, ethical consumption, competitors, strategic management, financial assumptions and/or the theoretical underpinning of </w:t>
      </w:r>
      <w:r w:rsidRPr="00764905">
        <w:rPr>
          <w:rFonts w:ascii="Arial" w:hAnsi="Arial" w:cs="Arial"/>
          <w:sz w:val="24"/>
          <w:szCs w:val="24"/>
          <w:lang w:val="en-GB" w:eastAsia="en-GB"/>
        </w:rPr>
        <w:lastRenderedPageBreak/>
        <w:t>the proposal. Priority was given to peer-reviewed academic articles, scholarly books, government publications, reputable industry reports or credible corporate reports.</w:t>
      </w:r>
    </w:p>
    <w:p w14:paraId="3EC9AE26"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Sources that did not address the research question, that contained redundant information, that had no identifiable author, that appeared to have been commercial and not a reliable source or that provided information that was not suitable for appropriate verification were excluded. To ensure that the competitive context was comparable to a coffee-shop or café market, and to ensure that the competitor could provide meaningful evidence for the product offering, pricing, customer experience, sustainability, or market positioning, competitors were included only where they met these criteria (Saunders, Lewis and Thornhill, 2019).</w:t>
      </w:r>
    </w:p>
    <w:p w14:paraId="5A2AABEA"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35" w:name="_Toc240811404"/>
      <w:r w:rsidRPr="00764905">
        <w:rPr>
          <w:rFonts w:ascii="Arial" w:eastAsia="Times New Roman" w:hAnsi="Arial" w:cstheme="majorBidi"/>
          <w:b/>
          <w:color w:val="000000" w:themeColor="text1"/>
          <w:sz w:val="28"/>
          <w:szCs w:val="32"/>
          <w:lang w:val="en-GB" w:eastAsia="en-GB"/>
        </w:rPr>
        <w:t>4.5 Data Analysis</w:t>
      </w:r>
      <w:bookmarkEnd w:id="35"/>
    </w:p>
    <w:p w14:paraId="32120E1E"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Thematic analysis, comparative analysis and quantitative trend analysis are used to analyse the collected evidence. Qualitative information is structured in the themes: Consumer behaviour, Sustainability, Ethical sourcing, Competition, Digitalisation and Strategic positioning. Thematic analysis can be used to reveal patterns in the data, based on the text (Braun and Clarke, 2022).</w:t>
      </w:r>
    </w:p>
    <w:p w14:paraId="79B47421"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 xml:space="preserve">Descriptive comparison is used for quantitative evidence. Market size and growth data are analysed to find trends, and competitor prices are contrasted within the same product categories for which there is data on the market. Cost data is utilized to build and evaluate financial assumptions on the proposed business. When percentages or rate of change are stated, comparisons are made between the relevant periods and not between the absolute values. </w:t>
      </w:r>
    </w:p>
    <w:p w14:paraId="1AD81106"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Competitor analysis is done by comparing businesses that are relevant with the factors of price, product range, positioning and sustainability, customer experience, location, digital presence and differentiation. This is then applied in SWOT and Porter's Five Forces analysis.</w:t>
      </w:r>
    </w:p>
    <w:p w14:paraId="6E11D08B"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36" w:name="_Toc240811405"/>
      <w:r w:rsidRPr="00764905">
        <w:rPr>
          <w:rFonts w:ascii="Arial" w:eastAsia="Times New Roman" w:hAnsi="Arial" w:cstheme="majorBidi"/>
          <w:b/>
          <w:color w:val="000000" w:themeColor="text1"/>
          <w:sz w:val="28"/>
          <w:szCs w:val="32"/>
          <w:lang w:val="en-GB" w:eastAsia="en-GB"/>
        </w:rPr>
        <w:t>4.6 Application of Strategic Frameworks</w:t>
      </w:r>
      <w:bookmarkEnd w:id="36"/>
    </w:p>
    <w:p w14:paraId="3C7A5BA2"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 xml:space="preserve">The evidence is analyzed within a manageable framework of complementary frameworks. PESTLE is used to analyse external influences such as political, environmental, social, technological, legal and economic (Yüksel, 2012). Porter's Five Forces is used to assess the competition in the coffee-shop market (Porter, 1980). </w:t>
      </w:r>
      <w:r w:rsidRPr="00764905">
        <w:rPr>
          <w:rFonts w:ascii="Arial" w:hAnsi="Arial" w:cs="Arial"/>
          <w:sz w:val="24"/>
          <w:szCs w:val="24"/>
          <w:lang w:val="en-GB" w:eastAsia="en-GB"/>
        </w:rPr>
        <w:lastRenderedPageBreak/>
        <w:t>Value Chain Analysis takes into account all activities including sourcing, operations, marketing and service that could add value (Porter, 1985).</w:t>
      </w:r>
    </w:p>
    <w:p w14:paraId="3D1A287F"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RBV/VRIO is used to determine if resources like ethical sourcing, sustainability capability, brand reputation and customer relationships can offer valuable, rare, difficult-to-imitate and organisationally-supported advantages (Barney, 1991). Porter's Generic Strategies can be used to determine if the business in question is around differentiation, cost leadership or a focused strategy (Porter, 1985). The internal strengths and weaknesses are then combined with the external opportunities and threats through SWOT.</w:t>
      </w:r>
    </w:p>
    <w:p w14:paraId="2F907764"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37" w:name="_Toc240811406"/>
      <w:r w:rsidRPr="00764905">
        <w:rPr>
          <w:rFonts w:ascii="Arial" w:eastAsia="Times New Roman" w:hAnsi="Arial" w:cstheme="majorBidi"/>
          <w:b/>
          <w:color w:val="000000" w:themeColor="text1"/>
          <w:sz w:val="28"/>
          <w:szCs w:val="32"/>
          <w:lang w:val="en-GB" w:eastAsia="en-GB"/>
        </w:rPr>
        <w:t>4.7 Reliability, validity and limitations</w:t>
      </w:r>
      <w:bookmarkEnd w:id="37"/>
    </w:p>
    <w:p w14:paraId="5440F658"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 xml:space="preserve">Research rigour is reinforced by the use of several academic, institutional and industry sources, through a transparent search criteria and through comparing the evidence throughout the sources. Triangulation helps to minimise reliance on any one publication and enhances the validity of findings or conclusions (Saunders, Lewis and Thornhill, 2019). However, secondary research has drawbacks. Data from the market may not be the same in terms of definitions, timing or methodology, and commercial market data may be of a promotional nature. There is also restricted access to the information of the internal competitor. </w:t>
      </w:r>
    </w:p>
    <w:p w14:paraId="5B375E97"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38" w:name="_Toc240811407"/>
      <w:r w:rsidRPr="00764905">
        <w:rPr>
          <w:rFonts w:ascii="Arial" w:eastAsia="Times New Roman" w:hAnsi="Arial" w:cstheme="majorBidi"/>
          <w:b/>
          <w:color w:val="000000" w:themeColor="text1"/>
          <w:sz w:val="28"/>
          <w:szCs w:val="32"/>
          <w:lang w:val="en-GB" w:eastAsia="en-GB"/>
        </w:rPr>
        <w:t>4.8 Ethical Considerations</w:t>
      </w:r>
      <w:bookmarkEnd w:id="38"/>
    </w:p>
    <w:p w14:paraId="7634B1C6"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The research process involves secondary information and no human participants, questionnaires or interviews are used, therefore there is no need for consent of participants or collection of personal information. Academic honesty, however, is still important. Sources are correctly identified in a Harvard referencing style, evidence is not fabricated or deliberately misrepresented and assumptions are identified as such and distinguished from published evidence.  (Saunders, Lewis &amp; Thornhill, 2019).</w:t>
      </w:r>
    </w:p>
    <w:p w14:paraId="5E9500D9" w14:textId="77777777" w:rsidR="00764905" w:rsidRPr="00764905" w:rsidRDefault="00764905" w:rsidP="00764905">
      <w:pPr>
        <w:spacing w:line="360" w:lineRule="auto"/>
        <w:jc w:val="both"/>
        <w:rPr>
          <w:rFonts w:ascii="Arial" w:hAnsi="Arial" w:cs="Arial"/>
          <w:sz w:val="24"/>
          <w:szCs w:val="24"/>
          <w:lang w:val="en-GB" w:eastAsia="en-GB"/>
        </w:rPr>
      </w:pPr>
    </w:p>
    <w:p w14:paraId="154E71DB" w14:textId="77777777" w:rsidR="00764905" w:rsidRPr="00764905" w:rsidRDefault="00764905" w:rsidP="00764905">
      <w:pPr>
        <w:spacing w:line="360" w:lineRule="auto"/>
        <w:jc w:val="both"/>
        <w:rPr>
          <w:rFonts w:ascii="Arial" w:hAnsi="Arial" w:cs="Arial"/>
          <w:sz w:val="24"/>
          <w:szCs w:val="24"/>
          <w:lang w:val="en-GB" w:eastAsia="en-GB"/>
        </w:rPr>
      </w:pPr>
    </w:p>
    <w:p w14:paraId="7D729D0C" w14:textId="77777777" w:rsidR="00764905" w:rsidRPr="00764905" w:rsidRDefault="00764905" w:rsidP="00764905">
      <w:pPr>
        <w:spacing w:line="360" w:lineRule="auto"/>
        <w:jc w:val="both"/>
        <w:rPr>
          <w:rFonts w:ascii="Arial" w:hAnsi="Arial" w:cs="Arial"/>
          <w:sz w:val="24"/>
          <w:szCs w:val="24"/>
          <w:lang w:val="en-GB" w:eastAsia="en-GB"/>
        </w:rPr>
      </w:pPr>
    </w:p>
    <w:p w14:paraId="30FFC1EF" w14:textId="77777777" w:rsidR="00764905" w:rsidRPr="00764905" w:rsidRDefault="00764905" w:rsidP="00764905">
      <w:pPr>
        <w:spacing w:line="360" w:lineRule="auto"/>
        <w:jc w:val="both"/>
        <w:rPr>
          <w:rFonts w:ascii="Arial" w:hAnsi="Arial" w:cs="Arial"/>
          <w:sz w:val="24"/>
          <w:szCs w:val="24"/>
          <w:lang w:val="en-GB" w:eastAsia="en-GB"/>
        </w:rPr>
      </w:pPr>
    </w:p>
    <w:p w14:paraId="5EBFA8F1" w14:textId="77777777" w:rsidR="00764905" w:rsidRPr="00764905" w:rsidRDefault="00764905" w:rsidP="00764905">
      <w:pPr>
        <w:spacing w:line="360" w:lineRule="auto"/>
        <w:jc w:val="both"/>
        <w:rPr>
          <w:rFonts w:ascii="Arial" w:hAnsi="Arial" w:cs="Arial"/>
          <w:sz w:val="24"/>
          <w:szCs w:val="24"/>
          <w:lang w:val="en-GB" w:eastAsia="en-GB"/>
        </w:rPr>
      </w:pPr>
    </w:p>
    <w:p w14:paraId="7DE13C2D" w14:textId="1F9AFDC0" w:rsidR="00764905" w:rsidRPr="0051296B" w:rsidRDefault="00764905" w:rsidP="00F331CA">
      <w:pPr>
        <w:pStyle w:val="Heading1"/>
        <w:jc w:val="center"/>
        <w:rPr>
          <w:rFonts w:eastAsia="Times New Roman"/>
          <w:lang w:val="en-GB" w:eastAsia="en-GB"/>
        </w:rPr>
      </w:pPr>
      <w:bookmarkStart w:id="39" w:name="_Toc240811408"/>
      <w:r w:rsidRPr="00764905">
        <w:rPr>
          <w:rFonts w:eastAsia="Times New Roman"/>
          <w:lang w:val="en-GB" w:eastAsia="en-GB"/>
        </w:rPr>
        <w:lastRenderedPageBreak/>
        <w:t>Chapter 5: Market Opportunity Analysis</w:t>
      </w:r>
      <w:bookmarkEnd w:id="39"/>
    </w:p>
    <w:p w14:paraId="137C03D6" w14:textId="307F27EA" w:rsidR="004C6A98" w:rsidRPr="004C6A98" w:rsidRDefault="0051296B" w:rsidP="00F331CA">
      <w:pPr>
        <w:pStyle w:val="Heading2"/>
        <w:rPr>
          <w:lang w:val="en-GB" w:eastAsia="en-GB"/>
        </w:rPr>
      </w:pPr>
      <w:bookmarkStart w:id="40" w:name="_Toc240811409"/>
      <w:r>
        <w:rPr>
          <w:lang w:val="en-GB" w:eastAsia="en-GB"/>
        </w:rPr>
        <w:t>5.1 Introduction</w:t>
      </w:r>
      <w:bookmarkEnd w:id="40"/>
    </w:p>
    <w:p w14:paraId="3809780F" w14:textId="00859177" w:rsidR="004C6A98" w:rsidRPr="004C6A98" w:rsidRDefault="00F331CA" w:rsidP="004C6A98">
      <w:pPr>
        <w:spacing w:before="240" w:line="360" w:lineRule="auto"/>
        <w:jc w:val="both"/>
        <w:rPr>
          <w:rFonts w:ascii="Arial" w:hAnsi="Arial" w:cs="Arial"/>
          <w:sz w:val="24"/>
          <w:szCs w:val="24"/>
          <w:lang w:val="en-GB" w:eastAsia="en-GB"/>
        </w:rPr>
      </w:pPr>
      <w:r w:rsidRPr="00F331CA">
        <w:rPr>
          <w:rFonts w:ascii="Arial" w:hAnsi="Arial" w:cs="Arial"/>
          <w:sz w:val="24"/>
          <w:szCs w:val="24"/>
          <w:lang w:val="en-GB" w:eastAsia="en-GB"/>
        </w:rPr>
        <w:t>This chapter assesses the market potential of The Ethical Bean Coffee House (TEBC) for the location in Monmouth Street, Covent Garden, London. The analysis is based on the national coffee-market evidence and on the local geographic, demographic, psychographic and behavioural evidence, to evaluate the attractiveness and realistic feasibility of the proposed market. The analysis does not look at the whole UK coffee market; it focuses on the market that is available to one café – the potential customers in the Covent Garden catchment area. The chapter also uses Segmentation, Targeting, and Positioning (STP) concepts to identify the priority customer groups and also provides an indicative estimate of TAM-SAM-SOM. Throughout published evidence is distinguished fr</w:t>
      </w:r>
      <w:r>
        <w:rPr>
          <w:rFonts w:ascii="Arial" w:hAnsi="Arial" w:cs="Arial"/>
          <w:sz w:val="24"/>
          <w:szCs w:val="24"/>
          <w:lang w:val="en-GB" w:eastAsia="en-GB"/>
        </w:rPr>
        <w:t>om researcher assumptions</w:t>
      </w:r>
    </w:p>
    <w:p w14:paraId="30B0684F" w14:textId="7CDA03D1" w:rsidR="004C6A98" w:rsidRPr="00F331CA" w:rsidRDefault="004C6A98" w:rsidP="00F331CA">
      <w:pPr>
        <w:pStyle w:val="Heading2"/>
        <w:rPr>
          <w:lang w:val="en-GB" w:eastAsia="en-GB"/>
        </w:rPr>
      </w:pPr>
      <w:bookmarkStart w:id="41" w:name="_Toc240811410"/>
      <w:r w:rsidRPr="004C6A98">
        <w:rPr>
          <w:lang w:val="en-GB" w:eastAsia="en-GB"/>
        </w:rPr>
        <w:t>5.2 UK Coffee Market Context</w:t>
      </w:r>
      <w:bookmarkEnd w:id="41"/>
    </w:p>
    <w:p w14:paraId="1208567B" w14:textId="56988217" w:rsidR="00F331CA" w:rsidRPr="00F331CA" w:rsidRDefault="00F331CA" w:rsidP="00F331CA">
      <w:pPr>
        <w:spacing w:before="240" w:line="360" w:lineRule="auto"/>
        <w:jc w:val="both"/>
        <w:rPr>
          <w:rFonts w:ascii="Arial" w:hAnsi="Arial" w:cs="Arial"/>
          <w:sz w:val="24"/>
          <w:szCs w:val="24"/>
          <w:lang w:val="en-GB" w:eastAsia="en-GB"/>
        </w:rPr>
      </w:pPr>
      <w:r w:rsidRPr="00F331CA">
        <w:rPr>
          <w:rFonts w:ascii="Arial" w:hAnsi="Arial" w:cs="Arial"/>
          <w:sz w:val="24"/>
          <w:szCs w:val="24"/>
          <w:lang w:val="en-GB" w:eastAsia="en-GB"/>
        </w:rPr>
        <w:t xml:space="preserve">The proposed business is a good fit for the overall UK coffee sector. The UK coffee-shop market continues to grow with a value of £6.8 billion and 12,313 outlets in 2026 according to World Coffee Portal. The independent coffee-shop market is also significant, as is specialty coffee and personalised hospitality and café ambience, which are meeting consumer demand (World Coffee Portal, 2026). New evidence also indicates that there is still growth in premiums, and that specialist operators are also fighting it out based on quality </w:t>
      </w:r>
      <w:r>
        <w:rPr>
          <w:rFonts w:ascii="Arial" w:hAnsi="Arial" w:cs="Arial"/>
          <w:sz w:val="24"/>
          <w:szCs w:val="24"/>
          <w:lang w:val="en-GB" w:eastAsia="en-GB"/>
        </w:rPr>
        <w:t>and experience, not just price.</w:t>
      </w:r>
    </w:p>
    <w:p w14:paraId="7BB868F2" w14:textId="465029FF" w:rsidR="004C6A98" w:rsidRPr="004C6A98" w:rsidRDefault="00F331CA" w:rsidP="004C6A98">
      <w:pPr>
        <w:spacing w:before="240" w:line="360" w:lineRule="auto"/>
        <w:jc w:val="both"/>
        <w:rPr>
          <w:rFonts w:ascii="Arial" w:hAnsi="Arial" w:cs="Arial"/>
          <w:sz w:val="24"/>
          <w:szCs w:val="24"/>
          <w:lang w:val="en-GB" w:eastAsia="en-GB"/>
        </w:rPr>
      </w:pPr>
      <w:r w:rsidRPr="00F331CA">
        <w:rPr>
          <w:rFonts w:ascii="Arial" w:hAnsi="Arial" w:cs="Arial"/>
          <w:sz w:val="24"/>
          <w:szCs w:val="24"/>
          <w:lang w:val="en-GB" w:eastAsia="en-GB"/>
        </w:rPr>
        <w:t>The market size for the National market cannot be used as a reflection of the market size available to The Ethical Bean Coffee House, however. The challenge is whether enough customers can be targeted in the proposed Covent Garden si</w:t>
      </w:r>
      <w:r>
        <w:rPr>
          <w:rFonts w:ascii="Arial" w:hAnsi="Arial" w:cs="Arial"/>
          <w:sz w:val="24"/>
          <w:szCs w:val="24"/>
          <w:lang w:val="en-GB" w:eastAsia="en-GB"/>
        </w:rPr>
        <w:t>te and can become repeat buyers.</w:t>
      </w:r>
    </w:p>
    <w:p w14:paraId="2C9AECE8" w14:textId="5A845D61" w:rsidR="004C6A98" w:rsidRPr="00F331CA" w:rsidRDefault="004C6A98" w:rsidP="00F331CA">
      <w:pPr>
        <w:pStyle w:val="Heading2"/>
        <w:rPr>
          <w:lang w:val="en-GB" w:eastAsia="en-GB"/>
        </w:rPr>
      </w:pPr>
      <w:bookmarkStart w:id="42" w:name="_Toc240811411"/>
      <w:r w:rsidRPr="004C6A98">
        <w:rPr>
          <w:lang w:val="en-GB" w:eastAsia="en-GB"/>
        </w:rPr>
        <w:t>5.3 Local Market Opportunity: Covent Garden</w:t>
      </w:r>
      <w:bookmarkEnd w:id="42"/>
    </w:p>
    <w:p w14:paraId="613DD7A8" w14:textId="182E607D" w:rsidR="00F331CA" w:rsidRPr="00F331CA" w:rsidRDefault="00F331CA" w:rsidP="00F331CA">
      <w:pPr>
        <w:spacing w:before="240" w:line="360" w:lineRule="auto"/>
        <w:jc w:val="both"/>
        <w:rPr>
          <w:rFonts w:ascii="Arial" w:hAnsi="Arial" w:cs="Arial"/>
          <w:sz w:val="24"/>
          <w:szCs w:val="24"/>
          <w:lang w:val="en-GB" w:eastAsia="en-GB"/>
        </w:rPr>
      </w:pPr>
      <w:r w:rsidRPr="00F331CA">
        <w:rPr>
          <w:rFonts w:ascii="Arial" w:hAnsi="Arial" w:cs="Arial"/>
          <w:sz w:val="24"/>
          <w:szCs w:val="24"/>
          <w:lang w:val="en-GB" w:eastAsia="en-GB"/>
        </w:rPr>
        <w:t>An attractive environment exists in the area of Covent Garden as it brings together residents, workers, tourists and leisure visitors into a concentrated area. According to a 2025 commercial property profile, there are about 38 million annual visitors, around 222,000 workers and 10,000 residents within a 15-minute walking distance of the commercial property, plus around 800 bars and restaurants. These are commercial estimates and need to be considered as market sizing inp</w:t>
      </w:r>
      <w:r>
        <w:rPr>
          <w:rFonts w:ascii="Arial" w:hAnsi="Arial" w:cs="Arial"/>
          <w:sz w:val="24"/>
          <w:szCs w:val="24"/>
          <w:lang w:val="en-GB" w:eastAsia="en-GB"/>
        </w:rPr>
        <w:t>uts and not statistical figures</w:t>
      </w:r>
    </w:p>
    <w:p w14:paraId="072859D1" w14:textId="45444561" w:rsidR="00F331CA" w:rsidRPr="00F331CA" w:rsidRDefault="00F331CA" w:rsidP="00F331CA">
      <w:pPr>
        <w:spacing w:before="240" w:line="360" w:lineRule="auto"/>
        <w:jc w:val="both"/>
        <w:rPr>
          <w:rFonts w:ascii="Arial" w:hAnsi="Arial" w:cs="Arial"/>
          <w:sz w:val="24"/>
          <w:szCs w:val="24"/>
          <w:lang w:val="en-GB" w:eastAsia="en-GB"/>
        </w:rPr>
      </w:pPr>
      <w:r w:rsidRPr="00F331CA">
        <w:rPr>
          <w:rFonts w:ascii="Arial" w:hAnsi="Arial" w:cs="Arial"/>
          <w:sz w:val="24"/>
          <w:szCs w:val="24"/>
          <w:lang w:val="en-GB" w:eastAsia="en-GB"/>
        </w:rPr>
        <w:lastRenderedPageBreak/>
        <w:t xml:space="preserve">This is echoed by broader West End evidence, which includes the scale and quality of footfall. Shaftesbury Capital's data shows that the area has an estimated 63m footfall per year on its holdings in Covent Garden, reflecting its visitor intensity and overall commercial appeal. In addition, Covent Garden is a very active retail and food and beverage district and has continued investment in the district and strong demand </w:t>
      </w:r>
      <w:r>
        <w:rPr>
          <w:rFonts w:ascii="Arial" w:hAnsi="Arial" w:cs="Arial"/>
          <w:sz w:val="24"/>
          <w:szCs w:val="24"/>
          <w:lang w:val="en-GB" w:eastAsia="en-GB"/>
        </w:rPr>
        <w:t>for prime space (CBRE, 2026).</w:t>
      </w:r>
    </w:p>
    <w:p w14:paraId="71FC4903" w14:textId="2C79C974" w:rsidR="00A6148D" w:rsidRPr="00A6148D" w:rsidRDefault="00F331CA" w:rsidP="00A6148D">
      <w:pPr>
        <w:spacing w:before="240" w:line="360" w:lineRule="auto"/>
        <w:jc w:val="both"/>
        <w:rPr>
          <w:rFonts w:ascii="Arial" w:hAnsi="Arial" w:cs="Arial"/>
          <w:sz w:val="24"/>
          <w:szCs w:val="24"/>
          <w:lang w:val="en-GB" w:eastAsia="en-GB"/>
        </w:rPr>
      </w:pPr>
      <w:r w:rsidRPr="00F331CA">
        <w:rPr>
          <w:rFonts w:ascii="Arial" w:hAnsi="Arial" w:cs="Arial"/>
          <w:sz w:val="24"/>
          <w:szCs w:val="24"/>
          <w:lang w:val="en-GB" w:eastAsia="en-GB"/>
        </w:rPr>
        <w:t xml:space="preserve">The residential market should not, however, be overlooked. Covent Garden's population is over 6,000, based on the Covent Garden Community Association, but the exact number of people varies depending on the area chosen. Thus the potential demand of the venture needs to be viewed as the sum of the resident demand, worker demand and visitor demand, </w:t>
      </w:r>
      <w:r w:rsidR="00A6148D">
        <w:rPr>
          <w:rFonts w:ascii="Arial" w:hAnsi="Arial" w:cs="Arial"/>
          <w:sz w:val="24"/>
          <w:szCs w:val="24"/>
          <w:lang w:val="en-GB" w:eastAsia="en-GB"/>
        </w:rPr>
        <w:t>and not just the tourism demand</w:t>
      </w:r>
    </w:p>
    <w:p w14:paraId="21F6C25A" w14:textId="314D9AC8" w:rsidR="00A6148D" w:rsidRPr="00A6148D" w:rsidRDefault="00A6148D" w:rsidP="00A6148D">
      <w:pPr>
        <w:pStyle w:val="Caption"/>
        <w:keepNext/>
        <w:jc w:val="both"/>
        <w:rPr>
          <w:rFonts w:ascii="Arial" w:hAnsi="Arial" w:cs="Arial"/>
          <w:sz w:val="24"/>
        </w:rPr>
      </w:pPr>
      <w:bookmarkStart w:id="43" w:name="_Toc240810932"/>
      <w:r w:rsidRPr="00A6148D">
        <w:rPr>
          <w:rFonts w:ascii="Arial" w:hAnsi="Arial" w:cs="Arial"/>
          <w:sz w:val="24"/>
        </w:rPr>
        <w:t xml:space="preserve">Table </w:t>
      </w:r>
      <w:r w:rsidRPr="00A6148D">
        <w:rPr>
          <w:rFonts w:ascii="Arial" w:hAnsi="Arial" w:cs="Arial"/>
          <w:sz w:val="24"/>
        </w:rPr>
        <w:fldChar w:fldCharType="begin"/>
      </w:r>
      <w:r w:rsidRPr="00A6148D">
        <w:rPr>
          <w:rFonts w:ascii="Arial" w:hAnsi="Arial" w:cs="Arial"/>
          <w:sz w:val="24"/>
        </w:rPr>
        <w:instrText xml:space="preserve"> SEQ Table \* ARABIC </w:instrText>
      </w:r>
      <w:r w:rsidRPr="00A6148D">
        <w:rPr>
          <w:rFonts w:ascii="Arial" w:hAnsi="Arial" w:cs="Arial"/>
          <w:sz w:val="24"/>
        </w:rPr>
        <w:fldChar w:fldCharType="separate"/>
      </w:r>
      <w:r w:rsidR="004E1559">
        <w:rPr>
          <w:rFonts w:ascii="Arial" w:hAnsi="Arial" w:cs="Arial"/>
          <w:noProof/>
          <w:sz w:val="24"/>
        </w:rPr>
        <w:t>1</w:t>
      </w:r>
      <w:r w:rsidRPr="00A6148D">
        <w:rPr>
          <w:rFonts w:ascii="Arial" w:hAnsi="Arial" w:cs="Arial"/>
          <w:sz w:val="24"/>
        </w:rPr>
        <w:fldChar w:fldCharType="end"/>
      </w:r>
      <w:r w:rsidRPr="00A6148D">
        <w:rPr>
          <w:rFonts w:ascii="Arial" w:hAnsi="Arial" w:cs="Arial"/>
          <w:sz w:val="24"/>
        </w:rPr>
        <w:t>: Local Customer Pools and Demand Characteristics</w:t>
      </w:r>
      <w:bookmarkEnd w:id="43"/>
    </w:p>
    <w:tbl>
      <w:tblPr>
        <w:tblStyle w:val="TableGrid"/>
        <w:tblW w:w="0" w:type="auto"/>
        <w:tblLook w:val="04A0" w:firstRow="1" w:lastRow="0" w:firstColumn="1" w:lastColumn="0" w:noHBand="0" w:noVBand="1"/>
      </w:tblPr>
      <w:tblGrid>
        <w:gridCol w:w="1740"/>
        <w:gridCol w:w="1795"/>
        <w:gridCol w:w="1951"/>
        <w:gridCol w:w="1763"/>
        <w:gridCol w:w="1767"/>
      </w:tblGrid>
      <w:tr w:rsidR="00A6148D" w:rsidRPr="00A6148D" w14:paraId="7E73E1C8" w14:textId="77777777" w:rsidTr="00A6148D">
        <w:tc>
          <w:tcPr>
            <w:tcW w:w="1740" w:type="dxa"/>
          </w:tcPr>
          <w:p w14:paraId="35F78780" w14:textId="77777777" w:rsidR="00A6148D" w:rsidRPr="00E53AA4" w:rsidRDefault="00A6148D" w:rsidP="0038379F">
            <w:pPr>
              <w:spacing w:before="240" w:line="360" w:lineRule="auto"/>
              <w:jc w:val="both"/>
              <w:rPr>
                <w:rFonts w:ascii="Arial" w:hAnsi="Arial" w:cs="Arial"/>
                <w:b/>
                <w:sz w:val="24"/>
                <w:szCs w:val="24"/>
                <w:lang w:val="en-GB" w:eastAsia="en-GB"/>
              </w:rPr>
            </w:pPr>
            <w:r w:rsidRPr="00E53AA4">
              <w:rPr>
                <w:rFonts w:ascii="Arial" w:hAnsi="Arial" w:cs="Arial"/>
                <w:b/>
                <w:sz w:val="24"/>
                <w:szCs w:val="24"/>
                <w:lang w:val="en-GB" w:eastAsia="en-GB"/>
              </w:rPr>
              <w:t>Customer pool</w:t>
            </w:r>
          </w:p>
        </w:tc>
        <w:tc>
          <w:tcPr>
            <w:tcW w:w="1795" w:type="dxa"/>
          </w:tcPr>
          <w:p w14:paraId="74161C54" w14:textId="77777777" w:rsidR="00A6148D" w:rsidRPr="00E53AA4" w:rsidRDefault="00A6148D" w:rsidP="0038379F">
            <w:pPr>
              <w:spacing w:before="240" w:line="360" w:lineRule="auto"/>
              <w:jc w:val="both"/>
              <w:rPr>
                <w:rFonts w:ascii="Arial" w:hAnsi="Arial" w:cs="Arial"/>
                <w:b/>
                <w:sz w:val="24"/>
                <w:szCs w:val="24"/>
                <w:lang w:val="en-GB" w:eastAsia="en-GB"/>
              </w:rPr>
            </w:pPr>
            <w:r w:rsidRPr="00E53AA4">
              <w:rPr>
                <w:rFonts w:ascii="Arial" w:hAnsi="Arial" w:cs="Arial"/>
                <w:b/>
                <w:sz w:val="24"/>
                <w:szCs w:val="24"/>
                <w:lang w:val="en-GB" w:eastAsia="en-GB"/>
              </w:rPr>
              <w:t>Available evidence</w:t>
            </w:r>
          </w:p>
        </w:tc>
        <w:tc>
          <w:tcPr>
            <w:tcW w:w="1951" w:type="dxa"/>
          </w:tcPr>
          <w:p w14:paraId="0F49B2C3" w14:textId="77777777" w:rsidR="00A6148D" w:rsidRPr="00E53AA4" w:rsidRDefault="00A6148D" w:rsidP="0038379F">
            <w:pPr>
              <w:spacing w:before="240" w:line="360" w:lineRule="auto"/>
              <w:jc w:val="both"/>
              <w:rPr>
                <w:rFonts w:ascii="Arial" w:hAnsi="Arial" w:cs="Arial"/>
                <w:b/>
                <w:sz w:val="24"/>
                <w:szCs w:val="24"/>
                <w:lang w:val="en-GB" w:eastAsia="en-GB"/>
              </w:rPr>
            </w:pPr>
            <w:r w:rsidRPr="00E53AA4">
              <w:rPr>
                <w:rFonts w:ascii="Arial" w:hAnsi="Arial" w:cs="Arial"/>
                <w:b/>
                <w:sz w:val="24"/>
                <w:szCs w:val="24"/>
                <w:lang w:val="en-GB" w:eastAsia="en-GB"/>
              </w:rPr>
              <w:t>Likely purchase pattern</w:t>
            </w:r>
          </w:p>
        </w:tc>
        <w:tc>
          <w:tcPr>
            <w:tcW w:w="1763" w:type="dxa"/>
          </w:tcPr>
          <w:p w14:paraId="195B9A37" w14:textId="77777777" w:rsidR="00A6148D" w:rsidRPr="00E53AA4" w:rsidRDefault="00A6148D" w:rsidP="0038379F">
            <w:pPr>
              <w:spacing w:before="240" w:line="360" w:lineRule="auto"/>
              <w:jc w:val="both"/>
              <w:rPr>
                <w:rFonts w:ascii="Arial" w:hAnsi="Arial" w:cs="Arial"/>
                <w:b/>
                <w:sz w:val="24"/>
                <w:szCs w:val="24"/>
                <w:lang w:val="en-GB" w:eastAsia="en-GB"/>
              </w:rPr>
            </w:pPr>
            <w:r w:rsidRPr="00E53AA4">
              <w:rPr>
                <w:rFonts w:ascii="Arial" w:hAnsi="Arial" w:cs="Arial"/>
                <w:b/>
                <w:sz w:val="24"/>
                <w:szCs w:val="24"/>
                <w:lang w:val="en-GB" w:eastAsia="en-GB"/>
              </w:rPr>
              <w:t>Average expenditure</w:t>
            </w:r>
          </w:p>
        </w:tc>
        <w:tc>
          <w:tcPr>
            <w:tcW w:w="1767" w:type="dxa"/>
          </w:tcPr>
          <w:p w14:paraId="6A37EC5F" w14:textId="77777777" w:rsidR="00A6148D" w:rsidRPr="00E53AA4" w:rsidRDefault="00A6148D" w:rsidP="0038379F">
            <w:pPr>
              <w:spacing w:before="240" w:line="360" w:lineRule="auto"/>
              <w:jc w:val="both"/>
              <w:rPr>
                <w:rFonts w:ascii="Arial" w:hAnsi="Arial" w:cs="Arial"/>
                <w:b/>
                <w:sz w:val="24"/>
                <w:szCs w:val="24"/>
                <w:lang w:val="en-GB" w:eastAsia="en-GB"/>
              </w:rPr>
            </w:pPr>
            <w:r w:rsidRPr="00E53AA4">
              <w:rPr>
                <w:rFonts w:ascii="Arial" w:hAnsi="Arial" w:cs="Arial"/>
                <w:b/>
                <w:sz w:val="24"/>
                <w:szCs w:val="24"/>
                <w:lang w:val="en-GB" w:eastAsia="en-GB"/>
              </w:rPr>
              <w:t>Commercial relevance</w:t>
            </w:r>
          </w:p>
        </w:tc>
      </w:tr>
      <w:tr w:rsidR="00A6148D" w:rsidRPr="00A6148D" w14:paraId="2B8052DB" w14:textId="77777777" w:rsidTr="00A6148D">
        <w:tc>
          <w:tcPr>
            <w:tcW w:w="1740" w:type="dxa"/>
          </w:tcPr>
          <w:p w14:paraId="3EA9BDBA" w14:textId="77777777" w:rsidR="00A6148D" w:rsidRPr="00A6148D" w:rsidRDefault="00A6148D" w:rsidP="0038379F">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Visitors</w:t>
            </w:r>
          </w:p>
        </w:tc>
        <w:tc>
          <w:tcPr>
            <w:tcW w:w="1795" w:type="dxa"/>
          </w:tcPr>
          <w:p w14:paraId="10E05D05" w14:textId="77777777" w:rsidR="00A6148D" w:rsidRPr="00A6148D" w:rsidRDefault="00A6148D" w:rsidP="0038379F">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38m+ annual visitor occasions</w:t>
            </w:r>
          </w:p>
        </w:tc>
        <w:tc>
          <w:tcPr>
            <w:tcW w:w="1951" w:type="dxa"/>
          </w:tcPr>
          <w:p w14:paraId="0A5D3122" w14:textId="77777777" w:rsidR="00A6148D" w:rsidRPr="00A6148D" w:rsidRDefault="00A6148D" w:rsidP="0038379F">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Occasional/one-off purchase; frequency depends on length and purpose of visit</w:t>
            </w:r>
          </w:p>
        </w:tc>
        <w:tc>
          <w:tcPr>
            <w:tcW w:w="1763" w:type="dxa"/>
          </w:tcPr>
          <w:p w14:paraId="34328E30" w14:textId="77777777" w:rsidR="00A6148D" w:rsidRPr="00A6148D" w:rsidRDefault="00A6148D" w:rsidP="0038379F">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£7 planning assumption</w:t>
            </w:r>
          </w:p>
        </w:tc>
        <w:tc>
          <w:tcPr>
            <w:tcW w:w="1767" w:type="dxa"/>
          </w:tcPr>
          <w:p w14:paraId="1285A10E" w14:textId="77777777" w:rsidR="00A6148D" w:rsidRPr="00A6148D" w:rsidRDefault="00A6148D" w:rsidP="0038379F">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Very large volume but relatively low repeat potential</w:t>
            </w:r>
          </w:p>
        </w:tc>
      </w:tr>
      <w:tr w:rsidR="00A6148D" w:rsidRPr="00A6148D" w14:paraId="40489ABD" w14:textId="77777777" w:rsidTr="00A6148D">
        <w:tc>
          <w:tcPr>
            <w:tcW w:w="1740" w:type="dxa"/>
          </w:tcPr>
          <w:p w14:paraId="74F75AF2" w14:textId="77777777" w:rsidR="00A6148D" w:rsidRPr="00A6148D" w:rsidRDefault="00A6148D" w:rsidP="0038379F">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Workers</w:t>
            </w:r>
          </w:p>
        </w:tc>
        <w:tc>
          <w:tcPr>
            <w:tcW w:w="1795" w:type="dxa"/>
          </w:tcPr>
          <w:p w14:paraId="5068E961" w14:textId="77777777" w:rsidR="00A6148D" w:rsidRPr="00A6148D" w:rsidRDefault="00A6148D" w:rsidP="0038379F">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222,000 within a 15-minute walking distance</w:t>
            </w:r>
          </w:p>
        </w:tc>
        <w:tc>
          <w:tcPr>
            <w:tcW w:w="1951" w:type="dxa"/>
          </w:tcPr>
          <w:p w14:paraId="63CE04A1" w14:textId="77777777" w:rsidR="00A6148D" w:rsidRPr="00A6148D" w:rsidRDefault="00A6148D" w:rsidP="0038379F">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Potentially repeat weekday purchasing; frequency to be validated</w:t>
            </w:r>
          </w:p>
        </w:tc>
        <w:tc>
          <w:tcPr>
            <w:tcW w:w="1763" w:type="dxa"/>
          </w:tcPr>
          <w:p w14:paraId="71947EE2" w14:textId="77777777" w:rsidR="00A6148D" w:rsidRPr="00A6148D" w:rsidRDefault="00A6148D" w:rsidP="0038379F">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£7 planning assumption</w:t>
            </w:r>
          </w:p>
        </w:tc>
        <w:tc>
          <w:tcPr>
            <w:tcW w:w="1767" w:type="dxa"/>
          </w:tcPr>
          <w:p w14:paraId="68D4A19B" w14:textId="77777777" w:rsidR="00A6148D" w:rsidRPr="00A6148D" w:rsidRDefault="00A6148D" w:rsidP="0038379F">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High-value segment because repeat purchasing can create predictable revenue</w:t>
            </w:r>
          </w:p>
        </w:tc>
      </w:tr>
      <w:tr w:rsidR="00A6148D" w:rsidRPr="00A6148D" w14:paraId="23F628BB" w14:textId="77777777" w:rsidTr="00A6148D">
        <w:tc>
          <w:tcPr>
            <w:tcW w:w="1740" w:type="dxa"/>
          </w:tcPr>
          <w:p w14:paraId="3C651FEC" w14:textId="77777777" w:rsidR="00A6148D" w:rsidRPr="00A6148D" w:rsidRDefault="00A6148D" w:rsidP="0038379F">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lastRenderedPageBreak/>
              <w:t>Residents</w:t>
            </w:r>
          </w:p>
        </w:tc>
        <w:tc>
          <w:tcPr>
            <w:tcW w:w="1795" w:type="dxa"/>
          </w:tcPr>
          <w:p w14:paraId="0E8683B8" w14:textId="77777777" w:rsidR="00A6148D" w:rsidRPr="00A6148D" w:rsidRDefault="00A6148D" w:rsidP="0038379F">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Approximately 10,000 within a 15-minute walking distance</w:t>
            </w:r>
          </w:p>
        </w:tc>
        <w:tc>
          <w:tcPr>
            <w:tcW w:w="1951" w:type="dxa"/>
          </w:tcPr>
          <w:p w14:paraId="5977DB4C" w14:textId="77777777" w:rsidR="00A6148D" w:rsidRPr="00A6148D" w:rsidRDefault="00A6148D" w:rsidP="0038379F">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Potentially regular/local purchasing</w:t>
            </w:r>
          </w:p>
        </w:tc>
        <w:tc>
          <w:tcPr>
            <w:tcW w:w="1763" w:type="dxa"/>
          </w:tcPr>
          <w:p w14:paraId="6624C7F3" w14:textId="77777777" w:rsidR="00A6148D" w:rsidRPr="00A6148D" w:rsidRDefault="00A6148D" w:rsidP="0038379F">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£7 planning assumption</w:t>
            </w:r>
          </w:p>
        </w:tc>
        <w:tc>
          <w:tcPr>
            <w:tcW w:w="1767" w:type="dxa"/>
          </w:tcPr>
          <w:p w14:paraId="2C17B136" w14:textId="77777777" w:rsidR="00A6148D" w:rsidRPr="00A6148D" w:rsidRDefault="00A6148D" w:rsidP="0038379F">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Smaller population but potentially high repeat frequency</w:t>
            </w:r>
          </w:p>
        </w:tc>
      </w:tr>
      <w:tr w:rsidR="00A6148D" w:rsidRPr="00A6148D" w14:paraId="02E584E2" w14:textId="77777777" w:rsidTr="00A6148D">
        <w:tc>
          <w:tcPr>
            <w:tcW w:w="1740" w:type="dxa"/>
          </w:tcPr>
          <w:p w14:paraId="358545AE" w14:textId="77777777" w:rsidR="00A6148D" w:rsidRPr="00A6148D" w:rsidRDefault="00A6148D" w:rsidP="0038379F">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Wider West End visitors</w:t>
            </w:r>
          </w:p>
        </w:tc>
        <w:tc>
          <w:tcPr>
            <w:tcW w:w="1795" w:type="dxa"/>
          </w:tcPr>
          <w:p w14:paraId="54CF0372" w14:textId="77777777" w:rsidR="00A6148D" w:rsidRPr="00A6148D" w:rsidRDefault="00A6148D" w:rsidP="0038379F">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High regional footfall</w:t>
            </w:r>
          </w:p>
        </w:tc>
        <w:tc>
          <w:tcPr>
            <w:tcW w:w="1951" w:type="dxa"/>
          </w:tcPr>
          <w:p w14:paraId="24C40116" w14:textId="77777777" w:rsidR="00A6148D" w:rsidRPr="00A6148D" w:rsidRDefault="00A6148D" w:rsidP="0038379F">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Occasional purchases linked to shopping, leisure and tourism</w:t>
            </w:r>
          </w:p>
        </w:tc>
        <w:tc>
          <w:tcPr>
            <w:tcW w:w="1763" w:type="dxa"/>
          </w:tcPr>
          <w:p w14:paraId="0E6A6636" w14:textId="77777777" w:rsidR="00A6148D" w:rsidRPr="00A6148D" w:rsidRDefault="00A6148D" w:rsidP="0038379F">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£7 planning assumption</w:t>
            </w:r>
          </w:p>
        </w:tc>
        <w:tc>
          <w:tcPr>
            <w:tcW w:w="1767" w:type="dxa"/>
          </w:tcPr>
          <w:p w14:paraId="22DFE875" w14:textId="77777777" w:rsidR="00A6148D" w:rsidRPr="00A6148D" w:rsidRDefault="00A6148D" w:rsidP="0038379F">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Provides additional spill-over demand</w:t>
            </w:r>
          </w:p>
        </w:tc>
      </w:tr>
    </w:tbl>
    <w:p w14:paraId="10BBD4D1" w14:textId="77777777" w:rsidR="00A6148D" w:rsidRPr="00A6148D" w:rsidRDefault="00A6148D" w:rsidP="00A6148D">
      <w:pPr>
        <w:spacing w:before="240" w:line="360" w:lineRule="auto"/>
        <w:jc w:val="both"/>
        <w:rPr>
          <w:rFonts w:ascii="Arial" w:hAnsi="Arial" w:cs="Arial"/>
          <w:sz w:val="24"/>
          <w:szCs w:val="24"/>
          <w:lang w:val="en-GB" w:eastAsia="en-GB"/>
        </w:rPr>
      </w:pPr>
    </w:p>
    <w:p w14:paraId="59698B2A" w14:textId="2ED20662" w:rsidR="00A6148D" w:rsidRPr="00A6148D" w:rsidRDefault="00A6148D" w:rsidP="00A6148D">
      <w:pPr>
        <w:spacing w:before="240" w:line="360" w:lineRule="auto"/>
        <w:jc w:val="both"/>
        <w:rPr>
          <w:rFonts w:ascii="Arial" w:hAnsi="Arial" w:cs="Arial"/>
          <w:sz w:val="24"/>
          <w:szCs w:val="24"/>
          <w:lang w:val="en-GB" w:eastAsia="en-GB"/>
        </w:rPr>
      </w:pPr>
      <w:r w:rsidRPr="00A6148D">
        <w:rPr>
          <w:rFonts w:ascii="Arial" w:hAnsi="Arial" w:cs="Arial"/>
          <w:b/>
          <w:sz w:val="24"/>
          <w:szCs w:val="24"/>
          <w:lang w:val="en-GB" w:eastAsia="en-GB"/>
        </w:rPr>
        <w:t>Source:</w:t>
      </w:r>
      <w:r w:rsidRPr="00A6148D">
        <w:rPr>
          <w:rFonts w:ascii="Arial" w:hAnsi="Arial" w:cs="Arial"/>
          <w:sz w:val="24"/>
          <w:szCs w:val="24"/>
          <w:lang w:val="en-GB" w:eastAsia="en-GB"/>
        </w:rPr>
        <w:t xml:space="preserve"> Researcher’s synthesis based on published local market evidence. Population/visitor figures are secondary-data estimates; purchase frequency and average expenditure are researcher planning assumptions requiring</w:t>
      </w:r>
      <w:r>
        <w:rPr>
          <w:rFonts w:ascii="Arial" w:hAnsi="Arial" w:cs="Arial"/>
          <w:sz w:val="24"/>
          <w:szCs w:val="24"/>
          <w:lang w:val="en-GB" w:eastAsia="en-GB"/>
        </w:rPr>
        <w:t xml:space="preserve"> validation.</w:t>
      </w:r>
    </w:p>
    <w:p w14:paraId="76FD2B6F" w14:textId="58E21B80" w:rsidR="00E53AA4" w:rsidRPr="00E53AA4" w:rsidRDefault="00A6148D" w:rsidP="00E53AA4">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The local opportunity should not be interpreted solely through headline visitor numbers. The 38 million annual visitor figure represents visitor occasions rather than unique potential customers, while the worker and resident populations provide potentially more valuable repeat-purchase opportunities. For example, a worker purchasing coffee regularly during the working week could generate considerably greater annual customer value than an occasional tourist, even though the latter contributes to the area's much larger headline footfall. Consequently, the commercial attractiveness of the proposed café depends not only on the size of each customer pool but also on purchase frequency, average transaction value and the ability to convert customers into repeat users.</w:t>
      </w:r>
    </w:p>
    <w:p w14:paraId="33BA9FA1" w14:textId="4D9BCEF2" w:rsidR="00E53AA4" w:rsidRPr="00E53AA4" w:rsidRDefault="00E53AA4" w:rsidP="00E53AA4">
      <w:pPr>
        <w:pStyle w:val="Caption"/>
        <w:keepNext/>
        <w:rPr>
          <w:rFonts w:ascii="Arial" w:hAnsi="Arial" w:cs="Arial"/>
          <w:sz w:val="24"/>
        </w:rPr>
      </w:pPr>
      <w:bookmarkStart w:id="44" w:name="_Toc240810933"/>
      <w:r w:rsidRPr="00E53AA4">
        <w:rPr>
          <w:rFonts w:ascii="Arial" w:hAnsi="Arial" w:cs="Arial"/>
          <w:sz w:val="24"/>
        </w:rPr>
        <w:t xml:space="preserve">Table </w:t>
      </w:r>
      <w:r w:rsidRPr="00E53AA4">
        <w:rPr>
          <w:rFonts w:ascii="Arial" w:hAnsi="Arial" w:cs="Arial"/>
          <w:sz w:val="24"/>
        </w:rPr>
        <w:fldChar w:fldCharType="begin"/>
      </w:r>
      <w:r w:rsidRPr="00E53AA4">
        <w:rPr>
          <w:rFonts w:ascii="Arial" w:hAnsi="Arial" w:cs="Arial"/>
          <w:sz w:val="24"/>
        </w:rPr>
        <w:instrText xml:space="preserve"> SEQ Table \* ARABIC </w:instrText>
      </w:r>
      <w:r w:rsidRPr="00E53AA4">
        <w:rPr>
          <w:rFonts w:ascii="Arial" w:hAnsi="Arial" w:cs="Arial"/>
          <w:sz w:val="24"/>
        </w:rPr>
        <w:fldChar w:fldCharType="separate"/>
      </w:r>
      <w:r w:rsidR="004E1559">
        <w:rPr>
          <w:rFonts w:ascii="Arial" w:hAnsi="Arial" w:cs="Arial"/>
          <w:noProof/>
          <w:sz w:val="24"/>
        </w:rPr>
        <w:t>2</w:t>
      </w:r>
      <w:r w:rsidRPr="00E53AA4">
        <w:rPr>
          <w:rFonts w:ascii="Arial" w:hAnsi="Arial" w:cs="Arial"/>
          <w:sz w:val="24"/>
        </w:rPr>
        <w:fldChar w:fldCharType="end"/>
      </w:r>
      <w:r w:rsidRPr="00E53AA4">
        <w:rPr>
          <w:rFonts w:ascii="Arial" w:hAnsi="Arial" w:cs="Arial"/>
          <w:sz w:val="24"/>
        </w:rPr>
        <w:t>: Illustrative Local Demand Scenario</w:t>
      </w:r>
      <w:bookmarkEnd w:id="44"/>
    </w:p>
    <w:tbl>
      <w:tblPr>
        <w:tblStyle w:val="TableGrid"/>
        <w:tblW w:w="0" w:type="auto"/>
        <w:tblLook w:val="04A0" w:firstRow="1" w:lastRow="0" w:firstColumn="1" w:lastColumn="0" w:noHBand="0" w:noVBand="1"/>
      </w:tblPr>
      <w:tblGrid>
        <w:gridCol w:w="2254"/>
        <w:gridCol w:w="2254"/>
        <w:gridCol w:w="2254"/>
        <w:gridCol w:w="2254"/>
      </w:tblGrid>
      <w:tr w:rsidR="00E53AA4" w:rsidRPr="00E53AA4" w14:paraId="0F1EE2D5" w14:textId="77777777" w:rsidTr="00E53AA4">
        <w:tc>
          <w:tcPr>
            <w:tcW w:w="2254" w:type="dxa"/>
          </w:tcPr>
          <w:p w14:paraId="04494657" w14:textId="77777777" w:rsidR="00E53AA4" w:rsidRPr="00E857CE" w:rsidRDefault="00E53AA4" w:rsidP="0038379F">
            <w:pPr>
              <w:spacing w:before="240" w:line="360" w:lineRule="auto"/>
              <w:jc w:val="both"/>
              <w:rPr>
                <w:rFonts w:ascii="Arial" w:hAnsi="Arial" w:cs="Arial"/>
                <w:b/>
                <w:sz w:val="24"/>
                <w:szCs w:val="24"/>
                <w:lang w:val="en-GB" w:eastAsia="en-GB"/>
              </w:rPr>
            </w:pPr>
            <w:r w:rsidRPr="00E857CE">
              <w:rPr>
                <w:rFonts w:ascii="Arial" w:hAnsi="Arial" w:cs="Arial"/>
                <w:b/>
                <w:sz w:val="24"/>
                <w:szCs w:val="24"/>
                <w:lang w:val="en-GB" w:eastAsia="en-GB"/>
              </w:rPr>
              <w:t>Segment</w:t>
            </w:r>
          </w:p>
        </w:tc>
        <w:tc>
          <w:tcPr>
            <w:tcW w:w="2254" w:type="dxa"/>
          </w:tcPr>
          <w:p w14:paraId="0A1C39C5" w14:textId="77777777" w:rsidR="00E53AA4" w:rsidRPr="00E857CE" w:rsidRDefault="00E53AA4" w:rsidP="0038379F">
            <w:pPr>
              <w:spacing w:before="240" w:line="360" w:lineRule="auto"/>
              <w:jc w:val="both"/>
              <w:rPr>
                <w:rFonts w:ascii="Arial" w:hAnsi="Arial" w:cs="Arial"/>
                <w:b/>
                <w:sz w:val="24"/>
                <w:szCs w:val="24"/>
                <w:lang w:val="en-GB" w:eastAsia="en-GB"/>
              </w:rPr>
            </w:pPr>
            <w:r w:rsidRPr="00E857CE">
              <w:rPr>
                <w:rFonts w:ascii="Arial" w:hAnsi="Arial" w:cs="Arial"/>
                <w:b/>
                <w:sz w:val="24"/>
                <w:szCs w:val="24"/>
                <w:lang w:val="en-GB" w:eastAsia="en-GB"/>
              </w:rPr>
              <w:t>Market pool</w:t>
            </w:r>
          </w:p>
        </w:tc>
        <w:tc>
          <w:tcPr>
            <w:tcW w:w="2254" w:type="dxa"/>
          </w:tcPr>
          <w:p w14:paraId="77E0FCF3" w14:textId="77777777" w:rsidR="00E53AA4" w:rsidRPr="00E857CE" w:rsidRDefault="00E53AA4" w:rsidP="0038379F">
            <w:pPr>
              <w:spacing w:before="240" w:line="360" w:lineRule="auto"/>
              <w:jc w:val="both"/>
              <w:rPr>
                <w:rFonts w:ascii="Arial" w:hAnsi="Arial" w:cs="Arial"/>
                <w:b/>
                <w:sz w:val="24"/>
                <w:szCs w:val="24"/>
                <w:lang w:val="en-GB" w:eastAsia="en-GB"/>
              </w:rPr>
            </w:pPr>
            <w:r w:rsidRPr="00E857CE">
              <w:rPr>
                <w:rFonts w:ascii="Arial" w:hAnsi="Arial" w:cs="Arial"/>
                <w:b/>
                <w:sz w:val="24"/>
                <w:szCs w:val="24"/>
                <w:lang w:val="en-GB" w:eastAsia="en-GB"/>
              </w:rPr>
              <w:t>Planning assumption</w:t>
            </w:r>
          </w:p>
        </w:tc>
        <w:tc>
          <w:tcPr>
            <w:tcW w:w="2254" w:type="dxa"/>
          </w:tcPr>
          <w:p w14:paraId="0D54F3EF" w14:textId="77777777" w:rsidR="00E53AA4" w:rsidRPr="00E857CE" w:rsidRDefault="00E53AA4" w:rsidP="0038379F">
            <w:pPr>
              <w:spacing w:before="240" w:line="360" w:lineRule="auto"/>
              <w:jc w:val="both"/>
              <w:rPr>
                <w:rFonts w:ascii="Arial" w:hAnsi="Arial" w:cs="Arial"/>
                <w:b/>
                <w:sz w:val="24"/>
                <w:szCs w:val="24"/>
                <w:lang w:val="en-GB" w:eastAsia="en-GB"/>
              </w:rPr>
            </w:pPr>
            <w:r w:rsidRPr="00E857CE">
              <w:rPr>
                <w:rFonts w:ascii="Arial" w:hAnsi="Arial" w:cs="Arial"/>
                <w:b/>
                <w:sz w:val="24"/>
                <w:szCs w:val="24"/>
                <w:lang w:val="en-GB" w:eastAsia="en-GB"/>
              </w:rPr>
              <w:t>Illustrative annual transactions</w:t>
            </w:r>
          </w:p>
        </w:tc>
      </w:tr>
      <w:tr w:rsidR="00E53AA4" w:rsidRPr="00E53AA4" w14:paraId="02EEC7EB" w14:textId="77777777" w:rsidTr="00E53AA4">
        <w:tc>
          <w:tcPr>
            <w:tcW w:w="2254" w:type="dxa"/>
          </w:tcPr>
          <w:p w14:paraId="2EF0B20A" w14:textId="77777777" w:rsidR="00E53AA4" w:rsidRPr="00E53AA4" w:rsidRDefault="00E53AA4" w:rsidP="0038379F">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lastRenderedPageBreak/>
              <w:t>Visitors</w:t>
            </w:r>
          </w:p>
        </w:tc>
        <w:tc>
          <w:tcPr>
            <w:tcW w:w="2254" w:type="dxa"/>
          </w:tcPr>
          <w:p w14:paraId="62EAE6FF" w14:textId="77777777" w:rsidR="00E53AA4" w:rsidRPr="00E53AA4" w:rsidRDefault="00E53AA4" w:rsidP="0038379F">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t>38,000,000 occasions</w:t>
            </w:r>
          </w:p>
        </w:tc>
        <w:tc>
          <w:tcPr>
            <w:tcW w:w="2254" w:type="dxa"/>
          </w:tcPr>
          <w:p w14:paraId="68ACBBC5" w14:textId="77777777" w:rsidR="00E53AA4" w:rsidRPr="00E53AA4" w:rsidRDefault="00E53AA4" w:rsidP="0038379F">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t>20% make a café purchase</w:t>
            </w:r>
          </w:p>
        </w:tc>
        <w:tc>
          <w:tcPr>
            <w:tcW w:w="2254" w:type="dxa"/>
          </w:tcPr>
          <w:p w14:paraId="45AC6D6D" w14:textId="77777777" w:rsidR="00E53AA4" w:rsidRPr="00E53AA4" w:rsidRDefault="00E53AA4" w:rsidP="0038379F">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t>7,600,000</w:t>
            </w:r>
          </w:p>
        </w:tc>
      </w:tr>
      <w:tr w:rsidR="00E53AA4" w:rsidRPr="00E53AA4" w14:paraId="5F62ECC7" w14:textId="77777777" w:rsidTr="00E53AA4">
        <w:tc>
          <w:tcPr>
            <w:tcW w:w="2254" w:type="dxa"/>
          </w:tcPr>
          <w:p w14:paraId="1D782344" w14:textId="77777777" w:rsidR="00E53AA4" w:rsidRPr="00E53AA4" w:rsidRDefault="00E53AA4" w:rsidP="0038379F">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t>Reachable visitor occasions</w:t>
            </w:r>
          </w:p>
        </w:tc>
        <w:tc>
          <w:tcPr>
            <w:tcW w:w="2254" w:type="dxa"/>
          </w:tcPr>
          <w:p w14:paraId="24EDB795" w14:textId="77777777" w:rsidR="00E53AA4" w:rsidRPr="00E53AA4" w:rsidRDefault="00E53AA4" w:rsidP="0038379F">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t>7,600,000</w:t>
            </w:r>
          </w:p>
        </w:tc>
        <w:tc>
          <w:tcPr>
            <w:tcW w:w="2254" w:type="dxa"/>
          </w:tcPr>
          <w:p w14:paraId="4EA88B5F" w14:textId="77777777" w:rsidR="00E53AA4" w:rsidRPr="00E53AA4" w:rsidRDefault="00E53AA4" w:rsidP="0038379F">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t>15% fall within realistic competitive catchment</w:t>
            </w:r>
          </w:p>
        </w:tc>
        <w:tc>
          <w:tcPr>
            <w:tcW w:w="2254" w:type="dxa"/>
          </w:tcPr>
          <w:p w14:paraId="32F796DA" w14:textId="77777777" w:rsidR="00E53AA4" w:rsidRPr="00E53AA4" w:rsidRDefault="00E53AA4" w:rsidP="0038379F">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t>1,140,000</w:t>
            </w:r>
          </w:p>
        </w:tc>
      </w:tr>
      <w:tr w:rsidR="00E53AA4" w:rsidRPr="00E53AA4" w14:paraId="3CBAC120" w14:textId="77777777" w:rsidTr="00E53AA4">
        <w:tc>
          <w:tcPr>
            <w:tcW w:w="2254" w:type="dxa"/>
          </w:tcPr>
          <w:p w14:paraId="71228859" w14:textId="77777777" w:rsidR="00E53AA4" w:rsidRPr="00E53AA4" w:rsidRDefault="00E53AA4" w:rsidP="0038379F">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t>TEBC visitor capture</w:t>
            </w:r>
          </w:p>
        </w:tc>
        <w:tc>
          <w:tcPr>
            <w:tcW w:w="2254" w:type="dxa"/>
          </w:tcPr>
          <w:p w14:paraId="54D5BA6A" w14:textId="77777777" w:rsidR="00E53AA4" w:rsidRPr="00E53AA4" w:rsidRDefault="00E53AA4" w:rsidP="0038379F">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t>1,140,000</w:t>
            </w:r>
          </w:p>
        </w:tc>
        <w:tc>
          <w:tcPr>
            <w:tcW w:w="2254" w:type="dxa"/>
          </w:tcPr>
          <w:p w14:paraId="265D468E" w14:textId="77777777" w:rsidR="00E53AA4" w:rsidRPr="00E53AA4" w:rsidRDefault="00E53AA4" w:rsidP="0038379F">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t>2% captured by TEBC</w:t>
            </w:r>
          </w:p>
        </w:tc>
        <w:tc>
          <w:tcPr>
            <w:tcW w:w="2254" w:type="dxa"/>
          </w:tcPr>
          <w:p w14:paraId="63688B74" w14:textId="77777777" w:rsidR="00E53AA4" w:rsidRPr="00E53AA4" w:rsidRDefault="00E53AA4" w:rsidP="0038379F">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t>22,800</w:t>
            </w:r>
          </w:p>
        </w:tc>
      </w:tr>
      <w:tr w:rsidR="00E53AA4" w:rsidRPr="00E53AA4" w14:paraId="39E6D1B4" w14:textId="77777777" w:rsidTr="00E53AA4">
        <w:tc>
          <w:tcPr>
            <w:tcW w:w="2254" w:type="dxa"/>
          </w:tcPr>
          <w:p w14:paraId="638FB640" w14:textId="77777777" w:rsidR="00E53AA4" w:rsidRPr="00E53AA4" w:rsidRDefault="00E53AA4" w:rsidP="0038379F">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t>Average transaction value</w:t>
            </w:r>
          </w:p>
        </w:tc>
        <w:tc>
          <w:tcPr>
            <w:tcW w:w="2254" w:type="dxa"/>
          </w:tcPr>
          <w:p w14:paraId="1B4F95FC" w14:textId="77777777" w:rsidR="00E53AA4" w:rsidRPr="00E53AA4" w:rsidRDefault="00E53AA4" w:rsidP="0038379F">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t>22,800 transactions</w:t>
            </w:r>
          </w:p>
        </w:tc>
        <w:tc>
          <w:tcPr>
            <w:tcW w:w="2254" w:type="dxa"/>
          </w:tcPr>
          <w:p w14:paraId="5739AB21" w14:textId="77777777" w:rsidR="00E53AA4" w:rsidRPr="00E53AA4" w:rsidRDefault="00E53AA4" w:rsidP="0038379F">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t>£7 per transaction</w:t>
            </w:r>
          </w:p>
        </w:tc>
        <w:tc>
          <w:tcPr>
            <w:tcW w:w="2254" w:type="dxa"/>
          </w:tcPr>
          <w:p w14:paraId="5A66EEDF" w14:textId="77777777" w:rsidR="00E53AA4" w:rsidRPr="00E53AA4" w:rsidRDefault="00E53AA4" w:rsidP="0038379F">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t>£159,600</w:t>
            </w:r>
          </w:p>
        </w:tc>
      </w:tr>
    </w:tbl>
    <w:p w14:paraId="70CA1041" w14:textId="591964D9" w:rsidR="00E53AA4" w:rsidRPr="00E53AA4" w:rsidRDefault="00E53AA4" w:rsidP="00E53AA4">
      <w:pPr>
        <w:spacing w:before="240" w:line="360" w:lineRule="auto"/>
        <w:jc w:val="both"/>
        <w:rPr>
          <w:rFonts w:ascii="Arial" w:hAnsi="Arial" w:cs="Arial"/>
          <w:sz w:val="24"/>
          <w:szCs w:val="24"/>
          <w:lang w:val="en-GB" w:eastAsia="en-GB"/>
        </w:rPr>
      </w:pPr>
      <w:r w:rsidRPr="00E857CE">
        <w:rPr>
          <w:rFonts w:ascii="Arial" w:hAnsi="Arial" w:cs="Arial"/>
          <w:b/>
          <w:sz w:val="24"/>
          <w:szCs w:val="24"/>
          <w:lang w:val="en-GB" w:eastAsia="en-GB"/>
        </w:rPr>
        <w:t>Source:</w:t>
      </w:r>
      <w:r w:rsidRPr="00E53AA4">
        <w:rPr>
          <w:rFonts w:ascii="Arial" w:hAnsi="Arial" w:cs="Arial"/>
          <w:sz w:val="24"/>
          <w:szCs w:val="24"/>
          <w:lang w:val="en-GB" w:eastAsia="en-GB"/>
        </w:rPr>
        <w:t xml:space="preserve"> Researcher’s illustrative calculation. The 20%, 15%, 2% and £7 figures are planning assumptions and are not published market </w:t>
      </w:r>
      <w:r>
        <w:rPr>
          <w:rFonts w:ascii="Arial" w:hAnsi="Arial" w:cs="Arial"/>
          <w:sz w:val="24"/>
          <w:szCs w:val="24"/>
          <w:lang w:val="en-GB" w:eastAsia="en-GB"/>
        </w:rPr>
        <w:t>statistics or a sales forecast</w:t>
      </w:r>
    </w:p>
    <w:p w14:paraId="2F770579" w14:textId="441C8999" w:rsidR="004C6A98" w:rsidRPr="004C6A98" w:rsidRDefault="00E53AA4" w:rsidP="004C6A98">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t>The resulting £159,600 should not be interpreted as a first-year revenue forecast. It represents an illustrative scenario for the visitor segment only and demonstrates how a proportion of the available local demand could translate into transactions. The assumptions require validation through competitor observation, supplier and pricing analysis, test trading and subsequent transaction data. Importantly, this scenario excludes repeat purchasing from workers and residents. A fuller commercial model should therefore estimate these segments separately using realistic purchase frequencies and average transaction values.</w:t>
      </w:r>
    </w:p>
    <w:p w14:paraId="69B92379" w14:textId="027CEFA2" w:rsidR="004C6A98" w:rsidRPr="004C6A98" w:rsidRDefault="004C6A98" w:rsidP="008B0B6B">
      <w:pPr>
        <w:pStyle w:val="Heading2"/>
        <w:rPr>
          <w:lang w:val="en-GB" w:eastAsia="en-GB"/>
        </w:rPr>
      </w:pPr>
      <w:bookmarkStart w:id="45" w:name="_Toc240811412"/>
      <w:r w:rsidRPr="004C6A98">
        <w:rPr>
          <w:lang w:val="en-GB" w:eastAsia="en-GB"/>
        </w:rPr>
        <w:t>5.4 Ma</w:t>
      </w:r>
      <w:r w:rsidR="0051296B">
        <w:rPr>
          <w:lang w:val="en-GB" w:eastAsia="en-GB"/>
        </w:rPr>
        <w:t>rket Segmentation and Targeting</w:t>
      </w:r>
      <w:bookmarkEnd w:id="45"/>
    </w:p>
    <w:p w14:paraId="6446319C" w14:textId="5FDB990A" w:rsidR="0010342D" w:rsidRPr="0010342D" w:rsidRDefault="0010342D" w:rsidP="0010342D">
      <w:pPr>
        <w:spacing w:before="240" w:line="360" w:lineRule="auto"/>
        <w:jc w:val="both"/>
        <w:rPr>
          <w:rFonts w:ascii="Arial" w:hAnsi="Arial" w:cs="Arial"/>
          <w:sz w:val="24"/>
          <w:szCs w:val="24"/>
          <w:lang w:val="en-GB" w:eastAsia="en-GB"/>
        </w:rPr>
      </w:pPr>
      <w:r w:rsidRPr="0010342D">
        <w:rPr>
          <w:rFonts w:ascii="Arial" w:hAnsi="Arial" w:cs="Arial"/>
          <w:sz w:val="24"/>
          <w:szCs w:val="24"/>
          <w:lang w:val="en-GB" w:eastAsia="en-GB"/>
        </w:rPr>
        <w:t>Analysis based upon STP: Geographic, Demographic, Psychographic and Behavioural Segments and Identification of Most C</w:t>
      </w:r>
      <w:r w:rsidR="008B0B6B">
        <w:rPr>
          <w:rFonts w:ascii="Arial" w:hAnsi="Arial" w:cs="Arial"/>
          <w:sz w:val="24"/>
          <w:szCs w:val="24"/>
          <w:lang w:val="en-GB" w:eastAsia="en-GB"/>
        </w:rPr>
        <w:t>ommercially Relevant Customers</w:t>
      </w:r>
    </w:p>
    <w:p w14:paraId="75207365" w14:textId="25B4FC44" w:rsidR="0010342D" w:rsidRPr="0010342D" w:rsidRDefault="0010342D" w:rsidP="0010342D">
      <w:pPr>
        <w:spacing w:before="240" w:line="360" w:lineRule="auto"/>
        <w:jc w:val="both"/>
        <w:rPr>
          <w:rFonts w:ascii="Arial" w:hAnsi="Arial" w:cs="Arial"/>
          <w:sz w:val="24"/>
          <w:szCs w:val="24"/>
          <w:lang w:val="en-GB" w:eastAsia="en-GB"/>
        </w:rPr>
      </w:pPr>
      <w:r w:rsidRPr="0010342D">
        <w:rPr>
          <w:rFonts w:ascii="Arial" w:hAnsi="Arial" w:cs="Arial"/>
          <w:sz w:val="24"/>
          <w:szCs w:val="24"/>
          <w:lang w:val="en-GB" w:eastAsia="en-GB"/>
        </w:rPr>
        <w:t xml:space="preserve">Geographic segmentation relates to customers living within walking distance of Monmouth Street and the larger Covent Garden/West End community. This is especially significant for workers and residents as repeat purchases from the cafés is related to their convenience and </w:t>
      </w:r>
      <w:r w:rsidR="008B0B6B">
        <w:rPr>
          <w:rFonts w:ascii="Arial" w:hAnsi="Arial" w:cs="Arial"/>
          <w:sz w:val="24"/>
          <w:szCs w:val="24"/>
          <w:lang w:val="en-GB" w:eastAsia="en-GB"/>
        </w:rPr>
        <w:t>accessibility</w:t>
      </w:r>
    </w:p>
    <w:p w14:paraId="59A6CA02" w14:textId="0C2CFA57" w:rsidR="0010342D" w:rsidRPr="0010342D" w:rsidRDefault="0010342D" w:rsidP="0010342D">
      <w:pPr>
        <w:spacing w:before="240" w:line="360" w:lineRule="auto"/>
        <w:jc w:val="both"/>
        <w:rPr>
          <w:rFonts w:ascii="Arial" w:hAnsi="Arial" w:cs="Arial"/>
          <w:sz w:val="24"/>
          <w:szCs w:val="24"/>
          <w:lang w:val="en-GB" w:eastAsia="en-GB"/>
        </w:rPr>
      </w:pPr>
      <w:r w:rsidRPr="0010342D">
        <w:rPr>
          <w:rFonts w:ascii="Arial" w:hAnsi="Arial" w:cs="Arial"/>
          <w:sz w:val="24"/>
          <w:szCs w:val="24"/>
          <w:lang w:val="en-GB" w:eastAsia="en-GB"/>
        </w:rPr>
        <w:lastRenderedPageBreak/>
        <w:t>Demographic segmentation focuses on economically active people – those working in the profession, but also those who are studying – and acknowledges that there is a much wider mix of visitors to Covent Garden t</w:t>
      </w:r>
      <w:r w:rsidR="008B0B6B">
        <w:rPr>
          <w:rFonts w:ascii="Arial" w:hAnsi="Arial" w:cs="Arial"/>
          <w:sz w:val="24"/>
          <w:szCs w:val="24"/>
          <w:lang w:val="en-GB" w:eastAsia="en-GB"/>
        </w:rPr>
        <w:t>han those who live in the area.</w:t>
      </w:r>
    </w:p>
    <w:p w14:paraId="1F02FB98" w14:textId="74306EAD" w:rsidR="0010342D" w:rsidRPr="0010342D" w:rsidRDefault="0010342D" w:rsidP="0010342D">
      <w:pPr>
        <w:spacing w:before="240" w:line="360" w:lineRule="auto"/>
        <w:jc w:val="both"/>
        <w:rPr>
          <w:rFonts w:ascii="Arial" w:hAnsi="Arial" w:cs="Arial"/>
          <w:sz w:val="24"/>
          <w:szCs w:val="24"/>
          <w:lang w:val="en-GB" w:eastAsia="en-GB"/>
        </w:rPr>
      </w:pPr>
      <w:r w:rsidRPr="0010342D">
        <w:rPr>
          <w:rFonts w:ascii="Arial" w:hAnsi="Arial" w:cs="Arial"/>
          <w:sz w:val="24"/>
          <w:szCs w:val="24"/>
          <w:lang w:val="en-GB" w:eastAsia="en-GB"/>
        </w:rPr>
        <w:t>Psychographic segmentation focuses particularly on consumers interested in specialty coffee, quality, ethical consumption, sustainability and experiential hospitality. It is consistent with research showing consumers might be willing to pay increased prices for sustainable and trustworthy coffee attributes (Fuller and Grebitus</w:t>
      </w:r>
      <w:r w:rsidR="008B0B6B">
        <w:rPr>
          <w:rFonts w:ascii="Arial" w:hAnsi="Arial" w:cs="Arial"/>
          <w:sz w:val="24"/>
          <w:szCs w:val="24"/>
          <w:lang w:val="en-GB" w:eastAsia="en-GB"/>
        </w:rPr>
        <w:t>, 2023; Abdu and Mutuku, 2021).</w:t>
      </w:r>
    </w:p>
    <w:p w14:paraId="0CD862D2" w14:textId="426F969A" w:rsidR="0010342D" w:rsidRPr="0010342D" w:rsidRDefault="0010342D" w:rsidP="0010342D">
      <w:pPr>
        <w:spacing w:before="240" w:line="360" w:lineRule="auto"/>
        <w:jc w:val="both"/>
        <w:rPr>
          <w:rFonts w:ascii="Arial" w:hAnsi="Arial" w:cs="Arial"/>
          <w:sz w:val="24"/>
          <w:szCs w:val="24"/>
          <w:lang w:val="en-GB" w:eastAsia="en-GB"/>
        </w:rPr>
      </w:pPr>
      <w:r w:rsidRPr="0010342D">
        <w:rPr>
          <w:rFonts w:ascii="Arial" w:hAnsi="Arial" w:cs="Arial"/>
          <w:sz w:val="24"/>
          <w:szCs w:val="24"/>
          <w:lang w:val="en-GB" w:eastAsia="en-GB"/>
        </w:rPr>
        <w:t>Behavioural segmentation takes into account the frequency of coffee purchase, the number of times the person visits the café, his interest in specialty products, and the person's likelihood of repeat purchasing. So workers or regular local visitors are a more attractive prospect than occasional tourists, if they can sup</w:t>
      </w:r>
      <w:r w:rsidR="008B0B6B">
        <w:rPr>
          <w:rFonts w:ascii="Arial" w:hAnsi="Arial" w:cs="Arial"/>
          <w:sz w:val="24"/>
          <w:szCs w:val="24"/>
          <w:lang w:val="en-GB" w:eastAsia="en-GB"/>
        </w:rPr>
        <w:t>ply a recurring flow of income.</w:t>
      </w:r>
    </w:p>
    <w:p w14:paraId="5EC61C57" w14:textId="21502708" w:rsidR="004C6A98" w:rsidRPr="004C6A98" w:rsidRDefault="0010342D" w:rsidP="004C6A98">
      <w:pPr>
        <w:spacing w:before="240" w:line="360" w:lineRule="auto"/>
        <w:jc w:val="both"/>
        <w:rPr>
          <w:rFonts w:ascii="Arial" w:hAnsi="Arial" w:cs="Arial"/>
          <w:sz w:val="24"/>
          <w:szCs w:val="24"/>
          <w:lang w:val="en-GB" w:eastAsia="en-GB"/>
        </w:rPr>
      </w:pPr>
      <w:r w:rsidRPr="0010342D">
        <w:rPr>
          <w:rFonts w:ascii="Arial" w:hAnsi="Arial" w:cs="Arial"/>
          <w:sz w:val="24"/>
          <w:szCs w:val="24"/>
          <w:lang w:val="en-GB" w:eastAsia="en-GB"/>
        </w:rPr>
        <w:t xml:space="preserve">Based on this, specialty-coffee consumers and urban professionals who are concerned with ethical issues and appreciate quality, convenience and responsible sourcing are the primary target segment. The key secondary market is at the core of the Covent Garden visitors, and the local market offers a further repeat purchase </w:t>
      </w:r>
      <w:r>
        <w:rPr>
          <w:rFonts w:ascii="Arial" w:hAnsi="Arial" w:cs="Arial"/>
          <w:sz w:val="24"/>
          <w:szCs w:val="24"/>
          <w:lang w:val="en-GB" w:eastAsia="en-GB"/>
        </w:rPr>
        <w:t>opportunity</w:t>
      </w:r>
      <w:r w:rsidR="008B0B6B">
        <w:rPr>
          <w:rFonts w:ascii="Arial" w:hAnsi="Arial" w:cs="Arial"/>
          <w:sz w:val="24"/>
          <w:szCs w:val="24"/>
          <w:lang w:val="en-GB" w:eastAsia="en-GB"/>
        </w:rPr>
        <w:t>.</w:t>
      </w:r>
    </w:p>
    <w:p w14:paraId="5AE5604B" w14:textId="7E88E8E3" w:rsidR="004C6A98" w:rsidRPr="00AD7940" w:rsidRDefault="004C6A98" w:rsidP="00AD7940">
      <w:pPr>
        <w:pStyle w:val="Heading2"/>
        <w:rPr>
          <w:lang w:val="en-GB" w:eastAsia="en-GB"/>
        </w:rPr>
      </w:pPr>
      <w:bookmarkStart w:id="46" w:name="_Toc240811413"/>
      <w:r w:rsidRPr="004C6A98">
        <w:rPr>
          <w:lang w:val="en-GB" w:eastAsia="en-GB"/>
        </w:rPr>
        <w:t>5.5 Indicative TAM, SAM and SOM</w:t>
      </w:r>
      <w:bookmarkEnd w:id="46"/>
    </w:p>
    <w:p w14:paraId="62963AD6" w14:textId="16D50DF6" w:rsidR="004C6A98" w:rsidRDefault="00104C38" w:rsidP="004C6A98">
      <w:pPr>
        <w:spacing w:before="240" w:line="360" w:lineRule="auto"/>
        <w:jc w:val="both"/>
        <w:rPr>
          <w:rFonts w:ascii="Arial" w:hAnsi="Arial" w:cs="Arial"/>
          <w:sz w:val="24"/>
          <w:szCs w:val="24"/>
          <w:lang w:val="en-GB" w:eastAsia="en-GB"/>
        </w:rPr>
      </w:pPr>
      <w:r w:rsidRPr="00104C38">
        <w:rPr>
          <w:rFonts w:ascii="Arial" w:hAnsi="Arial" w:cs="Arial"/>
          <w:sz w:val="24"/>
          <w:szCs w:val="24"/>
          <w:lang w:val="en-GB" w:eastAsia="en-GB"/>
        </w:rPr>
        <w:t xml:space="preserve">A local market estimate should differentiate the overall market from the market that is potentially achievable and ultimately achievable by one café. A scenario is, therefore, a combination of published local market indicators and explicit researcher assumptions that are then combined in a scenario that is </w:t>
      </w:r>
      <w:r w:rsidR="00AD7940" w:rsidRPr="00104C38">
        <w:rPr>
          <w:rFonts w:ascii="Arial" w:hAnsi="Arial" w:cs="Arial"/>
          <w:sz w:val="24"/>
          <w:szCs w:val="24"/>
          <w:lang w:val="en-GB" w:eastAsia="en-GB"/>
        </w:rPr>
        <w:t>validated. A</w:t>
      </w:r>
      <w:r w:rsidRPr="00104C38">
        <w:rPr>
          <w:rFonts w:ascii="Arial" w:hAnsi="Arial" w:cs="Arial"/>
          <w:sz w:val="24"/>
          <w:szCs w:val="24"/>
          <w:lang w:val="en-GB" w:eastAsia="en-GB"/>
        </w:rPr>
        <w:t xml:space="preserve"> scenario is, therefore, a combination of published local market indicators and explicit researcher assumptions that are combi</w:t>
      </w:r>
      <w:r>
        <w:rPr>
          <w:rFonts w:ascii="Arial" w:hAnsi="Arial" w:cs="Arial"/>
          <w:sz w:val="24"/>
          <w:szCs w:val="24"/>
          <w:lang w:val="en-GB" w:eastAsia="en-GB"/>
        </w:rPr>
        <w:t>ned in a scenario and validated</w:t>
      </w:r>
    </w:p>
    <w:p w14:paraId="06854128" w14:textId="0375A0D5" w:rsidR="00E857CE" w:rsidRDefault="00E857CE" w:rsidP="004C6A98">
      <w:pPr>
        <w:spacing w:before="240" w:line="360" w:lineRule="auto"/>
        <w:jc w:val="both"/>
        <w:rPr>
          <w:rFonts w:ascii="Arial" w:hAnsi="Arial" w:cs="Arial"/>
          <w:sz w:val="24"/>
          <w:szCs w:val="24"/>
          <w:lang w:val="en-GB" w:eastAsia="en-GB"/>
        </w:rPr>
      </w:pPr>
    </w:p>
    <w:p w14:paraId="52A7AC92" w14:textId="77777777" w:rsidR="00E857CE" w:rsidRPr="004C6A98" w:rsidRDefault="00E857CE" w:rsidP="004C6A98">
      <w:pPr>
        <w:spacing w:before="240" w:line="360" w:lineRule="auto"/>
        <w:jc w:val="both"/>
        <w:rPr>
          <w:rFonts w:ascii="Arial" w:hAnsi="Arial" w:cs="Arial"/>
          <w:sz w:val="24"/>
          <w:szCs w:val="24"/>
          <w:lang w:val="en-GB" w:eastAsia="en-GB"/>
        </w:rPr>
      </w:pPr>
    </w:p>
    <w:p w14:paraId="33BF6210" w14:textId="712472CB" w:rsidR="00AD7940" w:rsidRPr="00AD7940" w:rsidRDefault="00AD7940" w:rsidP="00AD7940">
      <w:pPr>
        <w:pStyle w:val="Caption"/>
        <w:keepNext/>
        <w:jc w:val="both"/>
        <w:rPr>
          <w:rFonts w:ascii="Arial" w:hAnsi="Arial" w:cs="Arial"/>
          <w:sz w:val="24"/>
        </w:rPr>
      </w:pPr>
      <w:bookmarkStart w:id="47" w:name="_Toc240810934"/>
      <w:r w:rsidRPr="00AD7940">
        <w:rPr>
          <w:rFonts w:ascii="Arial" w:hAnsi="Arial" w:cs="Arial"/>
          <w:sz w:val="24"/>
        </w:rPr>
        <w:lastRenderedPageBreak/>
        <w:t xml:space="preserve">Table </w:t>
      </w:r>
      <w:r w:rsidRPr="00AD7940">
        <w:rPr>
          <w:rFonts w:ascii="Arial" w:hAnsi="Arial" w:cs="Arial"/>
          <w:sz w:val="24"/>
        </w:rPr>
        <w:fldChar w:fldCharType="begin"/>
      </w:r>
      <w:r w:rsidRPr="00AD7940">
        <w:rPr>
          <w:rFonts w:ascii="Arial" w:hAnsi="Arial" w:cs="Arial"/>
          <w:sz w:val="24"/>
        </w:rPr>
        <w:instrText xml:space="preserve"> SEQ Table \* ARABIC </w:instrText>
      </w:r>
      <w:r w:rsidRPr="00AD7940">
        <w:rPr>
          <w:rFonts w:ascii="Arial" w:hAnsi="Arial" w:cs="Arial"/>
          <w:sz w:val="24"/>
        </w:rPr>
        <w:fldChar w:fldCharType="separate"/>
      </w:r>
      <w:r w:rsidR="004E1559">
        <w:rPr>
          <w:rFonts w:ascii="Arial" w:hAnsi="Arial" w:cs="Arial"/>
          <w:noProof/>
          <w:sz w:val="24"/>
        </w:rPr>
        <w:t>3</w:t>
      </w:r>
      <w:r w:rsidRPr="00AD7940">
        <w:rPr>
          <w:rFonts w:ascii="Arial" w:hAnsi="Arial" w:cs="Arial"/>
          <w:sz w:val="24"/>
        </w:rPr>
        <w:fldChar w:fldCharType="end"/>
      </w:r>
      <w:r w:rsidRPr="00AD7940">
        <w:rPr>
          <w:rFonts w:ascii="Arial" w:hAnsi="Arial" w:cs="Arial"/>
          <w:sz w:val="24"/>
        </w:rPr>
        <w:t>: Indicative Market Opportunity</w:t>
      </w:r>
      <w:bookmarkEnd w:id="47"/>
    </w:p>
    <w:tbl>
      <w:tblPr>
        <w:tblStyle w:val="TableGrid"/>
        <w:tblW w:w="0" w:type="auto"/>
        <w:tblLook w:val="04A0" w:firstRow="1" w:lastRow="0" w:firstColumn="1" w:lastColumn="0" w:noHBand="0" w:noVBand="1"/>
      </w:tblPr>
      <w:tblGrid>
        <w:gridCol w:w="2254"/>
        <w:gridCol w:w="2254"/>
        <w:gridCol w:w="2254"/>
        <w:gridCol w:w="2254"/>
      </w:tblGrid>
      <w:tr w:rsidR="0051296B" w:rsidRPr="0051296B" w14:paraId="18F399CD" w14:textId="77777777" w:rsidTr="0051296B">
        <w:tc>
          <w:tcPr>
            <w:tcW w:w="2254" w:type="dxa"/>
          </w:tcPr>
          <w:p w14:paraId="047A57A3" w14:textId="77777777" w:rsidR="0051296B" w:rsidRPr="005438A3" w:rsidRDefault="0051296B" w:rsidP="008B0B6B">
            <w:pPr>
              <w:spacing w:before="240" w:line="360" w:lineRule="auto"/>
              <w:jc w:val="both"/>
              <w:rPr>
                <w:rFonts w:ascii="Arial" w:hAnsi="Arial" w:cs="Arial"/>
                <w:b/>
                <w:sz w:val="24"/>
                <w:szCs w:val="24"/>
                <w:lang w:val="en-GB" w:eastAsia="en-GB"/>
              </w:rPr>
            </w:pPr>
            <w:r w:rsidRPr="005438A3">
              <w:rPr>
                <w:rFonts w:ascii="Arial" w:hAnsi="Arial" w:cs="Arial"/>
                <w:b/>
                <w:sz w:val="24"/>
                <w:szCs w:val="24"/>
                <w:lang w:val="en-GB" w:eastAsia="en-GB"/>
              </w:rPr>
              <w:t>Measure</w:t>
            </w:r>
          </w:p>
        </w:tc>
        <w:tc>
          <w:tcPr>
            <w:tcW w:w="2254" w:type="dxa"/>
          </w:tcPr>
          <w:p w14:paraId="6480BA1D" w14:textId="77777777" w:rsidR="0051296B" w:rsidRPr="005438A3" w:rsidRDefault="0051296B" w:rsidP="008B0B6B">
            <w:pPr>
              <w:spacing w:before="240" w:line="360" w:lineRule="auto"/>
              <w:jc w:val="both"/>
              <w:rPr>
                <w:rFonts w:ascii="Arial" w:hAnsi="Arial" w:cs="Arial"/>
                <w:b/>
                <w:sz w:val="24"/>
                <w:szCs w:val="24"/>
                <w:lang w:val="en-GB" w:eastAsia="en-GB"/>
              </w:rPr>
            </w:pPr>
            <w:r w:rsidRPr="005438A3">
              <w:rPr>
                <w:rFonts w:ascii="Arial" w:hAnsi="Arial" w:cs="Arial"/>
                <w:b/>
                <w:sz w:val="24"/>
                <w:szCs w:val="24"/>
                <w:lang w:val="en-GB" w:eastAsia="en-GB"/>
              </w:rPr>
              <w:t>Basis</w:t>
            </w:r>
          </w:p>
        </w:tc>
        <w:tc>
          <w:tcPr>
            <w:tcW w:w="2254" w:type="dxa"/>
          </w:tcPr>
          <w:p w14:paraId="3970E9B0" w14:textId="77777777" w:rsidR="0051296B" w:rsidRPr="005438A3" w:rsidRDefault="0051296B" w:rsidP="008B0B6B">
            <w:pPr>
              <w:spacing w:before="240" w:line="360" w:lineRule="auto"/>
              <w:jc w:val="both"/>
              <w:rPr>
                <w:rFonts w:ascii="Arial" w:hAnsi="Arial" w:cs="Arial"/>
                <w:b/>
                <w:sz w:val="24"/>
                <w:szCs w:val="24"/>
                <w:lang w:val="en-GB" w:eastAsia="en-GB"/>
              </w:rPr>
            </w:pPr>
            <w:r w:rsidRPr="005438A3">
              <w:rPr>
                <w:rFonts w:ascii="Arial" w:hAnsi="Arial" w:cs="Arial"/>
                <w:b/>
                <w:sz w:val="24"/>
                <w:szCs w:val="24"/>
                <w:lang w:val="en-GB" w:eastAsia="en-GB"/>
              </w:rPr>
              <w:t>Calculation</w:t>
            </w:r>
          </w:p>
        </w:tc>
        <w:tc>
          <w:tcPr>
            <w:tcW w:w="2254" w:type="dxa"/>
          </w:tcPr>
          <w:p w14:paraId="3BC1E825" w14:textId="77777777" w:rsidR="0051296B" w:rsidRPr="005438A3" w:rsidRDefault="0051296B" w:rsidP="008B0B6B">
            <w:pPr>
              <w:spacing w:before="240" w:line="360" w:lineRule="auto"/>
              <w:jc w:val="both"/>
              <w:rPr>
                <w:rFonts w:ascii="Arial" w:hAnsi="Arial" w:cs="Arial"/>
                <w:b/>
                <w:sz w:val="24"/>
                <w:szCs w:val="24"/>
                <w:lang w:val="en-GB" w:eastAsia="en-GB"/>
              </w:rPr>
            </w:pPr>
            <w:r w:rsidRPr="005438A3">
              <w:rPr>
                <w:rFonts w:ascii="Arial" w:hAnsi="Arial" w:cs="Arial"/>
                <w:b/>
                <w:sz w:val="24"/>
                <w:szCs w:val="24"/>
                <w:lang w:val="en-GB" w:eastAsia="en-GB"/>
              </w:rPr>
              <w:t>Indicative result</w:t>
            </w:r>
          </w:p>
        </w:tc>
      </w:tr>
      <w:tr w:rsidR="0051296B" w:rsidRPr="0051296B" w14:paraId="71484CFC" w14:textId="77777777" w:rsidTr="0051296B">
        <w:tc>
          <w:tcPr>
            <w:tcW w:w="2254" w:type="dxa"/>
          </w:tcPr>
          <w:p w14:paraId="54601674" w14:textId="77777777" w:rsidR="0051296B" w:rsidRPr="0051296B" w:rsidRDefault="0051296B" w:rsidP="008B0B6B">
            <w:pPr>
              <w:spacing w:before="240" w:line="360" w:lineRule="auto"/>
              <w:jc w:val="both"/>
              <w:rPr>
                <w:rFonts w:ascii="Arial" w:hAnsi="Arial" w:cs="Arial"/>
                <w:sz w:val="24"/>
                <w:szCs w:val="24"/>
                <w:lang w:val="en-GB" w:eastAsia="en-GB"/>
              </w:rPr>
            </w:pPr>
            <w:r w:rsidRPr="0051296B">
              <w:rPr>
                <w:rFonts w:ascii="Arial" w:hAnsi="Arial" w:cs="Arial"/>
                <w:sz w:val="24"/>
                <w:szCs w:val="24"/>
                <w:lang w:val="en-GB" w:eastAsia="en-GB"/>
              </w:rPr>
              <w:t>TAM</w:t>
            </w:r>
          </w:p>
        </w:tc>
        <w:tc>
          <w:tcPr>
            <w:tcW w:w="2254" w:type="dxa"/>
          </w:tcPr>
          <w:p w14:paraId="054A36D6" w14:textId="77777777" w:rsidR="0051296B" w:rsidRPr="0051296B" w:rsidRDefault="0051296B" w:rsidP="008B0B6B">
            <w:pPr>
              <w:spacing w:before="240" w:line="360" w:lineRule="auto"/>
              <w:jc w:val="both"/>
              <w:rPr>
                <w:rFonts w:ascii="Arial" w:hAnsi="Arial" w:cs="Arial"/>
                <w:sz w:val="24"/>
                <w:szCs w:val="24"/>
                <w:lang w:val="en-GB" w:eastAsia="en-GB"/>
              </w:rPr>
            </w:pPr>
            <w:r w:rsidRPr="0051296B">
              <w:rPr>
                <w:rFonts w:ascii="Arial" w:hAnsi="Arial" w:cs="Arial"/>
                <w:sz w:val="24"/>
                <w:szCs w:val="24"/>
                <w:lang w:val="en-GB" w:eastAsia="en-GB"/>
              </w:rPr>
              <w:t>Covent Garden annual visitors</w:t>
            </w:r>
          </w:p>
        </w:tc>
        <w:tc>
          <w:tcPr>
            <w:tcW w:w="2254" w:type="dxa"/>
          </w:tcPr>
          <w:p w14:paraId="0B26694A" w14:textId="77777777" w:rsidR="0051296B" w:rsidRPr="0051296B" w:rsidRDefault="0051296B" w:rsidP="008B0B6B">
            <w:pPr>
              <w:spacing w:before="240" w:line="360" w:lineRule="auto"/>
              <w:jc w:val="both"/>
              <w:rPr>
                <w:rFonts w:ascii="Arial" w:hAnsi="Arial" w:cs="Arial"/>
                <w:sz w:val="24"/>
                <w:szCs w:val="24"/>
                <w:lang w:val="en-GB" w:eastAsia="en-GB"/>
              </w:rPr>
            </w:pPr>
            <w:r w:rsidRPr="0051296B">
              <w:rPr>
                <w:rFonts w:ascii="Arial" w:hAnsi="Arial" w:cs="Arial"/>
                <w:sz w:val="24"/>
                <w:szCs w:val="24"/>
                <w:lang w:val="en-GB" w:eastAsia="en-GB"/>
              </w:rPr>
              <w:t>Published estimate</w:t>
            </w:r>
          </w:p>
        </w:tc>
        <w:tc>
          <w:tcPr>
            <w:tcW w:w="2254" w:type="dxa"/>
          </w:tcPr>
          <w:p w14:paraId="5BA2028A" w14:textId="173C981E" w:rsidR="0051296B" w:rsidRPr="0051296B" w:rsidRDefault="0051296B" w:rsidP="008B0B6B">
            <w:pPr>
              <w:spacing w:before="240" w:line="360" w:lineRule="auto"/>
              <w:jc w:val="both"/>
              <w:rPr>
                <w:rFonts w:ascii="Arial" w:hAnsi="Arial" w:cs="Arial"/>
                <w:sz w:val="24"/>
                <w:szCs w:val="24"/>
                <w:lang w:val="en-GB" w:eastAsia="en-GB"/>
              </w:rPr>
            </w:pPr>
            <w:r w:rsidRPr="0051296B">
              <w:rPr>
                <w:rFonts w:ascii="Arial" w:hAnsi="Arial" w:cs="Arial"/>
                <w:sz w:val="24"/>
                <w:szCs w:val="24"/>
                <w:lang w:val="en-GB" w:eastAsia="en-GB"/>
              </w:rPr>
              <w:t xml:space="preserve">38,000,000 </w:t>
            </w:r>
            <w:r w:rsidR="00E857CE" w:rsidRPr="00E857CE">
              <w:rPr>
                <w:rFonts w:ascii="Arial" w:hAnsi="Arial" w:cs="Arial"/>
                <w:sz w:val="24"/>
                <w:szCs w:val="24"/>
                <w:lang w:val="en-GB" w:eastAsia="en-GB"/>
              </w:rPr>
              <w:t>individual customers.</w:t>
            </w:r>
          </w:p>
        </w:tc>
      </w:tr>
      <w:tr w:rsidR="0051296B" w:rsidRPr="0051296B" w14:paraId="623D09DD" w14:textId="77777777" w:rsidTr="0051296B">
        <w:tc>
          <w:tcPr>
            <w:tcW w:w="2254" w:type="dxa"/>
          </w:tcPr>
          <w:p w14:paraId="7DBE4C1D" w14:textId="77777777" w:rsidR="0051296B" w:rsidRPr="0051296B" w:rsidRDefault="0051296B" w:rsidP="008B0B6B">
            <w:pPr>
              <w:spacing w:before="240" w:line="360" w:lineRule="auto"/>
              <w:jc w:val="both"/>
              <w:rPr>
                <w:rFonts w:ascii="Arial" w:hAnsi="Arial" w:cs="Arial"/>
                <w:sz w:val="24"/>
                <w:szCs w:val="24"/>
                <w:lang w:val="en-GB" w:eastAsia="en-GB"/>
              </w:rPr>
            </w:pPr>
            <w:r w:rsidRPr="0051296B">
              <w:rPr>
                <w:rFonts w:ascii="Arial" w:hAnsi="Arial" w:cs="Arial"/>
                <w:sz w:val="24"/>
                <w:szCs w:val="24"/>
                <w:lang w:val="en-GB" w:eastAsia="en-GB"/>
              </w:rPr>
              <w:t>Potential café occasions</w:t>
            </w:r>
          </w:p>
        </w:tc>
        <w:tc>
          <w:tcPr>
            <w:tcW w:w="2254" w:type="dxa"/>
          </w:tcPr>
          <w:p w14:paraId="087AFC62" w14:textId="77777777" w:rsidR="0051296B" w:rsidRPr="0051296B" w:rsidRDefault="0051296B" w:rsidP="008B0B6B">
            <w:pPr>
              <w:spacing w:before="240" w:line="360" w:lineRule="auto"/>
              <w:jc w:val="both"/>
              <w:rPr>
                <w:rFonts w:ascii="Arial" w:hAnsi="Arial" w:cs="Arial"/>
                <w:sz w:val="24"/>
                <w:szCs w:val="24"/>
                <w:lang w:val="en-GB" w:eastAsia="en-GB"/>
              </w:rPr>
            </w:pPr>
            <w:r w:rsidRPr="0051296B">
              <w:rPr>
                <w:rFonts w:ascii="Arial" w:hAnsi="Arial" w:cs="Arial"/>
                <w:sz w:val="24"/>
                <w:szCs w:val="24"/>
                <w:lang w:val="en-GB" w:eastAsia="en-GB"/>
              </w:rPr>
              <w:t>Assumption: 20% purchase/use a café</w:t>
            </w:r>
          </w:p>
        </w:tc>
        <w:tc>
          <w:tcPr>
            <w:tcW w:w="2254" w:type="dxa"/>
          </w:tcPr>
          <w:p w14:paraId="7130FB37" w14:textId="77777777" w:rsidR="0051296B" w:rsidRPr="0051296B" w:rsidRDefault="0051296B" w:rsidP="008B0B6B">
            <w:pPr>
              <w:spacing w:before="240" w:line="360" w:lineRule="auto"/>
              <w:jc w:val="both"/>
              <w:rPr>
                <w:rFonts w:ascii="Arial" w:hAnsi="Arial" w:cs="Arial"/>
                <w:sz w:val="24"/>
                <w:szCs w:val="24"/>
                <w:lang w:val="en-GB" w:eastAsia="en-GB"/>
              </w:rPr>
            </w:pPr>
            <w:r w:rsidRPr="0051296B">
              <w:rPr>
                <w:rFonts w:ascii="Arial" w:hAnsi="Arial" w:cs="Arial"/>
                <w:sz w:val="24"/>
                <w:szCs w:val="24"/>
                <w:lang w:val="en-GB" w:eastAsia="en-GB"/>
              </w:rPr>
              <w:t>38m × 20%</w:t>
            </w:r>
          </w:p>
        </w:tc>
        <w:tc>
          <w:tcPr>
            <w:tcW w:w="2254" w:type="dxa"/>
          </w:tcPr>
          <w:p w14:paraId="7F224EFC" w14:textId="77777777" w:rsidR="0051296B" w:rsidRPr="0051296B" w:rsidRDefault="0051296B" w:rsidP="008B0B6B">
            <w:pPr>
              <w:spacing w:before="240" w:line="360" w:lineRule="auto"/>
              <w:jc w:val="both"/>
              <w:rPr>
                <w:rFonts w:ascii="Arial" w:hAnsi="Arial" w:cs="Arial"/>
                <w:sz w:val="24"/>
                <w:szCs w:val="24"/>
                <w:lang w:val="en-GB" w:eastAsia="en-GB"/>
              </w:rPr>
            </w:pPr>
            <w:r w:rsidRPr="0051296B">
              <w:rPr>
                <w:rFonts w:ascii="Arial" w:hAnsi="Arial" w:cs="Arial"/>
                <w:sz w:val="24"/>
                <w:szCs w:val="24"/>
                <w:lang w:val="en-GB" w:eastAsia="en-GB"/>
              </w:rPr>
              <w:t>7,600,000</w:t>
            </w:r>
          </w:p>
        </w:tc>
      </w:tr>
      <w:tr w:rsidR="0051296B" w:rsidRPr="0051296B" w14:paraId="01473AF6" w14:textId="77777777" w:rsidTr="0051296B">
        <w:tc>
          <w:tcPr>
            <w:tcW w:w="2254" w:type="dxa"/>
          </w:tcPr>
          <w:p w14:paraId="5AB047EA" w14:textId="77777777" w:rsidR="0051296B" w:rsidRPr="0051296B" w:rsidRDefault="0051296B" w:rsidP="008B0B6B">
            <w:pPr>
              <w:spacing w:before="240" w:line="360" w:lineRule="auto"/>
              <w:jc w:val="both"/>
              <w:rPr>
                <w:rFonts w:ascii="Arial" w:hAnsi="Arial" w:cs="Arial"/>
                <w:sz w:val="24"/>
                <w:szCs w:val="24"/>
                <w:lang w:val="en-GB" w:eastAsia="en-GB"/>
              </w:rPr>
            </w:pPr>
            <w:r w:rsidRPr="0051296B">
              <w:rPr>
                <w:rFonts w:ascii="Arial" w:hAnsi="Arial" w:cs="Arial"/>
                <w:sz w:val="24"/>
                <w:szCs w:val="24"/>
                <w:lang w:val="en-GB" w:eastAsia="en-GB"/>
              </w:rPr>
              <w:t>SAM</w:t>
            </w:r>
          </w:p>
        </w:tc>
        <w:tc>
          <w:tcPr>
            <w:tcW w:w="2254" w:type="dxa"/>
          </w:tcPr>
          <w:p w14:paraId="37C3B3AD" w14:textId="77777777" w:rsidR="0051296B" w:rsidRPr="0051296B" w:rsidRDefault="0051296B" w:rsidP="008B0B6B">
            <w:pPr>
              <w:spacing w:before="240" w:line="360" w:lineRule="auto"/>
              <w:jc w:val="both"/>
              <w:rPr>
                <w:rFonts w:ascii="Arial" w:hAnsi="Arial" w:cs="Arial"/>
                <w:sz w:val="24"/>
                <w:szCs w:val="24"/>
                <w:lang w:val="en-GB" w:eastAsia="en-GB"/>
              </w:rPr>
            </w:pPr>
            <w:r w:rsidRPr="0051296B">
              <w:rPr>
                <w:rFonts w:ascii="Arial" w:hAnsi="Arial" w:cs="Arial"/>
                <w:sz w:val="24"/>
                <w:szCs w:val="24"/>
                <w:lang w:val="en-GB" w:eastAsia="en-GB"/>
              </w:rPr>
              <w:t>Assumption: 15% within realistic competitive catchment</w:t>
            </w:r>
          </w:p>
        </w:tc>
        <w:tc>
          <w:tcPr>
            <w:tcW w:w="2254" w:type="dxa"/>
          </w:tcPr>
          <w:p w14:paraId="69D0BB41" w14:textId="77777777" w:rsidR="0051296B" w:rsidRPr="0051296B" w:rsidRDefault="0051296B" w:rsidP="008B0B6B">
            <w:pPr>
              <w:spacing w:before="240" w:line="360" w:lineRule="auto"/>
              <w:jc w:val="both"/>
              <w:rPr>
                <w:rFonts w:ascii="Arial" w:hAnsi="Arial" w:cs="Arial"/>
                <w:sz w:val="24"/>
                <w:szCs w:val="24"/>
                <w:lang w:val="en-GB" w:eastAsia="en-GB"/>
              </w:rPr>
            </w:pPr>
            <w:r w:rsidRPr="0051296B">
              <w:rPr>
                <w:rFonts w:ascii="Arial" w:hAnsi="Arial" w:cs="Arial"/>
                <w:sz w:val="24"/>
                <w:szCs w:val="24"/>
                <w:lang w:val="en-GB" w:eastAsia="en-GB"/>
              </w:rPr>
              <w:t>7.6m × 15%</w:t>
            </w:r>
          </w:p>
        </w:tc>
        <w:tc>
          <w:tcPr>
            <w:tcW w:w="2254" w:type="dxa"/>
          </w:tcPr>
          <w:p w14:paraId="07AC8A6D" w14:textId="77777777" w:rsidR="0051296B" w:rsidRPr="0051296B" w:rsidRDefault="0051296B" w:rsidP="008B0B6B">
            <w:pPr>
              <w:spacing w:before="240" w:line="360" w:lineRule="auto"/>
              <w:jc w:val="both"/>
              <w:rPr>
                <w:rFonts w:ascii="Arial" w:hAnsi="Arial" w:cs="Arial"/>
                <w:sz w:val="24"/>
                <w:szCs w:val="24"/>
                <w:lang w:val="en-GB" w:eastAsia="en-GB"/>
              </w:rPr>
            </w:pPr>
            <w:r w:rsidRPr="0051296B">
              <w:rPr>
                <w:rFonts w:ascii="Arial" w:hAnsi="Arial" w:cs="Arial"/>
                <w:sz w:val="24"/>
                <w:szCs w:val="24"/>
                <w:lang w:val="en-GB" w:eastAsia="en-GB"/>
              </w:rPr>
              <w:t>1,140,000</w:t>
            </w:r>
          </w:p>
        </w:tc>
      </w:tr>
      <w:tr w:rsidR="0051296B" w:rsidRPr="0051296B" w14:paraId="7DB1400A" w14:textId="77777777" w:rsidTr="0051296B">
        <w:tc>
          <w:tcPr>
            <w:tcW w:w="2254" w:type="dxa"/>
          </w:tcPr>
          <w:p w14:paraId="24ADAE29" w14:textId="77777777" w:rsidR="0051296B" w:rsidRPr="0051296B" w:rsidRDefault="0051296B" w:rsidP="008B0B6B">
            <w:pPr>
              <w:spacing w:before="240" w:line="360" w:lineRule="auto"/>
              <w:jc w:val="both"/>
              <w:rPr>
                <w:rFonts w:ascii="Arial" w:hAnsi="Arial" w:cs="Arial"/>
                <w:sz w:val="24"/>
                <w:szCs w:val="24"/>
                <w:lang w:val="en-GB" w:eastAsia="en-GB"/>
              </w:rPr>
            </w:pPr>
            <w:r w:rsidRPr="0051296B">
              <w:rPr>
                <w:rFonts w:ascii="Arial" w:hAnsi="Arial" w:cs="Arial"/>
                <w:sz w:val="24"/>
                <w:szCs w:val="24"/>
                <w:lang w:val="en-GB" w:eastAsia="en-GB"/>
              </w:rPr>
              <w:t>SOM</w:t>
            </w:r>
          </w:p>
        </w:tc>
        <w:tc>
          <w:tcPr>
            <w:tcW w:w="2254" w:type="dxa"/>
          </w:tcPr>
          <w:p w14:paraId="35FF169D" w14:textId="77777777" w:rsidR="0051296B" w:rsidRPr="0051296B" w:rsidRDefault="0051296B" w:rsidP="008B0B6B">
            <w:pPr>
              <w:spacing w:before="240" w:line="360" w:lineRule="auto"/>
              <w:jc w:val="both"/>
              <w:rPr>
                <w:rFonts w:ascii="Arial" w:hAnsi="Arial" w:cs="Arial"/>
                <w:sz w:val="24"/>
                <w:szCs w:val="24"/>
                <w:lang w:val="en-GB" w:eastAsia="en-GB"/>
              </w:rPr>
            </w:pPr>
            <w:r w:rsidRPr="0051296B">
              <w:rPr>
                <w:rFonts w:ascii="Arial" w:hAnsi="Arial" w:cs="Arial"/>
                <w:sz w:val="24"/>
                <w:szCs w:val="24"/>
                <w:lang w:val="en-GB" w:eastAsia="en-GB"/>
              </w:rPr>
              <w:t>Assumption: 2% capture of reachable occasions</w:t>
            </w:r>
          </w:p>
        </w:tc>
        <w:tc>
          <w:tcPr>
            <w:tcW w:w="2254" w:type="dxa"/>
          </w:tcPr>
          <w:p w14:paraId="16136176" w14:textId="77777777" w:rsidR="0051296B" w:rsidRPr="0051296B" w:rsidRDefault="0051296B" w:rsidP="008B0B6B">
            <w:pPr>
              <w:spacing w:before="240" w:line="360" w:lineRule="auto"/>
              <w:jc w:val="both"/>
              <w:rPr>
                <w:rFonts w:ascii="Arial" w:hAnsi="Arial" w:cs="Arial"/>
                <w:sz w:val="24"/>
                <w:szCs w:val="24"/>
                <w:lang w:val="en-GB" w:eastAsia="en-GB"/>
              </w:rPr>
            </w:pPr>
            <w:r w:rsidRPr="0051296B">
              <w:rPr>
                <w:rFonts w:ascii="Arial" w:hAnsi="Arial" w:cs="Arial"/>
                <w:sz w:val="24"/>
                <w:szCs w:val="24"/>
                <w:lang w:val="en-GB" w:eastAsia="en-GB"/>
              </w:rPr>
              <w:t>1.14m × 2%</w:t>
            </w:r>
          </w:p>
        </w:tc>
        <w:tc>
          <w:tcPr>
            <w:tcW w:w="2254" w:type="dxa"/>
          </w:tcPr>
          <w:p w14:paraId="008EB48D" w14:textId="77777777" w:rsidR="0051296B" w:rsidRPr="0051296B" w:rsidRDefault="0051296B" w:rsidP="008B0B6B">
            <w:pPr>
              <w:spacing w:before="240" w:line="360" w:lineRule="auto"/>
              <w:jc w:val="both"/>
              <w:rPr>
                <w:rFonts w:ascii="Arial" w:hAnsi="Arial" w:cs="Arial"/>
                <w:sz w:val="24"/>
                <w:szCs w:val="24"/>
                <w:lang w:val="en-GB" w:eastAsia="en-GB"/>
              </w:rPr>
            </w:pPr>
            <w:r w:rsidRPr="0051296B">
              <w:rPr>
                <w:rFonts w:ascii="Arial" w:hAnsi="Arial" w:cs="Arial"/>
                <w:sz w:val="24"/>
                <w:szCs w:val="24"/>
                <w:lang w:val="en-GB" w:eastAsia="en-GB"/>
              </w:rPr>
              <w:t>22,800 transactions</w:t>
            </w:r>
          </w:p>
        </w:tc>
      </w:tr>
      <w:tr w:rsidR="0051296B" w:rsidRPr="0051296B" w14:paraId="0FC8C2C8" w14:textId="77777777" w:rsidTr="0051296B">
        <w:tc>
          <w:tcPr>
            <w:tcW w:w="2254" w:type="dxa"/>
          </w:tcPr>
          <w:p w14:paraId="13F2B008" w14:textId="77777777" w:rsidR="0051296B" w:rsidRPr="0051296B" w:rsidRDefault="0051296B" w:rsidP="008B0B6B">
            <w:pPr>
              <w:spacing w:before="240" w:line="360" w:lineRule="auto"/>
              <w:jc w:val="both"/>
              <w:rPr>
                <w:rFonts w:ascii="Arial" w:hAnsi="Arial" w:cs="Arial"/>
                <w:sz w:val="24"/>
                <w:szCs w:val="24"/>
                <w:lang w:val="en-GB" w:eastAsia="en-GB"/>
              </w:rPr>
            </w:pPr>
            <w:r w:rsidRPr="0051296B">
              <w:rPr>
                <w:rFonts w:ascii="Arial" w:hAnsi="Arial" w:cs="Arial"/>
                <w:sz w:val="24"/>
                <w:szCs w:val="24"/>
                <w:lang w:val="en-GB" w:eastAsia="en-GB"/>
              </w:rPr>
              <w:t>Average transaction value</w:t>
            </w:r>
          </w:p>
        </w:tc>
        <w:tc>
          <w:tcPr>
            <w:tcW w:w="2254" w:type="dxa"/>
          </w:tcPr>
          <w:p w14:paraId="6057CD3D" w14:textId="77777777" w:rsidR="0051296B" w:rsidRPr="0051296B" w:rsidRDefault="0051296B" w:rsidP="008B0B6B">
            <w:pPr>
              <w:spacing w:before="240" w:line="360" w:lineRule="auto"/>
              <w:jc w:val="both"/>
              <w:rPr>
                <w:rFonts w:ascii="Arial" w:hAnsi="Arial" w:cs="Arial"/>
                <w:sz w:val="24"/>
                <w:szCs w:val="24"/>
                <w:lang w:val="en-GB" w:eastAsia="en-GB"/>
              </w:rPr>
            </w:pPr>
            <w:r w:rsidRPr="0051296B">
              <w:rPr>
                <w:rFonts w:ascii="Arial" w:hAnsi="Arial" w:cs="Arial"/>
                <w:sz w:val="24"/>
                <w:szCs w:val="24"/>
                <w:lang w:val="en-GB" w:eastAsia="en-GB"/>
              </w:rPr>
              <w:t>Planning assumption</w:t>
            </w:r>
          </w:p>
        </w:tc>
        <w:tc>
          <w:tcPr>
            <w:tcW w:w="2254" w:type="dxa"/>
          </w:tcPr>
          <w:p w14:paraId="23698F0E" w14:textId="77777777" w:rsidR="0051296B" w:rsidRPr="0051296B" w:rsidRDefault="0051296B" w:rsidP="008B0B6B">
            <w:pPr>
              <w:spacing w:before="240" w:line="360" w:lineRule="auto"/>
              <w:jc w:val="both"/>
              <w:rPr>
                <w:rFonts w:ascii="Arial" w:hAnsi="Arial" w:cs="Arial"/>
                <w:sz w:val="24"/>
                <w:szCs w:val="24"/>
                <w:lang w:val="en-GB" w:eastAsia="en-GB"/>
              </w:rPr>
            </w:pPr>
            <w:r w:rsidRPr="0051296B">
              <w:rPr>
                <w:rFonts w:ascii="Arial" w:hAnsi="Arial" w:cs="Arial"/>
                <w:sz w:val="24"/>
                <w:szCs w:val="24"/>
                <w:lang w:val="en-GB" w:eastAsia="en-GB"/>
              </w:rPr>
              <w:t>£7 × 22,800</w:t>
            </w:r>
          </w:p>
        </w:tc>
        <w:tc>
          <w:tcPr>
            <w:tcW w:w="2254" w:type="dxa"/>
          </w:tcPr>
          <w:p w14:paraId="23A1C329" w14:textId="77777777" w:rsidR="0051296B" w:rsidRPr="0051296B" w:rsidRDefault="0051296B" w:rsidP="008B0B6B">
            <w:pPr>
              <w:spacing w:before="240" w:line="360" w:lineRule="auto"/>
              <w:jc w:val="both"/>
              <w:rPr>
                <w:rFonts w:ascii="Arial" w:hAnsi="Arial" w:cs="Arial"/>
                <w:sz w:val="24"/>
                <w:szCs w:val="24"/>
                <w:lang w:val="en-GB" w:eastAsia="en-GB"/>
              </w:rPr>
            </w:pPr>
            <w:r w:rsidRPr="0051296B">
              <w:rPr>
                <w:rFonts w:ascii="Arial" w:hAnsi="Arial" w:cs="Arial"/>
                <w:sz w:val="24"/>
                <w:szCs w:val="24"/>
                <w:lang w:val="en-GB" w:eastAsia="en-GB"/>
              </w:rPr>
              <w:t>£159,600 annual sales</w:t>
            </w:r>
          </w:p>
        </w:tc>
      </w:tr>
    </w:tbl>
    <w:p w14:paraId="09973968" w14:textId="30A81277" w:rsidR="004C6A98" w:rsidRPr="004C6A98" w:rsidRDefault="004C6A98" w:rsidP="004C6A98">
      <w:pPr>
        <w:spacing w:before="240" w:line="360" w:lineRule="auto"/>
        <w:jc w:val="both"/>
        <w:rPr>
          <w:rFonts w:ascii="Arial" w:hAnsi="Arial" w:cs="Arial"/>
          <w:sz w:val="24"/>
          <w:szCs w:val="24"/>
          <w:lang w:val="en-GB" w:eastAsia="en-GB"/>
        </w:rPr>
      </w:pPr>
      <w:r w:rsidRPr="005438A3">
        <w:rPr>
          <w:rFonts w:ascii="Arial" w:hAnsi="Arial" w:cs="Arial"/>
          <w:b/>
          <w:sz w:val="24"/>
          <w:szCs w:val="24"/>
          <w:lang w:val="en-GB" w:eastAsia="en-GB"/>
        </w:rPr>
        <w:t>Source:</w:t>
      </w:r>
      <w:r w:rsidRPr="004C6A98">
        <w:rPr>
          <w:rFonts w:ascii="Arial" w:hAnsi="Arial" w:cs="Arial"/>
          <w:sz w:val="24"/>
          <w:szCs w:val="24"/>
          <w:lang w:val="en-GB" w:eastAsia="en-GB"/>
        </w:rPr>
        <w:t xml:space="preserve"> Researcher’s calculation using published Covent Garden market evidence and</w:t>
      </w:r>
      <w:r w:rsidR="005438A3">
        <w:rPr>
          <w:rFonts w:ascii="Arial" w:hAnsi="Arial" w:cs="Arial"/>
          <w:sz w:val="24"/>
          <w:szCs w:val="24"/>
          <w:lang w:val="en-GB" w:eastAsia="en-GB"/>
        </w:rPr>
        <w:t xml:space="preserve"> explicit planning assumptions</w:t>
      </w:r>
    </w:p>
    <w:p w14:paraId="14A3ECB9" w14:textId="0D1A1546" w:rsidR="00596E37" w:rsidRPr="00596E37" w:rsidRDefault="00596E37" w:rsidP="00596E37">
      <w:pPr>
        <w:spacing w:before="240" w:line="360" w:lineRule="auto"/>
        <w:jc w:val="both"/>
        <w:rPr>
          <w:rFonts w:ascii="Arial" w:hAnsi="Arial" w:cs="Arial"/>
          <w:sz w:val="24"/>
          <w:szCs w:val="24"/>
          <w:lang w:val="en-GB" w:eastAsia="en-GB"/>
        </w:rPr>
      </w:pPr>
      <w:r w:rsidRPr="00596E37">
        <w:rPr>
          <w:rFonts w:ascii="Arial" w:hAnsi="Arial" w:cs="Arial"/>
          <w:sz w:val="24"/>
          <w:szCs w:val="24"/>
          <w:lang w:val="en-GB" w:eastAsia="en-GB"/>
        </w:rPr>
        <w:t>The £159,600 is not a forecast and should not be quoted as expected first year revenue. It is an illustrative attainable market scenario illustrating the size of the visitor segment's demand alone. The 20%, 15%, and 2% assumptions must be validated to be observed by the customer, assessed by foot traffic in their competitors, tested through test trading an</w:t>
      </w:r>
      <w:r>
        <w:rPr>
          <w:rFonts w:ascii="Arial" w:hAnsi="Arial" w:cs="Arial"/>
          <w:sz w:val="24"/>
          <w:szCs w:val="24"/>
          <w:lang w:val="en-GB" w:eastAsia="en-GB"/>
        </w:rPr>
        <w:t>d analysed by transaction data.</w:t>
      </w:r>
    </w:p>
    <w:p w14:paraId="39E971EF" w14:textId="099CA44D" w:rsidR="004C6A98" w:rsidRPr="004C6A98" w:rsidRDefault="00596E37" w:rsidP="004C6A98">
      <w:pPr>
        <w:spacing w:before="240" w:line="360" w:lineRule="auto"/>
        <w:jc w:val="both"/>
        <w:rPr>
          <w:rFonts w:ascii="Arial" w:hAnsi="Arial" w:cs="Arial"/>
          <w:sz w:val="24"/>
          <w:szCs w:val="24"/>
          <w:lang w:val="en-GB" w:eastAsia="en-GB"/>
        </w:rPr>
      </w:pPr>
      <w:r w:rsidRPr="00596E37">
        <w:rPr>
          <w:rFonts w:ascii="Arial" w:hAnsi="Arial" w:cs="Arial"/>
          <w:sz w:val="24"/>
          <w:szCs w:val="24"/>
          <w:lang w:val="en-GB" w:eastAsia="en-GB"/>
        </w:rPr>
        <w:t xml:space="preserve">This may be an opportunity to grow even bigger since the model doesn't monetize repeat demand from workers and residents. Then a worker who buys twice a week is much more valuable commercially than an occasional visitor even though the latter </w:t>
      </w:r>
      <w:r w:rsidRPr="00596E37">
        <w:rPr>
          <w:rFonts w:ascii="Arial" w:hAnsi="Arial" w:cs="Arial"/>
          <w:sz w:val="24"/>
          <w:szCs w:val="24"/>
          <w:lang w:val="en-GB" w:eastAsia="en-GB"/>
        </w:rPr>
        <w:lastRenderedPageBreak/>
        <w:t>generates the headline footfall. So that future financial predictions involve different transaction assumptions for workers, residents and visitors as well as being</w:t>
      </w:r>
      <w:r>
        <w:rPr>
          <w:rFonts w:ascii="Arial" w:hAnsi="Arial" w:cs="Arial"/>
          <w:sz w:val="24"/>
          <w:szCs w:val="24"/>
          <w:lang w:val="en-GB" w:eastAsia="en-GB"/>
        </w:rPr>
        <w:t xml:space="preserve"> based on total annual footfall.</w:t>
      </w:r>
    </w:p>
    <w:p w14:paraId="50F57266" w14:textId="6436E27D" w:rsidR="004C6A98" w:rsidRPr="004C6A98" w:rsidRDefault="004C6A98" w:rsidP="004B4887">
      <w:pPr>
        <w:pStyle w:val="Heading2"/>
        <w:rPr>
          <w:lang w:val="en-GB" w:eastAsia="en-GB"/>
        </w:rPr>
      </w:pPr>
      <w:bookmarkStart w:id="48" w:name="_Toc240811414"/>
      <w:r w:rsidRPr="004C6A98">
        <w:rPr>
          <w:lang w:val="en-GB" w:eastAsia="en-GB"/>
        </w:rPr>
        <w:t>5.6 Customer N</w:t>
      </w:r>
      <w:r w:rsidR="004B4887">
        <w:rPr>
          <w:lang w:val="en-GB" w:eastAsia="en-GB"/>
        </w:rPr>
        <w:t>eeds and Commercial Opportunity</w:t>
      </w:r>
      <w:bookmarkEnd w:id="48"/>
    </w:p>
    <w:p w14:paraId="584923CB" w14:textId="643F86D2" w:rsidR="004B4887" w:rsidRPr="004B4887" w:rsidRDefault="004B4887" w:rsidP="004B4887">
      <w:pPr>
        <w:spacing w:before="240" w:line="360" w:lineRule="auto"/>
        <w:jc w:val="both"/>
        <w:rPr>
          <w:rFonts w:ascii="Arial" w:hAnsi="Arial" w:cs="Arial"/>
          <w:sz w:val="24"/>
          <w:szCs w:val="24"/>
          <w:lang w:val="en-GB" w:eastAsia="en-GB"/>
        </w:rPr>
      </w:pPr>
      <w:r w:rsidRPr="004B4887">
        <w:rPr>
          <w:rFonts w:ascii="Arial" w:hAnsi="Arial" w:cs="Arial"/>
          <w:sz w:val="24"/>
          <w:szCs w:val="24"/>
          <w:lang w:val="en-GB" w:eastAsia="en-GB"/>
        </w:rPr>
        <w:t>Multiple customer needs are coming together to reinforce the market opportunity. Quality, convenience, experience and responsible consumption are becoming more and more important to customers while the specialty market opens new opportunities for independent operators to stand out in the market through the products and services they offer (World Coffee Portal, 2026). In addition, sustainability research suggests there is a potential willingness to pay for credible coffee sustainability attributes, though willingness is dependent on context and consumer (Fuller, Grebitus and Schmitz, 20</w:t>
      </w:r>
      <w:r>
        <w:rPr>
          <w:rFonts w:ascii="Arial" w:hAnsi="Arial" w:cs="Arial"/>
          <w:sz w:val="24"/>
          <w:szCs w:val="24"/>
          <w:lang w:val="en-GB" w:eastAsia="en-GB"/>
        </w:rPr>
        <w:t>22; Fuller and Grebitus, 2023)</w:t>
      </w:r>
    </w:p>
    <w:p w14:paraId="553722D3" w14:textId="208C99AF" w:rsidR="004B4887" w:rsidRPr="004B4887" w:rsidRDefault="004B4887" w:rsidP="004B4887">
      <w:pPr>
        <w:spacing w:before="240" w:line="360" w:lineRule="auto"/>
        <w:jc w:val="both"/>
        <w:rPr>
          <w:rFonts w:ascii="Arial" w:hAnsi="Arial" w:cs="Arial"/>
          <w:sz w:val="24"/>
          <w:szCs w:val="24"/>
          <w:lang w:val="en-GB" w:eastAsia="en-GB"/>
        </w:rPr>
      </w:pPr>
      <w:r w:rsidRPr="004B4887">
        <w:rPr>
          <w:rFonts w:ascii="Arial" w:hAnsi="Arial" w:cs="Arial"/>
          <w:sz w:val="24"/>
          <w:szCs w:val="24"/>
          <w:lang w:val="en-GB" w:eastAsia="en-GB"/>
        </w:rPr>
        <w:t>Meanwhile, price sensitivity is an important constraint. The venture can't assume that moral characteristics are going to remove customer sensitivity to price sensitivity. Especially in a high cost area like Covent Garden it can be expensive to buy the premises and hire staff. The commercial potential thus is to offer genuine 'ethical' value, without compromising on product quality, convenienc</w:t>
      </w:r>
      <w:r>
        <w:rPr>
          <w:rFonts w:ascii="Arial" w:hAnsi="Arial" w:cs="Arial"/>
          <w:sz w:val="24"/>
          <w:szCs w:val="24"/>
          <w:lang w:val="en-GB" w:eastAsia="en-GB"/>
        </w:rPr>
        <w:t>e or perceived value for money.</w:t>
      </w:r>
    </w:p>
    <w:p w14:paraId="0FFF0BFD" w14:textId="1A5ED59D" w:rsidR="004B4887" w:rsidRPr="004B4887" w:rsidRDefault="004B4887" w:rsidP="004B4887">
      <w:pPr>
        <w:pStyle w:val="Heading2"/>
        <w:rPr>
          <w:lang w:val="en-GB" w:eastAsia="en-GB"/>
        </w:rPr>
      </w:pPr>
      <w:bookmarkStart w:id="49" w:name="_Toc240811415"/>
      <w:r w:rsidRPr="004B4887">
        <w:rPr>
          <w:lang w:val="en-GB" w:eastAsia="en-GB"/>
        </w:rPr>
        <w:t>5.7 Market Opportunity Assessment</w:t>
      </w:r>
      <w:bookmarkEnd w:id="49"/>
    </w:p>
    <w:p w14:paraId="11F71370" w14:textId="51B0F905" w:rsidR="004B4887" w:rsidRPr="004B4887" w:rsidRDefault="004B4887" w:rsidP="004B4887">
      <w:pPr>
        <w:spacing w:before="240" w:line="360" w:lineRule="auto"/>
        <w:jc w:val="both"/>
        <w:rPr>
          <w:rFonts w:ascii="Arial" w:hAnsi="Arial" w:cs="Arial"/>
          <w:sz w:val="24"/>
          <w:szCs w:val="24"/>
          <w:lang w:val="en-GB" w:eastAsia="en-GB"/>
        </w:rPr>
      </w:pPr>
      <w:r w:rsidRPr="004B4887">
        <w:rPr>
          <w:rFonts w:ascii="Arial" w:hAnsi="Arial" w:cs="Arial"/>
          <w:sz w:val="24"/>
          <w:szCs w:val="24"/>
          <w:lang w:val="en-GB" w:eastAsia="en-GB"/>
        </w:rPr>
        <w:t xml:space="preserve">The overall evidence suggests a very good market opportunity but a competitive one. Visitors numbers are high, working population is large with </w:t>
      </w:r>
      <w:r w:rsidR="00A15DC3" w:rsidRPr="00A15DC3">
        <w:rPr>
          <w:rFonts w:ascii="Arial" w:hAnsi="Arial" w:cs="Arial"/>
          <w:sz w:val="24"/>
          <w:szCs w:val="24"/>
          <w:lang w:val="en-GB" w:eastAsia="en-GB"/>
        </w:rPr>
        <w:t>a local customer base within a con</w:t>
      </w:r>
      <w:r w:rsidR="00A15DC3">
        <w:rPr>
          <w:rFonts w:ascii="Arial" w:hAnsi="Arial" w:cs="Arial"/>
          <w:sz w:val="24"/>
          <w:szCs w:val="24"/>
          <w:lang w:val="en-GB" w:eastAsia="en-GB"/>
        </w:rPr>
        <w:t>centrated area of Covent Garden</w:t>
      </w:r>
      <w:r w:rsidRPr="004B4887">
        <w:rPr>
          <w:rFonts w:ascii="Arial" w:hAnsi="Arial" w:cs="Arial"/>
          <w:sz w:val="24"/>
          <w:szCs w:val="24"/>
          <w:lang w:val="en-GB" w:eastAsia="en-GB"/>
        </w:rPr>
        <w:t>. Experiential consumption and interest in responsible sourcing, combined with specialty-coffee demand</w:t>
      </w:r>
      <w:r>
        <w:rPr>
          <w:rFonts w:ascii="Arial" w:hAnsi="Arial" w:cs="Arial"/>
          <w:sz w:val="24"/>
          <w:szCs w:val="24"/>
          <w:lang w:val="en-GB" w:eastAsia="en-GB"/>
        </w:rPr>
        <w:t>, support the proposed concept.</w:t>
      </w:r>
    </w:p>
    <w:p w14:paraId="0797A407" w14:textId="0CAB0117" w:rsidR="004B4887" w:rsidRPr="004B4887" w:rsidRDefault="004B4887" w:rsidP="004B4887">
      <w:pPr>
        <w:spacing w:before="240" w:line="360" w:lineRule="auto"/>
        <w:jc w:val="both"/>
        <w:rPr>
          <w:rFonts w:ascii="Arial" w:hAnsi="Arial" w:cs="Arial"/>
          <w:sz w:val="24"/>
          <w:szCs w:val="24"/>
          <w:lang w:val="en-GB" w:eastAsia="en-GB"/>
        </w:rPr>
      </w:pPr>
      <w:r w:rsidRPr="004B4887">
        <w:rPr>
          <w:rFonts w:ascii="Arial" w:hAnsi="Arial" w:cs="Arial"/>
          <w:sz w:val="24"/>
          <w:szCs w:val="24"/>
          <w:lang w:val="en-GB" w:eastAsia="en-GB"/>
        </w:rPr>
        <w:t>But the size of the destination market does not equate with the attainable market for a single outlet. The business has a high level of competition and needs to achieve a high percentage of repeat sales from the demand possible. The most appealing market opportunity is not mass market, but concentrated market acquisition and retention of ethically conscious specialty-coffee consumers, urban profe</w:t>
      </w:r>
      <w:r>
        <w:rPr>
          <w:rFonts w:ascii="Arial" w:hAnsi="Arial" w:cs="Arial"/>
          <w:sz w:val="24"/>
          <w:szCs w:val="24"/>
          <w:lang w:val="en-GB" w:eastAsia="en-GB"/>
        </w:rPr>
        <w:t>ssionals and selected visitors.</w:t>
      </w:r>
    </w:p>
    <w:p w14:paraId="1773AFA7" w14:textId="3157775D" w:rsidR="00764905" w:rsidRPr="00764905" w:rsidRDefault="004B4887" w:rsidP="004B4887">
      <w:pPr>
        <w:spacing w:before="240" w:line="360" w:lineRule="auto"/>
        <w:jc w:val="both"/>
        <w:rPr>
          <w:rFonts w:ascii="Arial" w:hAnsi="Arial" w:cs="Arial"/>
          <w:sz w:val="24"/>
          <w:szCs w:val="24"/>
          <w:lang w:val="en-GB" w:eastAsia="en-GB"/>
        </w:rPr>
      </w:pPr>
      <w:r w:rsidRPr="004B4887">
        <w:rPr>
          <w:rFonts w:ascii="Arial" w:hAnsi="Arial" w:cs="Arial"/>
          <w:sz w:val="24"/>
          <w:szCs w:val="24"/>
          <w:lang w:val="en-GB" w:eastAsia="en-GB"/>
        </w:rPr>
        <w:lastRenderedPageBreak/>
        <w:t>The analysis backs up the focused staged differentiation strategy formulated in Chapter 7. The opportunity is subject to meeting the necessary volume of repeat sales, competitive pricing and the customer value proposition of ethical sourcing and sustainability beyond what is already provided by known competitors. The above assumptions should, therefore, be verified prior to substant</w:t>
      </w:r>
      <w:r>
        <w:rPr>
          <w:rFonts w:ascii="Arial" w:hAnsi="Arial" w:cs="Arial"/>
          <w:sz w:val="24"/>
          <w:szCs w:val="24"/>
          <w:lang w:val="en-GB" w:eastAsia="en-GB"/>
        </w:rPr>
        <w:t>ial expansion or new investment</w:t>
      </w:r>
      <w:r w:rsidR="00764905" w:rsidRPr="00764905">
        <w:rPr>
          <w:rFonts w:ascii="Arial" w:hAnsi="Arial" w:cs="Arial"/>
          <w:sz w:val="24"/>
          <w:szCs w:val="24"/>
          <w:lang w:val="en-GB" w:eastAsia="en-GB"/>
        </w:rPr>
        <w:t>.</w:t>
      </w:r>
    </w:p>
    <w:p w14:paraId="4C265EFA" w14:textId="4D64053C" w:rsidR="00764905" w:rsidRDefault="00764905" w:rsidP="00764905">
      <w:pPr>
        <w:spacing w:before="240" w:line="360" w:lineRule="auto"/>
        <w:jc w:val="both"/>
        <w:rPr>
          <w:rFonts w:ascii="Arial" w:hAnsi="Arial" w:cs="Arial"/>
          <w:sz w:val="24"/>
          <w:szCs w:val="24"/>
          <w:lang w:val="en-GB" w:eastAsia="en-GB"/>
        </w:rPr>
      </w:pPr>
    </w:p>
    <w:p w14:paraId="11299CCD" w14:textId="245DD7B6" w:rsidR="00020A7C" w:rsidRDefault="00020A7C" w:rsidP="00764905">
      <w:pPr>
        <w:spacing w:before="240" w:line="360" w:lineRule="auto"/>
        <w:jc w:val="both"/>
        <w:rPr>
          <w:rFonts w:ascii="Arial" w:hAnsi="Arial" w:cs="Arial"/>
          <w:sz w:val="24"/>
          <w:szCs w:val="24"/>
          <w:lang w:val="en-GB" w:eastAsia="en-GB"/>
        </w:rPr>
      </w:pPr>
    </w:p>
    <w:p w14:paraId="3F29333D" w14:textId="23BC02FE" w:rsidR="00020A7C" w:rsidRDefault="00020A7C" w:rsidP="00764905">
      <w:pPr>
        <w:spacing w:before="240" w:line="360" w:lineRule="auto"/>
        <w:jc w:val="both"/>
        <w:rPr>
          <w:rFonts w:ascii="Arial" w:hAnsi="Arial" w:cs="Arial"/>
          <w:sz w:val="24"/>
          <w:szCs w:val="24"/>
          <w:lang w:val="en-GB" w:eastAsia="en-GB"/>
        </w:rPr>
      </w:pPr>
    </w:p>
    <w:p w14:paraId="7ECB8131" w14:textId="115B6C20" w:rsidR="00020A7C" w:rsidRDefault="00020A7C" w:rsidP="00764905">
      <w:pPr>
        <w:spacing w:before="240" w:line="360" w:lineRule="auto"/>
        <w:jc w:val="both"/>
        <w:rPr>
          <w:rFonts w:ascii="Arial" w:hAnsi="Arial" w:cs="Arial"/>
          <w:sz w:val="24"/>
          <w:szCs w:val="24"/>
          <w:lang w:val="en-GB" w:eastAsia="en-GB"/>
        </w:rPr>
      </w:pPr>
    </w:p>
    <w:p w14:paraId="7B4FB960" w14:textId="6C237028" w:rsidR="00020A7C" w:rsidRDefault="00020A7C" w:rsidP="00764905">
      <w:pPr>
        <w:spacing w:before="240" w:line="360" w:lineRule="auto"/>
        <w:jc w:val="both"/>
        <w:rPr>
          <w:rFonts w:ascii="Arial" w:hAnsi="Arial" w:cs="Arial"/>
          <w:sz w:val="24"/>
          <w:szCs w:val="24"/>
          <w:lang w:val="en-GB" w:eastAsia="en-GB"/>
        </w:rPr>
      </w:pPr>
    </w:p>
    <w:p w14:paraId="269294A9" w14:textId="0819A84B" w:rsidR="00020A7C" w:rsidRDefault="00020A7C" w:rsidP="00764905">
      <w:pPr>
        <w:spacing w:before="240" w:line="360" w:lineRule="auto"/>
        <w:jc w:val="both"/>
        <w:rPr>
          <w:rFonts w:ascii="Arial" w:hAnsi="Arial" w:cs="Arial"/>
          <w:sz w:val="24"/>
          <w:szCs w:val="24"/>
          <w:lang w:val="en-GB" w:eastAsia="en-GB"/>
        </w:rPr>
      </w:pPr>
    </w:p>
    <w:p w14:paraId="5B59FAF8" w14:textId="31736E3A" w:rsidR="00020A7C" w:rsidRDefault="00020A7C" w:rsidP="00764905">
      <w:pPr>
        <w:spacing w:before="240" w:line="360" w:lineRule="auto"/>
        <w:jc w:val="both"/>
        <w:rPr>
          <w:rFonts w:ascii="Arial" w:hAnsi="Arial" w:cs="Arial"/>
          <w:sz w:val="24"/>
          <w:szCs w:val="24"/>
          <w:lang w:val="en-GB" w:eastAsia="en-GB"/>
        </w:rPr>
      </w:pPr>
    </w:p>
    <w:p w14:paraId="345876F2" w14:textId="74EE7E75" w:rsidR="00020A7C" w:rsidRDefault="00020A7C" w:rsidP="00764905">
      <w:pPr>
        <w:spacing w:before="240" w:line="360" w:lineRule="auto"/>
        <w:jc w:val="both"/>
        <w:rPr>
          <w:rFonts w:ascii="Arial" w:hAnsi="Arial" w:cs="Arial"/>
          <w:sz w:val="24"/>
          <w:szCs w:val="24"/>
          <w:lang w:val="en-GB" w:eastAsia="en-GB"/>
        </w:rPr>
      </w:pPr>
    </w:p>
    <w:p w14:paraId="7C764C61" w14:textId="1C201C27" w:rsidR="00020A7C" w:rsidRDefault="00020A7C" w:rsidP="00764905">
      <w:pPr>
        <w:spacing w:before="240" w:line="360" w:lineRule="auto"/>
        <w:jc w:val="both"/>
        <w:rPr>
          <w:rFonts w:ascii="Arial" w:hAnsi="Arial" w:cs="Arial"/>
          <w:sz w:val="24"/>
          <w:szCs w:val="24"/>
          <w:lang w:val="en-GB" w:eastAsia="en-GB"/>
        </w:rPr>
      </w:pPr>
    </w:p>
    <w:p w14:paraId="16E4BBEB" w14:textId="2910FCC8" w:rsidR="00020A7C" w:rsidRDefault="00020A7C" w:rsidP="00764905">
      <w:pPr>
        <w:spacing w:before="240" w:line="360" w:lineRule="auto"/>
        <w:jc w:val="both"/>
        <w:rPr>
          <w:rFonts w:ascii="Arial" w:hAnsi="Arial" w:cs="Arial"/>
          <w:sz w:val="24"/>
          <w:szCs w:val="24"/>
          <w:lang w:val="en-GB" w:eastAsia="en-GB"/>
        </w:rPr>
      </w:pPr>
    </w:p>
    <w:p w14:paraId="0BBE52BC" w14:textId="727CBCF4" w:rsidR="00020A7C" w:rsidRDefault="00020A7C" w:rsidP="00764905">
      <w:pPr>
        <w:spacing w:before="240" w:line="360" w:lineRule="auto"/>
        <w:jc w:val="both"/>
        <w:rPr>
          <w:rFonts w:ascii="Arial" w:hAnsi="Arial" w:cs="Arial"/>
          <w:sz w:val="24"/>
          <w:szCs w:val="24"/>
          <w:lang w:val="en-GB" w:eastAsia="en-GB"/>
        </w:rPr>
      </w:pPr>
    </w:p>
    <w:p w14:paraId="3669C41E" w14:textId="6EB652CB" w:rsidR="00020A7C" w:rsidRDefault="00020A7C" w:rsidP="00764905">
      <w:pPr>
        <w:spacing w:before="240" w:line="360" w:lineRule="auto"/>
        <w:jc w:val="both"/>
        <w:rPr>
          <w:rFonts w:ascii="Arial" w:hAnsi="Arial" w:cs="Arial"/>
          <w:sz w:val="24"/>
          <w:szCs w:val="24"/>
          <w:lang w:val="en-GB" w:eastAsia="en-GB"/>
        </w:rPr>
      </w:pPr>
    </w:p>
    <w:p w14:paraId="63933379" w14:textId="59909F77" w:rsidR="00020A7C" w:rsidRDefault="00020A7C" w:rsidP="00764905">
      <w:pPr>
        <w:spacing w:before="240" w:line="360" w:lineRule="auto"/>
        <w:jc w:val="both"/>
        <w:rPr>
          <w:rFonts w:ascii="Arial" w:hAnsi="Arial" w:cs="Arial"/>
          <w:sz w:val="24"/>
          <w:szCs w:val="24"/>
          <w:lang w:val="en-GB" w:eastAsia="en-GB"/>
        </w:rPr>
      </w:pPr>
    </w:p>
    <w:p w14:paraId="667F0AD3" w14:textId="306C7195" w:rsidR="00572CAA" w:rsidRDefault="00572CAA" w:rsidP="00764905">
      <w:pPr>
        <w:spacing w:before="240" w:line="360" w:lineRule="auto"/>
        <w:jc w:val="both"/>
        <w:rPr>
          <w:rFonts w:ascii="Arial" w:hAnsi="Arial" w:cs="Arial"/>
          <w:sz w:val="24"/>
          <w:szCs w:val="24"/>
          <w:lang w:val="en-GB" w:eastAsia="en-GB"/>
        </w:rPr>
      </w:pPr>
    </w:p>
    <w:p w14:paraId="4B4E296F" w14:textId="77777777" w:rsidR="00AA315B" w:rsidRDefault="00AA315B" w:rsidP="00764905">
      <w:pPr>
        <w:spacing w:before="240" w:line="360" w:lineRule="auto"/>
        <w:jc w:val="both"/>
        <w:rPr>
          <w:rFonts w:ascii="Arial" w:hAnsi="Arial" w:cs="Arial"/>
          <w:sz w:val="24"/>
          <w:szCs w:val="24"/>
          <w:lang w:val="en-GB" w:eastAsia="en-GB"/>
        </w:rPr>
      </w:pPr>
    </w:p>
    <w:p w14:paraId="281C5F4A" w14:textId="77777777" w:rsidR="00B213BD" w:rsidRPr="00B213BD" w:rsidRDefault="00B213BD" w:rsidP="00874FBB">
      <w:pPr>
        <w:pStyle w:val="Heading1"/>
        <w:jc w:val="center"/>
        <w:rPr>
          <w:lang w:val="en-GB" w:eastAsia="en-GB"/>
        </w:rPr>
      </w:pPr>
      <w:bookmarkStart w:id="50" w:name="_Toc240811416"/>
      <w:r w:rsidRPr="00B213BD">
        <w:rPr>
          <w:lang w:val="en-GB" w:eastAsia="en-GB"/>
        </w:rPr>
        <w:lastRenderedPageBreak/>
        <w:t>Chapter 6: Competitive Environment Analysis</w:t>
      </w:r>
      <w:bookmarkEnd w:id="50"/>
    </w:p>
    <w:p w14:paraId="4DD3C0B2" w14:textId="6B22C704" w:rsidR="00B213BD" w:rsidRPr="00B213BD" w:rsidRDefault="0051277B" w:rsidP="00874FBB">
      <w:pPr>
        <w:pStyle w:val="Heading2"/>
        <w:rPr>
          <w:lang w:val="en-GB" w:eastAsia="en-GB"/>
        </w:rPr>
      </w:pPr>
      <w:bookmarkStart w:id="51" w:name="_Toc240811417"/>
      <w:r>
        <w:rPr>
          <w:lang w:val="en-GB" w:eastAsia="en-GB"/>
        </w:rPr>
        <w:t>6.1 Introduction</w:t>
      </w:r>
      <w:bookmarkEnd w:id="51"/>
    </w:p>
    <w:p w14:paraId="31494B36" w14:textId="2A0CFA4E" w:rsidR="00874FBB" w:rsidRPr="00874FBB" w:rsidRDefault="00874FBB" w:rsidP="00874FBB">
      <w:pPr>
        <w:spacing w:before="240" w:line="360" w:lineRule="auto"/>
        <w:jc w:val="both"/>
        <w:rPr>
          <w:rFonts w:ascii="Arial" w:hAnsi="Arial" w:cs="Arial"/>
          <w:sz w:val="24"/>
          <w:szCs w:val="24"/>
          <w:lang w:val="en-GB" w:eastAsia="en-GB"/>
        </w:rPr>
      </w:pPr>
      <w:r w:rsidRPr="00874FBB">
        <w:rPr>
          <w:rFonts w:ascii="Arial" w:hAnsi="Arial" w:cs="Arial"/>
          <w:sz w:val="24"/>
          <w:szCs w:val="24"/>
          <w:lang w:val="en-GB" w:eastAsia="en-GB"/>
        </w:rPr>
        <w:t>The aim of this chapter is to assess the competitive landscape for The Ethical Bean Coffee House to be opened in Monmouth Street, Covent Garden, London. The analysis consists of a competitor analysis, Porter's Five Forces and PESTLE techniques and the evaluation of the competitive intensity, external pressures and scope for differentiation. Growth in the UK coffee-shop market is expected to persist through 2026, with the branded market growing to around £6.8 billion and 12,313 outlets by 2026, though competition is becoming more polarised, with value- and premium-oriented chains battling each other (World Coffee Portal, 2026). The aim of this chapter is then to establish whether the proposed business venture can carve out a viable niche</w:t>
      </w:r>
      <w:r>
        <w:rPr>
          <w:rFonts w:ascii="Arial" w:hAnsi="Arial" w:cs="Arial"/>
          <w:sz w:val="24"/>
          <w:szCs w:val="24"/>
          <w:lang w:val="en-GB" w:eastAsia="en-GB"/>
        </w:rPr>
        <w:t xml:space="preserve"> in the existing mature market</w:t>
      </w:r>
    </w:p>
    <w:p w14:paraId="4DB914B9" w14:textId="30113C79" w:rsidR="00874FBB" w:rsidRPr="00874FBB" w:rsidRDefault="00874FBB" w:rsidP="00874FBB">
      <w:pPr>
        <w:pStyle w:val="Heading2"/>
        <w:rPr>
          <w:lang w:val="en-GB" w:eastAsia="en-GB"/>
        </w:rPr>
      </w:pPr>
      <w:bookmarkStart w:id="52" w:name="_Toc240811418"/>
      <w:r>
        <w:rPr>
          <w:lang w:val="en-GB" w:eastAsia="en-GB"/>
        </w:rPr>
        <w:t>6.2 Competitor Analysis</w:t>
      </w:r>
      <w:bookmarkEnd w:id="52"/>
    </w:p>
    <w:p w14:paraId="126BB0F6" w14:textId="628F1210" w:rsidR="00B213BD" w:rsidRPr="00B213BD" w:rsidRDefault="00874FBB" w:rsidP="00874FBB">
      <w:pPr>
        <w:spacing w:before="240" w:line="360" w:lineRule="auto"/>
        <w:jc w:val="both"/>
        <w:rPr>
          <w:rFonts w:ascii="Arial" w:hAnsi="Arial" w:cs="Arial"/>
          <w:sz w:val="24"/>
          <w:szCs w:val="24"/>
          <w:lang w:val="en-GB" w:eastAsia="en-GB"/>
        </w:rPr>
      </w:pPr>
      <w:r w:rsidRPr="00874FBB">
        <w:rPr>
          <w:rFonts w:ascii="Arial" w:hAnsi="Arial" w:cs="Arial"/>
          <w:sz w:val="24"/>
          <w:szCs w:val="24"/>
          <w:lang w:val="en-GB" w:eastAsia="en-GB"/>
        </w:rPr>
        <w:t>Covent Garden is a very competitive specialty-coffee market. Local destination evidence highlights Monmouth Coffee Company, WatchHouse and Qima as key specialty coffee businesses in the area which demonstrates that the quality, provenance and experience are already key competitive elements of the area (Covent Garden London, 2026).</w:t>
      </w:r>
    </w:p>
    <w:p w14:paraId="175DF7EF" w14:textId="5EE58748" w:rsidR="0051277B" w:rsidRPr="0051277B" w:rsidRDefault="0051277B" w:rsidP="0051277B">
      <w:pPr>
        <w:pStyle w:val="Caption"/>
        <w:keepNext/>
        <w:rPr>
          <w:rFonts w:ascii="Arial" w:hAnsi="Arial" w:cs="Arial"/>
          <w:sz w:val="24"/>
        </w:rPr>
      </w:pPr>
      <w:bookmarkStart w:id="53" w:name="_Toc240810935"/>
      <w:r w:rsidRPr="0051277B">
        <w:rPr>
          <w:rFonts w:ascii="Arial" w:hAnsi="Arial" w:cs="Arial"/>
          <w:sz w:val="24"/>
        </w:rPr>
        <w:t xml:space="preserve">Table </w:t>
      </w:r>
      <w:r w:rsidRPr="0051277B">
        <w:rPr>
          <w:rFonts w:ascii="Arial" w:hAnsi="Arial" w:cs="Arial"/>
          <w:sz w:val="24"/>
        </w:rPr>
        <w:fldChar w:fldCharType="begin"/>
      </w:r>
      <w:r w:rsidRPr="0051277B">
        <w:rPr>
          <w:rFonts w:ascii="Arial" w:hAnsi="Arial" w:cs="Arial"/>
          <w:sz w:val="24"/>
        </w:rPr>
        <w:instrText xml:space="preserve"> SEQ Table \* ARABIC </w:instrText>
      </w:r>
      <w:r w:rsidRPr="0051277B">
        <w:rPr>
          <w:rFonts w:ascii="Arial" w:hAnsi="Arial" w:cs="Arial"/>
          <w:sz w:val="24"/>
        </w:rPr>
        <w:fldChar w:fldCharType="separate"/>
      </w:r>
      <w:r w:rsidR="004E1559">
        <w:rPr>
          <w:rFonts w:ascii="Arial" w:hAnsi="Arial" w:cs="Arial"/>
          <w:noProof/>
          <w:sz w:val="24"/>
        </w:rPr>
        <w:t>4</w:t>
      </w:r>
      <w:r w:rsidRPr="0051277B">
        <w:rPr>
          <w:rFonts w:ascii="Arial" w:hAnsi="Arial" w:cs="Arial"/>
          <w:sz w:val="24"/>
        </w:rPr>
        <w:fldChar w:fldCharType="end"/>
      </w:r>
      <w:r w:rsidRPr="0051277B">
        <w:rPr>
          <w:rFonts w:ascii="Arial" w:hAnsi="Arial" w:cs="Arial"/>
          <w:sz w:val="24"/>
        </w:rPr>
        <w:t>: Competitor Comparison</w:t>
      </w:r>
      <w:bookmarkEnd w:id="53"/>
    </w:p>
    <w:tbl>
      <w:tblPr>
        <w:tblStyle w:val="TableGrid"/>
        <w:tblW w:w="0" w:type="auto"/>
        <w:tblLook w:val="04A0" w:firstRow="1" w:lastRow="0" w:firstColumn="1" w:lastColumn="0" w:noHBand="0" w:noVBand="1"/>
      </w:tblPr>
      <w:tblGrid>
        <w:gridCol w:w="1438"/>
        <w:gridCol w:w="1357"/>
        <w:gridCol w:w="1472"/>
        <w:gridCol w:w="1575"/>
        <w:gridCol w:w="1702"/>
        <w:gridCol w:w="1472"/>
      </w:tblGrid>
      <w:tr w:rsidR="0051277B" w:rsidRPr="0051277B" w14:paraId="6528824A" w14:textId="77777777" w:rsidTr="001560A9">
        <w:tc>
          <w:tcPr>
            <w:tcW w:w="1438" w:type="dxa"/>
          </w:tcPr>
          <w:p w14:paraId="47EF74F0" w14:textId="77777777" w:rsidR="0051277B" w:rsidRPr="00AA4C37" w:rsidRDefault="0051277B" w:rsidP="0038379F">
            <w:pPr>
              <w:spacing w:before="240" w:line="360" w:lineRule="auto"/>
              <w:jc w:val="both"/>
              <w:rPr>
                <w:rFonts w:ascii="Arial" w:hAnsi="Arial" w:cs="Arial"/>
                <w:b/>
                <w:sz w:val="24"/>
                <w:szCs w:val="24"/>
                <w:lang w:val="en-GB" w:eastAsia="en-GB"/>
              </w:rPr>
            </w:pPr>
            <w:r w:rsidRPr="00AA4C37">
              <w:rPr>
                <w:rFonts w:ascii="Arial" w:hAnsi="Arial" w:cs="Arial"/>
                <w:b/>
                <w:sz w:val="24"/>
                <w:szCs w:val="24"/>
                <w:lang w:val="en-GB" w:eastAsia="en-GB"/>
              </w:rPr>
              <w:t>Criteria</w:t>
            </w:r>
          </w:p>
        </w:tc>
        <w:tc>
          <w:tcPr>
            <w:tcW w:w="1357" w:type="dxa"/>
          </w:tcPr>
          <w:p w14:paraId="4865E777" w14:textId="77777777" w:rsidR="0051277B" w:rsidRPr="00AA4C37" w:rsidRDefault="0051277B" w:rsidP="0038379F">
            <w:pPr>
              <w:spacing w:before="240" w:line="360" w:lineRule="auto"/>
              <w:jc w:val="both"/>
              <w:rPr>
                <w:rFonts w:ascii="Arial" w:hAnsi="Arial" w:cs="Arial"/>
                <w:b/>
                <w:sz w:val="24"/>
                <w:szCs w:val="24"/>
                <w:lang w:val="en-GB" w:eastAsia="en-GB"/>
              </w:rPr>
            </w:pPr>
            <w:r w:rsidRPr="00AA4C37">
              <w:rPr>
                <w:rFonts w:ascii="Arial" w:hAnsi="Arial" w:cs="Arial"/>
                <w:b/>
                <w:sz w:val="24"/>
                <w:szCs w:val="24"/>
                <w:lang w:val="en-GB" w:eastAsia="en-GB"/>
              </w:rPr>
              <w:t>Monmouth Coffee Company</w:t>
            </w:r>
          </w:p>
        </w:tc>
        <w:tc>
          <w:tcPr>
            <w:tcW w:w="1472" w:type="dxa"/>
          </w:tcPr>
          <w:p w14:paraId="086D96A0" w14:textId="77777777" w:rsidR="0051277B" w:rsidRPr="00AA4C37" w:rsidRDefault="0051277B" w:rsidP="0038379F">
            <w:pPr>
              <w:spacing w:before="240" w:line="360" w:lineRule="auto"/>
              <w:jc w:val="both"/>
              <w:rPr>
                <w:rFonts w:ascii="Arial" w:hAnsi="Arial" w:cs="Arial"/>
                <w:b/>
                <w:sz w:val="24"/>
                <w:szCs w:val="24"/>
                <w:lang w:val="en-GB" w:eastAsia="en-GB"/>
              </w:rPr>
            </w:pPr>
            <w:r w:rsidRPr="00AA4C37">
              <w:rPr>
                <w:rFonts w:ascii="Arial" w:hAnsi="Arial" w:cs="Arial"/>
                <w:b/>
                <w:sz w:val="24"/>
                <w:szCs w:val="24"/>
                <w:lang w:val="en-GB" w:eastAsia="en-GB"/>
              </w:rPr>
              <w:t>WatchHouse</w:t>
            </w:r>
          </w:p>
        </w:tc>
        <w:tc>
          <w:tcPr>
            <w:tcW w:w="1575" w:type="dxa"/>
          </w:tcPr>
          <w:p w14:paraId="6F383C28" w14:textId="77777777" w:rsidR="0051277B" w:rsidRPr="00AA4C37" w:rsidRDefault="0051277B" w:rsidP="0038379F">
            <w:pPr>
              <w:spacing w:before="240" w:line="360" w:lineRule="auto"/>
              <w:jc w:val="both"/>
              <w:rPr>
                <w:rFonts w:ascii="Arial" w:hAnsi="Arial" w:cs="Arial"/>
                <w:b/>
                <w:sz w:val="24"/>
                <w:szCs w:val="24"/>
                <w:lang w:val="en-GB" w:eastAsia="en-GB"/>
              </w:rPr>
            </w:pPr>
            <w:r w:rsidRPr="00AA4C37">
              <w:rPr>
                <w:rFonts w:ascii="Arial" w:hAnsi="Arial" w:cs="Arial"/>
                <w:b/>
                <w:sz w:val="24"/>
                <w:szCs w:val="24"/>
                <w:lang w:val="en-GB" w:eastAsia="en-GB"/>
              </w:rPr>
              <w:t>Qima Café &amp; Pâtisserie</w:t>
            </w:r>
          </w:p>
        </w:tc>
        <w:tc>
          <w:tcPr>
            <w:tcW w:w="1702" w:type="dxa"/>
          </w:tcPr>
          <w:p w14:paraId="5B68C809" w14:textId="77777777" w:rsidR="0051277B" w:rsidRPr="00AA4C37" w:rsidRDefault="0051277B" w:rsidP="0038379F">
            <w:pPr>
              <w:spacing w:before="240" w:line="360" w:lineRule="auto"/>
              <w:jc w:val="both"/>
              <w:rPr>
                <w:rFonts w:ascii="Arial" w:hAnsi="Arial" w:cs="Arial"/>
                <w:b/>
                <w:sz w:val="24"/>
                <w:szCs w:val="24"/>
                <w:lang w:val="en-GB" w:eastAsia="en-GB"/>
              </w:rPr>
            </w:pPr>
            <w:r w:rsidRPr="00AA4C37">
              <w:rPr>
                <w:rFonts w:ascii="Arial" w:hAnsi="Arial" w:cs="Arial"/>
                <w:b/>
                <w:sz w:val="24"/>
                <w:szCs w:val="24"/>
                <w:lang w:val="en-GB" w:eastAsia="en-GB"/>
              </w:rPr>
              <w:t>Abuelo</w:t>
            </w:r>
          </w:p>
        </w:tc>
        <w:tc>
          <w:tcPr>
            <w:tcW w:w="1472" w:type="dxa"/>
          </w:tcPr>
          <w:p w14:paraId="5DCEE4B3" w14:textId="77777777" w:rsidR="0051277B" w:rsidRPr="00AA4C37" w:rsidRDefault="0051277B" w:rsidP="0038379F">
            <w:pPr>
              <w:spacing w:before="240" w:line="360" w:lineRule="auto"/>
              <w:jc w:val="both"/>
              <w:rPr>
                <w:rFonts w:ascii="Arial" w:hAnsi="Arial" w:cs="Arial"/>
                <w:b/>
                <w:sz w:val="24"/>
                <w:szCs w:val="24"/>
                <w:lang w:val="en-GB" w:eastAsia="en-GB"/>
              </w:rPr>
            </w:pPr>
            <w:r w:rsidRPr="00AA4C37">
              <w:rPr>
                <w:rFonts w:ascii="Arial" w:hAnsi="Arial" w:cs="Arial"/>
                <w:b/>
                <w:sz w:val="24"/>
                <w:szCs w:val="24"/>
                <w:lang w:val="en-GB" w:eastAsia="en-GB"/>
              </w:rPr>
              <w:t>The Ethical Bean Coffee House</w:t>
            </w:r>
          </w:p>
        </w:tc>
      </w:tr>
      <w:tr w:rsidR="0051277B" w:rsidRPr="0051277B" w14:paraId="35311728" w14:textId="77777777" w:rsidTr="001560A9">
        <w:tc>
          <w:tcPr>
            <w:tcW w:w="1438" w:type="dxa"/>
          </w:tcPr>
          <w:p w14:paraId="5E1B33DD" w14:textId="77777777" w:rsidR="0051277B" w:rsidRPr="0051277B" w:rsidRDefault="0051277B" w:rsidP="0038379F">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Location</w:t>
            </w:r>
          </w:p>
        </w:tc>
        <w:tc>
          <w:tcPr>
            <w:tcW w:w="1357" w:type="dxa"/>
          </w:tcPr>
          <w:p w14:paraId="54A17D1A" w14:textId="77777777" w:rsidR="0051277B" w:rsidRPr="0051277B" w:rsidRDefault="0051277B" w:rsidP="0038379F">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Monmouth Street</w:t>
            </w:r>
          </w:p>
        </w:tc>
        <w:tc>
          <w:tcPr>
            <w:tcW w:w="1472" w:type="dxa"/>
          </w:tcPr>
          <w:p w14:paraId="524923CA" w14:textId="77777777" w:rsidR="0051277B" w:rsidRPr="0051277B" w:rsidRDefault="0051277B" w:rsidP="0038379F">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Southampton Street</w:t>
            </w:r>
          </w:p>
        </w:tc>
        <w:tc>
          <w:tcPr>
            <w:tcW w:w="1575" w:type="dxa"/>
          </w:tcPr>
          <w:p w14:paraId="5AEED1F3" w14:textId="77777777" w:rsidR="0051277B" w:rsidRPr="0051277B" w:rsidRDefault="0051277B" w:rsidP="0038379F">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New Row</w:t>
            </w:r>
          </w:p>
        </w:tc>
        <w:tc>
          <w:tcPr>
            <w:tcW w:w="1702" w:type="dxa"/>
          </w:tcPr>
          <w:p w14:paraId="16F941C1" w14:textId="77777777" w:rsidR="0051277B" w:rsidRPr="0051277B" w:rsidRDefault="0051277B" w:rsidP="0038379F">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Southampton Street</w:t>
            </w:r>
          </w:p>
        </w:tc>
        <w:tc>
          <w:tcPr>
            <w:tcW w:w="1472" w:type="dxa"/>
          </w:tcPr>
          <w:p w14:paraId="735C40DB" w14:textId="77777777" w:rsidR="0051277B" w:rsidRPr="0051277B" w:rsidRDefault="0051277B" w:rsidP="0038379F">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Proposed: Monmouth Street</w:t>
            </w:r>
          </w:p>
        </w:tc>
      </w:tr>
      <w:tr w:rsidR="0051277B" w:rsidRPr="0051277B" w14:paraId="0F6F3206" w14:textId="77777777" w:rsidTr="001560A9">
        <w:tc>
          <w:tcPr>
            <w:tcW w:w="1438" w:type="dxa"/>
          </w:tcPr>
          <w:p w14:paraId="37522E47" w14:textId="77777777" w:rsidR="0051277B" w:rsidRPr="0051277B" w:rsidRDefault="0051277B" w:rsidP="0038379F">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lastRenderedPageBreak/>
              <w:t>Core products</w:t>
            </w:r>
          </w:p>
        </w:tc>
        <w:tc>
          <w:tcPr>
            <w:tcW w:w="1357" w:type="dxa"/>
          </w:tcPr>
          <w:p w14:paraId="66C61DFA" w14:textId="77777777" w:rsidR="0051277B" w:rsidRPr="0051277B" w:rsidRDefault="0051277B" w:rsidP="0038379F">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Specialty coffee, beans and food</w:t>
            </w:r>
          </w:p>
        </w:tc>
        <w:tc>
          <w:tcPr>
            <w:tcW w:w="1472" w:type="dxa"/>
          </w:tcPr>
          <w:p w14:paraId="5978E4E6" w14:textId="77777777" w:rsidR="0051277B" w:rsidRPr="0051277B" w:rsidRDefault="0051277B" w:rsidP="0038379F">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Specialty coffee, seasonal drinks and brunch</w:t>
            </w:r>
          </w:p>
        </w:tc>
        <w:tc>
          <w:tcPr>
            <w:tcW w:w="1575" w:type="dxa"/>
          </w:tcPr>
          <w:p w14:paraId="0DF226AC" w14:textId="77777777" w:rsidR="0051277B" w:rsidRPr="0051277B" w:rsidRDefault="0051277B" w:rsidP="0038379F">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Specialty coffee and patisserie</w:t>
            </w:r>
          </w:p>
        </w:tc>
        <w:tc>
          <w:tcPr>
            <w:tcW w:w="1702" w:type="dxa"/>
          </w:tcPr>
          <w:p w14:paraId="1DC2432B" w14:textId="77777777" w:rsidR="0051277B" w:rsidRPr="0051277B" w:rsidRDefault="0051277B" w:rsidP="0038379F">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Specialty coffee and food</w:t>
            </w:r>
          </w:p>
        </w:tc>
        <w:tc>
          <w:tcPr>
            <w:tcW w:w="1472" w:type="dxa"/>
          </w:tcPr>
          <w:p w14:paraId="40978251" w14:textId="77777777" w:rsidR="0051277B" w:rsidRPr="0051277B" w:rsidRDefault="0051277B" w:rsidP="0038379F">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Specialty coffee, beverages and concise food</w:t>
            </w:r>
          </w:p>
        </w:tc>
      </w:tr>
      <w:tr w:rsidR="0051277B" w:rsidRPr="0051277B" w14:paraId="766D09C5" w14:textId="77777777" w:rsidTr="001560A9">
        <w:tc>
          <w:tcPr>
            <w:tcW w:w="1438" w:type="dxa"/>
          </w:tcPr>
          <w:p w14:paraId="37DEC66E" w14:textId="77777777" w:rsidR="0051277B" w:rsidRPr="0051277B" w:rsidRDefault="0051277B" w:rsidP="0038379F">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Target customers</w:t>
            </w:r>
          </w:p>
        </w:tc>
        <w:tc>
          <w:tcPr>
            <w:tcW w:w="1357" w:type="dxa"/>
          </w:tcPr>
          <w:p w14:paraId="786F30EA" w14:textId="77777777" w:rsidR="0051277B" w:rsidRPr="0051277B" w:rsidRDefault="0051277B" w:rsidP="0038379F">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Coffee enthusiasts and specialty consumers</w:t>
            </w:r>
          </w:p>
        </w:tc>
        <w:tc>
          <w:tcPr>
            <w:tcW w:w="1472" w:type="dxa"/>
          </w:tcPr>
          <w:p w14:paraId="5CB481BC" w14:textId="77777777" w:rsidR="0051277B" w:rsidRPr="0051277B" w:rsidRDefault="0051277B" w:rsidP="0038379F">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Premium coffee, brunch and experience consumers</w:t>
            </w:r>
          </w:p>
        </w:tc>
        <w:tc>
          <w:tcPr>
            <w:tcW w:w="1575" w:type="dxa"/>
          </w:tcPr>
          <w:p w14:paraId="13E1E589" w14:textId="77777777" w:rsidR="0051277B" w:rsidRPr="0051277B" w:rsidRDefault="0051277B" w:rsidP="0038379F">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Luxury and provenance-conscious consumers</w:t>
            </w:r>
          </w:p>
        </w:tc>
        <w:tc>
          <w:tcPr>
            <w:tcW w:w="1702" w:type="dxa"/>
          </w:tcPr>
          <w:p w14:paraId="5C2F833F" w14:textId="77777777" w:rsidR="0051277B" w:rsidRPr="0051277B" w:rsidRDefault="0051277B" w:rsidP="0038379F">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Café and food consumers</w:t>
            </w:r>
          </w:p>
        </w:tc>
        <w:tc>
          <w:tcPr>
            <w:tcW w:w="1472" w:type="dxa"/>
          </w:tcPr>
          <w:p w14:paraId="25CAF6DC" w14:textId="77777777" w:rsidR="0051277B" w:rsidRPr="0051277B" w:rsidRDefault="0051277B" w:rsidP="0038379F">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Ethical specialty consumers, professionals and visitors</w:t>
            </w:r>
          </w:p>
        </w:tc>
      </w:tr>
      <w:tr w:rsidR="0051277B" w:rsidRPr="0051277B" w14:paraId="745C1A97" w14:textId="77777777" w:rsidTr="001560A9">
        <w:tc>
          <w:tcPr>
            <w:tcW w:w="1438" w:type="dxa"/>
          </w:tcPr>
          <w:p w14:paraId="501CBF14" w14:textId="77777777" w:rsidR="0051277B" w:rsidRPr="0051277B" w:rsidRDefault="0051277B" w:rsidP="0038379F">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Customer experience</w:t>
            </w:r>
          </w:p>
        </w:tc>
        <w:tc>
          <w:tcPr>
            <w:tcW w:w="1357" w:type="dxa"/>
          </w:tcPr>
          <w:p w14:paraId="79DB4D7C" w14:textId="77777777" w:rsidR="0051277B" w:rsidRPr="0051277B" w:rsidRDefault="0051277B" w:rsidP="0038379F">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Specialist and coffee-focused</w:t>
            </w:r>
          </w:p>
        </w:tc>
        <w:tc>
          <w:tcPr>
            <w:tcW w:w="1472" w:type="dxa"/>
          </w:tcPr>
          <w:p w14:paraId="6D388B79" w14:textId="77777777" w:rsidR="0051277B" w:rsidRPr="0051277B" w:rsidRDefault="0051277B" w:rsidP="0038379F">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Design-led and experience-oriented</w:t>
            </w:r>
          </w:p>
        </w:tc>
        <w:tc>
          <w:tcPr>
            <w:tcW w:w="1575" w:type="dxa"/>
          </w:tcPr>
          <w:p w14:paraId="2D4BA3DC" w14:textId="77777777" w:rsidR="0051277B" w:rsidRPr="0051277B" w:rsidRDefault="0051277B" w:rsidP="0038379F">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Premium and provenance-focused</w:t>
            </w:r>
          </w:p>
        </w:tc>
        <w:tc>
          <w:tcPr>
            <w:tcW w:w="1702" w:type="dxa"/>
          </w:tcPr>
          <w:p w14:paraId="49D9EEFC" w14:textId="77777777" w:rsidR="0051277B" w:rsidRPr="0051277B" w:rsidRDefault="0051277B" w:rsidP="0038379F">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Food and café experience</w:t>
            </w:r>
          </w:p>
        </w:tc>
        <w:tc>
          <w:tcPr>
            <w:tcW w:w="1472" w:type="dxa"/>
          </w:tcPr>
          <w:p w14:paraId="48B21F00" w14:textId="77777777" w:rsidR="0051277B" w:rsidRPr="0051277B" w:rsidRDefault="0051277B" w:rsidP="0038379F">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Personalised, ethical and experience-led</w:t>
            </w:r>
          </w:p>
        </w:tc>
      </w:tr>
      <w:tr w:rsidR="0051277B" w:rsidRPr="0051277B" w14:paraId="67A740D4" w14:textId="77777777" w:rsidTr="001560A9">
        <w:tc>
          <w:tcPr>
            <w:tcW w:w="1438" w:type="dxa"/>
          </w:tcPr>
          <w:p w14:paraId="0C74F9A9" w14:textId="77777777" w:rsidR="0051277B" w:rsidRPr="0051277B" w:rsidRDefault="0051277B" w:rsidP="0038379F">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Sustainability positioning</w:t>
            </w:r>
          </w:p>
        </w:tc>
        <w:tc>
          <w:tcPr>
            <w:tcW w:w="1357" w:type="dxa"/>
          </w:tcPr>
          <w:p w14:paraId="7E9A83F6" w14:textId="77777777" w:rsidR="0051277B" w:rsidRPr="0051277B" w:rsidRDefault="0051277B" w:rsidP="0038379F">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Responsible sourcing</w:t>
            </w:r>
          </w:p>
        </w:tc>
        <w:tc>
          <w:tcPr>
            <w:tcW w:w="1472" w:type="dxa"/>
          </w:tcPr>
          <w:p w14:paraId="08C55DB8" w14:textId="77777777" w:rsidR="0051277B" w:rsidRPr="0051277B" w:rsidRDefault="0051277B" w:rsidP="0038379F">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Ethical and transparent supply chains</w:t>
            </w:r>
          </w:p>
        </w:tc>
        <w:tc>
          <w:tcPr>
            <w:tcW w:w="1575" w:type="dxa"/>
          </w:tcPr>
          <w:p w14:paraId="16A91E4F" w14:textId="77777777" w:rsidR="0051277B" w:rsidRPr="0051277B" w:rsidRDefault="0051277B" w:rsidP="0038379F">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Strong provenance and ethical sourcing</w:t>
            </w:r>
          </w:p>
        </w:tc>
        <w:tc>
          <w:tcPr>
            <w:tcW w:w="1702" w:type="dxa"/>
          </w:tcPr>
          <w:p w14:paraId="70FC7498" w14:textId="77777777" w:rsidR="0051277B" w:rsidRPr="0051277B" w:rsidRDefault="0051277B" w:rsidP="0038379F">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Ethical/specialty orientation</w:t>
            </w:r>
          </w:p>
        </w:tc>
        <w:tc>
          <w:tcPr>
            <w:tcW w:w="1472" w:type="dxa"/>
          </w:tcPr>
          <w:p w14:paraId="2011D864" w14:textId="77777777" w:rsidR="0051277B" w:rsidRPr="0051277B" w:rsidRDefault="0051277B" w:rsidP="0038379F">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Central proposition</w:t>
            </w:r>
          </w:p>
        </w:tc>
      </w:tr>
      <w:tr w:rsidR="0051277B" w:rsidRPr="0051277B" w14:paraId="43629F9F" w14:textId="77777777" w:rsidTr="001560A9">
        <w:tc>
          <w:tcPr>
            <w:tcW w:w="1438" w:type="dxa"/>
          </w:tcPr>
          <w:p w14:paraId="166EF051" w14:textId="77777777" w:rsidR="0051277B" w:rsidRPr="0051277B" w:rsidRDefault="0051277B" w:rsidP="0038379F">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Main strengths</w:t>
            </w:r>
          </w:p>
        </w:tc>
        <w:tc>
          <w:tcPr>
            <w:tcW w:w="1357" w:type="dxa"/>
          </w:tcPr>
          <w:p w14:paraId="39060B19" w14:textId="77777777" w:rsidR="0051277B" w:rsidRPr="0051277B" w:rsidRDefault="0051277B" w:rsidP="0038379F">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Heritage, reputation and sourcing expertise</w:t>
            </w:r>
          </w:p>
        </w:tc>
        <w:tc>
          <w:tcPr>
            <w:tcW w:w="1472" w:type="dxa"/>
          </w:tcPr>
          <w:p w14:paraId="37E49659" w14:textId="77777777" w:rsidR="0051277B" w:rsidRPr="0051277B" w:rsidRDefault="0051277B" w:rsidP="0038379F">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Strong brand, experience and brunch</w:t>
            </w:r>
          </w:p>
        </w:tc>
        <w:tc>
          <w:tcPr>
            <w:tcW w:w="1575" w:type="dxa"/>
          </w:tcPr>
          <w:p w14:paraId="5768AD1F" w14:textId="77777777" w:rsidR="0051277B" w:rsidRPr="0051277B" w:rsidRDefault="0051277B" w:rsidP="0038379F">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Rare coffee and provenance</w:t>
            </w:r>
          </w:p>
        </w:tc>
        <w:tc>
          <w:tcPr>
            <w:tcW w:w="1702" w:type="dxa"/>
          </w:tcPr>
          <w:p w14:paraId="65C66177" w14:textId="77777777" w:rsidR="0051277B" w:rsidRPr="0051277B" w:rsidRDefault="0051277B" w:rsidP="0038379F">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Food and coffee combination</w:t>
            </w:r>
          </w:p>
        </w:tc>
        <w:tc>
          <w:tcPr>
            <w:tcW w:w="1472" w:type="dxa"/>
          </w:tcPr>
          <w:p w14:paraId="0695FEF5" w14:textId="77777777" w:rsidR="0051277B" w:rsidRPr="0051277B" w:rsidRDefault="0051277B" w:rsidP="0038379F">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Flexible independent model</w:t>
            </w:r>
          </w:p>
        </w:tc>
      </w:tr>
      <w:tr w:rsidR="0051277B" w:rsidRPr="0051277B" w14:paraId="4D37A0CC" w14:textId="77777777" w:rsidTr="001560A9">
        <w:tc>
          <w:tcPr>
            <w:tcW w:w="1438" w:type="dxa"/>
          </w:tcPr>
          <w:p w14:paraId="39926D74" w14:textId="77777777" w:rsidR="0051277B" w:rsidRPr="0051277B" w:rsidRDefault="0051277B" w:rsidP="0038379F">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Main weaknesses</w:t>
            </w:r>
          </w:p>
        </w:tc>
        <w:tc>
          <w:tcPr>
            <w:tcW w:w="1357" w:type="dxa"/>
          </w:tcPr>
          <w:p w14:paraId="417DDB0D" w14:textId="77777777" w:rsidR="0051277B" w:rsidRPr="0051277B" w:rsidRDefault="0051277B" w:rsidP="0038379F">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 xml:space="preserve">Established specialist </w:t>
            </w:r>
            <w:r w:rsidRPr="0051277B">
              <w:rPr>
                <w:rFonts w:ascii="Arial" w:hAnsi="Arial" w:cs="Arial"/>
                <w:sz w:val="24"/>
                <w:szCs w:val="24"/>
                <w:lang w:val="en-GB" w:eastAsia="en-GB"/>
              </w:rPr>
              <w:lastRenderedPageBreak/>
              <w:t>positioning</w:t>
            </w:r>
          </w:p>
        </w:tc>
        <w:tc>
          <w:tcPr>
            <w:tcW w:w="1472" w:type="dxa"/>
          </w:tcPr>
          <w:p w14:paraId="14494862" w14:textId="77777777" w:rsidR="0051277B" w:rsidRPr="0051277B" w:rsidRDefault="0051277B" w:rsidP="0038379F">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lastRenderedPageBreak/>
              <w:t>Premium positioning and strong competition</w:t>
            </w:r>
          </w:p>
        </w:tc>
        <w:tc>
          <w:tcPr>
            <w:tcW w:w="1575" w:type="dxa"/>
          </w:tcPr>
          <w:p w14:paraId="5A6A9617" w14:textId="77777777" w:rsidR="0051277B" w:rsidRPr="0051277B" w:rsidRDefault="0051277B" w:rsidP="0038379F">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Highly premium/niche proposition</w:t>
            </w:r>
          </w:p>
        </w:tc>
        <w:tc>
          <w:tcPr>
            <w:tcW w:w="1702" w:type="dxa"/>
          </w:tcPr>
          <w:p w14:paraId="460CDCED" w14:textId="77777777" w:rsidR="0051277B" w:rsidRPr="0051277B" w:rsidRDefault="0051277B" w:rsidP="0038379F">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Less distinctive positioning</w:t>
            </w:r>
          </w:p>
        </w:tc>
        <w:tc>
          <w:tcPr>
            <w:tcW w:w="1472" w:type="dxa"/>
          </w:tcPr>
          <w:p w14:paraId="76845180" w14:textId="77777777" w:rsidR="0051277B" w:rsidRPr="0051277B" w:rsidRDefault="0051277B" w:rsidP="0038379F">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New brand and limited scale</w:t>
            </w:r>
          </w:p>
        </w:tc>
      </w:tr>
    </w:tbl>
    <w:p w14:paraId="3C5836A3" w14:textId="11F30E63" w:rsidR="001560A9" w:rsidRPr="001560A9" w:rsidRDefault="001560A9" w:rsidP="001560A9">
      <w:pPr>
        <w:spacing w:before="240" w:line="360" w:lineRule="auto"/>
        <w:jc w:val="both"/>
        <w:rPr>
          <w:rFonts w:ascii="Arial" w:hAnsi="Arial" w:cs="Arial"/>
          <w:sz w:val="24"/>
          <w:szCs w:val="24"/>
          <w:lang w:val="en-GB" w:eastAsia="en-GB"/>
        </w:rPr>
      </w:pPr>
      <w:r w:rsidRPr="001560A9">
        <w:rPr>
          <w:rFonts w:ascii="Arial" w:hAnsi="Arial" w:cs="Arial"/>
          <w:sz w:val="24"/>
          <w:szCs w:val="24"/>
          <w:lang w:val="en-GB" w:eastAsia="en-GB"/>
        </w:rPr>
        <w:lastRenderedPageBreak/>
        <w:t>Monmouth is certainly one of the biggest direct competitors as they have been in Covent Garden for a long time and specialise in single origin coffee and filter. According to the destination guide, Monmouth is a leading force in the specialty-coffee movement within London, and known to the coffee community for its responsibly sourced coffee (Covent Garden London, 2026). Additionally, it is of great competitive concern because it is in the immediate vicinity of the proposed site in Monmouth Street</w:t>
      </w:r>
      <w:r>
        <w:rPr>
          <w:rFonts w:ascii="Arial" w:hAnsi="Arial" w:cs="Arial"/>
          <w:sz w:val="24"/>
          <w:szCs w:val="24"/>
          <w:lang w:val="en-GB" w:eastAsia="en-GB"/>
        </w:rPr>
        <w:t>.</w:t>
      </w:r>
    </w:p>
    <w:p w14:paraId="4CBF8AB0" w14:textId="73B9AFD8" w:rsidR="001560A9" w:rsidRPr="001560A9" w:rsidRDefault="001560A9" w:rsidP="001560A9">
      <w:pPr>
        <w:spacing w:before="240" w:line="360" w:lineRule="auto"/>
        <w:jc w:val="both"/>
        <w:rPr>
          <w:rFonts w:ascii="Arial" w:hAnsi="Arial" w:cs="Arial"/>
          <w:sz w:val="24"/>
          <w:szCs w:val="24"/>
          <w:lang w:val="en-GB" w:eastAsia="en-GB"/>
        </w:rPr>
      </w:pPr>
      <w:r w:rsidRPr="001560A9">
        <w:rPr>
          <w:rFonts w:ascii="Arial" w:hAnsi="Arial" w:cs="Arial"/>
          <w:sz w:val="24"/>
          <w:szCs w:val="24"/>
          <w:lang w:val="en-GB" w:eastAsia="en-GB"/>
        </w:rPr>
        <w:t>Watch House is another great indicator, as it's a specialty coffee paired with a wider hospitality offering. The brand's location in Covent Garden, at 28–29 Southampton Street, allows them to host high-end specialty equipment, custom brew bar, brunch and outdoor seating, and create a brand-new, immersive experience around coffee (Watch House, 2026a). Additionally, its extensive footprint in London increases brand awareness and operational expertise over a new, indepe</w:t>
      </w:r>
      <w:r>
        <w:rPr>
          <w:rFonts w:ascii="Arial" w:hAnsi="Arial" w:cs="Arial"/>
          <w:sz w:val="24"/>
          <w:szCs w:val="24"/>
          <w:lang w:val="en-GB" w:eastAsia="en-GB"/>
        </w:rPr>
        <w:t>ndent café (Watch House, 2026b)</w:t>
      </w:r>
    </w:p>
    <w:p w14:paraId="6B0BFFA3" w14:textId="66205986" w:rsidR="001560A9" w:rsidRPr="001560A9" w:rsidRDefault="001560A9" w:rsidP="001560A9">
      <w:pPr>
        <w:spacing w:before="240" w:line="360" w:lineRule="auto"/>
        <w:jc w:val="both"/>
        <w:rPr>
          <w:rFonts w:ascii="Arial" w:hAnsi="Arial" w:cs="Arial"/>
          <w:sz w:val="24"/>
          <w:szCs w:val="24"/>
          <w:lang w:val="en-GB" w:eastAsia="en-GB"/>
        </w:rPr>
      </w:pPr>
      <w:r w:rsidRPr="001560A9">
        <w:rPr>
          <w:rFonts w:ascii="Arial" w:hAnsi="Arial" w:cs="Arial"/>
          <w:sz w:val="24"/>
          <w:szCs w:val="24"/>
          <w:lang w:val="en-GB" w:eastAsia="en-GB"/>
        </w:rPr>
        <w:t>This is important to the proposed ethical positioning of Qima. It curates the rare coffee, provenance and a premium coffee experience in its Covent Garden offering. Its unique Yemeni coffee and its positioning on the connection between coffee country and the cup (Covent Garden London, 2026) are emphasised with local destination information. This illustrates that sourcing and/or provenance alone do not constitute a</w:t>
      </w:r>
      <w:r>
        <w:rPr>
          <w:rFonts w:ascii="Arial" w:hAnsi="Arial" w:cs="Arial"/>
          <w:sz w:val="24"/>
          <w:szCs w:val="24"/>
          <w:lang w:val="en-GB" w:eastAsia="en-GB"/>
        </w:rPr>
        <w:t xml:space="preserve"> unique advantage to the brand</w:t>
      </w:r>
    </w:p>
    <w:p w14:paraId="2BC8CAB1" w14:textId="18798682" w:rsidR="001560A9" w:rsidRPr="001560A9" w:rsidRDefault="001560A9" w:rsidP="001560A9">
      <w:pPr>
        <w:spacing w:before="240" w:line="360" w:lineRule="auto"/>
        <w:jc w:val="both"/>
        <w:rPr>
          <w:rFonts w:ascii="Arial" w:hAnsi="Arial" w:cs="Arial"/>
          <w:sz w:val="24"/>
          <w:szCs w:val="24"/>
          <w:lang w:val="en-GB" w:eastAsia="en-GB"/>
        </w:rPr>
      </w:pPr>
      <w:r w:rsidRPr="001560A9">
        <w:rPr>
          <w:rFonts w:ascii="Arial" w:hAnsi="Arial" w:cs="Arial"/>
          <w:sz w:val="24"/>
          <w:szCs w:val="24"/>
          <w:lang w:val="en-GB" w:eastAsia="en-GB"/>
        </w:rPr>
        <w:t>Watch House’s present brunch menu also shows the high dollar quality environment. For instance, it offers sourdough toast for £4.80 and porridge for £6.90 and pancakes for £14.50 to £15.50 (Watch House, 2026c). This is a good yardstick for the pricing of The Ethical Bean's proposed premium option that will be accessible to ev</w:t>
      </w:r>
      <w:r>
        <w:rPr>
          <w:rFonts w:ascii="Arial" w:hAnsi="Arial" w:cs="Arial"/>
          <w:sz w:val="24"/>
          <w:szCs w:val="24"/>
          <w:lang w:val="en-GB" w:eastAsia="en-GB"/>
        </w:rPr>
        <w:t>eryone</w:t>
      </w:r>
    </w:p>
    <w:p w14:paraId="5FF7F44E" w14:textId="6BB61B06" w:rsidR="00B213BD" w:rsidRPr="00B213BD" w:rsidRDefault="001560A9" w:rsidP="00B213BD">
      <w:pPr>
        <w:spacing w:before="240" w:line="360" w:lineRule="auto"/>
        <w:jc w:val="both"/>
        <w:rPr>
          <w:rFonts w:ascii="Arial" w:hAnsi="Arial" w:cs="Arial"/>
          <w:sz w:val="24"/>
          <w:szCs w:val="24"/>
          <w:lang w:val="en-GB" w:eastAsia="en-GB"/>
        </w:rPr>
      </w:pPr>
      <w:r w:rsidRPr="001560A9">
        <w:rPr>
          <w:rFonts w:ascii="Arial" w:hAnsi="Arial" w:cs="Arial"/>
          <w:sz w:val="24"/>
          <w:szCs w:val="24"/>
          <w:lang w:val="en-GB" w:eastAsia="en-GB"/>
        </w:rPr>
        <w:t xml:space="preserve">No reliable data on individual market-share for each of the cafés in Covent Garden was found. Thus it would be inappropriate to give unsupported percentages to opponents. Rather, competitive strength is measured by location, product range and breadth, pricing, brand, customer experience, sourcing credentials and operational scale. This is suitable as industry-level reports offer market and operator information, </w:t>
      </w:r>
      <w:r w:rsidRPr="001560A9">
        <w:rPr>
          <w:rFonts w:ascii="Arial" w:hAnsi="Arial" w:cs="Arial"/>
          <w:sz w:val="24"/>
          <w:szCs w:val="24"/>
          <w:lang w:val="en-GB" w:eastAsia="en-GB"/>
        </w:rPr>
        <w:lastRenderedPageBreak/>
        <w:t>which is not necessarily indicative of sales shares of individual independent cafés (World Coffee Portal, 2026).</w:t>
      </w:r>
      <w:r w:rsidRPr="00B213BD">
        <w:rPr>
          <w:rFonts w:ascii="Arial" w:hAnsi="Arial" w:cs="Arial"/>
          <w:sz w:val="24"/>
          <w:szCs w:val="24"/>
          <w:lang w:val="en-GB" w:eastAsia="en-GB"/>
        </w:rPr>
        <w:t xml:space="preserve"> </w:t>
      </w:r>
    </w:p>
    <w:p w14:paraId="0E2F304C" w14:textId="194C9C42" w:rsidR="00B213BD" w:rsidRPr="00B213BD" w:rsidRDefault="006F1D89" w:rsidP="007B159C">
      <w:pPr>
        <w:pStyle w:val="Heading2"/>
        <w:rPr>
          <w:lang w:val="en-GB" w:eastAsia="en-GB"/>
        </w:rPr>
      </w:pPr>
      <w:bookmarkStart w:id="54" w:name="_Toc240811419"/>
      <w:r>
        <w:rPr>
          <w:lang w:val="en-GB" w:eastAsia="en-GB"/>
        </w:rPr>
        <w:t>6.3 Porter’s Five Force</w:t>
      </w:r>
      <w:bookmarkEnd w:id="54"/>
    </w:p>
    <w:p w14:paraId="545F726D" w14:textId="21C39604" w:rsidR="00B213BD" w:rsidRPr="00B213BD" w:rsidRDefault="00B213BD" w:rsidP="00B213BD">
      <w:pPr>
        <w:spacing w:before="240" w:line="360" w:lineRule="auto"/>
        <w:jc w:val="both"/>
        <w:rPr>
          <w:rFonts w:ascii="Arial" w:hAnsi="Arial" w:cs="Arial"/>
          <w:sz w:val="24"/>
          <w:szCs w:val="24"/>
          <w:lang w:val="en-GB" w:eastAsia="en-GB"/>
        </w:rPr>
      </w:pPr>
      <w:r w:rsidRPr="00B213BD">
        <w:rPr>
          <w:rFonts w:ascii="Arial" w:hAnsi="Arial" w:cs="Arial"/>
          <w:sz w:val="24"/>
          <w:szCs w:val="24"/>
          <w:lang w:val="en-GB" w:eastAsia="en-GB"/>
        </w:rPr>
        <w:t>Porter’s Five Forces evaluates the structural pressures affecting industry attractiveness and profitabilit</w:t>
      </w:r>
      <w:r w:rsidR="006F1D89">
        <w:rPr>
          <w:rFonts w:ascii="Arial" w:hAnsi="Arial" w:cs="Arial"/>
          <w:sz w:val="24"/>
          <w:szCs w:val="24"/>
          <w:lang w:val="en-GB" w:eastAsia="en-GB"/>
        </w:rPr>
        <w:t>y (Porter, 1980; Porter, 2008).</w:t>
      </w:r>
    </w:p>
    <w:p w14:paraId="2B308233" w14:textId="71E83219" w:rsidR="006F1D89" w:rsidRPr="006F1D89" w:rsidRDefault="006F1D89" w:rsidP="006F1D89">
      <w:pPr>
        <w:pStyle w:val="Caption"/>
        <w:keepNext/>
        <w:jc w:val="both"/>
        <w:rPr>
          <w:rFonts w:ascii="Arial" w:hAnsi="Arial" w:cs="Arial"/>
          <w:sz w:val="24"/>
        </w:rPr>
      </w:pPr>
      <w:bookmarkStart w:id="55" w:name="_Toc240810936"/>
      <w:r w:rsidRPr="006F1D89">
        <w:rPr>
          <w:rFonts w:ascii="Arial" w:hAnsi="Arial" w:cs="Arial"/>
          <w:sz w:val="24"/>
        </w:rPr>
        <w:t xml:space="preserve">Table </w:t>
      </w:r>
      <w:r w:rsidRPr="006F1D89">
        <w:rPr>
          <w:rFonts w:ascii="Arial" w:hAnsi="Arial" w:cs="Arial"/>
          <w:sz w:val="24"/>
        </w:rPr>
        <w:fldChar w:fldCharType="begin"/>
      </w:r>
      <w:r w:rsidRPr="006F1D89">
        <w:rPr>
          <w:rFonts w:ascii="Arial" w:hAnsi="Arial" w:cs="Arial"/>
          <w:sz w:val="24"/>
        </w:rPr>
        <w:instrText xml:space="preserve"> SEQ Table \* ARABIC </w:instrText>
      </w:r>
      <w:r w:rsidRPr="006F1D89">
        <w:rPr>
          <w:rFonts w:ascii="Arial" w:hAnsi="Arial" w:cs="Arial"/>
          <w:sz w:val="24"/>
        </w:rPr>
        <w:fldChar w:fldCharType="separate"/>
      </w:r>
      <w:r w:rsidR="004E1559">
        <w:rPr>
          <w:rFonts w:ascii="Arial" w:hAnsi="Arial" w:cs="Arial"/>
          <w:noProof/>
          <w:sz w:val="24"/>
        </w:rPr>
        <w:t>5</w:t>
      </w:r>
      <w:r w:rsidRPr="006F1D89">
        <w:rPr>
          <w:rFonts w:ascii="Arial" w:hAnsi="Arial" w:cs="Arial"/>
          <w:sz w:val="24"/>
        </w:rPr>
        <w:fldChar w:fldCharType="end"/>
      </w:r>
      <w:r w:rsidRPr="006F1D89">
        <w:rPr>
          <w:rFonts w:ascii="Arial" w:hAnsi="Arial" w:cs="Arial"/>
          <w:sz w:val="24"/>
        </w:rPr>
        <w:t>: Five Forces Assessment</w:t>
      </w:r>
      <w:bookmarkEnd w:id="55"/>
    </w:p>
    <w:tbl>
      <w:tblPr>
        <w:tblStyle w:val="TableGrid"/>
        <w:tblW w:w="0" w:type="auto"/>
        <w:tblLook w:val="04A0" w:firstRow="1" w:lastRow="0" w:firstColumn="1" w:lastColumn="0" w:noHBand="0" w:noVBand="1"/>
      </w:tblPr>
      <w:tblGrid>
        <w:gridCol w:w="3005"/>
        <w:gridCol w:w="3005"/>
        <w:gridCol w:w="3006"/>
      </w:tblGrid>
      <w:tr w:rsidR="006F1D89" w:rsidRPr="006F1D89" w14:paraId="629AB82E" w14:textId="77777777" w:rsidTr="006F1D89">
        <w:tc>
          <w:tcPr>
            <w:tcW w:w="3005" w:type="dxa"/>
          </w:tcPr>
          <w:p w14:paraId="7EF44068" w14:textId="77777777" w:rsidR="006F1D89" w:rsidRPr="007B159C" w:rsidRDefault="006F1D89" w:rsidP="0038379F">
            <w:pPr>
              <w:spacing w:before="240" w:line="360" w:lineRule="auto"/>
              <w:jc w:val="both"/>
              <w:rPr>
                <w:rFonts w:ascii="Arial" w:hAnsi="Arial" w:cs="Arial"/>
                <w:b/>
                <w:sz w:val="24"/>
                <w:szCs w:val="24"/>
                <w:lang w:val="en-GB" w:eastAsia="en-GB"/>
              </w:rPr>
            </w:pPr>
            <w:r w:rsidRPr="007B159C">
              <w:rPr>
                <w:rFonts w:ascii="Arial" w:hAnsi="Arial" w:cs="Arial"/>
                <w:b/>
                <w:sz w:val="24"/>
                <w:szCs w:val="24"/>
                <w:lang w:val="en-GB" w:eastAsia="en-GB"/>
              </w:rPr>
              <w:t>Force</w:t>
            </w:r>
          </w:p>
        </w:tc>
        <w:tc>
          <w:tcPr>
            <w:tcW w:w="3005" w:type="dxa"/>
          </w:tcPr>
          <w:p w14:paraId="7B57D861" w14:textId="77777777" w:rsidR="006F1D89" w:rsidRPr="007B159C" w:rsidRDefault="006F1D89" w:rsidP="0038379F">
            <w:pPr>
              <w:spacing w:before="240" w:line="360" w:lineRule="auto"/>
              <w:jc w:val="both"/>
              <w:rPr>
                <w:rFonts w:ascii="Arial" w:hAnsi="Arial" w:cs="Arial"/>
                <w:b/>
                <w:sz w:val="24"/>
                <w:szCs w:val="24"/>
                <w:lang w:val="en-GB" w:eastAsia="en-GB"/>
              </w:rPr>
            </w:pPr>
            <w:r w:rsidRPr="007B159C">
              <w:rPr>
                <w:rFonts w:ascii="Arial" w:hAnsi="Arial" w:cs="Arial"/>
                <w:b/>
                <w:sz w:val="24"/>
                <w:szCs w:val="24"/>
                <w:lang w:val="en-GB" w:eastAsia="en-GB"/>
              </w:rPr>
              <w:t>Rating</w:t>
            </w:r>
          </w:p>
        </w:tc>
        <w:tc>
          <w:tcPr>
            <w:tcW w:w="3006" w:type="dxa"/>
          </w:tcPr>
          <w:p w14:paraId="7414F227" w14:textId="77777777" w:rsidR="006F1D89" w:rsidRPr="007B159C" w:rsidRDefault="006F1D89" w:rsidP="0038379F">
            <w:pPr>
              <w:spacing w:before="240" w:line="360" w:lineRule="auto"/>
              <w:jc w:val="both"/>
              <w:rPr>
                <w:rFonts w:ascii="Arial" w:hAnsi="Arial" w:cs="Arial"/>
                <w:b/>
                <w:sz w:val="24"/>
                <w:szCs w:val="24"/>
                <w:lang w:val="en-GB" w:eastAsia="en-GB"/>
              </w:rPr>
            </w:pPr>
            <w:r w:rsidRPr="007B159C">
              <w:rPr>
                <w:rFonts w:ascii="Arial" w:hAnsi="Arial" w:cs="Arial"/>
                <w:b/>
                <w:sz w:val="24"/>
                <w:szCs w:val="24"/>
                <w:lang w:val="en-GB" w:eastAsia="en-GB"/>
              </w:rPr>
              <w:t>Evidence and strategic implication</w:t>
            </w:r>
          </w:p>
        </w:tc>
      </w:tr>
      <w:tr w:rsidR="006F1D89" w:rsidRPr="006F1D89" w14:paraId="461B1D47" w14:textId="77777777" w:rsidTr="006F1D89">
        <w:tc>
          <w:tcPr>
            <w:tcW w:w="3005" w:type="dxa"/>
          </w:tcPr>
          <w:p w14:paraId="649899D8" w14:textId="77777777" w:rsidR="006F1D89" w:rsidRPr="006F1D89" w:rsidRDefault="006F1D89" w:rsidP="0038379F">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t>Competitive rivalry</w:t>
            </w:r>
          </w:p>
        </w:tc>
        <w:tc>
          <w:tcPr>
            <w:tcW w:w="3005" w:type="dxa"/>
          </w:tcPr>
          <w:p w14:paraId="4D52EB34" w14:textId="77777777" w:rsidR="006F1D89" w:rsidRPr="006F1D89" w:rsidRDefault="006F1D89" w:rsidP="0038379F">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t>Very high</w:t>
            </w:r>
          </w:p>
        </w:tc>
        <w:tc>
          <w:tcPr>
            <w:tcW w:w="3006" w:type="dxa"/>
          </w:tcPr>
          <w:p w14:paraId="01160DC6" w14:textId="77777777" w:rsidR="006F1D89" w:rsidRPr="006F1D89" w:rsidRDefault="006F1D89" w:rsidP="0038379F">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t>Multiple specialty and mainstream cafés compete within a concentrated area. Monmouth, WatchHouse and Qima already compete through quality, experience and provenance (Covent Garden London, 2026).</w:t>
            </w:r>
          </w:p>
        </w:tc>
      </w:tr>
      <w:tr w:rsidR="006F1D89" w:rsidRPr="006F1D89" w14:paraId="5B310BDC" w14:textId="77777777" w:rsidTr="006F1D89">
        <w:tc>
          <w:tcPr>
            <w:tcW w:w="3005" w:type="dxa"/>
          </w:tcPr>
          <w:p w14:paraId="193EF70D" w14:textId="77777777" w:rsidR="006F1D89" w:rsidRPr="006F1D89" w:rsidRDefault="006F1D89" w:rsidP="0038379F">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t>Buyer power</w:t>
            </w:r>
          </w:p>
        </w:tc>
        <w:tc>
          <w:tcPr>
            <w:tcW w:w="3005" w:type="dxa"/>
          </w:tcPr>
          <w:p w14:paraId="1F986CE4" w14:textId="77777777" w:rsidR="006F1D89" w:rsidRPr="006F1D89" w:rsidRDefault="006F1D89" w:rsidP="0038379F">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t>High</w:t>
            </w:r>
          </w:p>
        </w:tc>
        <w:tc>
          <w:tcPr>
            <w:tcW w:w="3006" w:type="dxa"/>
          </w:tcPr>
          <w:p w14:paraId="35961F06" w14:textId="77777777" w:rsidR="006F1D89" w:rsidRPr="006F1D89" w:rsidRDefault="006F1D89" w:rsidP="0038379F">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t>Customers have numerous nearby alternatives and face minimal switching costs.</w:t>
            </w:r>
          </w:p>
        </w:tc>
      </w:tr>
      <w:tr w:rsidR="006F1D89" w:rsidRPr="006F1D89" w14:paraId="34D20E53" w14:textId="77777777" w:rsidTr="006F1D89">
        <w:tc>
          <w:tcPr>
            <w:tcW w:w="3005" w:type="dxa"/>
          </w:tcPr>
          <w:p w14:paraId="03A0D93B" w14:textId="77777777" w:rsidR="006F1D89" w:rsidRPr="006F1D89" w:rsidRDefault="006F1D89" w:rsidP="0038379F">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t>Threat of substitutes</w:t>
            </w:r>
          </w:p>
        </w:tc>
        <w:tc>
          <w:tcPr>
            <w:tcW w:w="3005" w:type="dxa"/>
          </w:tcPr>
          <w:p w14:paraId="4CBA6BE6" w14:textId="77777777" w:rsidR="006F1D89" w:rsidRPr="006F1D89" w:rsidRDefault="006F1D89" w:rsidP="0038379F">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t>High</w:t>
            </w:r>
          </w:p>
        </w:tc>
        <w:tc>
          <w:tcPr>
            <w:tcW w:w="3006" w:type="dxa"/>
          </w:tcPr>
          <w:p w14:paraId="26CA2AA0" w14:textId="77777777" w:rsidR="006F1D89" w:rsidRPr="006F1D89" w:rsidRDefault="006F1D89" w:rsidP="0038379F">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t>Home brewing, workplace coffee, convenience coffee, food outlets and chain cafés provide readily available alternatives.</w:t>
            </w:r>
          </w:p>
        </w:tc>
      </w:tr>
      <w:tr w:rsidR="006F1D89" w:rsidRPr="006F1D89" w14:paraId="04FBAE96" w14:textId="77777777" w:rsidTr="006F1D89">
        <w:tc>
          <w:tcPr>
            <w:tcW w:w="3005" w:type="dxa"/>
          </w:tcPr>
          <w:p w14:paraId="797C4397" w14:textId="77777777" w:rsidR="006F1D89" w:rsidRPr="006F1D89" w:rsidRDefault="006F1D89" w:rsidP="0038379F">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lastRenderedPageBreak/>
              <w:t>Threat of new entrants</w:t>
            </w:r>
          </w:p>
        </w:tc>
        <w:tc>
          <w:tcPr>
            <w:tcW w:w="3005" w:type="dxa"/>
          </w:tcPr>
          <w:p w14:paraId="2F39F5F6" w14:textId="77777777" w:rsidR="006F1D89" w:rsidRPr="006F1D89" w:rsidRDefault="006F1D89" w:rsidP="0038379F">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t>Moderate</w:t>
            </w:r>
          </w:p>
        </w:tc>
        <w:tc>
          <w:tcPr>
            <w:tcW w:w="3006" w:type="dxa"/>
          </w:tcPr>
          <w:p w14:paraId="5D9DACD1" w14:textId="77777777" w:rsidR="006F1D89" w:rsidRPr="006F1D89" w:rsidRDefault="006F1D89" w:rsidP="0038379F">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t>Small cafés can enter without the scale of major chains, but central-London premises, staffing, equipment, compliance and intense competition increase entry barriers.</w:t>
            </w:r>
          </w:p>
        </w:tc>
      </w:tr>
      <w:tr w:rsidR="006F1D89" w:rsidRPr="006F1D89" w14:paraId="07F4B04C" w14:textId="77777777" w:rsidTr="006F1D89">
        <w:tc>
          <w:tcPr>
            <w:tcW w:w="3005" w:type="dxa"/>
          </w:tcPr>
          <w:p w14:paraId="4665701B" w14:textId="77777777" w:rsidR="006F1D89" w:rsidRPr="006F1D89" w:rsidRDefault="006F1D89" w:rsidP="0038379F">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t>Supplier power</w:t>
            </w:r>
          </w:p>
        </w:tc>
        <w:tc>
          <w:tcPr>
            <w:tcW w:w="3005" w:type="dxa"/>
          </w:tcPr>
          <w:p w14:paraId="3C8A9DD1" w14:textId="77777777" w:rsidR="006F1D89" w:rsidRPr="006F1D89" w:rsidRDefault="006F1D89" w:rsidP="0038379F">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t>Moderate</w:t>
            </w:r>
          </w:p>
        </w:tc>
        <w:tc>
          <w:tcPr>
            <w:tcW w:w="3006" w:type="dxa"/>
          </w:tcPr>
          <w:p w14:paraId="2CD524E2" w14:textId="77777777" w:rsidR="006F1D89" w:rsidRPr="006F1D89" w:rsidRDefault="006F1D89" w:rsidP="0038379F">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t>Specialty and ethical coffee can create quality and sourcing dependencies, but alternative roasters and producers can reduce concentration risk.</w:t>
            </w:r>
          </w:p>
        </w:tc>
      </w:tr>
    </w:tbl>
    <w:p w14:paraId="59D23B86" w14:textId="77777777" w:rsidR="00B213BD" w:rsidRPr="00B213BD" w:rsidRDefault="00B213BD" w:rsidP="00B213BD">
      <w:pPr>
        <w:spacing w:before="240" w:line="360" w:lineRule="auto"/>
        <w:jc w:val="both"/>
        <w:rPr>
          <w:rFonts w:ascii="Arial" w:hAnsi="Arial" w:cs="Arial"/>
          <w:sz w:val="24"/>
          <w:szCs w:val="24"/>
          <w:lang w:val="en-GB" w:eastAsia="en-GB"/>
        </w:rPr>
      </w:pPr>
    </w:p>
    <w:p w14:paraId="6B986431" w14:textId="39D19F6E" w:rsidR="007B159C" w:rsidRPr="007B159C" w:rsidRDefault="007B159C" w:rsidP="007B159C">
      <w:pPr>
        <w:spacing w:before="240" w:line="360" w:lineRule="auto"/>
        <w:jc w:val="both"/>
        <w:rPr>
          <w:rFonts w:ascii="Arial" w:hAnsi="Arial" w:cs="Arial"/>
          <w:sz w:val="24"/>
          <w:szCs w:val="24"/>
          <w:lang w:val="en-GB" w:eastAsia="en-GB"/>
        </w:rPr>
      </w:pPr>
      <w:r w:rsidRPr="007B159C">
        <w:rPr>
          <w:rFonts w:ascii="Arial" w:hAnsi="Arial" w:cs="Arial"/>
          <w:sz w:val="24"/>
          <w:szCs w:val="24"/>
          <w:lang w:val="en-GB" w:eastAsia="en-GB"/>
        </w:rPr>
        <w:t>Competition is strong, especially given the continuing growth of the UK market and the increasing competition from operators based on premium quality, hospitality and differentiated experiences (World Coffee Portal, 2026). This pressure is further exacerbated by the clustering of s</w:t>
      </w:r>
      <w:r>
        <w:rPr>
          <w:rFonts w:ascii="Arial" w:hAnsi="Arial" w:cs="Arial"/>
          <w:sz w:val="24"/>
          <w:szCs w:val="24"/>
          <w:lang w:val="en-GB" w:eastAsia="en-GB"/>
        </w:rPr>
        <w:t>pecialty operators in the area.</w:t>
      </w:r>
    </w:p>
    <w:p w14:paraId="0AE52330" w14:textId="36F4236B" w:rsidR="007B159C" w:rsidRPr="007B159C" w:rsidRDefault="007B159C" w:rsidP="007B159C">
      <w:pPr>
        <w:spacing w:before="240" w:line="360" w:lineRule="auto"/>
        <w:jc w:val="both"/>
        <w:rPr>
          <w:rFonts w:ascii="Arial" w:hAnsi="Arial" w:cs="Arial"/>
          <w:sz w:val="24"/>
          <w:szCs w:val="24"/>
          <w:lang w:val="en-GB" w:eastAsia="en-GB"/>
        </w:rPr>
      </w:pPr>
      <w:r w:rsidRPr="007B159C">
        <w:rPr>
          <w:rFonts w:ascii="Arial" w:hAnsi="Arial" w:cs="Arial"/>
          <w:sz w:val="24"/>
          <w:szCs w:val="24"/>
          <w:lang w:val="en-GB" w:eastAsia="en-GB"/>
        </w:rPr>
        <w:t>High buyer power because the value of the underlying product (coffee) is easily measurable and replaceable. Switching between operators is relatively cheap and easy for customers. This aligns with the broader market landscape where consumers are more empowered than ever and are mindful of value for mon</w:t>
      </w:r>
      <w:r>
        <w:rPr>
          <w:rFonts w:ascii="Arial" w:hAnsi="Arial" w:cs="Arial"/>
          <w:sz w:val="24"/>
          <w:szCs w:val="24"/>
          <w:lang w:val="en-GB" w:eastAsia="en-GB"/>
        </w:rPr>
        <w:t>ey (World Coffee Portal, 2025).</w:t>
      </w:r>
    </w:p>
    <w:p w14:paraId="1383A655" w14:textId="77777777" w:rsidR="007B159C" w:rsidRPr="007B159C" w:rsidRDefault="007B159C" w:rsidP="007B159C">
      <w:pPr>
        <w:spacing w:before="240" w:line="360" w:lineRule="auto"/>
        <w:jc w:val="both"/>
        <w:rPr>
          <w:rFonts w:ascii="Arial" w:hAnsi="Arial" w:cs="Arial"/>
          <w:sz w:val="24"/>
          <w:szCs w:val="24"/>
          <w:lang w:val="en-GB" w:eastAsia="en-GB"/>
        </w:rPr>
      </w:pPr>
      <w:r w:rsidRPr="007B159C">
        <w:rPr>
          <w:rFonts w:ascii="Arial" w:hAnsi="Arial" w:cs="Arial"/>
          <w:sz w:val="24"/>
          <w:szCs w:val="24"/>
          <w:lang w:val="en-GB" w:eastAsia="en-GB"/>
        </w:rPr>
        <w:t>The threat of substitutes is also high. Customers can make their own coffee at home or at work, buy it from most supermarkets and convenience stores or choose to go to other cafes. Thus, The Ethical Bean must provide more than product value, in terms of service, experience and trustworthy ethical qualities.</w:t>
      </w:r>
    </w:p>
    <w:p w14:paraId="3C90BFB4" w14:textId="77777777" w:rsidR="007B159C" w:rsidRPr="007B159C" w:rsidRDefault="007B159C" w:rsidP="007B159C">
      <w:pPr>
        <w:spacing w:before="240" w:line="360" w:lineRule="auto"/>
        <w:jc w:val="both"/>
        <w:rPr>
          <w:rFonts w:ascii="Arial" w:hAnsi="Arial" w:cs="Arial"/>
          <w:sz w:val="24"/>
          <w:szCs w:val="24"/>
          <w:lang w:val="en-GB" w:eastAsia="en-GB"/>
        </w:rPr>
      </w:pPr>
    </w:p>
    <w:p w14:paraId="32988840" w14:textId="5963DBF6" w:rsidR="00B213BD" w:rsidRPr="00B213BD" w:rsidRDefault="007B159C" w:rsidP="007B159C">
      <w:pPr>
        <w:spacing w:before="240" w:line="360" w:lineRule="auto"/>
        <w:jc w:val="both"/>
        <w:rPr>
          <w:rFonts w:ascii="Arial" w:hAnsi="Arial" w:cs="Arial"/>
          <w:sz w:val="24"/>
          <w:szCs w:val="24"/>
          <w:lang w:val="en-GB" w:eastAsia="en-GB"/>
        </w:rPr>
      </w:pPr>
      <w:r w:rsidRPr="007B159C">
        <w:rPr>
          <w:rFonts w:ascii="Arial" w:hAnsi="Arial" w:cs="Arial"/>
          <w:sz w:val="24"/>
          <w:szCs w:val="24"/>
          <w:lang w:val="en-GB" w:eastAsia="en-GB"/>
        </w:rPr>
        <w:lastRenderedPageBreak/>
        <w:t>Supplier power is considered to be moderate. Ethical and specialty sourcing can include higher-quality standards and reliance on specific roasters or producers. But supplier diversification and several relationships with suppliers can minimize dependency. This is significant because independent coffee shops typically lack the economies of scale of large chains, making them more vulnerable to cost pressures from their inputs (World Coffee Portal, 2026).</w:t>
      </w:r>
    </w:p>
    <w:p w14:paraId="119BC1E6" w14:textId="3CF181C8" w:rsidR="00B213BD" w:rsidRPr="00B213BD" w:rsidRDefault="00B12DD9" w:rsidP="007B159C">
      <w:pPr>
        <w:pStyle w:val="Heading2"/>
        <w:rPr>
          <w:lang w:val="en-GB" w:eastAsia="en-GB"/>
        </w:rPr>
      </w:pPr>
      <w:bookmarkStart w:id="56" w:name="_Toc240811420"/>
      <w:r>
        <w:rPr>
          <w:lang w:val="en-GB" w:eastAsia="en-GB"/>
        </w:rPr>
        <w:t>6.4 PESTLE Analysis</w:t>
      </w:r>
      <w:bookmarkEnd w:id="56"/>
    </w:p>
    <w:p w14:paraId="3935C556" w14:textId="1FA50897" w:rsidR="00B12DD9" w:rsidRPr="00B12DD9" w:rsidRDefault="00B12DD9" w:rsidP="00B12DD9">
      <w:pPr>
        <w:pStyle w:val="Caption"/>
        <w:keepNext/>
        <w:jc w:val="both"/>
        <w:rPr>
          <w:rFonts w:ascii="Arial" w:hAnsi="Arial" w:cs="Arial"/>
          <w:sz w:val="24"/>
        </w:rPr>
      </w:pPr>
      <w:bookmarkStart w:id="57" w:name="_Toc240810937"/>
      <w:r w:rsidRPr="00B12DD9">
        <w:rPr>
          <w:rFonts w:ascii="Arial" w:hAnsi="Arial" w:cs="Arial"/>
          <w:sz w:val="24"/>
        </w:rPr>
        <w:t xml:space="preserve">Table </w:t>
      </w:r>
      <w:r w:rsidRPr="00B12DD9">
        <w:rPr>
          <w:rFonts w:ascii="Arial" w:hAnsi="Arial" w:cs="Arial"/>
          <w:sz w:val="24"/>
        </w:rPr>
        <w:fldChar w:fldCharType="begin"/>
      </w:r>
      <w:r w:rsidRPr="00B12DD9">
        <w:rPr>
          <w:rFonts w:ascii="Arial" w:hAnsi="Arial" w:cs="Arial"/>
          <w:sz w:val="24"/>
        </w:rPr>
        <w:instrText xml:space="preserve"> SEQ Table \* ARABIC </w:instrText>
      </w:r>
      <w:r w:rsidRPr="00B12DD9">
        <w:rPr>
          <w:rFonts w:ascii="Arial" w:hAnsi="Arial" w:cs="Arial"/>
          <w:sz w:val="24"/>
        </w:rPr>
        <w:fldChar w:fldCharType="separate"/>
      </w:r>
      <w:r w:rsidR="004E1559">
        <w:rPr>
          <w:rFonts w:ascii="Arial" w:hAnsi="Arial" w:cs="Arial"/>
          <w:noProof/>
          <w:sz w:val="24"/>
        </w:rPr>
        <w:t>6</w:t>
      </w:r>
      <w:r w:rsidRPr="00B12DD9">
        <w:rPr>
          <w:rFonts w:ascii="Arial" w:hAnsi="Arial" w:cs="Arial"/>
          <w:sz w:val="24"/>
        </w:rPr>
        <w:fldChar w:fldCharType="end"/>
      </w:r>
      <w:r w:rsidRPr="00B12DD9">
        <w:rPr>
          <w:rFonts w:ascii="Arial" w:hAnsi="Arial" w:cs="Arial"/>
          <w:sz w:val="24"/>
        </w:rPr>
        <w:t>: PESTLE Analysis</w:t>
      </w:r>
      <w:bookmarkEnd w:id="57"/>
    </w:p>
    <w:tbl>
      <w:tblPr>
        <w:tblStyle w:val="TableGrid"/>
        <w:tblW w:w="0" w:type="auto"/>
        <w:tblLook w:val="04A0" w:firstRow="1" w:lastRow="0" w:firstColumn="1" w:lastColumn="0" w:noHBand="0" w:noVBand="1"/>
      </w:tblPr>
      <w:tblGrid>
        <w:gridCol w:w="3005"/>
        <w:gridCol w:w="3005"/>
        <w:gridCol w:w="3006"/>
      </w:tblGrid>
      <w:tr w:rsidR="00B12DD9" w:rsidRPr="00B12DD9" w14:paraId="39FD8485" w14:textId="77777777" w:rsidTr="00B12DD9">
        <w:tc>
          <w:tcPr>
            <w:tcW w:w="3005" w:type="dxa"/>
          </w:tcPr>
          <w:p w14:paraId="3EFEF7E4" w14:textId="77777777" w:rsidR="00B12DD9" w:rsidRPr="000866B5" w:rsidRDefault="00B12DD9" w:rsidP="0038379F">
            <w:pPr>
              <w:spacing w:before="240" w:line="360" w:lineRule="auto"/>
              <w:jc w:val="both"/>
              <w:rPr>
                <w:rFonts w:ascii="Arial" w:hAnsi="Arial" w:cs="Arial"/>
                <w:b/>
                <w:sz w:val="24"/>
                <w:szCs w:val="24"/>
                <w:lang w:val="en-GB" w:eastAsia="en-GB"/>
              </w:rPr>
            </w:pPr>
            <w:r w:rsidRPr="000866B5">
              <w:rPr>
                <w:rFonts w:ascii="Arial" w:hAnsi="Arial" w:cs="Arial"/>
                <w:b/>
                <w:sz w:val="24"/>
                <w:szCs w:val="24"/>
                <w:lang w:val="en-GB" w:eastAsia="en-GB"/>
              </w:rPr>
              <w:t>Dimension</w:t>
            </w:r>
          </w:p>
        </w:tc>
        <w:tc>
          <w:tcPr>
            <w:tcW w:w="3005" w:type="dxa"/>
          </w:tcPr>
          <w:p w14:paraId="5678B3C1" w14:textId="77777777" w:rsidR="00B12DD9" w:rsidRPr="000866B5" w:rsidRDefault="00B12DD9" w:rsidP="0038379F">
            <w:pPr>
              <w:spacing w:before="240" w:line="360" w:lineRule="auto"/>
              <w:jc w:val="both"/>
              <w:rPr>
                <w:rFonts w:ascii="Arial" w:hAnsi="Arial" w:cs="Arial"/>
                <w:b/>
                <w:sz w:val="24"/>
                <w:szCs w:val="24"/>
                <w:lang w:val="en-GB" w:eastAsia="en-GB"/>
              </w:rPr>
            </w:pPr>
            <w:r w:rsidRPr="000866B5">
              <w:rPr>
                <w:rFonts w:ascii="Arial" w:hAnsi="Arial" w:cs="Arial"/>
                <w:b/>
                <w:sz w:val="24"/>
                <w:szCs w:val="24"/>
                <w:lang w:val="en-GB" w:eastAsia="en-GB"/>
              </w:rPr>
              <w:t>Key issue</w:t>
            </w:r>
          </w:p>
        </w:tc>
        <w:tc>
          <w:tcPr>
            <w:tcW w:w="3006" w:type="dxa"/>
          </w:tcPr>
          <w:p w14:paraId="6F94C95A" w14:textId="77777777" w:rsidR="00B12DD9" w:rsidRPr="000866B5" w:rsidRDefault="00B12DD9" w:rsidP="0038379F">
            <w:pPr>
              <w:spacing w:before="240" w:line="360" w:lineRule="auto"/>
              <w:jc w:val="both"/>
              <w:rPr>
                <w:rFonts w:ascii="Arial" w:hAnsi="Arial" w:cs="Arial"/>
                <w:b/>
                <w:sz w:val="24"/>
                <w:szCs w:val="24"/>
                <w:lang w:val="en-GB" w:eastAsia="en-GB"/>
              </w:rPr>
            </w:pPr>
            <w:r w:rsidRPr="000866B5">
              <w:rPr>
                <w:rFonts w:ascii="Arial" w:hAnsi="Arial" w:cs="Arial"/>
                <w:b/>
                <w:sz w:val="24"/>
                <w:szCs w:val="24"/>
                <w:lang w:val="en-GB" w:eastAsia="en-GB"/>
              </w:rPr>
              <w:t>Impact</w:t>
            </w:r>
          </w:p>
        </w:tc>
      </w:tr>
      <w:tr w:rsidR="00B12DD9" w:rsidRPr="00B12DD9" w14:paraId="25E4F7CC" w14:textId="77777777" w:rsidTr="00B12DD9">
        <w:tc>
          <w:tcPr>
            <w:tcW w:w="3005" w:type="dxa"/>
          </w:tcPr>
          <w:p w14:paraId="4DD1C1D9" w14:textId="77777777" w:rsidR="00B12DD9" w:rsidRPr="00B12DD9" w:rsidRDefault="00B12DD9" w:rsidP="0038379F">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Political</w:t>
            </w:r>
          </w:p>
        </w:tc>
        <w:tc>
          <w:tcPr>
            <w:tcW w:w="3005" w:type="dxa"/>
          </w:tcPr>
          <w:p w14:paraId="03069261" w14:textId="77777777" w:rsidR="00B12DD9" w:rsidRPr="00B12DD9" w:rsidRDefault="00B12DD9" w:rsidP="0038379F">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Government policies affecting hospitality, employment and business conditions</w:t>
            </w:r>
          </w:p>
        </w:tc>
        <w:tc>
          <w:tcPr>
            <w:tcW w:w="3006" w:type="dxa"/>
          </w:tcPr>
          <w:p w14:paraId="2E2A3FF9" w14:textId="77777777" w:rsidR="00B12DD9" w:rsidRPr="00B12DD9" w:rsidRDefault="00B12DD9" w:rsidP="0038379F">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Moderate</w:t>
            </w:r>
          </w:p>
        </w:tc>
      </w:tr>
      <w:tr w:rsidR="00B12DD9" w:rsidRPr="00B12DD9" w14:paraId="2E607918" w14:textId="77777777" w:rsidTr="00B12DD9">
        <w:tc>
          <w:tcPr>
            <w:tcW w:w="3005" w:type="dxa"/>
          </w:tcPr>
          <w:p w14:paraId="5C030A66" w14:textId="77777777" w:rsidR="00B12DD9" w:rsidRPr="00B12DD9" w:rsidRDefault="00B12DD9" w:rsidP="0038379F">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Economic</w:t>
            </w:r>
          </w:p>
        </w:tc>
        <w:tc>
          <w:tcPr>
            <w:tcW w:w="3005" w:type="dxa"/>
          </w:tcPr>
          <w:p w14:paraId="7BB2DB38" w14:textId="77777777" w:rsidR="00B12DD9" w:rsidRPr="00B12DD9" w:rsidRDefault="00B12DD9" w:rsidP="0038379F">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Rent, wages, coffee, food and energy costs; customer value sensitivity</w:t>
            </w:r>
          </w:p>
        </w:tc>
        <w:tc>
          <w:tcPr>
            <w:tcW w:w="3006" w:type="dxa"/>
          </w:tcPr>
          <w:p w14:paraId="1790F054" w14:textId="77777777" w:rsidR="00B12DD9" w:rsidRPr="00B12DD9" w:rsidRDefault="00B12DD9" w:rsidP="0038379F">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High</w:t>
            </w:r>
          </w:p>
        </w:tc>
      </w:tr>
      <w:tr w:rsidR="00B12DD9" w:rsidRPr="00B12DD9" w14:paraId="0D6300A4" w14:textId="77777777" w:rsidTr="00B12DD9">
        <w:tc>
          <w:tcPr>
            <w:tcW w:w="3005" w:type="dxa"/>
          </w:tcPr>
          <w:p w14:paraId="4612587F" w14:textId="77777777" w:rsidR="00B12DD9" w:rsidRPr="00B12DD9" w:rsidRDefault="00B12DD9" w:rsidP="0038379F">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Social</w:t>
            </w:r>
          </w:p>
        </w:tc>
        <w:tc>
          <w:tcPr>
            <w:tcW w:w="3005" w:type="dxa"/>
          </w:tcPr>
          <w:p w14:paraId="48D9E49E" w14:textId="77777777" w:rsidR="00B12DD9" w:rsidRPr="00B12DD9" w:rsidRDefault="00B12DD9" w:rsidP="0038379F">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Specialty coffee, ethical consumption, hospitality and experience</w:t>
            </w:r>
          </w:p>
        </w:tc>
        <w:tc>
          <w:tcPr>
            <w:tcW w:w="3006" w:type="dxa"/>
          </w:tcPr>
          <w:p w14:paraId="6A244B20" w14:textId="77777777" w:rsidR="00B12DD9" w:rsidRPr="00B12DD9" w:rsidRDefault="00B12DD9" w:rsidP="0038379F">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High</w:t>
            </w:r>
          </w:p>
        </w:tc>
      </w:tr>
      <w:tr w:rsidR="00B12DD9" w:rsidRPr="00B12DD9" w14:paraId="06990799" w14:textId="77777777" w:rsidTr="00B12DD9">
        <w:tc>
          <w:tcPr>
            <w:tcW w:w="3005" w:type="dxa"/>
          </w:tcPr>
          <w:p w14:paraId="2A1C4A47" w14:textId="77777777" w:rsidR="00B12DD9" w:rsidRPr="00B12DD9" w:rsidRDefault="00B12DD9" w:rsidP="0038379F">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Technological</w:t>
            </w:r>
          </w:p>
        </w:tc>
        <w:tc>
          <w:tcPr>
            <w:tcW w:w="3005" w:type="dxa"/>
          </w:tcPr>
          <w:p w14:paraId="1A5A5033" w14:textId="77777777" w:rsidR="00B12DD9" w:rsidRPr="00B12DD9" w:rsidRDefault="00B12DD9" w:rsidP="0038379F">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Digital discovery, social media, POS, loyalty and ordering</w:t>
            </w:r>
          </w:p>
        </w:tc>
        <w:tc>
          <w:tcPr>
            <w:tcW w:w="3006" w:type="dxa"/>
          </w:tcPr>
          <w:p w14:paraId="15C3762B" w14:textId="77777777" w:rsidR="00B12DD9" w:rsidRPr="00B12DD9" w:rsidRDefault="00B12DD9" w:rsidP="0038379F">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Moderate–high</w:t>
            </w:r>
          </w:p>
        </w:tc>
      </w:tr>
      <w:tr w:rsidR="00B12DD9" w:rsidRPr="00B12DD9" w14:paraId="68D15F3F" w14:textId="77777777" w:rsidTr="00B12DD9">
        <w:tc>
          <w:tcPr>
            <w:tcW w:w="3005" w:type="dxa"/>
          </w:tcPr>
          <w:p w14:paraId="37C51FFF" w14:textId="77777777" w:rsidR="00B12DD9" w:rsidRPr="00B12DD9" w:rsidRDefault="00B12DD9" w:rsidP="0038379F">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Legal</w:t>
            </w:r>
          </w:p>
        </w:tc>
        <w:tc>
          <w:tcPr>
            <w:tcW w:w="3005" w:type="dxa"/>
          </w:tcPr>
          <w:p w14:paraId="206941F2" w14:textId="77777777" w:rsidR="00B12DD9" w:rsidRPr="00B12DD9" w:rsidRDefault="00B12DD9" w:rsidP="0038379F">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Food safety, employment, consumer protection, licensing and data protection</w:t>
            </w:r>
          </w:p>
        </w:tc>
        <w:tc>
          <w:tcPr>
            <w:tcW w:w="3006" w:type="dxa"/>
          </w:tcPr>
          <w:p w14:paraId="01139F42" w14:textId="77777777" w:rsidR="00B12DD9" w:rsidRPr="00B12DD9" w:rsidRDefault="00B12DD9" w:rsidP="0038379F">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High</w:t>
            </w:r>
          </w:p>
        </w:tc>
      </w:tr>
      <w:tr w:rsidR="00B12DD9" w:rsidRPr="00B213BD" w14:paraId="676EF449" w14:textId="77777777" w:rsidTr="00B12DD9">
        <w:tc>
          <w:tcPr>
            <w:tcW w:w="3005" w:type="dxa"/>
          </w:tcPr>
          <w:p w14:paraId="433FDD89" w14:textId="77777777" w:rsidR="00B12DD9" w:rsidRPr="00B12DD9" w:rsidRDefault="00B12DD9" w:rsidP="0038379F">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lastRenderedPageBreak/>
              <w:t>Environmental</w:t>
            </w:r>
          </w:p>
        </w:tc>
        <w:tc>
          <w:tcPr>
            <w:tcW w:w="3005" w:type="dxa"/>
          </w:tcPr>
          <w:p w14:paraId="0422BA6C" w14:textId="77777777" w:rsidR="00B12DD9" w:rsidRPr="00B12DD9" w:rsidRDefault="00B12DD9" w:rsidP="0038379F">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Climate risks to coffee, packaging, waste, energy and resource use</w:t>
            </w:r>
          </w:p>
        </w:tc>
        <w:tc>
          <w:tcPr>
            <w:tcW w:w="3006" w:type="dxa"/>
          </w:tcPr>
          <w:p w14:paraId="4356790E" w14:textId="77777777" w:rsidR="00B12DD9" w:rsidRPr="00B213BD" w:rsidRDefault="00B12DD9" w:rsidP="0038379F">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High</w:t>
            </w:r>
          </w:p>
        </w:tc>
      </w:tr>
    </w:tbl>
    <w:p w14:paraId="0B210BC7" w14:textId="2CE3ECC4" w:rsidR="00B213BD" w:rsidRPr="00B213BD" w:rsidRDefault="00B213BD" w:rsidP="00B213BD">
      <w:pPr>
        <w:spacing w:before="240" w:line="360" w:lineRule="auto"/>
        <w:jc w:val="both"/>
        <w:rPr>
          <w:rFonts w:ascii="Arial" w:hAnsi="Arial" w:cs="Arial"/>
          <w:sz w:val="24"/>
          <w:szCs w:val="24"/>
          <w:lang w:val="en-GB" w:eastAsia="en-GB"/>
        </w:rPr>
      </w:pPr>
    </w:p>
    <w:p w14:paraId="481DD5A1" w14:textId="1E579871" w:rsidR="007B159C" w:rsidRPr="007B159C" w:rsidRDefault="007B159C" w:rsidP="007B159C">
      <w:pPr>
        <w:spacing w:before="240" w:line="360" w:lineRule="auto"/>
        <w:jc w:val="both"/>
        <w:rPr>
          <w:rFonts w:ascii="Arial" w:hAnsi="Arial" w:cs="Arial"/>
          <w:b/>
          <w:sz w:val="24"/>
          <w:szCs w:val="24"/>
          <w:lang w:val="en-GB" w:eastAsia="en-GB"/>
        </w:rPr>
      </w:pPr>
      <w:r w:rsidRPr="007B159C">
        <w:rPr>
          <w:rFonts w:ascii="Arial" w:hAnsi="Arial" w:cs="Arial"/>
          <w:b/>
          <w:sz w:val="24"/>
          <w:szCs w:val="24"/>
          <w:lang w:val="en-GB" w:eastAsia="en-GB"/>
        </w:rPr>
        <w:t>Political</w:t>
      </w:r>
    </w:p>
    <w:p w14:paraId="052C18DF" w14:textId="124AF324" w:rsidR="007B159C" w:rsidRPr="007B159C" w:rsidRDefault="007B159C" w:rsidP="007B159C">
      <w:pPr>
        <w:spacing w:before="240" w:line="360" w:lineRule="auto"/>
        <w:jc w:val="both"/>
        <w:rPr>
          <w:rFonts w:ascii="Arial" w:hAnsi="Arial" w:cs="Arial"/>
          <w:sz w:val="24"/>
          <w:szCs w:val="24"/>
          <w:lang w:val="en-GB" w:eastAsia="en-GB"/>
        </w:rPr>
      </w:pPr>
      <w:r w:rsidRPr="007B159C">
        <w:rPr>
          <w:rFonts w:ascii="Arial" w:hAnsi="Arial" w:cs="Arial"/>
          <w:sz w:val="24"/>
          <w:szCs w:val="24"/>
          <w:lang w:val="en-GB" w:eastAsia="en-GB"/>
        </w:rPr>
        <w:t>The venture is influenced by the political environment in the aspects of business taxation, employment policy, hospitality regulation and local authority requirements. These don't all apply to the individual café, but any policy changes could impact the staffing cost and operating margins. Political conditions should thus be monitored and not used as a di</w:t>
      </w:r>
      <w:r>
        <w:rPr>
          <w:rFonts w:ascii="Arial" w:hAnsi="Arial" w:cs="Arial"/>
          <w:sz w:val="24"/>
          <w:szCs w:val="24"/>
          <w:lang w:val="en-GB" w:eastAsia="en-GB"/>
        </w:rPr>
        <w:t>rect source of differentiation</w:t>
      </w:r>
    </w:p>
    <w:p w14:paraId="5AE1919A" w14:textId="577CAAB9" w:rsidR="007B159C" w:rsidRPr="007B159C" w:rsidRDefault="007B159C" w:rsidP="007B159C">
      <w:pPr>
        <w:spacing w:before="240" w:line="360" w:lineRule="auto"/>
        <w:jc w:val="both"/>
        <w:rPr>
          <w:rFonts w:ascii="Arial" w:hAnsi="Arial" w:cs="Arial"/>
          <w:b/>
          <w:sz w:val="24"/>
          <w:szCs w:val="24"/>
          <w:lang w:val="en-GB" w:eastAsia="en-GB"/>
        </w:rPr>
      </w:pPr>
      <w:r>
        <w:rPr>
          <w:rFonts w:ascii="Arial" w:hAnsi="Arial" w:cs="Arial"/>
          <w:b/>
          <w:sz w:val="24"/>
          <w:szCs w:val="24"/>
          <w:lang w:val="en-GB" w:eastAsia="en-GB"/>
        </w:rPr>
        <w:t>Economic</w:t>
      </w:r>
    </w:p>
    <w:p w14:paraId="634DCBFC" w14:textId="100272BC" w:rsidR="007B159C" w:rsidRPr="007B159C" w:rsidRDefault="007B159C" w:rsidP="007B159C">
      <w:pPr>
        <w:spacing w:before="240" w:line="360" w:lineRule="auto"/>
        <w:jc w:val="both"/>
        <w:rPr>
          <w:rFonts w:ascii="Arial" w:hAnsi="Arial" w:cs="Arial"/>
          <w:sz w:val="24"/>
          <w:szCs w:val="24"/>
          <w:lang w:val="en-GB" w:eastAsia="en-GB"/>
        </w:rPr>
      </w:pPr>
      <w:r w:rsidRPr="007B159C">
        <w:rPr>
          <w:rFonts w:ascii="Arial" w:hAnsi="Arial" w:cs="Arial"/>
          <w:sz w:val="24"/>
          <w:szCs w:val="24"/>
          <w:lang w:val="en-GB" w:eastAsia="en-GB"/>
        </w:rPr>
        <w:t>One of the biggest threats is economic conditions. In 2026 the UK branded coffee-shop market was valued at £6.8 billion, but the market is trending towards affordable and premium offerings (World Coffee Portal, 2026). Economic evidence also demonstrates high numbers of visits to Westminster, as well as more cautious spending behaviour: around 317m visits to Westminster in 2024, and a reduction in transaction numbers, with spend per transaction rising slightly (Westminster City Council, 2025). The implication is that this is the case if the venture wants to charge higher prices, which it has to justify based on quality and</w:t>
      </w:r>
      <w:r>
        <w:rPr>
          <w:rFonts w:ascii="Arial" w:hAnsi="Arial" w:cs="Arial"/>
          <w:sz w:val="24"/>
          <w:szCs w:val="24"/>
          <w:lang w:val="en-GB" w:eastAsia="en-GB"/>
        </w:rPr>
        <w:t xml:space="preserve"> value visible to the customer</w:t>
      </w:r>
    </w:p>
    <w:p w14:paraId="5EE7CF4B" w14:textId="4A861D7E" w:rsidR="007B159C" w:rsidRPr="007B159C" w:rsidRDefault="007B159C" w:rsidP="007B159C">
      <w:pPr>
        <w:spacing w:before="240" w:line="360" w:lineRule="auto"/>
        <w:jc w:val="both"/>
        <w:rPr>
          <w:rFonts w:ascii="Arial" w:hAnsi="Arial" w:cs="Arial"/>
          <w:b/>
          <w:sz w:val="24"/>
          <w:szCs w:val="24"/>
          <w:lang w:val="en-GB" w:eastAsia="en-GB"/>
        </w:rPr>
      </w:pPr>
      <w:r>
        <w:rPr>
          <w:rFonts w:ascii="Arial" w:hAnsi="Arial" w:cs="Arial"/>
          <w:b/>
          <w:sz w:val="24"/>
          <w:szCs w:val="24"/>
          <w:lang w:val="en-GB" w:eastAsia="en-GB"/>
        </w:rPr>
        <w:t>Social</w:t>
      </w:r>
    </w:p>
    <w:p w14:paraId="6881B735" w14:textId="40AAC653" w:rsidR="007B159C" w:rsidRDefault="007B159C" w:rsidP="007B159C">
      <w:pPr>
        <w:spacing w:before="240" w:line="360" w:lineRule="auto"/>
        <w:jc w:val="both"/>
        <w:rPr>
          <w:rFonts w:ascii="Arial" w:hAnsi="Arial" w:cs="Arial"/>
          <w:sz w:val="24"/>
          <w:szCs w:val="24"/>
          <w:lang w:val="en-GB" w:eastAsia="en-GB"/>
        </w:rPr>
      </w:pPr>
      <w:r w:rsidRPr="007B159C">
        <w:rPr>
          <w:rFonts w:ascii="Arial" w:hAnsi="Arial" w:cs="Arial"/>
          <w:sz w:val="24"/>
          <w:szCs w:val="24"/>
          <w:lang w:val="en-GB" w:eastAsia="en-GB"/>
        </w:rPr>
        <w:t>The concept is supported by social trends, as specialty coffee, personalised hospitality and ambience in coffee shops are important drivers of demand in the independent sector (World Coffee Portal, 2026). Meanwhile, the current coffee culture in Covent Garden is testament to the preference for experience-led and specialty consumption of coffee (Covent Garden London, 2026). Ethical consumption can bolster the proposition, but there are al</w:t>
      </w:r>
      <w:r>
        <w:rPr>
          <w:rFonts w:ascii="Arial" w:hAnsi="Arial" w:cs="Arial"/>
          <w:sz w:val="24"/>
          <w:szCs w:val="24"/>
          <w:lang w:val="en-GB" w:eastAsia="en-GB"/>
        </w:rPr>
        <w:t>ready competitors in this area</w:t>
      </w:r>
    </w:p>
    <w:p w14:paraId="728728DA" w14:textId="7297EA24" w:rsidR="007B159C" w:rsidRDefault="007B159C" w:rsidP="007B159C">
      <w:pPr>
        <w:spacing w:before="240" w:line="360" w:lineRule="auto"/>
        <w:jc w:val="both"/>
        <w:rPr>
          <w:rFonts w:ascii="Arial" w:hAnsi="Arial" w:cs="Arial"/>
          <w:sz w:val="24"/>
          <w:szCs w:val="24"/>
          <w:lang w:val="en-GB" w:eastAsia="en-GB"/>
        </w:rPr>
      </w:pPr>
    </w:p>
    <w:p w14:paraId="48FE4E2E" w14:textId="77777777" w:rsidR="007B159C" w:rsidRPr="007B159C" w:rsidRDefault="007B159C" w:rsidP="007B159C">
      <w:pPr>
        <w:spacing w:before="240" w:line="360" w:lineRule="auto"/>
        <w:jc w:val="both"/>
        <w:rPr>
          <w:rFonts w:ascii="Arial" w:hAnsi="Arial" w:cs="Arial"/>
          <w:sz w:val="24"/>
          <w:szCs w:val="24"/>
          <w:lang w:val="en-GB" w:eastAsia="en-GB"/>
        </w:rPr>
      </w:pPr>
    </w:p>
    <w:p w14:paraId="29E1813D" w14:textId="29314DF9" w:rsidR="007B159C" w:rsidRPr="007B159C" w:rsidRDefault="007B159C" w:rsidP="007B159C">
      <w:pPr>
        <w:spacing w:before="240" w:line="360" w:lineRule="auto"/>
        <w:jc w:val="both"/>
        <w:rPr>
          <w:rFonts w:ascii="Arial" w:hAnsi="Arial" w:cs="Arial"/>
          <w:b/>
          <w:sz w:val="24"/>
          <w:szCs w:val="24"/>
          <w:lang w:val="en-GB" w:eastAsia="en-GB"/>
        </w:rPr>
      </w:pPr>
      <w:r>
        <w:rPr>
          <w:rFonts w:ascii="Arial" w:hAnsi="Arial" w:cs="Arial"/>
          <w:b/>
          <w:sz w:val="24"/>
          <w:szCs w:val="24"/>
          <w:lang w:val="en-GB" w:eastAsia="en-GB"/>
        </w:rPr>
        <w:lastRenderedPageBreak/>
        <w:t>Technological</w:t>
      </w:r>
    </w:p>
    <w:p w14:paraId="51DE6E1F" w14:textId="7929BD74" w:rsidR="007B159C" w:rsidRPr="007B159C" w:rsidRDefault="007B159C" w:rsidP="007B159C">
      <w:pPr>
        <w:spacing w:before="240" w:line="360" w:lineRule="auto"/>
        <w:jc w:val="both"/>
        <w:rPr>
          <w:rFonts w:ascii="Arial" w:hAnsi="Arial" w:cs="Arial"/>
          <w:sz w:val="24"/>
          <w:szCs w:val="24"/>
          <w:lang w:val="en-GB" w:eastAsia="en-GB"/>
        </w:rPr>
      </w:pPr>
      <w:r w:rsidRPr="007B159C">
        <w:rPr>
          <w:rFonts w:ascii="Arial" w:hAnsi="Arial" w:cs="Arial"/>
          <w:sz w:val="24"/>
          <w:szCs w:val="24"/>
          <w:lang w:val="en-GB" w:eastAsia="en-GB"/>
        </w:rPr>
        <w:t>Digital technology can be used to assist discovery, to order, to communicate with customers, to foster customer loyalty and to monitor customer performance. This becomes more pertinent as digital tools become a mechanism to reinforce convenience and engagement for coffee operators (World Coffee Portal, 2026). The Ethical Bean thinks digital shouldn't be an alternative to the physic</w:t>
      </w:r>
      <w:r>
        <w:rPr>
          <w:rFonts w:ascii="Arial" w:hAnsi="Arial" w:cs="Arial"/>
          <w:sz w:val="24"/>
          <w:szCs w:val="24"/>
          <w:lang w:val="en-GB" w:eastAsia="en-GB"/>
        </w:rPr>
        <w:t>al café, it's meant to enhance.</w:t>
      </w:r>
    </w:p>
    <w:p w14:paraId="1B0BED84" w14:textId="05BA0DDF" w:rsidR="007B159C" w:rsidRPr="007B159C" w:rsidRDefault="007B159C" w:rsidP="007B159C">
      <w:pPr>
        <w:spacing w:before="240" w:line="360" w:lineRule="auto"/>
        <w:jc w:val="both"/>
        <w:rPr>
          <w:rFonts w:ascii="Arial" w:hAnsi="Arial" w:cs="Arial"/>
          <w:b/>
          <w:sz w:val="24"/>
          <w:szCs w:val="24"/>
          <w:lang w:val="en-GB" w:eastAsia="en-GB"/>
        </w:rPr>
      </w:pPr>
      <w:r>
        <w:rPr>
          <w:rFonts w:ascii="Arial" w:hAnsi="Arial" w:cs="Arial"/>
          <w:b/>
          <w:sz w:val="24"/>
          <w:szCs w:val="24"/>
          <w:lang w:val="en-GB" w:eastAsia="en-GB"/>
        </w:rPr>
        <w:t>Legal</w:t>
      </w:r>
    </w:p>
    <w:p w14:paraId="268A85BD" w14:textId="75F9371C" w:rsidR="007B159C" w:rsidRPr="007B159C" w:rsidRDefault="007B159C" w:rsidP="007B159C">
      <w:pPr>
        <w:spacing w:before="240" w:line="360" w:lineRule="auto"/>
        <w:jc w:val="both"/>
        <w:rPr>
          <w:rFonts w:ascii="Arial" w:hAnsi="Arial" w:cs="Arial"/>
          <w:sz w:val="24"/>
          <w:szCs w:val="24"/>
          <w:lang w:val="en-GB" w:eastAsia="en-GB"/>
        </w:rPr>
      </w:pPr>
      <w:r w:rsidRPr="007B159C">
        <w:rPr>
          <w:rFonts w:ascii="Arial" w:hAnsi="Arial" w:cs="Arial"/>
          <w:sz w:val="24"/>
          <w:szCs w:val="24"/>
          <w:lang w:val="en-GB" w:eastAsia="en-GB"/>
        </w:rPr>
        <w:t>Legal requirements are there as a bare minimum to operate, not as a competitive differentiator. The venture will require the proper food safety procedures, employment compliance, consumer protection, licensing if needed and care of customer information if needed. Therefore, it is critical to have effective compliance to ensure that the business is not exposed to financial, oper</w:t>
      </w:r>
      <w:r>
        <w:rPr>
          <w:rFonts w:ascii="Arial" w:hAnsi="Arial" w:cs="Arial"/>
          <w:sz w:val="24"/>
          <w:szCs w:val="24"/>
          <w:lang w:val="en-GB" w:eastAsia="en-GB"/>
        </w:rPr>
        <w:t>ational and reputational risks.</w:t>
      </w:r>
    </w:p>
    <w:p w14:paraId="526BE467" w14:textId="30FF3D53" w:rsidR="007B159C" w:rsidRPr="007B159C" w:rsidRDefault="007B159C" w:rsidP="007B159C">
      <w:pPr>
        <w:spacing w:before="240" w:line="360" w:lineRule="auto"/>
        <w:jc w:val="both"/>
        <w:rPr>
          <w:rFonts w:ascii="Arial" w:hAnsi="Arial" w:cs="Arial"/>
          <w:b/>
          <w:sz w:val="24"/>
          <w:szCs w:val="24"/>
          <w:lang w:val="en-GB" w:eastAsia="en-GB"/>
        </w:rPr>
      </w:pPr>
      <w:r>
        <w:rPr>
          <w:rFonts w:ascii="Arial" w:hAnsi="Arial" w:cs="Arial"/>
          <w:b/>
          <w:sz w:val="24"/>
          <w:szCs w:val="24"/>
          <w:lang w:val="en-GB" w:eastAsia="en-GB"/>
        </w:rPr>
        <w:t>Environmental</w:t>
      </w:r>
    </w:p>
    <w:p w14:paraId="5D2A6F10" w14:textId="72323286" w:rsidR="00B213BD" w:rsidRPr="00B213BD" w:rsidRDefault="007B159C" w:rsidP="00B213BD">
      <w:pPr>
        <w:spacing w:before="240" w:line="360" w:lineRule="auto"/>
        <w:jc w:val="both"/>
        <w:rPr>
          <w:rFonts w:ascii="Arial" w:hAnsi="Arial" w:cs="Arial"/>
          <w:sz w:val="24"/>
          <w:szCs w:val="24"/>
          <w:lang w:val="en-GB" w:eastAsia="en-GB"/>
        </w:rPr>
      </w:pPr>
      <w:r w:rsidRPr="007B159C">
        <w:rPr>
          <w:rFonts w:ascii="Arial" w:hAnsi="Arial" w:cs="Arial"/>
          <w:sz w:val="24"/>
          <w:szCs w:val="24"/>
          <w:lang w:val="en-GB" w:eastAsia="en-GB"/>
        </w:rPr>
        <w:t xml:space="preserve">Environmental factors are also important from a strategic perspective as they are needed to address climate and sustainability issues in coffee supply chains, and cafés produce packaging waste, food waste and coffee ground waste. Sustainable sourcing, minimizing waste and maximizing resources can, therefore, help develop the value proposition. But if it's a claim about the environment, it has to be accompanied by credible supplier information and measurable practices or it becomes a vacuous </w:t>
      </w:r>
      <w:r>
        <w:rPr>
          <w:rFonts w:ascii="Arial" w:hAnsi="Arial" w:cs="Arial"/>
          <w:sz w:val="24"/>
          <w:szCs w:val="24"/>
          <w:lang w:val="en-GB" w:eastAsia="en-GB"/>
        </w:rPr>
        <w:t>sustainability marketing tactic.</w:t>
      </w:r>
    </w:p>
    <w:p w14:paraId="02FF6C49" w14:textId="37BDFDEF" w:rsidR="00B213BD" w:rsidRPr="00681A46" w:rsidRDefault="00B213BD" w:rsidP="00681A46">
      <w:pPr>
        <w:pStyle w:val="Heading2"/>
        <w:rPr>
          <w:lang w:val="en-GB" w:eastAsia="en-GB"/>
        </w:rPr>
      </w:pPr>
      <w:bookmarkStart w:id="58" w:name="_Toc240811421"/>
      <w:r w:rsidRPr="00B213BD">
        <w:rPr>
          <w:lang w:val="en-GB" w:eastAsia="en-GB"/>
        </w:rPr>
        <w:t>6.5 Evidence-Based Positioning Gap</w:t>
      </w:r>
      <w:bookmarkEnd w:id="58"/>
    </w:p>
    <w:p w14:paraId="76C1859E" w14:textId="337D24CC" w:rsidR="00B213BD" w:rsidRPr="00B213BD" w:rsidRDefault="00B213BD" w:rsidP="00B213BD">
      <w:pPr>
        <w:spacing w:before="240" w:line="360" w:lineRule="auto"/>
        <w:jc w:val="both"/>
        <w:rPr>
          <w:rFonts w:ascii="Arial" w:hAnsi="Arial" w:cs="Arial"/>
          <w:sz w:val="24"/>
          <w:szCs w:val="24"/>
          <w:lang w:val="en-GB" w:eastAsia="en-GB"/>
        </w:rPr>
      </w:pPr>
      <w:r w:rsidRPr="00B213BD">
        <w:rPr>
          <w:rFonts w:ascii="Arial" w:hAnsi="Arial" w:cs="Arial"/>
          <w:sz w:val="24"/>
          <w:szCs w:val="24"/>
          <w:lang w:val="en-GB" w:eastAsia="en-GB"/>
        </w:rPr>
        <w:t>The competitor analysis demonstrates that the market does not contain an obvious gap for simply offering premium, specialty or ethical coffee. Monmouth already provides established specialty expertise and responsible sourcing; WatchHouse combines specialty coffee with contemporary hospitality; and Qima offers a strong provenance-led propositio</w:t>
      </w:r>
      <w:r w:rsidR="00681A46">
        <w:rPr>
          <w:rFonts w:ascii="Arial" w:hAnsi="Arial" w:cs="Arial"/>
          <w:sz w:val="24"/>
          <w:szCs w:val="24"/>
          <w:lang w:val="en-GB" w:eastAsia="en-GB"/>
        </w:rPr>
        <w:t>n (Covent Garden London, 2026).</w:t>
      </w:r>
    </w:p>
    <w:p w14:paraId="407B14CD" w14:textId="126DA54F" w:rsidR="00B213BD" w:rsidRPr="00B213BD" w:rsidRDefault="00B213BD" w:rsidP="00B213BD">
      <w:pPr>
        <w:spacing w:before="240" w:line="360" w:lineRule="auto"/>
        <w:jc w:val="both"/>
        <w:rPr>
          <w:rFonts w:ascii="Arial" w:hAnsi="Arial" w:cs="Arial"/>
          <w:sz w:val="24"/>
          <w:szCs w:val="24"/>
          <w:lang w:val="en-GB" w:eastAsia="en-GB"/>
        </w:rPr>
      </w:pPr>
      <w:r w:rsidRPr="00B213BD">
        <w:rPr>
          <w:rFonts w:ascii="Arial" w:hAnsi="Arial" w:cs="Arial"/>
          <w:sz w:val="24"/>
          <w:szCs w:val="24"/>
          <w:lang w:val="en-GB" w:eastAsia="en-GB"/>
        </w:rPr>
        <w:t xml:space="preserve">The potential positioning opportunity is therefore integrative rather than categorical. The Ethical Bean can differentiate by combining specialty quality with highly visible </w:t>
      </w:r>
      <w:r w:rsidRPr="00B213BD">
        <w:rPr>
          <w:rFonts w:ascii="Arial" w:hAnsi="Arial" w:cs="Arial"/>
          <w:sz w:val="24"/>
          <w:szCs w:val="24"/>
          <w:lang w:val="en-GB" w:eastAsia="en-GB"/>
        </w:rPr>
        <w:lastRenderedPageBreak/>
        <w:t>sourcing transparency, sustainability, personalised service and accessible premium value. The strategic emphasis should be on making the ethical story understandable and relevant to customers while maintaining superi</w:t>
      </w:r>
      <w:r w:rsidR="00681A46">
        <w:rPr>
          <w:rFonts w:ascii="Arial" w:hAnsi="Arial" w:cs="Arial"/>
          <w:sz w:val="24"/>
          <w:szCs w:val="24"/>
          <w:lang w:val="en-GB" w:eastAsia="en-GB"/>
        </w:rPr>
        <w:t>or consistency and hospitality</w:t>
      </w:r>
    </w:p>
    <w:p w14:paraId="59CC2615" w14:textId="476A9420" w:rsidR="00B213BD" w:rsidRPr="00B213BD" w:rsidRDefault="00B213BD" w:rsidP="00B213BD">
      <w:pPr>
        <w:spacing w:before="240" w:line="360" w:lineRule="auto"/>
        <w:jc w:val="both"/>
        <w:rPr>
          <w:rFonts w:ascii="Arial" w:hAnsi="Arial" w:cs="Arial"/>
          <w:sz w:val="24"/>
          <w:szCs w:val="24"/>
          <w:lang w:val="en-GB" w:eastAsia="en-GB"/>
        </w:rPr>
      </w:pPr>
      <w:r w:rsidRPr="00B213BD">
        <w:rPr>
          <w:rFonts w:ascii="Arial" w:hAnsi="Arial" w:cs="Arial"/>
          <w:sz w:val="24"/>
          <w:szCs w:val="24"/>
          <w:lang w:val="en-GB" w:eastAsia="en-GB"/>
        </w:rPr>
        <w:t>This distinction is important because ethical sourcing itself is not rare. Rather, the proposed advantage would arise from the combination and consistent delivery of several attributes, supported by supplier relationships, customer know</w:t>
      </w:r>
      <w:r w:rsidR="00681A46">
        <w:rPr>
          <w:rFonts w:ascii="Arial" w:hAnsi="Arial" w:cs="Arial"/>
          <w:sz w:val="24"/>
          <w:szCs w:val="24"/>
          <w:lang w:val="en-GB" w:eastAsia="en-GB"/>
        </w:rPr>
        <w:t>ledge and operational learning.</w:t>
      </w:r>
    </w:p>
    <w:p w14:paraId="635F836B" w14:textId="2E85B5B6" w:rsidR="00B213BD" w:rsidRPr="00681A46" w:rsidRDefault="00B213BD" w:rsidP="00681A46">
      <w:pPr>
        <w:pStyle w:val="Heading2"/>
        <w:rPr>
          <w:lang w:val="en-GB" w:eastAsia="en-GB"/>
        </w:rPr>
      </w:pPr>
      <w:bookmarkStart w:id="59" w:name="_Toc240811422"/>
      <w:r w:rsidRPr="00B213BD">
        <w:rPr>
          <w:lang w:val="en-GB" w:eastAsia="en-GB"/>
        </w:rPr>
        <w:t>6.6 Chapter Synthesis</w:t>
      </w:r>
      <w:bookmarkEnd w:id="59"/>
    </w:p>
    <w:p w14:paraId="087EE369" w14:textId="4C9CA35C" w:rsidR="00B213BD" w:rsidRPr="00B213BD" w:rsidRDefault="00B213BD" w:rsidP="00B213BD">
      <w:pPr>
        <w:spacing w:before="240" w:line="360" w:lineRule="auto"/>
        <w:jc w:val="both"/>
        <w:rPr>
          <w:rFonts w:ascii="Arial" w:hAnsi="Arial" w:cs="Arial"/>
          <w:sz w:val="24"/>
          <w:szCs w:val="24"/>
          <w:lang w:val="en-GB" w:eastAsia="en-GB"/>
        </w:rPr>
      </w:pPr>
      <w:r w:rsidRPr="00B213BD">
        <w:rPr>
          <w:rFonts w:ascii="Arial" w:hAnsi="Arial" w:cs="Arial"/>
          <w:sz w:val="24"/>
          <w:szCs w:val="24"/>
          <w:lang w:val="en-GB" w:eastAsia="en-GB"/>
        </w:rPr>
        <w:t>The analysis identifies a strong but highly competitive market environment. Covent Garden provides substantial footfall and an established specialty-coffee culture, but customers have many alternatives and low switching costs. The Five Forces therefore indicate high competitive pressure, while PESTLE highlights economic and environmental risks alongside favourable s</w:t>
      </w:r>
      <w:r w:rsidR="00681A46">
        <w:rPr>
          <w:rFonts w:ascii="Arial" w:hAnsi="Arial" w:cs="Arial"/>
          <w:sz w:val="24"/>
          <w:szCs w:val="24"/>
          <w:lang w:val="en-GB" w:eastAsia="en-GB"/>
        </w:rPr>
        <w:t>ocial and technological trends</w:t>
      </w:r>
    </w:p>
    <w:p w14:paraId="677D121E" w14:textId="06E6D7CA" w:rsidR="00572CAA" w:rsidRDefault="00B213BD" w:rsidP="00B213BD">
      <w:pPr>
        <w:spacing w:before="240" w:line="360" w:lineRule="auto"/>
        <w:jc w:val="both"/>
        <w:rPr>
          <w:rFonts w:ascii="Arial" w:hAnsi="Arial" w:cs="Arial"/>
          <w:sz w:val="24"/>
          <w:szCs w:val="24"/>
          <w:lang w:val="en-GB" w:eastAsia="en-GB"/>
        </w:rPr>
      </w:pPr>
      <w:r w:rsidRPr="00B213BD">
        <w:rPr>
          <w:rFonts w:ascii="Arial" w:hAnsi="Arial" w:cs="Arial"/>
          <w:sz w:val="24"/>
          <w:szCs w:val="24"/>
          <w:lang w:val="en-GB" w:eastAsia="en-GB"/>
        </w:rPr>
        <w:t>Consequently, the evidence supports the focused staged differentiation strategy developed in Chapter 7. The venture should not attempt to compete through price leadership or imitate established specialty operators. Instead, it should target ethically conscious specialty-coffee consumers, urban professionals and relevant visitors through an integrated proposition based on quality, ethical sourcing, traceability, sustainability, personalised service and value. The resulting strategy recognises that competitive advantage will need to be developed progressively through customer loyalty, supplier relationships, brand reputation and organisational learning rather than assumed at launch.</w:t>
      </w:r>
    </w:p>
    <w:p w14:paraId="549AB285" w14:textId="4289510A" w:rsidR="00572CAA" w:rsidRDefault="00572CAA" w:rsidP="00764905">
      <w:pPr>
        <w:spacing w:before="240" w:line="360" w:lineRule="auto"/>
        <w:jc w:val="both"/>
        <w:rPr>
          <w:rFonts w:ascii="Arial" w:hAnsi="Arial" w:cs="Arial"/>
          <w:sz w:val="24"/>
          <w:szCs w:val="24"/>
          <w:lang w:val="en-GB" w:eastAsia="en-GB"/>
        </w:rPr>
      </w:pPr>
    </w:p>
    <w:p w14:paraId="28F6C054" w14:textId="51DE3A0C" w:rsidR="00572CAA" w:rsidRDefault="00572CAA" w:rsidP="00764905">
      <w:pPr>
        <w:spacing w:before="240" w:line="360" w:lineRule="auto"/>
        <w:jc w:val="both"/>
        <w:rPr>
          <w:rFonts w:ascii="Arial" w:hAnsi="Arial" w:cs="Arial"/>
          <w:sz w:val="24"/>
          <w:szCs w:val="24"/>
          <w:lang w:val="en-GB" w:eastAsia="en-GB"/>
        </w:rPr>
      </w:pPr>
    </w:p>
    <w:p w14:paraId="5565B520" w14:textId="38A1DF77" w:rsidR="00572CAA" w:rsidRDefault="00572CAA" w:rsidP="00764905">
      <w:pPr>
        <w:spacing w:before="240" w:line="360" w:lineRule="auto"/>
        <w:jc w:val="both"/>
        <w:rPr>
          <w:rFonts w:ascii="Arial" w:hAnsi="Arial" w:cs="Arial"/>
          <w:sz w:val="24"/>
          <w:szCs w:val="24"/>
          <w:lang w:val="en-GB" w:eastAsia="en-GB"/>
        </w:rPr>
      </w:pPr>
    </w:p>
    <w:p w14:paraId="3506A329" w14:textId="65DA14CD" w:rsidR="00572CAA" w:rsidRDefault="00572CAA" w:rsidP="00764905">
      <w:pPr>
        <w:spacing w:before="240" w:line="360" w:lineRule="auto"/>
        <w:jc w:val="both"/>
        <w:rPr>
          <w:rFonts w:ascii="Arial" w:hAnsi="Arial" w:cs="Arial"/>
          <w:sz w:val="24"/>
          <w:szCs w:val="24"/>
          <w:lang w:val="en-GB" w:eastAsia="en-GB"/>
        </w:rPr>
      </w:pPr>
    </w:p>
    <w:p w14:paraId="73755EC7" w14:textId="6E108DA2" w:rsidR="00572CAA" w:rsidRDefault="00572CAA" w:rsidP="00764905">
      <w:pPr>
        <w:spacing w:before="240" w:line="360" w:lineRule="auto"/>
        <w:jc w:val="both"/>
        <w:rPr>
          <w:rFonts w:ascii="Arial" w:hAnsi="Arial" w:cs="Arial"/>
          <w:sz w:val="24"/>
          <w:szCs w:val="24"/>
          <w:lang w:val="en-GB" w:eastAsia="en-GB"/>
        </w:rPr>
      </w:pPr>
    </w:p>
    <w:p w14:paraId="460D1EB8" w14:textId="4778B0C8" w:rsidR="00572CAA" w:rsidRDefault="00572CAA" w:rsidP="00764905">
      <w:pPr>
        <w:spacing w:before="240" w:line="360" w:lineRule="auto"/>
        <w:jc w:val="both"/>
        <w:rPr>
          <w:rFonts w:ascii="Arial" w:hAnsi="Arial" w:cs="Arial"/>
          <w:sz w:val="24"/>
          <w:szCs w:val="24"/>
          <w:lang w:val="en-GB" w:eastAsia="en-GB"/>
        </w:rPr>
      </w:pPr>
    </w:p>
    <w:p w14:paraId="0DF20338" w14:textId="77777777" w:rsidR="00572CAA" w:rsidRPr="00E86635" w:rsidRDefault="00572CAA" w:rsidP="00E2542F">
      <w:pPr>
        <w:pStyle w:val="Heading1"/>
        <w:jc w:val="center"/>
        <w:rPr>
          <w:rFonts w:eastAsia="Times New Roman"/>
          <w:lang w:val="en-GB" w:eastAsia="en-GB"/>
        </w:rPr>
      </w:pPr>
      <w:bookmarkStart w:id="60" w:name="_Toc240811423"/>
      <w:r w:rsidRPr="00E86635">
        <w:rPr>
          <w:rFonts w:eastAsia="Times New Roman"/>
          <w:lang w:val="en-GB" w:eastAsia="en-GB"/>
        </w:rPr>
        <w:lastRenderedPageBreak/>
        <w:t>Chapter 7: Business Strategy</w:t>
      </w:r>
      <w:bookmarkEnd w:id="60"/>
    </w:p>
    <w:p w14:paraId="187239E9" w14:textId="77777777" w:rsidR="00572CAA" w:rsidRPr="00E86635" w:rsidRDefault="00572CAA" w:rsidP="00E2542F">
      <w:pPr>
        <w:pStyle w:val="Heading2"/>
        <w:rPr>
          <w:rFonts w:eastAsia="Times New Roman"/>
          <w:lang w:val="en-GB" w:eastAsia="en-GB"/>
        </w:rPr>
      </w:pPr>
      <w:bookmarkStart w:id="61" w:name="_Toc240811424"/>
      <w:r w:rsidRPr="00E86635">
        <w:rPr>
          <w:rFonts w:eastAsia="Times New Roman"/>
          <w:lang w:val="en-GB" w:eastAsia="en-GB"/>
        </w:rPr>
        <w:t>7.1 Strategic Situation and Frameworks</w:t>
      </w:r>
      <w:bookmarkEnd w:id="61"/>
    </w:p>
    <w:p w14:paraId="57433252"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As revealed in Chapters 5 and 6, The Ethical Bean Coffee House has a very competitive market in an attractive area. In 2026, the UK coffee shop market was estimated to be around £6.8 billion, and it contained 12,313 outlets, which grew by 5.5% compared to the previous year (World Coffee Portal, 2026). Meanwhile, consumers are increasingly seeking value and independent operators are grappling with rising input and operating costs (World Coffee Portal, 2025; World Coffee Portal, 2026).</w:t>
      </w:r>
    </w:p>
    <w:p w14:paraId="1D6F9194" w14:textId="1EF4597A" w:rsidR="00572CAA"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 xml:space="preserve">The strategic challenge is not, however, whether customers are interested in buying coffee, but how a new independent coffee shop can generate enough value to overcome the strong competition, buyer switching power and substitutions. Four strategic implications emerge from chapters 5 and 6: First, the potential for a premium is in the volume of coffee consumed; second, quality and experience are important but are already available from the established specialty competitors; third, the ethical sourcing can enhance the differentiation but it is not enough to justify a premium; and fourth, the affordability and operational efficiency need to support the ethical proposition. These findings are then combined using VRIO and SWOT analysis and strategic-option evaluation to decide on the best approach. VRIO is intended to determine if the resources of the venture can enable it to achieve competitive advantage and SWOT turns internal and external evidence into strategic issues (Barney, 1991; Ferreira, Fernandes and Ferreira, 2022). </w:t>
      </w:r>
      <w:r w:rsidR="00993C8B" w:rsidRPr="00993C8B">
        <w:rPr>
          <w:rFonts w:ascii="Arial" w:eastAsia="Times New Roman" w:hAnsi="Arial" w:cs="Arial"/>
          <w:sz w:val="24"/>
          <w:szCs w:val="24"/>
          <w:lang w:val="en-GB" w:eastAsia="en-GB"/>
        </w:rPr>
        <w:t>These findings are then combined using VRIO and SWOT analysis and strategic-option evaluation to decide on the best approach.</w:t>
      </w:r>
    </w:p>
    <w:p w14:paraId="5C3093C9" w14:textId="77777777" w:rsidR="00572CAA" w:rsidRPr="00E86635" w:rsidRDefault="00572CAA" w:rsidP="00E2542F">
      <w:pPr>
        <w:pStyle w:val="Heading2"/>
        <w:rPr>
          <w:rFonts w:eastAsia="Times New Roman"/>
          <w:lang w:val="en-GB" w:eastAsia="en-GB"/>
        </w:rPr>
      </w:pPr>
      <w:bookmarkStart w:id="62" w:name="_Toc240811425"/>
      <w:r w:rsidRPr="00E86635">
        <w:rPr>
          <w:rFonts w:eastAsia="Times New Roman"/>
          <w:lang w:val="en-GB" w:eastAsia="en-GB"/>
        </w:rPr>
        <w:t>7.2 Internal Analysis Using VRIO</w:t>
      </w:r>
      <w:bookmarkEnd w:id="62"/>
    </w:p>
    <w:p w14:paraId="48B2DD0E" w14:textId="1ABC9EF4" w:rsidR="00304B5F" w:rsidRPr="00E86635" w:rsidRDefault="00747973" w:rsidP="00E86635">
      <w:pPr>
        <w:spacing w:before="100" w:beforeAutospacing="1" w:after="100" w:afterAutospacing="1" w:line="360" w:lineRule="auto"/>
        <w:jc w:val="both"/>
        <w:rPr>
          <w:rFonts w:ascii="Arial" w:eastAsia="Times New Roman" w:hAnsi="Arial" w:cs="Arial"/>
          <w:sz w:val="24"/>
          <w:szCs w:val="24"/>
          <w:lang w:val="en-GB" w:eastAsia="en-GB"/>
        </w:rPr>
      </w:pPr>
      <w:r w:rsidRPr="00747973">
        <w:rPr>
          <w:rFonts w:ascii="Arial" w:eastAsia="Times New Roman" w:hAnsi="Arial" w:cs="Arial"/>
          <w:sz w:val="24"/>
          <w:szCs w:val="24"/>
          <w:lang w:val="en-GB" w:eastAsia="en-GB"/>
        </w:rPr>
        <w:t>The most strategically relevant resources are not general assets such as premises or coffee-making equipment, which can be acquired by competitors. Rather, the analysis focuses on proposed ethical sourcing relationships, sustainability and traceability capabilities, brand proposition, customer relationships an</w:t>
      </w:r>
      <w:r w:rsidR="00756C75">
        <w:rPr>
          <w:rFonts w:ascii="Arial" w:eastAsia="Times New Roman" w:hAnsi="Arial" w:cs="Arial"/>
          <w:sz w:val="24"/>
          <w:szCs w:val="24"/>
          <w:lang w:val="en-GB" w:eastAsia="en-GB"/>
        </w:rPr>
        <w:t>d integrated service experience</w:t>
      </w:r>
      <w:r w:rsidR="00572CAA" w:rsidRPr="00E86635">
        <w:rPr>
          <w:rFonts w:ascii="Arial" w:eastAsia="Times New Roman" w:hAnsi="Arial" w:cs="Arial"/>
          <w:sz w:val="24"/>
          <w:szCs w:val="24"/>
          <w:lang w:val="en-GB" w:eastAsia="en-GB"/>
        </w:rPr>
        <w:t>.</w:t>
      </w:r>
    </w:p>
    <w:p w14:paraId="09DED77B" w14:textId="777A64C3" w:rsidR="00304B5F" w:rsidRPr="00E86635" w:rsidRDefault="00304B5F" w:rsidP="00E86635">
      <w:pPr>
        <w:pStyle w:val="Caption"/>
        <w:keepNext/>
        <w:spacing w:line="360" w:lineRule="auto"/>
        <w:jc w:val="both"/>
        <w:rPr>
          <w:rFonts w:ascii="Arial" w:hAnsi="Arial" w:cs="Arial"/>
          <w:sz w:val="24"/>
          <w:szCs w:val="24"/>
        </w:rPr>
      </w:pPr>
      <w:bookmarkStart w:id="63" w:name="_Toc240810938"/>
      <w:r w:rsidRPr="00E86635">
        <w:rPr>
          <w:rFonts w:ascii="Arial" w:hAnsi="Arial" w:cs="Arial"/>
          <w:sz w:val="24"/>
          <w:szCs w:val="24"/>
        </w:rPr>
        <w:lastRenderedPageBreak/>
        <w:t xml:space="preserve">Table </w:t>
      </w:r>
      <w:r w:rsidRPr="00E86635">
        <w:rPr>
          <w:rFonts w:ascii="Arial" w:hAnsi="Arial" w:cs="Arial"/>
          <w:sz w:val="24"/>
          <w:szCs w:val="24"/>
        </w:rPr>
        <w:fldChar w:fldCharType="begin"/>
      </w:r>
      <w:r w:rsidRPr="00E86635">
        <w:rPr>
          <w:rFonts w:ascii="Arial" w:hAnsi="Arial" w:cs="Arial"/>
          <w:sz w:val="24"/>
          <w:szCs w:val="24"/>
        </w:rPr>
        <w:instrText xml:space="preserve"> SEQ Table \* ARABIC </w:instrText>
      </w:r>
      <w:r w:rsidRPr="00E86635">
        <w:rPr>
          <w:rFonts w:ascii="Arial" w:hAnsi="Arial" w:cs="Arial"/>
          <w:sz w:val="24"/>
          <w:szCs w:val="24"/>
        </w:rPr>
        <w:fldChar w:fldCharType="separate"/>
      </w:r>
      <w:r w:rsidR="004E1559">
        <w:rPr>
          <w:rFonts w:ascii="Arial" w:hAnsi="Arial" w:cs="Arial"/>
          <w:noProof/>
          <w:sz w:val="24"/>
          <w:szCs w:val="24"/>
        </w:rPr>
        <w:t>7</w:t>
      </w:r>
      <w:r w:rsidRPr="00E86635">
        <w:rPr>
          <w:rFonts w:ascii="Arial" w:hAnsi="Arial" w:cs="Arial"/>
          <w:sz w:val="24"/>
          <w:szCs w:val="24"/>
        </w:rPr>
        <w:fldChar w:fldCharType="end"/>
      </w:r>
      <w:r w:rsidRPr="00E86635">
        <w:rPr>
          <w:rFonts w:ascii="Arial" w:hAnsi="Arial" w:cs="Arial"/>
          <w:sz w:val="24"/>
          <w:szCs w:val="24"/>
        </w:rPr>
        <w:t>.: VRIO Analysis of The Ethical Bean Coffee House</w:t>
      </w:r>
      <w:bookmarkEnd w:id="63"/>
    </w:p>
    <w:tbl>
      <w:tblPr>
        <w:tblStyle w:val="TableGrid"/>
        <w:tblW w:w="0" w:type="auto"/>
        <w:tblLook w:val="04A0" w:firstRow="1" w:lastRow="0" w:firstColumn="1" w:lastColumn="0" w:noHBand="0" w:noVBand="1"/>
      </w:tblPr>
      <w:tblGrid>
        <w:gridCol w:w="2421"/>
        <w:gridCol w:w="618"/>
        <w:gridCol w:w="1293"/>
        <w:gridCol w:w="1293"/>
        <w:gridCol w:w="1553"/>
        <w:gridCol w:w="1838"/>
      </w:tblGrid>
      <w:tr w:rsidR="00304B5F" w:rsidRPr="00E86635" w14:paraId="627C5604" w14:textId="77777777" w:rsidTr="00304B5F">
        <w:tc>
          <w:tcPr>
            <w:tcW w:w="2123" w:type="dxa"/>
          </w:tcPr>
          <w:p w14:paraId="17281FDE" w14:textId="77777777" w:rsidR="00304B5F" w:rsidRPr="00E86635" w:rsidRDefault="00304B5F" w:rsidP="00E86635">
            <w:pPr>
              <w:spacing w:before="100" w:beforeAutospacing="1" w:after="100" w:afterAutospacing="1" w:line="360" w:lineRule="auto"/>
              <w:jc w:val="both"/>
              <w:rPr>
                <w:rFonts w:ascii="Arial" w:eastAsia="Times New Roman" w:hAnsi="Arial" w:cs="Arial"/>
                <w:b/>
                <w:sz w:val="24"/>
                <w:szCs w:val="24"/>
                <w:lang w:val="en-GB" w:eastAsia="en-GB"/>
              </w:rPr>
            </w:pPr>
            <w:r w:rsidRPr="00E86635">
              <w:rPr>
                <w:rFonts w:ascii="Arial" w:eastAsia="Times New Roman" w:hAnsi="Arial" w:cs="Arial"/>
                <w:b/>
                <w:sz w:val="24"/>
                <w:szCs w:val="24"/>
                <w:lang w:val="en-GB" w:eastAsia="en-GB"/>
              </w:rPr>
              <w:t>Resource/capability</w:t>
            </w:r>
          </w:p>
        </w:tc>
        <w:tc>
          <w:tcPr>
            <w:tcW w:w="1138" w:type="dxa"/>
          </w:tcPr>
          <w:p w14:paraId="795B3B59" w14:textId="77777777" w:rsidR="00304B5F" w:rsidRPr="00E86635" w:rsidRDefault="00304B5F" w:rsidP="00E86635">
            <w:pPr>
              <w:spacing w:before="100" w:beforeAutospacing="1" w:after="100" w:afterAutospacing="1" w:line="360" w:lineRule="auto"/>
              <w:jc w:val="both"/>
              <w:rPr>
                <w:rFonts w:ascii="Arial" w:eastAsia="Times New Roman" w:hAnsi="Arial" w:cs="Arial"/>
                <w:b/>
                <w:sz w:val="24"/>
                <w:szCs w:val="24"/>
                <w:lang w:val="en-GB" w:eastAsia="en-GB"/>
              </w:rPr>
            </w:pPr>
            <w:r w:rsidRPr="00E86635">
              <w:rPr>
                <w:rFonts w:ascii="Arial" w:eastAsia="Times New Roman" w:hAnsi="Arial" w:cs="Arial"/>
                <w:b/>
                <w:sz w:val="24"/>
                <w:szCs w:val="24"/>
                <w:lang w:val="en-GB" w:eastAsia="en-GB"/>
              </w:rPr>
              <w:t>V</w:t>
            </w:r>
          </w:p>
        </w:tc>
        <w:tc>
          <w:tcPr>
            <w:tcW w:w="1404" w:type="dxa"/>
          </w:tcPr>
          <w:p w14:paraId="3C00ABE9" w14:textId="77777777" w:rsidR="00304B5F" w:rsidRPr="00E86635" w:rsidRDefault="00304B5F" w:rsidP="00E86635">
            <w:pPr>
              <w:spacing w:before="100" w:beforeAutospacing="1" w:after="100" w:afterAutospacing="1" w:line="360" w:lineRule="auto"/>
              <w:jc w:val="both"/>
              <w:rPr>
                <w:rFonts w:ascii="Arial" w:eastAsia="Times New Roman" w:hAnsi="Arial" w:cs="Arial"/>
                <w:b/>
                <w:sz w:val="24"/>
                <w:szCs w:val="24"/>
                <w:lang w:val="en-GB" w:eastAsia="en-GB"/>
              </w:rPr>
            </w:pPr>
            <w:r w:rsidRPr="00E86635">
              <w:rPr>
                <w:rFonts w:ascii="Arial" w:eastAsia="Times New Roman" w:hAnsi="Arial" w:cs="Arial"/>
                <w:b/>
                <w:sz w:val="24"/>
                <w:szCs w:val="24"/>
                <w:lang w:val="en-GB" w:eastAsia="en-GB"/>
              </w:rPr>
              <w:t>R</w:t>
            </w:r>
          </w:p>
        </w:tc>
        <w:tc>
          <w:tcPr>
            <w:tcW w:w="1404" w:type="dxa"/>
          </w:tcPr>
          <w:p w14:paraId="00CFD6C0" w14:textId="77777777" w:rsidR="00304B5F" w:rsidRPr="00E86635" w:rsidRDefault="00304B5F" w:rsidP="00E86635">
            <w:pPr>
              <w:spacing w:before="100" w:beforeAutospacing="1" w:after="100" w:afterAutospacing="1" w:line="360" w:lineRule="auto"/>
              <w:jc w:val="both"/>
              <w:rPr>
                <w:rFonts w:ascii="Arial" w:eastAsia="Times New Roman" w:hAnsi="Arial" w:cs="Arial"/>
                <w:b/>
                <w:sz w:val="24"/>
                <w:szCs w:val="24"/>
                <w:lang w:val="en-GB" w:eastAsia="en-GB"/>
              </w:rPr>
            </w:pPr>
            <w:r w:rsidRPr="00E86635">
              <w:rPr>
                <w:rFonts w:ascii="Arial" w:eastAsia="Times New Roman" w:hAnsi="Arial" w:cs="Arial"/>
                <w:b/>
                <w:sz w:val="24"/>
                <w:szCs w:val="24"/>
                <w:lang w:val="en-GB" w:eastAsia="en-GB"/>
              </w:rPr>
              <w:t>I</w:t>
            </w:r>
          </w:p>
        </w:tc>
        <w:tc>
          <w:tcPr>
            <w:tcW w:w="1484" w:type="dxa"/>
          </w:tcPr>
          <w:p w14:paraId="406E33B4" w14:textId="77777777" w:rsidR="00304B5F" w:rsidRPr="00E86635" w:rsidRDefault="00304B5F" w:rsidP="00E86635">
            <w:pPr>
              <w:spacing w:before="100" w:beforeAutospacing="1" w:after="100" w:afterAutospacing="1" w:line="360" w:lineRule="auto"/>
              <w:jc w:val="both"/>
              <w:rPr>
                <w:rFonts w:ascii="Arial" w:eastAsia="Times New Roman" w:hAnsi="Arial" w:cs="Arial"/>
                <w:b/>
                <w:sz w:val="24"/>
                <w:szCs w:val="24"/>
                <w:lang w:val="en-GB" w:eastAsia="en-GB"/>
              </w:rPr>
            </w:pPr>
            <w:r w:rsidRPr="00E86635">
              <w:rPr>
                <w:rFonts w:ascii="Arial" w:eastAsia="Times New Roman" w:hAnsi="Arial" w:cs="Arial"/>
                <w:b/>
                <w:sz w:val="24"/>
                <w:szCs w:val="24"/>
                <w:lang w:val="en-GB" w:eastAsia="en-GB"/>
              </w:rPr>
              <w:t>O</w:t>
            </w:r>
          </w:p>
        </w:tc>
        <w:tc>
          <w:tcPr>
            <w:tcW w:w="1463" w:type="dxa"/>
          </w:tcPr>
          <w:p w14:paraId="5EC263D2" w14:textId="77777777" w:rsidR="00304B5F" w:rsidRPr="00E86635" w:rsidRDefault="00304B5F" w:rsidP="00E86635">
            <w:pPr>
              <w:spacing w:before="100" w:beforeAutospacing="1" w:after="100" w:afterAutospacing="1" w:line="360" w:lineRule="auto"/>
              <w:jc w:val="both"/>
              <w:rPr>
                <w:rFonts w:ascii="Arial" w:eastAsia="Times New Roman" w:hAnsi="Arial" w:cs="Arial"/>
                <w:b/>
                <w:sz w:val="24"/>
                <w:szCs w:val="24"/>
                <w:lang w:val="en-GB" w:eastAsia="en-GB"/>
              </w:rPr>
            </w:pPr>
            <w:r w:rsidRPr="00E86635">
              <w:rPr>
                <w:rFonts w:ascii="Arial" w:eastAsia="Times New Roman" w:hAnsi="Arial" w:cs="Arial"/>
                <w:b/>
                <w:sz w:val="24"/>
                <w:szCs w:val="24"/>
                <w:lang w:val="en-GB" w:eastAsia="en-GB"/>
              </w:rPr>
              <w:t>Strategic implication</w:t>
            </w:r>
          </w:p>
        </w:tc>
      </w:tr>
      <w:tr w:rsidR="00304B5F" w:rsidRPr="00E86635" w14:paraId="10BB8AE4" w14:textId="77777777" w:rsidTr="00304B5F">
        <w:tc>
          <w:tcPr>
            <w:tcW w:w="2123" w:type="dxa"/>
          </w:tcPr>
          <w:p w14:paraId="56FCB26A"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Ethical and transparent sourcing</w:t>
            </w:r>
          </w:p>
        </w:tc>
        <w:tc>
          <w:tcPr>
            <w:tcW w:w="1138" w:type="dxa"/>
          </w:tcPr>
          <w:p w14:paraId="375579FB"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Yes</w:t>
            </w:r>
          </w:p>
        </w:tc>
        <w:tc>
          <w:tcPr>
            <w:tcW w:w="1404" w:type="dxa"/>
          </w:tcPr>
          <w:p w14:paraId="6535541E"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Partly</w:t>
            </w:r>
          </w:p>
        </w:tc>
        <w:tc>
          <w:tcPr>
            <w:tcW w:w="1404" w:type="dxa"/>
          </w:tcPr>
          <w:p w14:paraId="49E8FD1B"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Partly</w:t>
            </w:r>
          </w:p>
        </w:tc>
        <w:tc>
          <w:tcPr>
            <w:tcW w:w="1484" w:type="dxa"/>
          </w:tcPr>
          <w:p w14:paraId="0A42D878"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Not yet fully</w:t>
            </w:r>
          </w:p>
        </w:tc>
        <w:tc>
          <w:tcPr>
            <w:tcW w:w="1463" w:type="dxa"/>
          </w:tcPr>
          <w:p w14:paraId="41771709" w14:textId="46A98C01" w:rsidR="00304B5F" w:rsidRPr="00E86635" w:rsidRDefault="00076333" w:rsidP="00E86635">
            <w:pPr>
              <w:spacing w:before="100" w:beforeAutospacing="1" w:after="100" w:afterAutospacing="1" w:line="360" w:lineRule="auto"/>
              <w:jc w:val="both"/>
              <w:rPr>
                <w:rFonts w:ascii="Arial" w:eastAsia="Times New Roman" w:hAnsi="Arial" w:cs="Arial"/>
                <w:sz w:val="24"/>
                <w:szCs w:val="24"/>
                <w:lang w:val="en-GB" w:eastAsia="en-GB"/>
              </w:rPr>
            </w:pPr>
            <w:r w:rsidRPr="00076333">
              <w:rPr>
                <w:rFonts w:ascii="Arial" w:eastAsia="Times New Roman" w:hAnsi="Arial" w:cs="Arial"/>
                <w:sz w:val="24"/>
                <w:szCs w:val="24"/>
                <w:lang w:val="en-GB" w:eastAsia="en-GB"/>
              </w:rPr>
              <w:t>Potential temporary advantage if successfully developed and embedded</w:t>
            </w:r>
          </w:p>
        </w:tc>
      </w:tr>
      <w:tr w:rsidR="00304B5F" w:rsidRPr="00E86635" w14:paraId="0BD7BE37" w14:textId="77777777" w:rsidTr="00304B5F">
        <w:tc>
          <w:tcPr>
            <w:tcW w:w="2123" w:type="dxa"/>
          </w:tcPr>
          <w:p w14:paraId="05CBFF69"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Sustainability practices and traceability</w:t>
            </w:r>
          </w:p>
        </w:tc>
        <w:tc>
          <w:tcPr>
            <w:tcW w:w="1138" w:type="dxa"/>
          </w:tcPr>
          <w:p w14:paraId="7E12038E"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Yes</w:t>
            </w:r>
          </w:p>
        </w:tc>
        <w:tc>
          <w:tcPr>
            <w:tcW w:w="1404" w:type="dxa"/>
          </w:tcPr>
          <w:p w14:paraId="141F696E"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Partly</w:t>
            </w:r>
          </w:p>
        </w:tc>
        <w:tc>
          <w:tcPr>
            <w:tcW w:w="1404" w:type="dxa"/>
          </w:tcPr>
          <w:p w14:paraId="141C6AC5"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Partly</w:t>
            </w:r>
          </w:p>
        </w:tc>
        <w:tc>
          <w:tcPr>
            <w:tcW w:w="1484" w:type="dxa"/>
          </w:tcPr>
          <w:p w14:paraId="2138B7D3"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Developable</w:t>
            </w:r>
          </w:p>
        </w:tc>
        <w:tc>
          <w:tcPr>
            <w:tcW w:w="1463" w:type="dxa"/>
          </w:tcPr>
          <w:p w14:paraId="17F0CC3B" w14:textId="22381171" w:rsidR="00304B5F" w:rsidRPr="00E86635" w:rsidRDefault="00076333" w:rsidP="00E86635">
            <w:pPr>
              <w:spacing w:before="100" w:beforeAutospacing="1" w:after="100" w:afterAutospacing="1" w:line="360" w:lineRule="auto"/>
              <w:jc w:val="both"/>
              <w:rPr>
                <w:rFonts w:ascii="Arial" w:eastAsia="Times New Roman" w:hAnsi="Arial" w:cs="Arial"/>
                <w:sz w:val="24"/>
                <w:szCs w:val="24"/>
                <w:lang w:val="en-GB" w:eastAsia="en-GB"/>
              </w:rPr>
            </w:pPr>
            <w:r w:rsidRPr="00076333">
              <w:rPr>
                <w:rFonts w:ascii="Arial" w:eastAsia="Times New Roman" w:hAnsi="Arial" w:cs="Arial"/>
                <w:sz w:val="24"/>
                <w:szCs w:val="24"/>
                <w:lang w:val="en-GB" w:eastAsia="en-GB"/>
              </w:rPr>
              <w:t>Potential advantage if developed and organisationally embedded</w:t>
            </w:r>
          </w:p>
        </w:tc>
      </w:tr>
      <w:tr w:rsidR="00304B5F" w:rsidRPr="00E86635" w14:paraId="54ADD89A" w14:textId="77777777" w:rsidTr="00304B5F">
        <w:tc>
          <w:tcPr>
            <w:tcW w:w="2123" w:type="dxa"/>
          </w:tcPr>
          <w:p w14:paraId="6EA90218"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Specialty coffee quality</w:t>
            </w:r>
          </w:p>
        </w:tc>
        <w:tc>
          <w:tcPr>
            <w:tcW w:w="1138" w:type="dxa"/>
          </w:tcPr>
          <w:p w14:paraId="64C242CF"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Yes</w:t>
            </w:r>
          </w:p>
        </w:tc>
        <w:tc>
          <w:tcPr>
            <w:tcW w:w="1404" w:type="dxa"/>
          </w:tcPr>
          <w:p w14:paraId="0B89F537"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No</w:t>
            </w:r>
          </w:p>
        </w:tc>
        <w:tc>
          <w:tcPr>
            <w:tcW w:w="1404" w:type="dxa"/>
          </w:tcPr>
          <w:p w14:paraId="4690F5AE"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No</w:t>
            </w:r>
          </w:p>
        </w:tc>
        <w:tc>
          <w:tcPr>
            <w:tcW w:w="1484" w:type="dxa"/>
          </w:tcPr>
          <w:p w14:paraId="422DDE9D"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Yes</w:t>
            </w:r>
          </w:p>
        </w:tc>
        <w:tc>
          <w:tcPr>
            <w:tcW w:w="1463" w:type="dxa"/>
          </w:tcPr>
          <w:p w14:paraId="74C21508"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Competitive parity</w:t>
            </w:r>
          </w:p>
        </w:tc>
      </w:tr>
      <w:tr w:rsidR="00304B5F" w:rsidRPr="00E86635" w14:paraId="0D6B5F1E" w14:textId="77777777" w:rsidTr="00304B5F">
        <w:tc>
          <w:tcPr>
            <w:tcW w:w="2123" w:type="dxa"/>
          </w:tcPr>
          <w:p w14:paraId="2C5B8029"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Customer experience and personalised service</w:t>
            </w:r>
          </w:p>
        </w:tc>
        <w:tc>
          <w:tcPr>
            <w:tcW w:w="1138" w:type="dxa"/>
          </w:tcPr>
          <w:p w14:paraId="4D50742B"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Yes</w:t>
            </w:r>
          </w:p>
        </w:tc>
        <w:tc>
          <w:tcPr>
            <w:tcW w:w="1404" w:type="dxa"/>
          </w:tcPr>
          <w:p w14:paraId="22857635"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Partly</w:t>
            </w:r>
          </w:p>
        </w:tc>
        <w:tc>
          <w:tcPr>
            <w:tcW w:w="1404" w:type="dxa"/>
          </w:tcPr>
          <w:p w14:paraId="751487E6"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Partly</w:t>
            </w:r>
          </w:p>
        </w:tc>
        <w:tc>
          <w:tcPr>
            <w:tcW w:w="1484" w:type="dxa"/>
          </w:tcPr>
          <w:p w14:paraId="2FAE68AF"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Developable</w:t>
            </w:r>
          </w:p>
        </w:tc>
        <w:tc>
          <w:tcPr>
            <w:tcW w:w="1463" w:type="dxa"/>
          </w:tcPr>
          <w:p w14:paraId="50F2CB3A" w14:textId="6C0F2887" w:rsidR="00304B5F" w:rsidRPr="00E86635" w:rsidRDefault="00076333" w:rsidP="00E86635">
            <w:pPr>
              <w:spacing w:before="100" w:beforeAutospacing="1" w:after="100" w:afterAutospacing="1" w:line="360" w:lineRule="auto"/>
              <w:jc w:val="both"/>
              <w:rPr>
                <w:rFonts w:ascii="Arial" w:eastAsia="Times New Roman" w:hAnsi="Arial" w:cs="Arial"/>
                <w:sz w:val="24"/>
                <w:szCs w:val="24"/>
                <w:lang w:val="en-GB" w:eastAsia="en-GB"/>
              </w:rPr>
            </w:pPr>
            <w:r w:rsidRPr="00076333">
              <w:rPr>
                <w:rFonts w:ascii="Arial" w:eastAsia="Times New Roman" w:hAnsi="Arial" w:cs="Arial"/>
                <w:sz w:val="24"/>
                <w:szCs w:val="24"/>
                <w:lang w:val="en-GB" w:eastAsia="en-GB"/>
              </w:rPr>
              <w:t>Potential temporary advantage if successfully developed</w:t>
            </w:r>
          </w:p>
        </w:tc>
      </w:tr>
      <w:tr w:rsidR="00304B5F" w:rsidRPr="00E86635" w14:paraId="4F604DC2" w14:textId="77777777" w:rsidTr="00304B5F">
        <w:tc>
          <w:tcPr>
            <w:tcW w:w="2123" w:type="dxa"/>
          </w:tcPr>
          <w:p w14:paraId="6B2CBCB7"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Ethical Bean brand identity</w:t>
            </w:r>
          </w:p>
        </w:tc>
        <w:tc>
          <w:tcPr>
            <w:tcW w:w="1138" w:type="dxa"/>
          </w:tcPr>
          <w:p w14:paraId="2E50A8E0"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Yes</w:t>
            </w:r>
          </w:p>
        </w:tc>
        <w:tc>
          <w:tcPr>
            <w:tcW w:w="1404" w:type="dxa"/>
          </w:tcPr>
          <w:p w14:paraId="676B5E88"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Potentially</w:t>
            </w:r>
          </w:p>
        </w:tc>
        <w:tc>
          <w:tcPr>
            <w:tcW w:w="1404" w:type="dxa"/>
          </w:tcPr>
          <w:p w14:paraId="1D167A59"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Potentially</w:t>
            </w:r>
          </w:p>
        </w:tc>
        <w:tc>
          <w:tcPr>
            <w:tcW w:w="1484" w:type="dxa"/>
          </w:tcPr>
          <w:p w14:paraId="0260743D"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Not yet established</w:t>
            </w:r>
          </w:p>
        </w:tc>
        <w:tc>
          <w:tcPr>
            <w:tcW w:w="1463" w:type="dxa"/>
          </w:tcPr>
          <w:p w14:paraId="4957FBB6"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Potential future advantage</w:t>
            </w:r>
          </w:p>
        </w:tc>
      </w:tr>
      <w:tr w:rsidR="00304B5F" w:rsidRPr="00E86635" w14:paraId="359BE327" w14:textId="77777777" w:rsidTr="00304B5F">
        <w:tc>
          <w:tcPr>
            <w:tcW w:w="2123" w:type="dxa"/>
          </w:tcPr>
          <w:p w14:paraId="3C93F7C0"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Supplier/customer relationships</w:t>
            </w:r>
          </w:p>
        </w:tc>
        <w:tc>
          <w:tcPr>
            <w:tcW w:w="1138" w:type="dxa"/>
          </w:tcPr>
          <w:p w14:paraId="13944649"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Yes</w:t>
            </w:r>
          </w:p>
        </w:tc>
        <w:tc>
          <w:tcPr>
            <w:tcW w:w="1404" w:type="dxa"/>
          </w:tcPr>
          <w:p w14:paraId="3A592793"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Potentially</w:t>
            </w:r>
          </w:p>
        </w:tc>
        <w:tc>
          <w:tcPr>
            <w:tcW w:w="1404" w:type="dxa"/>
          </w:tcPr>
          <w:p w14:paraId="09501011"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Potentially</w:t>
            </w:r>
          </w:p>
        </w:tc>
        <w:tc>
          <w:tcPr>
            <w:tcW w:w="1484" w:type="dxa"/>
          </w:tcPr>
          <w:p w14:paraId="5F851199"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Dependent on development</w:t>
            </w:r>
          </w:p>
        </w:tc>
        <w:tc>
          <w:tcPr>
            <w:tcW w:w="1463" w:type="dxa"/>
          </w:tcPr>
          <w:p w14:paraId="0F0107FB" w14:textId="4B518457" w:rsidR="00304B5F" w:rsidRPr="00E86635" w:rsidRDefault="00EF430A" w:rsidP="00E86635">
            <w:pPr>
              <w:spacing w:before="100" w:beforeAutospacing="1" w:after="100" w:afterAutospacing="1" w:line="360" w:lineRule="auto"/>
              <w:jc w:val="both"/>
              <w:rPr>
                <w:rFonts w:ascii="Arial" w:eastAsia="Times New Roman" w:hAnsi="Arial" w:cs="Arial"/>
                <w:sz w:val="24"/>
                <w:szCs w:val="24"/>
                <w:lang w:val="en-GB" w:eastAsia="en-GB"/>
              </w:rPr>
            </w:pPr>
            <w:r w:rsidRPr="00EF430A">
              <w:rPr>
                <w:rFonts w:ascii="Arial" w:eastAsia="Times New Roman" w:hAnsi="Arial" w:cs="Arial"/>
                <w:sz w:val="24"/>
                <w:szCs w:val="24"/>
                <w:lang w:val="en-GB" w:eastAsia="en-GB"/>
              </w:rPr>
              <w:t>Potential future advantage, dependent on development</w:t>
            </w:r>
          </w:p>
        </w:tc>
      </w:tr>
    </w:tbl>
    <w:p w14:paraId="11F4A988" w14:textId="3174B7C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b/>
          <w:sz w:val="24"/>
          <w:szCs w:val="24"/>
          <w:lang w:val="en-GB" w:eastAsia="en-GB"/>
        </w:rPr>
        <w:t>Source:</w:t>
      </w:r>
      <w:r w:rsidRPr="00E86635">
        <w:rPr>
          <w:rFonts w:ascii="Arial" w:eastAsia="Times New Roman" w:hAnsi="Arial" w:cs="Arial"/>
          <w:sz w:val="24"/>
          <w:szCs w:val="24"/>
          <w:lang w:val="en-GB" w:eastAsia="en-GB"/>
        </w:rPr>
        <w:t xml:space="preserve"> Researcher's analysis based on the findings of Chapters 5 and 6, informed by Barney's (1991) VRIO framework.</w:t>
      </w:r>
    </w:p>
    <w:p w14:paraId="7D12D3B9" w14:textId="1539B1C9" w:rsidR="001A0C2E" w:rsidRPr="00E86635" w:rsidRDefault="001A0C2E"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 xml:space="preserve">Product quality is a good characteristic because customers want good quality and experience, but is not unusual within the set of competing products. High quality coffee is not enough of a differentiator alone, as demonstrated by Monmouth Coffee </w:t>
      </w:r>
      <w:r w:rsidRPr="00E86635">
        <w:rPr>
          <w:rFonts w:ascii="Arial" w:eastAsia="Times New Roman" w:hAnsi="Arial" w:cs="Arial"/>
          <w:sz w:val="24"/>
          <w:szCs w:val="24"/>
          <w:lang w:val="en-GB" w:eastAsia="en-GB"/>
        </w:rPr>
        <w:lastRenderedPageBreak/>
        <w:t xml:space="preserve">Company and </w:t>
      </w:r>
      <w:r w:rsidR="00E2542F" w:rsidRPr="00E86635">
        <w:rPr>
          <w:rFonts w:ascii="Arial" w:eastAsia="Times New Roman" w:hAnsi="Arial" w:cs="Arial"/>
          <w:sz w:val="24"/>
          <w:szCs w:val="24"/>
          <w:lang w:val="en-GB" w:eastAsia="en-GB"/>
        </w:rPr>
        <w:t>Watch House</w:t>
      </w:r>
      <w:r w:rsidRPr="00E86635">
        <w:rPr>
          <w:rFonts w:ascii="Arial" w:eastAsia="Times New Roman" w:hAnsi="Arial" w:cs="Arial"/>
          <w:sz w:val="24"/>
          <w:szCs w:val="24"/>
          <w:lang w:val="en-GB" w:eastAsia="en-GB"/>
        </w:rPr>
        <w:t>, who already make specialty. Likewise, sustainability is emerging as a presence throughout industry, and should not be considered uncommon.</w:t>
      </w:r>
    </w:p>
    <w:p w14:paraId="565151A6" w14:textId="60426550" w:rsidR="001A0C2E" w:rsidRPr="00E86635" w:rsidRDefault="00CB6282" w:rsidP="00E86635">
      <w:pPr>
        <w:spacing w:before="100" w:beforeAutospacing="1" w:after="100" w:afterAutospacing="1" w:line="360" w:lineRule="auto"/>
        <w:jc w:val="both"/>
        <w:rPr>
          <w:rFonts w:ascii="Arial" w:eastAsia="Times New Roman" w:hAnsi="Arial" w:cs="Arial"/>
          <w:sz w:val="24"/>
          <w:szCs w:val="24"/>
          <w:lang w:val="en-GB" w:eastAsia="en-GB"/>
        </w:rPr>
      </w:pPr>
      <w:r w:rsidRPr="00CB6282">
        <w:rPr>
          <w:rFonts w:ascii="Arial" w:eastAsia="Times New Roman" w:hAnsi="Arial" w:cs="Arial"/>
          <w:sz w:val="24"/>
          <w:szCs w:val="24"/>
          <w:lang w:val="en-GB" w:eastAsia="en-GB"/>
        </w:rPr>
        <w:t>However, TEBC is a new venture without an established brand, supplier network or operating history. These capabilities are therefore proposed rather than existing resources, and they cannot yet be treated as established sustained competitive advantages. Their strategic value will depend on whether TEBC can develop, organ</w:t>
      </w:r>
      <w:r>
        <w:rPr>
          <w:rFonts w:ascii="Arial" w:eastAsia="Times New Roman" w:hAnsi="Arial" w:cs="Arial"/>
          <w:sz w:val="24"/>
          <w:szCs w:val="24"/>
          <w:lang w:val="en-GB" w:eastAsia="en-GB"/>
        </w:rPr>
        <w:t>ise and embed them successfully</w:t>
      </w:r>
      <w:r w:rsidR="001A0C2E" w:rsidRPr="00E86635">
        <w:rPr>
          <w:rFonts w:ascii="Arial" w:eastAsia="Times New Roman" w:hAnsi="Arial" w:cs="Arial"/>
          <w:sz w:val="24"/>
          <w:szCs w:val="24"/>
          <w:lang w:val="en-GB" w:eastAsia="en-GB"/>
        </w:rPr>
        <w:t>.</w:t>
      </w:r>
    </w:p>
    <w:p w14:paraId="69992D9F" w14:textId="12132B36" w:rsidR="00572CAA" w:rsidRPr="00E86635" w:rsidRDefault="00AC1E2D" w:rsidP="00E86635">
      <w:pPr>
        <w:spacing w:before="100" w:beforeAutospacing="1" w:after="100" w:afterAutospacing="1" w:line="360" w:lineRule="auto"/>
        <w:jc w:val="both"/>
        <w:rPr>
          <w:rFonts w:ascii="Arial" w:eastAsia="Times New Roman" w:hAnsi="Arial" w:cs="Arial"/>
          <w:sz w:val="24"/>
          <w:szCs w:val="24"/>
          <w:lang w:val="en-GB" w:eastAsia="en-GB"/>
        </w:rPr>
      </w:pPr>
      <w:r w:rsidRPr="00AC1E2D">
        <w:rPr>
          <w:rFonts w:ascii="Arial" w:eastAsia="Times New Roman" w:hAnsi="Arial" w:cs="Arial"/>
          <w:sz w:val="24"/>
          <w:szCs w:val="24"/>
          <w:lang w:val="en-GB" w:eastAsia="en-GB"/>
        </w:rPr>
        <w:t>The main VRIO limitation is therefore organisational readiness. TEBC will need to establish credible ethical suppliers, traceability systems, trained baristas, service standards, sustainability procedures, digital systems and adequate funding before these proposed capabilities can become s</w:t>
      </w:r>
      <w:r>
        <w:rPr>
          <w:rFonts w:ascii="Arial" w:eastAsia="Times New Roman" w:hAnsi="Arial" w:cs="Arial"/>
          <w:sz w:val="24"/>
          <w:szCs w:val="24"/>
          <w:lang w:val="en-GB" w:eastAsia="en-GB"/>
        </w:rPr>
        <w:t>ources of competitive advantage</w:t>
      </w:r>
      <w:r w:rsidR="001A0C2E" w:rsidRPr="00E86635">
        <w:rPr>
          <w:rFonts w:ascii="Arial" w:eastAsia="Times New Roman" w:hAnsi="Arial" w:cs="Arial"/>
          <w:sz w:val="24"/>
          <w:szCs w:val="24"/>
          <w:lang w:val="en-GB" w:eastAsia="en-GB"/>
        </w:rPr>
        <w:t xml:space="preserve">. </w:t>
      </w:r>
    </w:p>
    <w:p w14:paraId="34782818" w14:textId="77777777" w:rsidR="00572CAA" w:rsidRPr="00E86635" w:rsidRDefault="00572CAA" w:rsidP="00E2542F">
      <w:pPr>
        <w:pStyle w:val="Heading2"/>
        <w:rPr>
          <w:rFonts w:eastAsia="Times New Roman"/>
          <w:lang w:val="en-GB" w:eastAsia="en-GB"/>
        </w:rPr>
      </w:pPr>
      <w:bookmarkStart w:id="64" w:name="_Toc240811426"/>
      <w:r w:rsidRPr="00E86635">
        <w:rPr>
          <w:rFonts w:eastAsia="Times New Roman"/>
          <w:lang w:val="en-GB" w:eastAsia="en-GB"/>
        </w:rPr>
        <w:t>7.3 SWOT and Strategic Issues</w:t>
      </w:r>
      <w:bookmarkEnd w:id="64"/>
    </w:p>
    <w:p w14:paraId="4BC7DE10" w14:textId="7302266A" w:rsidR="00183A1B" w:rsidRPr="00E86635" w:rsidRDefault="00572CAA"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The evidence produces a focused SWOT:</w:t>
      </w:r>
    </w:p>
    <w:p w14:paraId="3E574365" w14:textId="17BA57BE" w:rsidR="00183A1B" w:rsidRPr="00E86635" w:rsidRDefault="00183A1B" w:rsidP="00E86635">
      <w:pPr>
        <w:pStyle w:val="Caption"/>
        <w:keepNext/>
        <w:spacing w:line="360" w:lineRule="auto"/>
        <w:jc w:val="both"/>
        <w:rPr>
          <w:rFonts w:ascii="Arial" w:hAnsi="Arial" w:cs="Arial"/>
          <w:sz w:val="24"/>
          <w:szCs w:val="24"/>
        </w:rPr>
      </w:pPr>
      <w:bookmarkStart w:id="65" w:name="_Toc240810939"/>
      <w:r w:rsidRPr="00E86635">
        <w:rPr>
          <w:rFonts w:ascii="Arial" w:hAnsi="Arial" w:cs="Arial"/>
          <w:sz w:val="24"/>
          <w:szCs w:val="24"/>
        </w:rPr>
        <w:t xml:space="preserve">Table </w:t>
      </w:r>
      <w:r w:rsidRPr="00E86635">
        <w:rPr>
          <w:rFonts w:ascii="Arial" w:hAnsi="Arial" w:cs="Arial"/>
          <w:sz w:val="24"/>
          <w:szCs w:val="24"/>
        </w:rPr>
        <w:fldChar w:fldCharType="begin"/>
      </w:r>
      <w:r w:rsidRPr="00E86635">
        <w:rPr>
          <w:rFonts w:ascii="Arial" w:hAnsi="Arial" w:cs="Arial"/>
          <w:sz w:val="24"/>
          <w:szCs w:val="24"/>
        </w:rPr>
        <w:instrText xml:space="preserve"> SEQ Table \* ARABIC </w:instrText>
      </w:r>
      <w:r w:rsidRPr="00E86635">
        <w:rPr>
          <w:rFonts w:ascii="Arial" w:hAnsi="Arial" w:cs="Arial"/>
          <w:sz w:val="24"/>
          <w:szCs w:val="24"/>
        </w:rPr>
        <w:fldChar w:fldCharType="separate"/>
      </w:r>
      <w:r w:rsidR="004E1559">
        <w:rPr>
          <w:rFonts w:ascii="Arial" w:hAnsi="Arial" w:cs="Arial"/>
          <w:noProof/>
          <w:sz w:val="24"/>
          <w:szCs w:val="24"/>
        </w:rPr>
        <w:t>8</w:t>
      </w:r>
      <w:r w:rsidRPr="00E86635">
        <w:rPr>
          <w:rFonts w:ascii="Arial" w:hAnsi="Arial" w:cs="Arial"/>
          <w:sz w:val="24"/>
          <w:szCs w:val="24"/>
        </w:rPr>
        <w:fldChar w:fldCharType="end"/>
      </w:r>
      <w:r w:rsidRPr="00E86635">
        <w:rPr>
          <w:rFonts w:ascii="Arial" w:hAnsi="Arial" w:cs="Arial"/>
          <w:sz w:val="24"/>
          <w:szCs w:val="24"/>
        </w:rPr>
        <w:t>: SWOT Analysis of The Ethical Bean Coffee House</w:t>
      </w:r>
      <w:bookmarkEnd w:id="65"/>
    </w:p>
    <w:tbl>
      <w:tblPr>
        <w:tblStyle w:val="TableGrid"/>
        <w:tblW w:w="0" w:type="auto"/>
        <w:tblLook w:val="04A0" w:firstRow="1" w:lastRow="0" w:firstColumn="1" w:lastColumn="0" w:noHBand="0" w:noVBand="1"/>
      </w:tblPr>
      <w:tblGrid>
        <w:gridCol w:w="4508"/>
        <w:gridCol w:w="4508"/>
      </w:tblGrid>
      <w:tr w:rsidR="00183A1B" w:rsidRPr="00E86635" w14:paraId="17E0737B" w14:textId="77777777" w:rsidTr="00183A1B">
        <w:tc>
          <w:tcPr>
            <w:tcW w:w="4508" w:type="dxa"/>
          </w:tcPr>
          <w:p w14:paraId="174AD846" w14:textId="77777777" w:rsidR="00183A1B" w:rsidRPr="00E2542F" w:rsidRDefault="00183A1B" w:rsidP="00E86635">
            <w:pPr>
              <w:spacing w:before="100" w:beforeAutospacing="1" w:after="100" w:afterAutospacing="1" w:line="360" w:lineRule="auto"/>
              <w:jc w:val="both"/>
              <w:rPr>
                <w:rFonts w:ascii="Arial" w:eastAsia="Times New Roman" w:hAnsi="Arial" w:cs="Arial"/>
                <w:b/>
                <w:sz w:val="24"/>
                <w:szCs w:val="24"/>
                <w:lang w:val="en-GB" w:eastAsia="en-GB"/>
              </w:rPr>
            </w:pPr>
            <w:r w:rsidRPr="00E2542F">
              <w:rPr>
                <w:rFonts w:ascii="Arial" w:eastAsia="Times New Roman" w:hAnsi="Arial" w:cs="Arial"/>
                <w:b/>
                <w:sz w:val="24"/>
                <w:szCs w:val="24"/>
                <w:lang w:val="en-GB" w:eastAsia="en-GB"/>
              </w:rPr>
              <w:t>Strengths</w:t>
            </w:r>
          </w:p>
        </w:tc>
        <w:tc>
          <w:tcPr>
            <w:tcW w:w="4508" w:type="dxa"/>
          </w:tcPr>
          <w:p w14:paraId="2D57AEFA" w14:textId="77777777" w:rsidR="00183A1B" w:rsidRPr="00E2542F" w:rsidRDefault="00183A1B" w:rsidP="00E86635">
            <w:pPr>
              <w:spacing w:before="100" w:beforeAutospacing="1" w:after="100" w:afterAutospacing="1" w:line="360" w:lineRule="auto"/>
              <w:jc w:val="both"/>
              <w:rPr>
                <w:rFonts w:ascii="Arial" w:eastAsia="Times New Roman" w:hAnsi="Arial" w:cs="Arial"/>
                <w:b/>
                <w:sz w:val="24"/>
                <w:szCs w:val="24"/>
                <w:lang w:val="en-GB" w:eastAsia="en-GB"/>
              </w:rPr>
            </w:pPr>
            <w:r w:rsidRPr="00E2542F">
              <w:rPr>
                <w:rFonts w:ascii="Arial" w:eastAsia="Times New Roman" w:hAnsi="Arial" w:cs="Arial"/>
                <w:b/>
                <w:sz w:val="24"/>
                <w:szCs w:val="24"/>
                <w:lang w:val="en-GB" w:eastAsia="en-GB"/>
              </w:rPr>
              <w:t>Weaknesses</w:t>
            </w:r>
          </w:p>
        </w:tc>
      </w:tr>
      <w:tr w:rsidR="00183A1B" w:rsidRPr="00E86635" w14:paraId="53BEB0FE" w14:textId="77777777" w:rsidTr="00183A1B">
        <w:tc>
          <w:tcPr>
            <w:tcW w:w="4508" w:type="dxa"/>
          </w:tcPr>
          <w:p w14:paraId="18BAF42D"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Clear ethical and sustainability orientation</w:t>
            </w:r>
          </w:p>
        </w:tc>
        <w:tc>
          <w:tcPr>
            <w:tcW w:w="4508" w:type="dxa"/>
          </w:tcPr>
          <w:p w14:paraId="5736288E"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New and unproven brand</w:t>
            </w:r>
          </w:p>
        </w:tc>
      </w:tr>
      <w:tr w:rsidR="00183A1B" w:rsidRPr="00E86635" w14:paraId="7B365735" w14:textId="77777777" w:rsidTr="00183A1B">
        <w:tc>
          <w:tcPr>
            <w:tcW w:w="4508" w:type="dxa"/>
          </w:tcPr>
          <w:p w14:paraId="5598DF35"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Potentially distinctive sourcing transparency</w:t>
            </w:r>
          </w:p>
        </w:tc>
        <w:tc>
          <w:tcPr>
            <w:tcW w:w="4508" w:type="dxa"/>
          </w:tcPr>
          <w:p w14:paraId="64B7D369"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Limited economies of scale</w:t>
            </w:r>
          </w:p>
        </w:tc>
      </w:tr>
      <w:tr w:rsidR="00183A1B" w:rsidRPr="00E86635" w14:paraId="33EAF391" w14:textId="77777777" w:rsidTr="00183A1B">
        <w:tc>
          <w:tcPr>
            <w:tcW w:w="4508" w:type="dxa"/>
          </w:tcPr>
          <w:p w14:paraId="6EBC73F4"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Specialty-quality coffee proposition</w:t>
            </w:r>
          </w:p>
        </w:tc>
        <w:tc>
          <w:tcPr>
            <w:tcW w:w="4508" w:type="dxa"/>
          </w:tcPr>
          <w:p w14:paraId="4EB94077"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No established customer loyalty</w:t>
            </w:r>
          </w:p>
        </w:tc>
      </w:tr>
      <w:tr w:rsidR="00183A1B" w:rsidRPr="00E86635" w14:paraId="0E42C31F" w14:textId="77777777" w:rsidTr="00183A1B">
        <w:tc>
          <w:tcPr>
            <w:tcW w:w="4508" w:type="dxa"/>
          </w:tcPr>
          <w:p w14:paraId="578ECF73"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Ability to design customer experience from inception</w:t>
            </w:r>
          </w:p>
        </w:tc>
        <w:tc>
          <w:tcPr>
            <w:tcW w:w="4508" w:type="dxa"/>
          </w:tcPr>
          <w:p w14:paraId="1CB95D73"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Dependence on external suppliers</w:t>
            </w:r>
          </w:p>
        </w:tc>
      </w:tr>
      <w:tr w:rsidR="00183A1B" w:rsidRPr="00E86635" w14:paraId="053A0A46" w14:textId="77777777" w:rsidTr="00183A1B">
        <w:tc>
          <w:tcPr>
            <w:tcW w:w="4508" w:type="dxa"/>
          </w:tcPr>
          <w:p w14:paraId="32443489"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Flexible independent operating model</w:t>
            </w:r>
          </w:p>
        </w:tc>
        <w:tc>
          <w:tcPr>
            <w:tcW w:w="4508" w:type="dxa"/>
          </w:tcPr>
          <w:p w14:paraId="7DA02F0D"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Limited financial and organisational resources</w:t>
            </w:r>
          </w:p>
        </w:tc>
      </w:tr>
      <w:tr w:rsidR="00183A1B" w:rsidRPr="00E86635" w14:paraId="70D816E1" w14:textId="77777777" w:rsidTr="00183A1B">
        <w:tc>
          <w:tcPr>
            <w:tcW w:w="4508" w:type="dxa"/>
          </w:tcPr>
          <w:p w14:paraId="1EA8DF59" w14:textId="77777777" w:rsidR="00183A1B" w:rsidRPr="00E2542F" w:rsidRDefault="00183A1B" w:rsidP="00E86635">
            <w:pPr>
              <w:spacing w:before="100" w:beforeAutospacing="1" w:after="100" w:afterAutospacing="1" w:line="360" w:lineRule="auto"/>
              <w:jc w:val="both"/>
              <w:rPr>
                <w:rFonts w:ascii="Arial" w:eastAsia="Times New Roman" w:hAnsi="Arial" w:cs="Arial"/>
                <w:b/>
                <w:sz w:val="24"/>
                <w:szCs w:val="24"/>
                <w:lang w:val="en-GB" w:eastAsia="en-GB"/>
              </w:rPr>
            </w:pPr>
            <w:r w:rsidRPr="00E2542F">
              <w:rPr>
                <w:rFonts w:ascii="Arial" w:eastAsia="Times New Roman" w:hAnsi="Arial" w:cs="Arial"/>
                <w:b/>
                <w:sz w:val="24"/>
                <w:szCs w:val="24"/>
                <w:lang w:val="en-GB" w:eastAsia="en-GB"/>
              </w:rPr>
              <w:t>Opportunities</w:t>
            </w:r>
          </w:p>
        </w:tc>
        <w:tc>
          <w:tcPr>
            <w:tcW w:w="4508" w:type="dxa"/>
          </w:tcPr>
          <w:p w14:paraId="4F8D0A7C" w14:textId="77777777" w:rsidR="00183A1B" w:rsidRPr="00E2542F" w:rsidRDefault="00183A1B" w:rsidP="00E86635">
            <w:pPr>
              <w:spacing w:before="100" w:beforeAutospacing="1" w:after="100" w:afterAutospacing="1" w:line="360" w:lineRule="auto"/>
              <w:jc w:val="both"/>
              <w:rPr>
                <w:rFonts w:ascii="Arial" w:eastAsia="Times New Roman" w:hAnsi="Arial" w:cs="Arial"/>
                <w:b/>
                <w:sz w:val="24"/>
                <w:szCs w:val="24"/>
                <w:lang w:val="en-GB" w:eastAsia="en-GB"/>
              </w:rPr>
            </w:pPr>
            <w:r w:rsidRPr="00E2542F">
              <w:rPr>
                <w:rFonts w:ascii="Arial" w:eastAsia="Times New Roman" w:hAnsi="Arial" w:cs="Arial"/>
                <w:b/>
                <w:sz w:val="24"/>
                <w:szCs w:val="24"/>
                <w:lang w:val="en-GB" w:eastAsia="en-GB"/>
              </w:rPr>
              <w:t>Threats</w:t>
            </w:r>
          </w:p>
        </w:tc>
      </w:tr>
      <w:tr w:rsidR="00183A1B" w:rsidRPr="00E86635" w14:paraId="6E8EB7FE" w14:textId="77777777" w:rsidTr="00183A1B">
        <w:tc>
          <w:tcPr>
            <w:tcW w:w="4508" w:type="dxa"/>
          </w:tcPr>
          <w:p w14:paraId="2CF29BCB"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Continuing UK coffee-shop market growth</w:t>
            </w:r>
          </w:p>
        </w:tc>
        <w:tc>
          <w:tcPr>
            <w:tcW w:w="4508" w:type="dxa"/>
          </w:tcPr>
          <w:p w14:paraId="724F7D81"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Strong local specialty competitors</w:t>
            </w:r>
          </w:p>
        </w:tc>
      </w:tr>
      <w:tr w:rsidR="00183A1B" w:rsidRPr="00E86635" w14:paraId="48E18D3C" w14:textId="77777777" w:rsidTr="00183A1B">
        <w:tc>
          <w:tcPr>
            <w:tcW w:w="4508" w:type="dxa"/>
          </w:tcPr>
          <w:p w14:paraId="74358E78"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lastRenderedPageBreak/>
              <w:t>Demand for quality, hospitality and experience</w:t>
            </w:r>
          </w:p>
        </w:tc>
        <w:tc>
          <w:tcPr>
            <w:tcW w:w="4508" w:type="dxa"/>
          </w:tcPr>
          <w:p w14:paraId="45A793E5"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High buyer switching power</w:t>
            </w:r>
          </w:p>
        </w:tc>
      </w:tr>
      <w:tr w:rsidR="00183A1B" w:rsidRPr="00E86635" w14:paraId="662F48C7" w14:textId="77777777" w:rsidTr="00183A1B">
        <w:tc>
          <w:tcPr>
            <w:tcW w:w="4508" w:type="dxa"/>
          </w:tcPr>
          <w:p w14:paraId="0FF416DC"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Consumer interest in ethical consumption</w:t>
            </w:r>
          </w:p>
        </w:tc>
        <w:tc>
          <w:tcPr>
            <w:tcW w:w="4508" w:type="dxa"/>
          </w:tcPr>
          <w:p w14:paraId="221DA428"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Strong substitutes, including home coffee</w:t>
            </w:r>
          </w:p>
        </w:tc>
      </w:tr>
      <w:tr w:rsidR="00183A1B" w:rsidRPr="00E86635" w14:paraId="0978C125" w14:textId="77777777" w:rsidTr="00183A1B">
        <w:tc>
          <w:tcPr>
            <w:tcW w:w="4508" w:type="dxa"/>
          </w:tcPr>
          <w:p w14:paraId="3F07E79D"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Growth of independent/specialty operators</w:t>
            </w:r>
          </w:p>
        </w:tc>
        <w:tc>
          <w:tcPr>
            <w:tcW w:w="4508" w:type="dxa"/>
          </w:tcPr>
          <w:p w14:paraId="2D4D4C66"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Inflation and operating-cost pressure</w:t>
            </w:r>
          </w:p>
        </w:tc>
      </w:tr>
      <w:tr w:rsidR="00183A1B" w:rsidRPr="00E86635" w14:paraId="505C443B" w14:textId="77777777" w:rsidTr="00183A1B">
        <w:tc>
          <w:tcPr>
            <w:tcW w:w="4508" w:type="dxa"/>
          </w:tcPr>
          <w:p w14:paraId="789664FB"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Digital ordering and customer engagement</w:t>
            </w:r>
          </w:p>
        </w:tc>
        <w:tc>
          <w:tcPr>
            <w:tcW w:w="4508" w:type="dxa"/>
          </w:tcPr>
          <w:p w14:paraId="3CACE865"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Competitors can imitate visible sustainability features</w:t>
            </w:r>
          </w:p>
        </w:tc>
      </w:tr>
    </w:tbl>
    <w:p w14:paraId="769FC5A3" w14:textId="41E70F95" w:rsidR="00796EBD" w:rsidRPr="00E86635" w:rsidRDefault="00F634F3" w:rsidP="00E86635">
      <w:pPr>
        <w:spacing w:before="100" w:beforeAutospacing="1" w:after="100" w:afterAutospacing="1" w:line="360" w:lineRule="auto"/>
        <w:jc w:val="both"/>
        <w:rPr>
          <w:rFonts w:ascii="Arial" w:eastAsia="Times New Roman" w:hAnsi="Arial" w:cs="Arial"/>
          <w:sz w:val="24"/>
          <w:szCs w:val="24"/>
          <w:lang w:val="en-GB" w:eastAsia="en-GB"/>
        </w:rPr>
      </w:pPr>
      <w:r w:rsidRPr="00F634F3">
        <w:rPr>
          <w:rFonts w:ascii="Arial" w:eastAsia="Times New Roman" w:hAnsi="Arial" w:cs="Arial"/>
          <w:sz w:val="24"/>
          <w:szCs w:val="24"/>
          <w:lang w:val="en-GB" w:eastAsia="en-GB"/>
        </w:rPr>
        <w:t>The SWOT therefore highlights the tension between WO and ST strategic issues</w:t>
      </w:r>
      <w:r w:rsidR="00796EBD" w:rsidRPr="00E86635">
        <w:rPr>
          <w:rFonts w:ascii="Arial" w:eastAsia="Times New Roman" w:hAnsi="Arial" w:cs="Arial"/>
          <w:sz w:val="24"/>
          <w:szCs w:val="24"/>
          <w:lang w:val="en-GB" w:eastAsia="en-GB"/>
        </w:rPr>
        <w:t>. The idea has something going for it based on the growing awareness of consumers about ethical and experiential consumption, but it is not as well known or as large as its competitors. Meanwhile, its moral claim can only ease the competition if customers feel it is believable and genuine, not marketing.</w:t>
      </w:r>
    </w:p>
    <w:p w14:paraId="0D477EB0" w14:textId="6AFE0DAA" w:rsidR="00572CAA" w:rsidRPr="00E86635" w:rsidRDefault="00796EBD"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Four strategic questions, therefore arise. The first ever thing the venture has to do, is to be more than a typical coffee specialty. Second, just as with the first, ethical differentiation needs to be transformed into something tangible for the customer. Thirdly, price needs to be kept at a level that doesn't exclude customers even in the face of increased ethical and sustainability expenses. Fourthly, there should be a focus on capability building rather than aggressive expansion</w:t>
      </w:r>
      <w:r w:rsidR="00572CAA" w:rsidRPr="00E86635">
        <w:rPr>
          <w:rFonts w:ascii="Arial" w:eastAsia="Times New Roman" w:hAnsi="Arial" w:cs="Arial"/>
          <w:sz w:val="24"/>
          <w:szCs w:val="24"/>
          <w:lang w:val="en-GB" w:eastAsia="en-GB"/>
        </w:rPr>
        <w:t>.</w:t>
      </w:r>
    </w:p>
    <w:p w14:paraId="0AD3D49F" w14:textId="77777777" w:rsidR="00572CAA" w:rsidRPr="00E86635" w:rsidRDefault="00572CAA" w:rsidP="00E2542F">
      <w:pPr>
        <w:pStyle w:val="Heading2"/>
        <w:rPr>
          <w:rFonts w:eastAsia="Times New Roman"/>
          <w:lang w:val="en-GB" w:eastAsia="en-GB"/>
        </w:rPr>
      </w:pPr>
      <w:bookmarkStart w:id="66" w:name="_Toc240811427"/>
      <w:r w:rsidRPr="00E86635">
        <w:rPr>
          <w:rFonts w:eastAsia="Times New Roman"/>
          <w:lang w:val="en-GB" w:eastAsia="en-GB"/>
        </w:rPr>
        <w:t>7.4 Strategic Alternatives and Choice</w:t>
      </w:r>
      <w:bookmarkEnd w:id="66"/>
    </w:p>
    <w:p w14:paraId="7B909174" w14:textId="77777777" w:rsidR="00572CAA" w:rsidRPr="00E86635" w:rsidRDefault="00572CAA"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Three realistic alternatives are considered.</w:t>
      </w:r>
    </w:p>
    <w:p w14:paraId="74290A18" w14:textId="77777777" w:rsidR="00572CAA" w:rsidRPr="00E86635" w:rsidRDefault="00572CAA" w:rsidP="00E2542F">
      <w:pPr>
        <w:pStyle w:val="Heading3"/>
        <w:rPr>
          <w:rFonts w:eastAsia="Times New Roman"/>
          <w:lang w:val="en-GB" w:eastAsia="en-GB"/>
        </w:rPr>
      </w:pPr>
      <w:bookmarkStart w:id="67" w:name="_Toc240811428"/>
      <w:r w:rsidRPr="00E86635">
        <w:rPr>
          <w:rFonts w:eastAsia="Times New Roman"/>
          <w:lang w:val="en-GB" w:eastAsia="en-GB"/>
        </w:rPr>
        <w:t>Alternative 1: Premium Specialty Differentiation</w:t>
      </w:r>
      <w:bookmarkEnd w:id="67"/>
    </w:p>
    <w:p w14:paraId="5A1B5ED3" w14:textId="77777777" w:rsidR="004E25D5" w:rsidRPr="00E86635" w:rsidRDefault="004E25D5"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The first would relegate The Ethical Bean Coffee House to higher quality specialty coffee shop, one that would be able to market exceptional coffee, unique brewing techniques, food and high-end ambience. This would appeal to specialty-coffee drinkers and high-income consumers who want high-quality coffee experiences at their cafes.</w:t>
      </w:r>
    </w:p>
    <w:p w14:paraId="5DCF7C91" w14:textId="0FD4CD8B" w:rsidR="00572CAA" w:rsidRPr="00E86635" w:rsidRDefault="004E25D5"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 xml:space="preserve">It's about clarity of strategy and being able to charge more. But it is limited in terms of suitability due to the competitive landscape with strong specialty operators. </w:t>
      </w:r>
      <w:r w:rsidRPr="00E86635">
        <w:rPr>
          <w:rFonts w:ascii="Arial" w:eastAsia="Times New Roman" w:hAnsi="Arial" w:cs="Arial"/>
          <w:sz w:val="24"/>
          <w:szCs w:val="24"/>
          <w:lang w:val="en-GB" w:eastAsia="en-GB"/>
        </w:rPr>
        <w:lastRenderedPageBreak/>
        <w:t>WatchHouse and Monmouth have established reputations and customer recognition. The strategy would thus need to face significant credibility and brand hurdles from the new enterprise. It may also be at odds with price sensitivity found in Chapter 5. Agricultural and Livestock Science and Technology: Agricultural and Livestock Science and Technology: World Coffee Portal (2025) and World Coffee Portal (2026)</w:t>
      </w:r>
      <w:r w:rsidR="00572CAA" w:rsidRPr="00E86635">
        <w:rPr>
          <w:rFonts w:ascii="Arial" w:eastAsia="Times New Roman" w:hAnsi="Arial" w:cs="Arial"/>
          <w:sz w:val="24"/>
          <w:szCs w:val="24"/>
          <w:lang w:val="en-GB" w:eastAsia="en-GB"/>
        </w:rPr>
        <w:t>.</w:t>
      </w:r>
    </w:p>
    <w:p w14:paraId="7BEAA3E2" w14:textId="6F3CC0ED" w:rsidR="00572CAA" w:rsidRPr="00E86635" w:rsidRDefault="00572CAA" w:rsidP="00E2542F">
      <w:pPr>
        <w:pStyle w:val="Heading3"/>
        <w:rPr>
          <w:rFonts w:eastAsia="Times New Roman"/>
          <w:lang w:val="en-GB" w:eastAsia="en-GB"/>
        </w:rPr>
      </w:pPr>
      <w:bookmarkStart w:id="68" w:name="_Toc240811429"/>
      <w:r w:rsidRPr="00E86635">
        <w:rPr>
          <w:rFonts w:eastAsia="Times New Roman"/>
          <w:lang w:val="en-GB" w:eastAsia="en-GB"/>
        </w:rPr>
        <w:t xml:space="preserve">Alternative 2: </w:t>
      </w:r>
      <w:r w:rsidR="00D935CC" w:rsidRPr="00D935CC">
        <w:rPr>
          <w:rFonts w:eastAsia="Times New Roman"/>
          <w:lang w:val="en-GB" w:eastAsia="en-GB"/>
        </w:rPr>
        <w:t>Ethical Differentiation</w:t>
      </w:r>
      <w:bookmarkEnd w:id="68"/>
    </w:p>
    <w:p w14:paraId="369988DE" w14:textId="539E9487" w:rsidR="00310DA3" w:rsidRPr="00E86635" w:rsidRDefault="00BD377A" w:rsidP="00E86635">
      <w:pPr>
        <w:spacing w:before="100" w:beforeAutospacing="1" w:after="100" w:afterAutospacing="1" w:line="360" w:lineRule="auto"/>
        <w:jc w:val="both"/>
        <w:rPr>
          <w:rFonts w:ascii="Arial" w:eastAsia="Times New Roman" w:hAnsi="Arial" w:cs="Arial"/>
          <w:sz w:val="24"/>
          <w:szCs w:val="24"/>
          <w:lang w:val="en-GB" w:eastAsia="en-GB"/>
        </w:rPr>
      </w:pPr>
      <w:r w:rsidRPr="00BD377A">
        <w:rPr>
          <w:rFonts w:ascii="Arial" w:eastAsia="Times New Roman" w:hAnsi="Arial" w:cs="Arial"/>
          <w:sz w:val="24"/>
          <w:szCs w:val="24"/>
          <w:lang w:val="en-GB" w:eastAsia="en-GB"/>
        </w:rPr>
        <w:t>This alternative would differentiate TEBC primarily through credible ethical sourcing, traceability and sustainability, supported by specialty coffee quality and an authentic café experience. The emphasis is therefore on what the business offers as its basis of differentiation rather than on a par</w:t>
      </w:r>
      <w:r>
        <w:rPr>
          <w:rFonts w:ascii="Arial" w:eastAsia="Times New Roman" w:hAnsi="Arial" w:cs="Arial"/>
          <w:sz w:val="24"/>
          <w:szCs w:val="24"/>
          <w:lang w:val="en-GB" w:eastAsia="en-GB"/>
        </w:rPr>
        <w:t>ticular implementation sequence</w:t>
      </w:r>
      <w:r w:rsidR="00310DA3" w:rsidRPr="00E86635">
        <w:rPr>
          <w:rFonts w:ascii="Arial" w:eastAsia="Times New Roman" w:hAnsi="Arial" w:cs="Arial"/>
          <w:sz w:val="24"/>
          <w:szCs w:val="24"/>
          <w:lang w:val="en-GB" w:eastAsia="en-GB"/>
        </w:rPr>
        <w:t>.</w:t>
      </w:r>
    </w:p>
    <w:p w14:paraId="3B247016" w14:textId="77777777" w:rsidR="00310DA3" w:rsidRPr="00E86635" w:rsidRDefault="00310DA3"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This is preferable as it takes direct action to address the positioning gap identified in Chapter 6. It also leverages the capability the venture says it would provide without competing on any particular skills. The ethical proposition may encompass supplier disclosure, responsible sourcing, decreased packaging waste, incentives to use reusable cups, and communicating the social and environmental impacts of purchasing.</w:t>
      </w:r>
    </w:p>
    <w:p w14:paraId="20627740" w14:textId="0A832E79" w:rsidR="00572CAA" w:rsidRPr="00E86635" w:rsidRDefault="00310DA3"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Its biggest drawback is that ethics are not enough if customers believe that the offer is too costly. The strategy needs to, therefore, incorporate ethics with quality, service and value. This aligns with more recent evidence from the industry that consumers are still willing to buy products from the coffee shop, but they are concerned about what they are getting for their money</w:t>
      </w:r>
      <w:r w:rsidR="00572CAA" w:rsidRPr="00E86635">
        <w:rPr>
          <w:rFonts w:ascii="Arial" w:eastAsia="Times New Roman" w:hAnsi="Arial" w:cs="Arial"/>
          <w:sz w:val="24"/>
          <w:szCs w:val="24"/>
          <w:lang w:val="en-GB" w:eastAsia="en-GB"/>
        </w:rPr>
        <w:t>.</w:t>
      </w:r>
    </w:p>
    <w:p w14:paraId="7C859BD4" w14:textId="77777777" w:rsidR="00572CAA" w:rsidRPr="00E86635" w:rsidRDefault="00572CAA" w:rsidP="00E2542F">
      <w:pPr>
        <w:pStyle w:val="Heading3"/>
        <w:rPr>
          <w:rFonts w:eastAsia="Times New Roman"/>
          <w:lang w:val="en-GB" w:eastAsia="en-GB"/>
        </w:rPr>
      </w:pPr>
      <w:bookmarkStart w:id="69" w:name="_Toc240811430"/>
      <w:r w:rsidRPr="00E86635">
        <w:rPr>
          <w:rFonts w:eastAsia="Times New Roman"/>
          <w:lang w:val="en-GB" w:eastAsia="en-GB"/>
        </w:rPr>
        <w:t>Alternative 3: Focused Entry Followed by Evidence-Led Expansion</w:t>
      </w:r>
      <w:bookmarkEnd w:id="69"/>
    </w:p>
    <w:p w14:paraId="1850BE02" w14:textId="63B47665" w:rsidR="00376A06" w:rsidRPr="00E86635" w:rsidRDefault="0072483D" w:rsidP="00E86635">
      <w:pPr>
        <w:spacing w:before="100" w:beforeAutospacing="1" w:after="100" w:afterAutospacing="1" w:line="360" w:lineRule="auto"/>
        <w:jc w:val="both"/>
        <w:rPr>
          <w:rFonts w:ascii="Arial" w:eastAsia="Times New Roman" w:hAnsi="Arial" w:cs="Arial"/>
          <w:sz w:val="24"/>
          <w:szCs w:val="24"/>
          <w:lang w:val="en-GB" w:eastAsia="en-GB"/>
        </w:rPr>
      </w:pPr>
      <w:r w:rsidRPr="0072483D">
        <w:rPr>
          <w:rFonts w:ascii="Arial" w:eastAsia="Times New Roman" w:hAnsi="Arial" w:cs="Arial"/>
          <w:sz w:val="24"/>
          <w:szCs w:val="24"/>
          <w:lang w:val="en-GB" w:eastAsia="en-GB"/>
        </w:rPr>
        <w:t>The third alternative adopts the ethical differentiation proposition but differs in its implementation and scope. TEBC would initially focus on a clearly defined customer segment and one Covent Garden location, using evidence on repeat visits, average spend, customer satisfaction and willingness to pay to determine wheth</w:t>
      </w:r>
      <w:r>
        <w:rPr>
          <w:rFonts w:ascii="Arial" w:eastAsia="Times New Roman" w:hAnsi="Arial" w:cs="Arial"/>
          <w:sz w:val="24"/>
          <w:szCs w:val="24"/>
          <w:lang w:val="en-GB" w:eastAsia="en-GB"/>
        </w:rPr>
        <w:t>er and when to extend the model</w:t>
      </w:r>
      <w:r w:rsidR="00376A06" w:rsidRPr="00E86635">
        <w:rPr>
          <w:rFonts w:ascii="Arial" w:eastAsia="Times New Roman" w:hAnsi="Arial" w:cs="Arial"/>
          <w:sz w:val="24"/>
          <w:szCs w:val="24"/>
          <w:lang w:val="en-GB" w:eastAsia="en-GB"/>
        </w:rPr>
        <w:t>.</w:t>
      </w:r>
    </w:p>
    <w:p w14:paraId="294EE3BC" w14:textId="4CBFF5B1" w:rsidR="00572CAA" w:rsidRPr="00E86635" w:rsidRDefault="0010663A" w:rsidP="00E86635">
      <w:pPr>
        <w:spacing w:before="100" w:beforeAutospacing="1" w:after="100" w:afterAutospacing="1" w:line="360" w:lineRule="auto"/>
        <w:jc w:val="both"/>
        <w:rPr>
          <w:rFonts w:ascii="Arial" w:eastAsia="Times New Roman" w:hAnsi="Arial" w:cs="Arial"/>
          <w:sz w:val="24"/>
          <w:szCs w:val="24"/>
          <w:lang w:val="en-GB" w:eastAsia="en-GB"/>
        </w:rPr>
      </w:pPr>
      <w:r w:rsidRPr="0010663A">
        <w:rPr>
          <w:rFonts w:ascii="Arial" w:eastAsia="Times New Roman" w:hAnsi="Arial" w:cs="Arial"/>
          <w:sz w:val="24"/>
          <w:szCs w:val="24"/>
          <w:lang w:val="en-GB" w:eastAsia="en-GB"/>
        </w:rPr>
        <w:t xml:space="preserve">This is preferred because it reduces uncertainty and limits resource exposure during market entry. The business can establish customer relationships, test its ethical </w:t>
      </w:r>
      <w:r w:rsidRPr="0010663A">
        <w:rPr>
          <w:rFonts w:ascii="Arial" w:eastAsia="Times New Roman" w:hAnsi="Arial" w:cs="Arial"/>
          <w:sz w:val="24"/>
          <w:szCs w:val="24"/>
          <w:lang w:val="en-GB" w:eastAsia="en-GB"/>
        </w:rPr>
        <w:lastRenderedPageBreak/>
        <w:t>proposition and build operational capability befor</w:t>
      </w:r>
      <w:r>
        <w:rPr>
          <w:rFonts w:ascii="Arial" w:eastAsia="Times New Roman" w:hAnsi="Arial" w:cs="Arial"/>
          <w:sz w:val="24"/>
          <w:szCs w:val="24"/>
          <w:lang w:val="en-GB" w:eastAsia="en-GB"/>
        </w:rPr>
        <w:t>e committing to wider expansion</w:t>
      </w:r>
      <w:r w:rsidR="00376A06" w:rsidRPr="00E86635">
        <w:rPr>
          <w:rFonts w:ascii="Arial" w:eastAsia="Times New Roman" w:hAnsi="Arial" w:cs="Arial"/>
          <w:sz w:val="24"/>
          <w:szCs w:val="24"/>
          <w:lang w:val="en-GB" w:eastAsia="en-GB"/>
        </w:rPr>
        <w:t>.  (World Coffee Portal, 2026)</w:t>
      </w:r>
      <w:r w:rsidR="00572CAA" w:rsidRPr="00E86635">
        <w:rPr>
          <w:rFonts w:ascii="Arial" w:eastAsia="Times New Roman" w:hAnsi="Arial" w:cs="Arial"/>
          <w:sz w:val="24"/>
          <w:szCs w:val="24"/>
          <w:lang w:val="en-GB" w:eastAsia="en-GB"/>
        </w:rPr>
        <w:t>.</w:t>
      </w:r>
    </w:p>
    <w:p w14:paraId="49BBC5D0" w14:textId="67E1C1F1" w:rsidR="004774F6" w:rsidRPr="00E2542F" w:rsidRDefault="00572CAA" w:rsidP="00E86635">
      <w:pPr>
        <w:spacing w:before="100" w:beforeAutospacing="1" w:after="100" w:afterAutospacing="1" w:line="360" w:lineRule="auto"/>
        <w:jc w:val="both"/>
        <w:rPr>
          <w:rFonts w:ascii="Arial" w:eastAsia="Times New Roman" w:hAnsi="Arial" w:cs="Arial"/>
          <w:b/>
          <w:sz w:val="24"/>
          <w:szCs w:val="24"/>
          <w:lang w:val="en-GB" w:eastAsia="en-GB"/>
        </w:rPr>
      </w:pPr>
      <w:r w:rsidRPr="00E2542F">
        <w:rPr>
          <w:rFonts w:ascii="Arial" w:eastAsia="Times New Roman" w:hAnsi="Arial" w:cs="Arial"/>
          <w:b/>
          <w:sz w:val="24"/>
          <w:szCs w:val="24"/>
          <w:lang w:val="en-GB" w:eastAsia="en-GB"/>
        </w:rPr>
        <w:t>The alternatives can therefore be assessed as follows:</w:t>
      </w:r>
    </w:p>
    <w:p w14:paraId="773C9D34" w14:textId="651C6866" w:rsidR="004774F6" w:rsidRPr="00E86635" w:rsidRDefault="004774F6" w:rsidP="00E86635">
      <w:pPr>
        <w:pStyle w:val="Caption"/>
        <w:keepNext/>
        <w:spacing w:line="360" w:lineRule="auto"/>
        <w:jc w:val="both"/>
        <w:rPr>
          <w:rFonts w:ascii="Arial" w:hAnsi="Arial" w:cs="Arial"/>
          <w:sz w:val="24"/>
          <w:szCs w:val="24"/>
        </w:rPr>
      </w:pPr>
      <w:bookmarkStart w:id="70" w:name="_Toc240810940"/>
      <w:r w:rsidRPr="00E86635">
        <w:rPr>
          <w:rFonts w:ascii="Arial" w:hAnsi="Arial" w:cs="Arial"/>
          <w:sz w:val="24"/>
          <w:szCs w:val="24"/>
        </w:rPr>
        <w:t xml:space="preserve">Table </w:t>
      </w:r>
      <w:r w:rsidRPr="00E86635">
        <w:rPr>
          <w:rFonts w:ascii="Arial" w:hAnsi="Arial" w:cs="Arial"/>
          <w:sz w:val="24"/>
          <w:szCs w:val="24"/>
        </w:rPr>
        <w:fldChar w:fldCharType="begin"/>
      </w:r>
      <w:r w:rsidRPr="00E86635">
        <w:rPr>
          <w:rFonts w:ascii="Arial" w:hAnsi="Arial" w:cs="Arial"/>
          <w:sz w:val="24"/>
          <w:szCs w:val="24"/>
        </w:rPr>
        <w:instrText xml:space="preserve"> SEQ Table \* ARABIC </w:instrText>
      </w:r>
      <w:r w:rsidRPr="00E86635">
        <w:rPr>
          <w:rFonts w:ascii="Arial" w:hAnsi="Arial" w:cs="Arial"/>
          <w:sz w:val="24"/>
          <w:szCs w:val="24"/>
        </w:rPr>
        <w:fldChar w:fldCharType="separate"/>
      </w:r>
      <w:r w:rsidR="004E1559">
        <w:rPr>
          <w:rFonts w:ascii="Arial" w:hAnsi="Arial" w:cs="Arial"/>
          <w:noProof/>
          <w:sz w:val="24"/>
          <w:szCs w:val="24"/>
        </w:rPr>
        <w:t>9</w:t>
      </w:r>
      <w:r w:rsidRPr="00E86635">
        <w:rPr>
          <w:rFonts w:ascii="Arial" w:hAnsi="Arial" w:cs="Arial"/>
          <w:sz w:val="24"/>
          <w:szCs w:val="24"/>
        </w:rPr>
        <w:fldChar w:fldCharType="end"/>
      </w:r>
      <w:r w:rsidRPr="00E86635">
        <w:rPr>
          <w:rFonts w:ascii="Arial" w:hAnsi="Arial" w:cs="Arial"/>
          <w:sz w:val="24"/>
          <w:szCs w:val="24"/>
        </w:rPr>
        <w:t>: Evaluation of Strategic Alternatives</w:t>
      </w:r>
      <w:bookmarkEnd w:id="70"/>
    </w:p>
    <w:tbl>
      <w:tblPr>
        <w:tblStyle w:val="TableGrid"/>
        <w:tblW w:w="0" w:type="auto"/>
        <w:tblLook w:val="04A0" w:firstRow="1" w:lastRow="0" w:firstColumn="1" w:lastColumn="0" w:noHBand="0" w:noVBand="1"/>
      </w:tblPr>
      <w:tblGrid>
        <w:gridCol w:w="2254"/>
        <w:gridCol w:w="2254"/>
        <w:gridCol w:w="2254"/>
        <w:gridCol w:w="2254"/>
      </w:tblGrid>
      <w:tr w:rsidR="0024004B" w:rsidRPr="0024004B" w14:paraId="48B31CA3" w14:textId="77777777" w:rsidTr="0024004B">
        <w:tc>
          <w:tcPr>
            <w:tcW w:w="2254" w:type="dxa"/>
          </w:tcPr>
          <w:p w14:paraId="3D999309" w14:textId="77777777" w:rsidR="0024004B" w:rsidRPr="0024004B" w:rsidRDefault="0024004B" w:rsidP="002F77C3">
            <w:pPr>
              <w:spacing w:before="100" w:beforeAutospacing="1" w:after="100" w:afterAutospacing="1" w:line="360" w:lineRule="auto"/>
              <w:jc w:val="both"/>
              <w:rPr>
                <w:rFonts w:ascii="Arial" w:eastAsia="Times New Roman" w:hAnsi="Arial" w:cs="Arial"/>
                <w:b/>
                <w:sz w:val="24"/>
                <w:szCs w:val="24"/>
                <w:lang w:val="en-GB" w:eastAsia="en-GB"/>
              </w:rPr>
            </w:pPr>
            <w:r w:rsidRPr="0024004B">
              <w:rPr>
                <w:rFonts w:ascii="Arial" w:eastAsia="Times New Roman" w:hAnsi="Arial" w:cs="Arial"/>
                <w:b/>
                <w:sz w:val="24"/>
                <w:szCs w:val="24"/>
                <w:lang w:val="en-GB" w:eastAsia="en-GB"/>
              </w:rPr>
              <w:t>Criterion</w:t>
            </w:r>
          </w:p>
        </w:tc>
        <w:tc>
          <w:tcPr>
            <w:tcW w:w="2254" w:type="dxa"/>
          </w:tcPr>
          <w:p w14:paraId="47AAA559" w14:textId="77777777" w:rsidR="0024004B" w:rsidRPr="0024004B" w:rsidRDefault="0024004B" w:rsidP="002F77C3">
            <w:pPr>
              <w:spacing w:before="100" w:beforeAutospacing="1" w:after="100" w:afterAutospacing="1" w:line="360" w:lineRule="auto"/>
              <w:jc w:val="both"/>
              <w:rPr>
                <w:rFonts w:ascii="Arial" w:eastAsia="Times New Roman" w:hAnsi="Arial" w:cs="Arial"/>
                <w:b/>
                <w:sz w:val="24"/>
                <w:szCs w:val="24"/>
                <w:lang w:val="en-GB" w:eastAsia="en-GB"/>
              </w:rPr>
            </w:pPr>
            <w:r w:rsidRPr="0024004B">
              <w:rPr>
                <w:rFonts w:ascii="Arial" w:eastAsia="Times New Roman" w:hAnsi="Arial" w:cs="Arial"/>
                <w:b/>
                <w:sz w:val="24"/>
                <w:szCs w:val="24"/>
                <w:lang w:val="en-GB" w:eastAsia="en-GB"/>
              </w:rPr>
              <w:t>Premium specialty</w:t>
            </w:r>
          </w:p>
        </w:tc>
        <w:tc>
          <w:tcPr>
            <w:tcW w:w="2254" w:type="dxa"/>
          </w:tcPr>
          <w:p w14:paraId="78962271" w14:textId="77777777" w:rsidR="0024004B" w:rsidRPr="0024004B" w:rsidRDefault="0024004B" w:rsidP="002F77C3">
            <w:pPr>
              <w:spacing w:before="100" w:beforeAutospacing="1" w:after="100" w:afterAutospacing="1" w:line="360" w:lineRule="auto"/>
              <w:jc w:val="both"/>
              <w:rPr>
                <w:rFonts w:ascii="Arial" w:eastAsia="Times New Roman" w:hAnsi="Arial" w:cs="Arial"/>
                <w:b/>
                <w:sz w:val="24"/>
                <w:szCs w:val="24"/>
                <w:lang w:val="en-GB" w:eastAsia="en-GB"/>
              </w:rPr>
            </w:pPr>
            <w:r w:rsidRPr="0024004B">
              <w:rPr>
                <w:rFonts w:ascii="Arial" w:eastAsia="Times New Roman" w:hAnsi="Arial" w:cs="Arial"/>
                <w:b/>
                <w:sz w:val="24"/>
                <w:szCs w:val="24"/>
                <w:lang w:val="en-GB" w:eastAsia="en-GB"/>
              </w:rPr>
              <w:t>Ethical differentiation</w:t>
            </w:r>
          </w:p>
        </w:tc>
        <w:tc>
          <w:tcPr>
            <w:tcW w:w="2254" w:type="dxa"/>
          </w:tcPr>
          <w:p w14:paraId="32B44475" w14:textId="77777777" w:rsidR="0024004B" w:rsidRPr="0024004B" w:rsidRDefault="0024004B" w:rsidP="002F77C3">
            <w:pPr>
              <w:spacing w:before="100" w:beforeAutospacing="1" w:after="100" w:afterAutospacing="1" w:line="360" w:lineRule="auto"/>
              <w:jc w:val="both"/>
              <w:rPr>
                <w:rFonts w:ascii="Arial" w:eastAsia="Times New Roman" w:hAnsi="Arial" w:cs="Arial"/>
                <w:b/>
                <w:sz w:val="24"/>
                <w:szCs w:val="24"/>
                <w:lang w:val="en-GB" w:eastAsia="en-GB"/>
              </w:rPr>
            </w:pPr>
            <w:r w:rsidRPr="0024004B">
              <w:rPr>
                <w:rFonts w:ascii="Arial" w:eastAsia="Times New Roman" w:hAnsi="Arial" w:cs="Arial"/>
                <w:b/>
                <w:sz w:val="24"/>
                <w:szCs w:val="24"/>
                <w:lang w:val="en-GB" w:eastAsia="en-GB"/>
              </w:rPr>
              <w:t>Focused staged differentiation</w:t>
            </w:r>
          </w:p>
        </w:tc>
      </w:tr>
      <w:tr w:rsidR="0024004B" w:rsidRPr="0024004B" w14:paraId="78EE389C" w14:textId="77777777" w:rsidTr="0024004B">
        <w:tc>
          <w:tcPr>
            <w:tcW w:w="2254" w:type="dxa"/>
          </w:tcPr>
          <w:p w14:paraId="1A5E74C8" w14:textId="77777777" w:rsidR="0024004B" w:rsidRPr="0024004B" w:rsidRDefault="0024004B" w:rsidP="002F77C3">
            <w:pPr>
              <w:spacing w:before="100" w:beforeAutospacing="1" w:after="100" w:afterAutospacing="1" w:line="360" w:lineRule="auto"/>
              <w:jc w:val="both"/>
              <w:rPr>
                <w:rFonts w:ascii="Arial" w:eastAsia="Times New Roman" w:hAnsi="Arial" w:cs="Arial"/>
                <w:sz w:val="24"/>
                <w:szCs w:val="24"/>
                <w:lang w:val="en-GB" w:eastAsia="en-GB"/>
              </w:rPr>
            </w:pPr>
            <w:r w:rsidRPr="0024004B">
              <w:rPr>
                <w:rFonts w:ascii="Arial" w:eastAsia="Times New Roman" w:hAnsi="Arial" w:cs="Arial"/>
                <w:sz w:val="24"/>
                <w:szCs w:val="24"/>
                <w:lang w:val="en-GB" w:eastAsia="en-GB"/>
              </w:rPr>
              <w:t>Suitability</w:t>
            </w:r>
          </w:p>
        </w:tc>
        <w:tc>
          <w:tcPr>
            <w:tcW w:w="2254" w:type="dxa"/>
          </w:tcPr>
          <w:p w14:paraId="34B2CEC9" w14:textId="77777777" w:rsidR="0024004B" w:rsidRPr="0024004B" w:rsidRDefault="0024004B" w:rsidP="002F77C3">
            <w:pPr>
              <w:spacing w:before="100" w:beforeAutospacing="1" w:after="100" w:afterAutospacing="1" w:line="360" w:lineRule="auto"/>
              <w:jc w:val="both"/>
              <w:rPr>
                <w:rFonts w:ascii="Arial" w:eastAsia="Times New Roman" w:hAnsi="Arial" w:cs="Arial"/>
                <w:sz w:val="24"/>
                <w:szCs w:val="24"/>
                <w:lang w:val="en-GB" w:eastAsia="en-GB"/>
              </w:rPr>
            </w:pPr>
            <w:r w:rsidRPr="0024004B">
              <w:rPr>
                <w:rFonts w:ascii="Arial" w:eastAsia="Times New Roman" w:hAnsi="Arial" w:cs="Arial"/>
                <w:sz w:val="24"/>
                <w:szCs w:val="24"/>
                <w:lang w:val="en-GB" w:eastAsia="en-GB"/>
              </w:rPr>
              <w:t>Moderate</w:t>
            </w:r>
          </w:p>
        </w:tc>
        <w:tc>
          <w:tcPr>
            <w:tcW w:w="2254" w:type="dxa"/>
          </w:tcPr>
          <w:p w14:paraId="4AB3BC5A" w14:textId="77777777" w:rsidR="0024004B" w:rsidRPr="0024004B" w:rsidRDefault="0024004B" w:rsidP="002F77C3">
            <w:pPr>
              <w:spacing w:before="100" w:beforeAutospacing="1" w:after="100" w:afterAutospacing="1" w:line="360" w:lineRule="auto"/>
              <w:jc w:val="both"/>
              <w:rPr>
                <w:rFonts w:ascii="Arial" w:eastAsia="Times New Roman" w:hAnsi="Arial" w:cs="Arial"/>
                <w:sz w:val="24"/>
                <w:szCs w:val="24"/>
                <w:lang w:val="en-GB" w:eastAsia="en-GB"/>
              </w:rPr>
            </w:pPr>
            <w:r w:rsidRPr="0024004B">
              <w:rPr>
                <w:rFonts w:ascii="Arial" w:eastAsia="Times New Roman" w:hAnsi="Arial" w:cs="Arial"/>
                <w:sz w:val="24"/>
                <w:szCs w:val="24"/>
                <w:lang w:val="en-GB" w:eastAsia="en-GB"/>
              </w:rPr>
              <w:t>High</w:t>
            </w:r>
          </w:p>
        </w:tc>
        <w:tc>
          <w:tcPr>
            <w:tcW w:w="2254" w:type="dxa"/>
          </w:tcPr>
          <w:p w14:paraId="6C4D9F89" w14:textId="77777777" w:rsidR="0024004B" w:rsidRPr="0024004B" w:rsidRDefault="0024004B" w:rsidP="002F77C3">
            <w:pPr>
              <w:spacing w:before="100" w:beforeAutospacing="1" w:after="100" w:afterAutospacing="1" w:line="360" w:lineRule="auto"/>
              <w:jc w:val="both"/>
              <w:rPr>
                <w:rFonts w:ascii="Arial" w:eastAsia="Times New Roman" w:hAnsi="Arial" w:cs="Arial"/>
                <w:sz w:val="24"/>
                <w:szCs w:val="24"/>
                <w:lang w:val="en-GB" w:eastAsia="en-GB"/>
              </w:rPr>
            </w:pPr>
            <w:r w:rsidRPr="0024004B">
              <w:rPr>
                <w:rFonts w:ascii="Arial" w:eastAsia="Times New Roman" w:hAnsi="Arial" w:cs="Arial"/>
                <w:sz w:val="24"/>
                <w:szCs w:val="24"/>
                <w:lang w:val="en-GB" w:eastAsia="en-GB"/>
              </w:rPr>
              <w:t>High</w:t>
            </w:r>
          </w:p>
        </w:tc>
      </w:tr>
      <w:tr w:rsidR="0024004B" w:rsidRPr="0024004B" w14:paraId="45F9F021" w14:textId="77777777" w:rsidTr="0024004B">
        <w:tc>
          <w:tcPr>
            <w:tcW w:w="2254" w:type="dxa"/>
          </w:tcPr>
          <w:p w14:paraId="65FEC3F6" w14:textId="77777777" w:rsidR="0024004B" w:rsidRPr="0024004B" w:rsidRDefault="0024004B" w:rsidP="002F77C3">
            <w:pPr>
              <w:spacing w:before="100" w:beforeAutospacing="1" w:after="100" w:afterAutospacing="1" w:line="360" w:lineRule="auto"/>
              <w:jc w:val="both"/>
              <w:rPr>
                <w:rFonts w:ascii="Arial" w:eastAsia="Times New Roman" w:hAnsi="Arial" w:cs="Arial"/>
                <w:sz w:val="24"/>
                <w:szCs w:val="24"/>
                <w:lang w:val="en-GB" w:eastAsia="en-GB"/>
              </w:rPr>
            </w:pPr>
            <w:r w:rsidRPr="0024004B">
              <w:rPr>
                <w:rFonts w:ascii="Arial" w:eastAsia="Times New Roman" w:hAnsi="Arial" w:cs="Arial"/>
                <w:sz w:val="24"/>
                <w:szCs w:val="24"/>
                <w:lang w:val="en-GB" w:eastAsia="en-GB"/>
              </w:rPr>
              <w:t>Acceptability</w:t>
            </w:r>
          </w:p>
        </w:tc>
        <w:tc>
          <w:tcPr>
            <w:tcW w:w="2254" w:type="dxa"/>
          </w:tcPr>
          <w:p w14:paraId="79B0A7FA" w14:textId="77777777" w:rsidR="0024004B" w:rsidRPr="0024004B" w:rsidRDefault="0024004B" w:rsidP="002F77C3">
            <w:pPr>
              <w:spacing w:before="100" w:beforeAutospacing="1" w:after="100" w:afterAutospacing="1" w:line="360" w:lineRule="auto"/>
              <w:jc w:val="both"/>
              <w:rPr>
                <w:rFonts w:ascii="Arial" w:eastAsia="Times New Roman" w:hAnsi="Arial" w:cs="Arial"/>
                <w:sz w:val="24"/>
                <w:szCs w:val="24"/>
                <w:lang w:val="en-GB" w:eastAsia="en-GB"/>
              </w:rPr>
            </w:pPr>
            <w:r w:rsidRPr="0024004B">
              <w:rPr>
                <w:rFonts w:ascii="Arial" w:eastAsia="Times New Roman" w:hAnsi="Arial" w:cs="Arial"/>
                <w:sz w:val="24"/>
                <w:szCs w:val="24"/>
                <w:lang w:val="en-GB" w:eastAsia="en-GB"/>
              </w:rPr>
              <w:t>Moderate</w:t>
            </w:r>
          </w:p>
        </w:tc>
        <w:tc>
          <w:tcPr>
            <w:tcW w:w="2254" w:type="dxa"/>
          </w:tcPr>
          <w:p w14:paraId="09292C71" w14:textId="77777777" w:rsidR="0024004B" w:rsidRPr="0024004B" w:rsidRDefault="0024004B" w:rsidP="002F77C3">
            <w:pPr>
              <w:spacing w:before="100" w:beforeAutospacing="1" w:after="100" w:afterAutospacing="1" w:line="360" w:lineRule="auto"/>
              <w:jc w:val="both"/>
              <w:rPr>
                <w:rFonts w:ascii="Arial" w:eastAsia="Times New Roman" w:hAnsi="Arial" w:cs="Arial"/>
                <w:sz w:val="24"/>
                <w:szCs w:val="24"/>
                <w:lang w:val="en-GB" w:eastAsia="en-GB"/>
              </w:rPr>
            </w:pPr>
            <w:r w:rsidRPr="0024004B">
              <w:rPr>
                <w:rFonts w:ascii="Arial" w:eastAsia="Times New Roman" w:hAnsi="Arial" w:cs="Arial"/>
                <w:sz w:val="24"/>
                <w:szCs w:val="24"/>
                <w:lang w:val="en-GB" w:eastAsia="en-GB"/>
              </w:rPr>
              <w:t>High</w:t>
            </w:r>
          </w:p>
        </w:tc>
        <w:tc>
          <w:tcPr>
            <w:tcW w:w="2254" w:type="dxa"/>
          </w:tcPr>
          <w:p w14:paraId="0B9AA007" w14:textId="77777777" w:rsidR="0024004B" w:rsidRPr="0024004B" w:rsidRDefault="0024004B" w:rsidP="002F77C3">
            <w:pPr>
              <w:spacing w:before="100" w:beforeAutospacing="1" w:after="100" w:afterAutospacing="1" w:line="360" w:lineRule="auto"/>
              <w:jc w:val="both"/>
              <w:rPr>
                <w:rFonts w:ascii="Arial" w:eastAsia="Times New Roman" w:hAnsi="Arial" w:cs="Arial"/>
                <w:sz w:val="24"/>
                <w:szCs w:val="24"/>
                <w:lang w:val="en-GB" w:eastAsia="en-GB"/>
              </w:rPr>
            </w:pPr>
            <w:r w:rsidRPr="0024004B">
              <w:rPr>
                <w:rFonts w:ascii="Arial" w:eastAsia="Times New Roman" w:hAnsi="Arial" w:cs="Arial"/>
                <w:sz w:val="24"/>
                <w:szCs w:val="24"/>
                <w:lang w:val="en-GB" w:eastAsia="en-GB"/>
              </w:rPr>
              <w:t>High</w:t>
            </w:r>
          </w:p>
        </w:tc>
      </w:tr>
      <w:tr w:rsidR="0024004B" w:rsidRPr="0024004B" w14:paraId="7C7C3684" w14:textId="77777777" w:rsidTr="0024004B">
        <w:tc>
          <w:tcPr>
            <w:tcW w:w="2254" w:type="dxa"/>
          </w:tcPr>
          <w:p w14:paraId="207DF5AF" w14:textId="77777777" w:rsidR="0024004B" w:rsidRPr="0024004B" w:rsidRDefault="0024004B" w:rsidP="002F77C3">
            <w:pPr>
              <w:spacing w:before="100" w:beforeAutospacing="1" w:after="100" w:afterAutospacing="1" w:line="360" w:lineRule="auto"/>
              <w:jc w:val="both"/>
              <w:rPr>
                <w:rFonts w:ascii="Arial" w:eastAsia="Times New Roman" w:hAnsi="Arial" w:cs="Arial"/>
                <w:sz w:val="24"/>
                <w:szCs w:val="24"/>
                <w:lang w:val="en-GB" w:eastAsia="en-GB"/>
              </w:rPr>
            </w:pPr>
            <w:r w:rsidRPr="0024004B">
              <w:rPr>
                <w:rFonts w:ascii="Arial" w:eastAsia="Times New Roman" w:hAnsi="Arial" w:cs="Arial"/>
                <w:sz w:val="24"/>
                <w:szCs w:val="24"/>
                <w:lang w:val="en-GB" w:eastAsia="en-GB"/>
              </w:rPr>
              <w:t>Feasibility</w:t>
            </w:r>
          </w:p>
        </w:tc>
        <w:tc>
          <w:tcPr>
            <w:tcW w:w="2254" w:type="dxa"/>
          </w:tcPr>
          <w:p w14:paraId="1B47104B" w14:textId="77777777" w:rsidR="0024004B" w:rsidRPr="0024004B" w:rsidRDefault="0024004B" w:rsidP="002F77C3">
            <w:pPr>
              <w:spacing w:before="100" w:beforeAutospacing="1" w:after="100" w:afterAutospacing="1" w:line="360" w:lineRule="auto"/>
              <w:jc w:val="both"/>
              <w:rPr>
                <w:rFonts w:ascii="Arial" w:eastAsia="Times New Roman" w:hAnsi="Arial" w:cs="Arial"/>
                <w:sz w:val="24"/>
                <w:szCs w:val="24"/>
                <w:lang w:val="en-GB" w:eastAsia="en-GB"/>
              </w:rPr>
            </w:pPr>
            <w:r w:rsidRPr="0024004B">
              <w:rPr>
                <w:rFonts w:ascii="Arial" w:eastAsia="Times New Roman" w:hAnsi="Arial" w:cs="Arial"/>
                <w:sz w:val="24"/>
                <w:szCs w:val="24"/>
                <w:lang w:val="en-GB" w:eastAsia="en-GB"/>
              </w:rPr>
              <w:t>Moderate</w:t>
            </w:r>
          </w:p>
        </w:tc>
        <w:tc>
          <w:tcPr>
            <w:tcW w:w="2254" w:type="dxa"/>
          </w:tcPr>
          <w:p w14:paraId="1048DF4C" w14:textId="77777777" w:rsidR="0024004B" w:rsidRPr="0024004B" w:rsidRDefault="0024004B" w:rsidP="002F77C3">
            <w:pPr>
              <w:spacing w:before="100" w:beforeAutospacing="1" w:after="100" w:afterAutospacing="1" w:line="360" w:lineRule="auto"/>
              <w:jc w:val="both"/>
              <w:rPr>
                <w:rFonts w:ascii="Arial" w:eastAsia="Times New Roman" w:hAnsi="Arial" w:cs="Arial"/>
                <w:sz w:val="24"/>
                <w:szCs w:val="24"/>
                <w:lang w:val="en-GB" w:eastAsia="en-GB"/>
              </w:rPr>
            </w:pPr>
            <w:r w:rsidRPr="0024004B">
              <w:rPr>
                <w:rFonts w:ascii="Arial" w:eastAsia="Times New Roman" w:hAnsi="Arial" w:cs="Arial"/>
                <w:sz w:val="24"/>
                <w:szCs w:val="24"/>
                <w:lang w:val="en-GB" w:eastAsia="en-GB"/>
              </w:rPr>
              <w:t>Moderate–High</w:t>
            </w:r>
          </w:p>
        </w:tc>
        <w:tc>
          <w:tcPr>
            <w:tcW w:w="2254" w:type="dxa"/>
          </w:tcPr>
          <w:p w14:paraId="56AB161D" w14:textId="77777777" w:rsidR="0024004B" w:rsidRPr="0024004B" w:rsidRDefault="0024004B" w:rsidP="002F77C3">
            <w:pPr>
              <w:spacing w:before="100" w:beforeAutospacing="1" w:after="100" w:afterAutospacing="1" w:line="360" w:lineRule="auto"/>
              <w:jc w:val="both"/>
              <w:rPr>
                <w:rFonts w:ascii="Arial" w:eastAsia="Times New Roman" w:hAnsi="Arial" w:cs="Arial"/>
                <w:sz w:val="24"/>
                <w:szCs w:val="24"/>
                <w:lang w:val="en-GB" w:eastAsia="en-GB"/>
              </w:rPr>
            </w:pPr>
            <w:r w:rsidRPr="0024004B">
              <w:rPr>
                <w:rFonts w:ascii="Arial" w:eastAsia="Times New Roman" w:hAnsi="Arial" w:cs="Arial"/>
                <w:sz w:val="24"/>
                <w:szCs w:val="24"/>
                <w:lang w:val="en-GB" w:eastAsia="en-GB"/>
              </w:rPr>
              <w:t>Moderate–High</w:t>
            </w:r>
          </w:p>
        </w:tc>
      </w:tr>
      <w:tr w:rsidR="0024004B" w:rsidRPr="0024004B" w14:paraId="41DCAC35" w14:textId="77777777" w:rsidTr="0024004B">
        <w:tc>
          <w:tcPr>
            <w:tcW w:w="2254" w:type="dxa"/>
          </w:tcPr>
          <w:p w14:paraId="444459F1" w14:textId="77777777" w:rsidR="0024004B" w:rsidRPr="0024004B" w:rsidRDefault="0024004B" w:rsidP="002F77C3">
            <w:pPr>
              <w:spacing w:before="100" w:beforeAutospacing="1" w:after="100" w:afterAutospacing="1" w:line="360" w:lineRule="auto"/>
              <w:jc w:val="both"/>
              <w:rPr>
                <w:rFonts w:ascii="Arial" w:eastAsia="Times New Roman" w:hAnsi="Arial" w:cs="Arial"/>
                <w:sz w:val="24"/>
                <w:szCs w:val="24"/>
                <w:lang w:val="en-GB" w:eastAsia="en-GB"/>
              </w:rPr>
            </w:pPr>
            <w:r w:rsidRPr="0024004B">
              <w:rPr>
                <w:rFonts w:ascii="Arial" w:eastAsia="Times New Roman" w:hAnsi="Arial" w:cs="Arial"/>
                <w:sz w:val="24"/>
                <w:szCs w:val="24"/>
                <w:lang w:val="en-GB" w:eastAsia="en-GB"/>
              </w:rPr>
              <w:t>Coherence</w:t>
            </w:r>
          </w:p>
        </w:tc>
        <w:tc>
          <w:tcPr>
            <w:tcW w:w="2254" w:type="dxa"/>
          </w:tcPr>
          <w:p w14:paraId="0D3B5349" w14:textId="77777777" w:rsidR="0024004B" w:rsidRPr="0024004B" w:rsidRDefault="0024004B" w:rsidP="002F77C3">
            <w:pPr>
              <w:spacing w:before="100" w:beforeAutospacing="1" w:after="100" w:afterAutospacing="1" w:line="360" w:lineRule="auto"/>
              <w:jc w:val="both"/>
              <w:rPr>
                <w:rFonts w:ascii="Arial" w:eastAsia="Times New Roman" w:hAnsi="Arial" w:cs="Arial"/>
                <w:sz w:val="24"/>
                <w:szCs w:val="24"/>
                <w:lang w:val="en-GB" w:eastAsia="en-GB"/>
              </w:rPr>
            </w:pPr>
            <w:r w:rsidRPr="0024004B">
              <w:rPr>
                <w:rFonts w:ascii="Arial" w:eastAsia="Times New Roman" w:hAnsi="Arial" w:cs="Arial"/>
                <w:sz w:val="24"/>
                <w:szCs w:val="24"/>
                <w:lang w:val="en-GB" w:eastAsia="en-GB"/>
              </w:rPr>
              <w:t>High</w:t>
            </w:r>
          </w:p>
        </w:tc>
        <w:tc>
          <w:tcPr>
            <w:tcW w:w="2254" w:type="dxa"/>
          </w:tcPr>
          <w:p w14:paraId="37F6DE1A" w14:textId="77777777" w:rsidR="0024004B" w:rsidRPr="0024004B" w:rsidRDefault="0024004B" w:rsidP="002F77C3">
            <w:pPr>
              <w:spacing w:before="100" w:beforeAutospacing="1" w:after="100" w:afterAutospacing="1" w:line="360" w:lineRule="auto"/>
              <w:jc w:val="both"/>
              <w:rPr>
                <w:rFonts w:ascii="Arial" w:eastAsia="Times New Roman" w:hAnsi="Arial" w:cs="Arial"/>
                <w:sz w:val="24"/>
                <w:szCs w:val="24"/>
                <w:lang w:val="en-GB" w:eastAsia="en-GB"/>
              </w:rPr>
            </w:pPr>
            <w:r w:rsidRPr="0024004B">
              <w:rPr>
                <w:rFonts w:ascii="Arial" w:eastAsia="Times New Roman" w:hAnsi="Arial" w:cs="Arial"/>
                <w:sz w:val="24"/>
                <w:szCs w:val="24"/>
                <w:lang w:val="en-GB" w:eastAsia="en-GB"/>
              </w:rPr>
              <w:t>Very high</w:t>
            </w:r>
          </w:p>
        </w:tc>
        <w:tc>
          <w:tcPr>
            <w:tcW w:w="2254" w:type="dxa"/>
          </w:tcPr>
          <w:p w14:paraId="14B36955" w14:textId="77777777" w:rsidR="0024004B" w:rsidRPr="0024004B" w:rsidRDefault="0024004B" w:rsidP="002F77C3">
            <w:pPr>
              <w:spacing w:before="100" w:beforeAutospacing="1" w:after="100" w:afterAutospacing="1" w:line="360" w:lineRule="auto"/>
              <w:jc w:val="both"/>
              <w:rPr>
                <w:rFonts w:ascii="Arial" w:eastAsia="Times New Roman" w:hAnsi="Arial" w:cs="Arial"/>
                <w:sz w:val="24"/>
                <w:szCs w:val="24"/>
                <w:lang w:val="en-GB" w:eastAsia="en-GB"/>
              </w:rPr>
            </w:pPr>
            <w:r w:rsidRPr="0024004B">
              <w:rPr>
                <w:rFonts w:ascii="Arial" w:eastAsia="Times New Roman" w:hAnsi="Arial" w:cs="Arial"/>
                <w:sz w:val="24"/>
                <w:szCs w:val="24"/>
                <w:lang w:val="en-GB" w:eastAsia="en-GB"/>
              </w:rPr>
              <w:t>Very high</w:t>
            </w:r>
          </w:p>
        </w:tc>
      </w:tr>
      <w:tr w:rsidR="0024004B" w:rsidRPr="0024004B" w14:paraId="34F3A496" w14:textId="77777777" w:rsidTr="0024004B">
        <w:tc>
          <w:tcPr>
            <w:tcW w:w="2254" w:type="dxa"/>
          </w:tcPr>
          <w:p w14:paraId="49C74E49" w14:textId="77777777" w:rsidR="0024004B" w:rsidRPr="0024004B" w:rsidRDefault="0024004B" w:rsidP="002F77C3">
            <w:pPr>
              <w:spacing w:before="100" w:beforeAutospacing="1" w:after="100" w:afterAutospacing="1" w:line="360" w:lineRule="auto"/>
              <w:jc w:val="both"/>
              <w:rPr>
                <w:rFonts w:ascii="Arial" w:eastAsia="Times New Roman" w:hAnsi="Arial" w:cs="Arial"/>
                <w:sz w:val="24"/>
                <w:szCs w:val="24"/>
                <w:lang w:val="en-GB" w:eastAsia="en-GB"/>
              </w:rPr>
            </w:pPr>
            <w:r w:rsidRPr="0024004B">
              <w:rPr>
                <w:rFonts w:ascii="Arial" w:eastAsia="Times New Roman" w:hAnsi="Arial" w:cs="Arial"/>
                <w:sz w:val="24"/>
                <w:szCs w:val="24"/>
                <w:lang w:val="en-GB" w:eastAsia="en-GB"/>
              </w:rPr>
              <w:t>Defensibility</w:t>
            </w:r>
          </w:p>
        </w:tc>
        <w:tc>
          <w:tcPr>
            <w:tcW w:w="2254" w:type="dxa"/>
          </w:tcPr>
          <w:p w14:paraId="7E1328F9" w14:textId="77777777" w:rsidR="0024004B" w:rsidRPr="0024004B" w:rsidRDefault="0024004B" w:rsidP="002F77C3">
            <w:pPr>
              <w:spacing w:before="100" w:beforeAutospacing="1" w:after="100" w:afterAutospacing="1" w:line="360" w:lineRule="auto"/>
              <w:jc w:val="both"/>
              <w:rPr>
                <w:rFonts w:ascii="Arial" w:eastAsia="Times New Roman" w:hAnsi="Arial" w:cs="Arial"/>
                <w:sz w:val="24"/>
                <w:szCs w:val="24"/>
                <w:lang w:val="en-GB" w:eastAsia="en-GB"/>
              </w:rPr>
            </w:pPr>
            <w:r w:rsidRPr="0024004B">
              <w:rPr>
                <w:rFonts w:ascii="Arial" w:eastAsia="Times New Roman" w:hAnsi="Arial" w:cs="Arial"/>
                <w:sz w:val="24"/>
                <w:szCs w:val="24"/>
                <w:lang w:val="en-GB" w:eastAsia="en-GB"/>
              </w:rPr>
              <w:t>Low–moderate</w:t>
            </w:r>
          </w:p>
        </w:tc>
        <w:tc>
          <w:tcPr>
            <w:tcW w:w="2254" w:type="dxa"/>
          </w:tcPr>
          <w:p w14:paraId="4017CC39" w14:textId="77777777" w:rsidR="0024004B" w:rsidRPr="0024004B" w:rsidRDefault="0024004B" w:rsidP="002F77C3">
            <w:pPr>
              <w:spacing w:before="100" w:beforeAutospacing="1" w:after="100" w:afterAutospacing="1" w:line="360" w:lineRule="auto"/>
              <w:jc w:val="both"/>
              <w:rPr>
                <w:rFonts w:ascii="Arial" w:eastAsia="Times New Roman" w:hAnsi="Arial" w:cs="Arial"/>
                <w:sz w:val="24"/>
                <w:szCs w:val="24"/>
                <w:lang w:val="en-GB" w:eastAsia="en-GB"/>
              </w:rPr>
            </w:pPr>
            <w:r w:rsidRPr="0024004B">
              <w:rPr>
                <w:rFonts w:ascii="Arial" w:eastAsia="Times New Roman" w:hAnsi="Arial" w:cs="Arial"/>
                <w:sz w:val="24"/>
                <w:szCs w:val="24"/>
                <w:lang w:val="en-GB" w:eastAsia="en-GB"/>
              </w:rPr>
              <w:t>Moderate–high</w:t>
            </w:r>
          </w:p>
        </w:tc>
        <w:tc>
          <w:tcPr>
            <w:tcW w:w="2254" w:type="dxa"/>
          </w:tcPr>
          <w:p w14:paraId="6C02729B" w14:textId="77777777" w:rsidR="0024004B" w:rsidRPr="0024004B" w:rsidRDefault="0024004B" w:rsidP="002F77C3">
            <w:pPr>
              <w:spacing w:before="100" w:beforeAutospacing="1" w:after="100" w:afterAutospacing="1" w:line="360" w:lineRule="auto"/>
              <w:jc w:val="both"/>
              <w:rPr>
                <w:rFonts w:ascii="Arial" w:eastAsia="Times New Roman" w:hAnsi="Arial" w:cs="Arial"/>
                <w:sz w:val="24"/>
                <w:szCs w:val="24"/>
                <w:lang w:val="en-GB" w:eastAsia="en-GB"/>
              </w:rPr>
            </w:pPr>
            <w:r w:rsidRPr="0024004B">
              <w:rPr>
                <w:rFonts w:ascii="Arial" w:eastAsia="Times New Roman" w:hAnsi="Arial" w:cs="Arial"/>
                <w:sz w:val="24"/>
                <w:szCs w:val="24"/>
                <w:lang w:val="en-GB" w:eastAsia="en-GB"/>
              </w:rPr>
              <w:t>High over time</w:t>
            </w:r>
          </w:p>
        </w:tc>
      </w:tr>
    </w:tbl>
    <w:p w14:paraId="63B79D3C" w14:textId="246BD6DE" w:rsidR="004774F6" w:rsidRPr="00E86635" w:rsidRDefault="004774F6"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b/>
          <w:sz w:val="24"/>
          <w:szCs w:val="24"/>
          <w:lang w:val="en-GB" w:eastAsia="en-GB"/>
        </w:rPr>
        <w:t>Source:</w:t>
      </w:r>
      <w:r w:rsidRPr="00E86635">
        <w:rPr>
          <w:rFonts w:ascii="Arial" w:eastAsia="Times New Roman" w:hAnsi="Arial" w:cs="Arial"/>
          <w:sz w:val="24"/>
          <w:szCs w:val="24"/>
          <w:lang w:val="en-GB" w:eastAsia="en-GB"/>
        </w:rPr>
        <w:t xml:space="preserve"> Researcher’s analysis based on Chapters 5 and 6.</w:t>
      </w:r>
    </w:p>
    <w:p w14:paraId="35F3EFFD" w14:textId="687B7F8C" w:rsidR="004005C8" w:rsidRPr="00E86635" w:rsidRDefault="00412244" w:rsidP="00E86635">
      <w:pPr>
        <w:spacing w:before="100" w:beforeAutospacing="1" w:after="100" w:afterAutospacing="1" w:line="360" w:lineRule="auto"/>
        <w:jc w:val="both"/>
        <w:rPr>
          <w:rFonts w:ascii="Arial" w:eastAsia="Times New Roman" w:hAnsi="Arial" w:cs="Arial"/>
          <w:sz w:val="24"/>
          <w:szCs w:val="24"/>
          <w:lang w:val="en-GB" w:eastAsia="en-GB"/>
        </w:rPr>
      </w:pPr>
      <w:r w:rsidRPr="00412244">
        <w:rPr>
          <w:rFonts w:ascii="Arial" w:eastAsia="Times New Roman" w:hAnsi="Arial" w:cs="Arial"/>
          <w:sz w:val="24"/>
          <w:szCs w:val="24"/>
          <w:lang w:val="en-GB" w:eastAsia="en-GB"/>
        </w:rPr>
        <w:t>The recommended approach is to use ethical differentiation as the competitive basis and implement it through focused, staged market entry. This offers strong suitability, acceptability and coherence while maintaining a more realistic assessment of feasibility for a new venture. It also recognises that the proposed advantage depends on developing ethical sourcing, quality, customer experience, transparency and organisational capability rather than assuming t</w:t>
      </w:r>
      <w:r>
        <w:rPr>
          <w:rFonts w:ascii="Arial" w:eastAsia="Times New Roman" w:hAnsi="Arial" w:cs="Arial"/>
          <w:sz w:val="24"/>
          <w:szCs w:val="24"/>
          <w:lang w:val="en-GB" w:eastAsia="en-GB"/>
        </w:rPr>
        <w:t>hese capabilities already exist</w:t>
      </w:r>
      <w:r w:rsidR="004005C8" w:rsidRPr="00E86635">
        <w:rPr>
          <w:rFonts w:ascii="Arial" w:eastAsia="Times New Roman" w:hAnsi="Arial" w:cs="Arial"/>
          <w:sz w:val="24"/>
          <w:szCs w:val="24"/>
          <w:lang w:val="en-GB" w:eastAsia="en-GB"/>
        </w:rPr>
        <w:t>.</w:t>
      </w:r>
    </w:p>
    <w:p w14:paraId="78636172" w14:textId="6681E178" w:rsidR="00572CAA" w:rsidRPr="00E86635" w:rsidRDefault="004005C8"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b/>
          <w:sz w:val="24"/>
          <w:szCs w:val="24"/>
          <w:lang w:val="en-GB" w:eastAsia="en-GB"/>
        </w:rPr>
        <w:t>Mission statement:</w:t>
      </w:r>
      <w:r w:rsidRPr="00E86635">
        <w:rPr>
          <w:rFonts w:ascii="Arial" w:eastAsia="Times New Roman" w:hAnsi="Arial" w:cs="Arial"/>
          <w:sz w:val="24"/>
          <w:szCs w:val="24"/>
          <w:lang w:val="en-GB" w:eastAsia="en-GB"/>
        </w:rPr>
        <w:t xml:space="preserve"> The Ethical Bean Coffee House will provide sustainable products, high quality ethically sourced coffee and a true café experience for ethically aware students, young professionals, specialty-coffee drinkers and urban café-goers in a central London market place using a physical café complemented by digital engagement. It will act by integrating ethical difference, transparency and personalized customer experience, based on credible relationships with suppliers and disciplined operations. </w:t>
      </w:r>
      <w:r w:rsidR="007277BC" w:rsidRPr="007277BC">
        <w:rPr>
          <w:rFonts w:ascii="Arial" w:eastAsia="Times New Roman" w:hAnsi="Arial" w:cs="Arial"/>
          <w:sz w:val="24"/>
          <w:szCs w:val="24"/>
          <w:lang w:val="en-GB" w:eastAsia="en-GB"/>
        </w:rPr>
        <w:t>It will begin with one focused location and customer segment and will not pursue rapid multi-site expansion until customer demand, margins and operating capacity are proven</w:t>
      </w:r>
      <w:r w:rsidRPr="00E86635">
        <w:rPr>
          <w:rFonts w:ascii="Arial" w:eastAsia="Times New Roman" w:hAnsi="Arial" w:cs="Arial"/>
          <w:sz w:val="24"/>
          <w:szCs w:val="24"/>
          <w:lang w:val="en-GB" w:eastAsia="en-GB"/>
        </w:rPr>
        <w:t>.</w:t>
      </w:r>
    </w:p>
    <w:p w14:paraId="179E4C7A" w14:textId="77777777" w:rsidR="00572CAA" w:rsidRPr="00E86635" w:rsidRDefault="00572CAA" w:rsidP="00E2542F">
      <w:pPr>
        <w:pStyle w:val="Heading2"/>
        <w:rPr>
          <w:rFonts w:eastAsia="Times New Roman"/>
          <w:lang w:val="en-GB" w:eastAsia="en-GB"/>
        </w:rPr>
      </w:pPr>
      <w:bookmarkStart w:id="71" w:name="_Toc240811431"/>
      <w:r w:rsidRPr="00E86635">
        <w:rPr>
          <w:rFonts w:eastAsia="Times New Roman"/>
          <w:lang w:val="en-GB" w:eastAsia="en-GB"/>
        </w:rPr>
        <w:lastRenderedPageBreak/>
        <w:t>7.5 USP, Value Proposition and Positioning</w:t>
      </w:r>
      <w:bookmarkEnd w:id="71"/>
    </w:p>
    <w:p w14:paraId="4AEC16B5" w14:textId="77777777" w:rsidR="002E4CF4" w:rsidRPr="00E86635" w:rsidRDefault="002E4CF4" w:rsidP="00E86635">
      <w:pPr>
        <w:spacing w:line="360" w:lineRule="auto"/>
        <w:jc w:val="both"/>
        <w:rPr>
          <w:rFonts w:ascii="Arial" w:hAnsi="Arial" w:cs="Arial"/>
          <w:sz w:val="24"/>
          <w:szCs w:val="24"/>
          <w:lang w:val="en-GB" w:eastAsia="en-GB"/>
        </w:rPr>
      </w:pPr>
      <w:r w:rsidRPr="00E86635">
        <w:rPr>
          <w:rFonts w:ascii="Arial" w:hAnsi="Arial" w:cs="Arial"/>
          <w:sz w:val="24"/>
          <w:szCs w:val="24"/>
          <w:lang w:val="en-GB" w:eastAsia="en-GB"/>
        </w:rPr>
        <w:t>The USP has to be more than “ethical coffee” as sustainability can be clearly communicated by competitors. The USP is a blend of quality specialty coffee, ethical sourcing, transparent ethical practices, and a personal experience of the café at a value proposition that is accessible.</w:t>
      </w:r>
    </w:p>
    <w:p w14:paraId="5E2FF5A5" w14:textId="3FABC3EC" w:rsidR="002E4CF4" w:rsidRPr="00E86635" w:rsidRDefault="009C66FC" w:rsidP="00E86635">
      <w:pPr>
        <w:spacing w:line="360" w:lineRule="auto"/>
        <w:jc w:val="both"/>
        <w:rPr>
          <w:rFonts w:ascii="Arial" w:hAnsi="Arial" w:cs="Arial"/>
          <w:sz w:val="24"/>
          <w:szCs w:val="24"/>
          <w:lang w:val="en-GB" w:eastAsia="en-GB"/>
        </w:rPr>
      </w:pPr>
      <w:r w:rsidRPr="009C66FC">
        <w:rPr>
          <w:rFonts w:ascii="Arial" w:hAnsi="Arial" w:cs="Arial"/>
          <w:sz w:val="24"/>
          <w:szCs w:val="24"/>
          <w:lang w:val="en-GB" w:eastAsia="en-GB"/>
        </w:rPr>
        <w:t>The positioning is therefore between mass-market convenience and highly premium specialty provision</w:t>
      </w:r>
      <w:r w:rsidR="002E4CF4" w:rsidRPr="00E86635">
        <w:rPr>
          <w:rFonts w:ascii="Arial" w:hAnsi="Arial" w:cs="Arial"/>
          <w:sz w:val="24"/>
          <w:szCs w:val="24"/>
          <w:lang w:val="en-GB" w:eastAsia="en-GB"/>
        </w:rPr>
        <w:t>. The business should be seen as an ethical, transparent and inclusive specialty café that makes responsible coffee an everyday, not occasional, experience.</w:t>
      </w:r>
    </w:p>
    <w:p w14:paraId="70EF9740" w14:textId="77777777" w:rsidR="002E4CF4" w:rsidRPr="00E86635" w:rsidRDefault="002E4CF4" w:rsidP="00E86635">
      <w:pPr>
        <w:spacing w:line="360" w:lineRule="auto"/>
        <w:jc w:val="both"/>
        <w:rPr>
          <w:rFonts w:ascii="Arial" w:hAnsi="Arial" w:cs="Arial"/>
          <w:b/>
          <w:sz w:val="24"/>
          <w:szCs w:val="24"/>
          <w:lang w:val="en-GB" w:eastAsia="en-GB"/>
        </w:rPr>
      </w:pPr>
      <w:r w:rsidRPr="00E86635">
        <w:rPr>
          <w:rFonts w:ascii="Arial" w:hAnsi="Arial" w:cs="Arial"/>
          <w:b/>
          <w:sz w:val="24"/>
          <w:szCs w:val="24"/>
          <w:lang w:val="en-GB" w:eastAsia="en-GB"/>
        </w:rPr>
        <w:t>Its value proposition is:</w:t>
      </w:r>
    </w:p>
    <w:p w14:paraId="328A6A10" w14:textId="77777777" w:rsidR="002E4CF4" w:rsidRPr="00E86635" w:rsidRDefault="002E4CF4" w:rsidP="00E86635">
      <w:pPr>
        <w:spacing w:line="360" w:lineRule="auto"/>
        <w:jc w:val="both"/>
        <w:rPr>
          <w:rFonts w:ascii="Arial" w:hAnsi="Arial" w:cs="Arial"/>
          <w:sz w:val="24"/>
          <w:szCs w:val="24"/>
          <w:lang w:val="en-GB" w:eastAsia="en-GB"/>
        </w:rPr>
      </w:pPr>
      <w:r w:rsidRPr="00E86635">
        <w:rPr>
          <w:rFonts w:ascii="Arial" w:hAnsi="Arial" w:cs="Arial"/>
          <w:sz w:val="24"/>
          <w:szCs w:val="24"/>
          <w:lang w:val="en-GB" w:eastAsia="en-GB"/>
        </w:rPr>
        <w:t>The Ethical Bean Coffee House offers specialty-quality coffee and a fun-filled coffee house experience based on open, ethical sourcing and actionable sustainability. Unlike traditional chain cafés and specialty baristas who differentiate themselves by their size and/or convenience, or their understanding of the coffee, The Ethical Bean differentiates themselves by offering coffee that's both high quality and visibly accountable for their ethical practice, and offers personal hospitality that’s both high-tech and high-touch.</w:t>
      </w:r>
    </w:p>
    <w:p w14:paraId="0313AC60" w14:textId="77777777" w:rsidR="002E4CF4" w:rsidRPr="00E86635" w:rsidRDefault="002E4CF4" w:rsidP="00E86635">
      <w:pPr>
        <w:spacing w:line="360" w:lineRule="auto"/>
        <w:jc w:val="both"/>
        <w:rPr>
          <w:rFonts w:ascii="Arial" w:hAnsi="Arial" w:cs="Arial"/>
          <w:sz w:val="24"/>
          <w:szCs w:val="24"/>
          <w:lang w:val="en-GB" w:eastAsia="en-GB"/>
        </w:rPr>
      </w:pPr>
      <w:r w:rsidRPr="00E86635">
        <w:rPr>
          <w:rFonts w:ascii="Arial" w:hAnsi="Arial" w:cs="Arial"/>
          <w:sz w:val="24"/>
          <w:szCs w:val="24"/>
          <w:lang w:val="en-GB" w:eastAsia="en-GB"/>
        </w:rPr>
        <w:t>The evidence is that quality is not enough to differentiate and that price sensitivity is a limiting factor for a premium approach. World Coffee Portal (2026) also points to some recent market evidence which shows that specialty coffee and personalised hospitality and ambience can provide an independent café with advantages, while also exerting more cost pressure than larger chains.</w:t>
      </w:r>
    </w:p>
    <w:p w14:paraId="24C89A12" w14:textId="77777777" w:rsidR="002E4CF4" w:rsidRPr="00E86635" w:rsidRDefault="002E4CF4" w:rsidP="00E86635">
      <w:pPr>
        <w:spacing w:line="360" w:lineRule="auto"/>
        <w:jc w:val="both"/>
        <w:rPr>
          <w:rFonts w:ascii="Arial" w:hAnsi="Arial" w:cs="Arial"/>
          <w:sz w:val="24"/>
          <w:szCs w:val="24"/>
          <w:lang w:val="en-GB" w:eastAsia="en-GB"/>
        </w:rPr>
      </w:pPr>
      <w:r w:rsidRPr="00E86635">
        <w:rPr>
          <w:rFonts w:ascii="Arial" w:hAnsi="Arial" w:cs="Arial"/>
          <w:sz w:val="24"/>
          <w:szCs w:val="24"/>
          <w:lang w:val="en-GB" w:eastAsia="en-GB"/>
        </w:rPr>
        <w:t>The most important advantage or advantages that a business has over a competitor.</w:t>
      </w:r>
    </w:p>
    <w:p w14:paraId="610C51C9" w14:textId="597EB392" w:rsidR="002E4CF4" w:rsidRPr="00E2542F" w:rsidRDefault="002E4CF4" w:rsidP="00E2542F">
      <w:pPr>
        <w:spacing w:line="360" w:lineRule="auto"/>
        <w:jc w:val="both"/>
        <w:rPr>
          <w:rFonts w:ascii="Arial" w:hAnsi="Arial" w:cs="Arial"/>
          <w:sz w:val="24"/>
          <w:szCs w:val="24"/>
          <w:lang w:val="en-GB" w:eastAsia="en-GB"/>
        </w:rPr>
      </w:pPr>
      <w:r w:rsidRPr="00E86635">
        <w:rPr>
          <w:rFonts w:ascii="Arial" w:hAnsi="Arial" w:cs="Arial"/>
          <w:sz w:val="24"/>
          <w:szCs w:val="24"/>
          <w:lang w:val="en-GB" w:eastAsia="en-GB"/>
        </w:rPr>
        <w:t>The competitive advantage sought is thus situational, not a guaranteed way to be the best, and will likely be only generational. Specialty coffee quality offers a level of parity, but the potential for a system of ethical sourcing, transparency, sustainability and customer relationships is greater to be valuable and relatively hard to emulate, according to VRIO.</w:t>
      </w:r>
    </w:p>
    <w:p w14:paraId="19F25E08" w14:textId="0B15DEAD" w:rsidR="00572CAA" w:rsidRPr="00E86635" w:rsidRDefault="00572CAA" w:rsidP="00E2542F">
      <w:pPr>
        <w:pStyle w:val="Heading2"/>
        <w:rPr>
          <w:rFonts w:eastAsia="Times New Roman"/>
          <w:lang w:val="en-GB" w:eastAsia="en-GB"/>
        </w:rPr>
      </w:pPr>
      <w:bookmarkStart w:id="72" w:name="_Toc240811432"/>
      <w:r w:rsidRPr="00E86635">
        <w:rPr>
          <w:rFonts w:eastAsia="Times New Roman"/>
          <w:lang w:val="en-GB" w:eastAsia="en-GB"/>
        </w:rPr>
        <w:lastRenderedPageBreak/>
        <w:t>7.6 Competitive Advantage and Key Success Factors</w:t>
      </w:r>
      <w:bookmarkEnd w:id="72"/>
    </w:p>
    <w:p w14:paraId="7C199D93" w14:textId="77777777" w:rsidR="002E4CF4" w:rsidRPr="00E86635" w:rsidRDefault="002E4CF4"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Firstly, credible ethical sourcing. The venture should identify suppliers who can exhibit proper ethical and environmental practices. There should be evidence of the ethical promise through supplier documentation and traceability information, as well as through a periodic review of suppliers.</w:t>
      </w:r>
    </w:p>
    <w:p w14:paraId="7DBEF913" w14:textId="77777777" w:rsidR="002E4CF4" w:rsidRPr="00E86635" w:rsidRDefault="002E4CF4"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Secondly, uniformity of quality and service. Training of the baristas, standardized recipes, quality-control and customer-service standards should be determined prior to launch. Operational indicators for customer satisfaction, repeat purchase rate, complaint rate, product consistency should be monitored.</w:t>
      </w:r>
    </w:p>
    <w:p w14:paraId="226644AA" w14:textId="77777777" w:rsidR="002E4CF4" w:rsidRPr="00E86635" w:rsidRDefault="002E4CF4"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Third, value-based affordability. The venture should not pass on all sustainability costs onto customers. Margins should be safeguarded by menu engineering, restricted, but distinctive product ranges, waste reduction and supplier negotiations. Before expanding, it is advisable to monitor average transaction value, gross margin, repeat visits and customer willingness to purchase.</w:t>
      </w:r>
    </w:p>
    <w:p w14:paraId="486503DA" w14:textId="77777777" w:rsidR="002E4CF4" w:rsidRPr="00E86635" w:rsidRDefault="002E4CF4"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Digital engagement should complement these abilities with loyalty, pre-ordering, gathering and communicating customer feedback about sourcing. Technology should enhance, not detract from using the human element, which is a component of the positioning.</w:t>
      </w:r>
    </w:p>
    <w:p w14:paraId="43482474" w14:textId="2C2EAFFF" w:rsidR="00572CAA" w:rsidRPr="00E86635" w:rsidRDefault="00EC5206" w:rsidP="00E86635">
      <w:pPr>
        <w:spacing w:before="100" w:beforeAutospacing="1" w:after="100" w:afterAutospacing="1" w:line="360" w:lineRule="auto"/>
        <w:jc w:val="both"/>
        <w:rPr>
          <w:rFonts w:ascii="Arial" w:eastAsia="Times New Roman" w:hAnsi="Arial" w:cs="Arial"/>
          <w:sz w:val="24"/>
          <w:szCs w:val="24"/>
          <w:lang w:val="en-GB" w:eastAsia="en-GB"/>
        </w:rPr>
      </w:pPr>
      <w:r w:rsidRPr="00EC5206">
        <w:rPr>
          <w:rFonts w:ascii="Arial" w:eastAsia="Times New Roman" w:hAnsi="Arial" w:cs="Arial"/>
          <w:sz w:val="24"/>
          <w:szCs w:val="24"/>
          <w:lang w:val="en-GB" w:eastAsia="en-GB"/>
        </w:rPr>
        <w:t>The potential advantage can be strengthened through cumulative learning</w:t>
      </w:r>
      <w:r w:rsidR="002E4CF4" w:rsidRPr="00E86635">
        <w:rPr>
          <w:rFonts w:ascii="Arial" w:eastAsia="Times New Roman" w:hAnsi="Arial" w:cs="Arial"/>
          <w:sz w:val="24"/>
          <w:szCs w:val="24"/>
          <w:lang w:val="en-GB" w:eastAsia="en-GB"/>
        </w:rPr>
        <w:t>. Customer information, suppliers, operations and procedures, brand trust and community relationships can build up with time. However, a competitor can copy visible aspects like re-useable cups or ethical statements. So, to avoid being "imitated" to death, continuous improvement and credible evidence will be required</w:t>
      </w:r>
      <w:r w:rsidR="00572CAA" w:rsidRPr="00E86635">
        <w:rPr>
          <w:rFonts w:ascii="Arial" w:eastAsia="Times New Roman" w:hAnsi="Arial" w:cs="Arial"/>
          <w:sz w:val="24"/>
          <w:szCs w:val="24"/>
          <w:lang w:val="en-GB" w:eastAsia="en-GB"/>
        </w:rPr>
        <w:t>.</w:t>
      </w:r>
    </w:p>
    <w:p w14:paraId="41AB5A05" w14:textId="77777777" w:rsidR="00572CAA" w:rsidRPr="00E86635" w:rsidRDefault="00572CAA" w:rsidP="00E2542F">
      <w:pPr>
        <w:pStyle w:val="Heading2"/>
        <w:rPr>
          <w:rFonts w:eastAsia="Times New Roman"/>
          <w:lang w:val="en-GB" w:eastAsia="en-GB"/>
        </w:rPr>
      </w:pPr>
      <w:bookmarkStart w:id="73" w:name="_Toc240811433"/>
      <w:r w:rsidRPr="00E86635">
        <w:rPr>
          <w:rFonts w:eastAsia="Times New Roman"/>
          <w:lang w:val="en-GB" w:eastAsia="en-GB"/>
        </w:rPr>
        <w:lastRenderedPageBreak/>
        <w:t>7.7 Strategic Synthesis</w:t>
      </w:r>
      <w:bookmarkEnd w:id="73"/>
    </w:p>
    <w:p w14:paraId="0E7CBD91" w14:textId="77777777" w:rsidR="003916FE" w:rsidRPr="00E86635" w:rsidRDefault="003916FE" w:rsidP="00E2542F">
      <w:pPr>
        <w:keepNext/>
        <w:spacing w:before="100" w:beforeAutospacing="1" w:after="100" w:afterAutospacing="1" w:line="360" w:lineRule="auto"/>
        <w:jc w:val="center"/>
        <w:rPr>
          <w:rFonts w:ascii="Arial" w:hAnsi="Arial" w:cs="Arial"/>
          <w:sz w:val="24"/>
          <w:szCs w:val="24"/>
        </w:rPr>
      </w:pPr>
      <w:r w:rsidRPr="00E86635">
        <w:rPr>
          <w:rFonts w:ascii="Arial" w:eastAsia="Times New Roman" w:hAnsi="Arial" w:cs="Arial"/>
          <w:noProof/>
          <w:sz w:val="24"/>
          <w:szCs w:val="24"/>
          <w:lang w:val="en-GB" w:eastAsia="en-GB"/>
          <w14:ligatures w14:val="standardContextual"/>
        </w:rPr>
        <w:drawing>
          <wp:inline distT="0" distB="0" distL="0" distR="0" wp14:anchorId="1883D4D2" wp14:editId="484B1681">
            <wp:extent cx="3771900" cy="5748951"/>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pilot_20260831_174918.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775545" cy="5754506"/>
                    </a:xfrm>
                    <a:prstGeom prst="rect">
                      <a:avLst/>
                    </a:prstGeom>
                  </pic:spPr>
                </pic:pic>
              </a:graphicData>
            </a:graphic>
          </wp:inline>
        </w:drawing>
      </w:r>
    </w:p>
    <w:p w14:paraId="34CCF7D6" w14:textId="34613DEE" w:rsidR="003916FE" w:rsidRPr="00E86635" w:rsidRDefault="003916FE" w:rsidP="00E86635">
      <w:pPr>
        <w:pStyle w:val="Caption"/>
        <w:spacing w:line="360" w:lineRule="auto"/>
        <w:jc w:val="both"/>
        <w:rPr>
          <w:rFonts w:ascii="Arial" w:eastAsia="Times New Roman" w:hAnsi="Arial" w:cs="Arial"/>
          <w:sz w:val="24"/>
          <w:szCs w:val="24"/>
          <w:lang w:val="en-GB" w:eastAsia="en-GB"/>
        </w:rPr>
      </w:pPr>
      <w:bookmarkStart w:id="74" w:name="_Toc240023706"/>
      <w:r w:rsidRPr="00E86635">
        <w:rPr>
          <w:rFonts w:ascii="Arial" w:hAnsi="Arial" w:cs="Arial"/>
          <w:sz w:val="24"/>
          <w:szCs w:val="24"/>
        </w:rPr>
        <w:t xml:space="preserve">Figure </w:t>
      </w:r>
      <w:r w:rsidRPr="00E86635">
        <w:rPr>
          <w:rFonts w:ascii="Arial" w:hAnsi="Arial" w:cs="Arial"/>
          <w:sz w:val="24"/>
          <w:szCs w:val="24"/>
        </w:rPr>
        <w:fldChar w:fldCharType="begin"/>
      </w:r>
      <w:r w:rsidRPr="00E86635">
        <w:rPr>
          <w:rFonts w:ascii="Arial" w:hAnsi="Arial" w:cs="Arial"/>
          <w:sz w:val="24"/>
          <w:szCs w:val="24"/>
        </w:rPr>
        <w:instrText xml:space="preserve"> SEQ Figure \* ARABIC </w:instrText>
      </w:r>
      <w:r w:rsidRPr="00E86635">
        <w:rPr>
          <w:rFonts w:ascii="Arial" w:hAnsi="Arial" w:cs="Arial"/>
          <w:sz w:val="24"/>
          <w:szCs w:val="24"/>
        </w:rPr>
        <w:fldChar w:fldCharType="separate"/>
      </w:r>
      <w:r w:rsidRPr="00E86635">
        <w:rPr>
          <w:rFonts w:ascii="Arial" w:hAnsi="Arial" w:cs="Arial"/>
          <w:noProof/>
          <w:sz w:val="24"/>
          <w:szCs w:val="24"/>
        </w:rPr>
        <w:t>1</w:t>
      </w:r>
      <w:r w:rsidRPr="00E86635">
        <w:rPr>
          <w:rFonts w:ascii="Arial" w:hAnsi="Arial" w:cs="Arial"/>
          <w:sz w:val="24"/>
          <w:szCs w:val="24"/>
        </w:rPr>
        <w:fldChar w:fldCharType="end"/>
      </w:r>
      <w:r w:rsidRPr="00E86635">
        <w:rPr>
          <w:rFonts w:ascii="Arial" w:hAnsi="Arial" w:cs="Arial"/>
          <w:sz w:val="24"/>
          <w:szCs w:val="24"/>
        </w:rPr>
        <w:t>.: Strategic Logic for The Ethical Bean Coffee House</w:t>
      </w:r>
      <w:bookmarkEnd w:id="74"/>
    </w:p>
    <w:p w14:paraId="7672ED05" w14:textId="5D202233" w:rsidR="00572CAA" w:rsidRPr="00E86635" w:rsidRDefault="00572CAA" w:rsidP="00E86635">
      <w:pPr>
        <w:spacing w:before="100" w:beforeAutospacing="1" w:after="100" w:afterAutospacing="1" w:line="360" w:lineRule="auto"/>
        <w:jc w:val="both"/>
        <w:rPr>
          <w:rFonts w:ascii="Arial" w:eastAsia="Times New Roman" w:hAnsi="Arial" w:cs="Arial"/>
          <w:b/>
          <w:sz w:val="24"/>
          <w:szCs w:val="24"/>
          <w:lang w:val="en-GB" w:eastAsia="en-GB"/>
        </w:rPr>
      </w:pPr>
      <w:r w:rsidRPr="00E86635">
        <w:rPr>
          <w:rFonts w:ascii="Arial" w:eastAsia="Times New Roman" w:hAnsi="Arial" w:cs="Arial"/>
          <w:b/>
          <w:i/>
          <w:iCs/>
          <w:sz w:val="24"/>
          <w:szCs w:val="24"/>
          <w:lang w:val="en-GB" w:eastAsia="en-GB"/>
        </w:rPr>
        <w:t>Source: Researcher's synthesis based on Chapters 5 and 6.</w:t>
      </w:r>
    </w:p>
    <w:p w14:paraId="12A35962" w14:textId="71803A7B" w:rsidR="00764905" w:rsidRDefault="006B37AD" w:rsidP="00E2542F">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6B37AD">
        <w:rPr>
          <w:rFonts w:ascii="Arial" w:eastAsia="Times New Roman" w:hAnsi="Arial" w:cs="Arial"/>
          <w:sz w:val="24"/>
          <w:szCs w:val="24"/>
          <w:lang w:val="en-GB" w:eastAsia="en-GB"/>
        </w:rPr>
        <w:t>The strategy therefore creates a direct chain from evidence to ethical differentiation as the competitive basis, followed by focused and staged implementation</w:t>
      </w:r>
      <w:r w:rsidR="00572CAA" w:rsidRPr="00E86635">
        <w:rPr>
          <w:rFonts w:ascii="Arial" w:eastAsia="Times New Roman" w:hAnsi="Arial" w:cs="Arial"/>
          <w:sz w:val="24"/>
          <w:szCs w:val="24"/>
          <w:lang w:val="en-GB" w:eastAsia="en-GB"/>
        </w:rPr>
        <w:t xml:space="preserve">. Chapter 8 should translate the selected strategy into the Business Model Canvas, while subsequent marketing, operations, financial and risk planning should test whether the required capabilities and assumptions are commercially achievable. </w:t>
      </w:r>
    </w:p>
    <w:p w14:paraId="07647EA6" w14:textId="77777777" w:rsidR="0057579E" w:rsidRPr="00C7150E" w:rsidRDefault="0057579E" w:rsidP="00996042">
      <w:pPr>
        <w:pStyle w:val="Heading1"/>
        <w:jc w:val="center"/>
        <w:rPr>
          <w:rFonts w:eastAsia="Times New Roman"/>
          <w:lang w:val="en-GB" w:eastAsia="en-GB"/>
        </w:rPr>
      </w:pPr>
      <w:bookmarkStart w:id="75" w:name="_Toc240811434"/>
      <w:r w:rsidRPr="00C7150E">
        <w:rPr>
          <w:rFonts w:eastAsia="Times New Roman"/>
          <w:lang w:val="en-GB" w:eastAsia="en-GB"/>
        </w:rPr>
        <w:lastRenderedPageBreak/>
        <w:t>Chapter 8: Business Model Canvas</w:t>
      </w:r>
      <w:bookmarkEnd w:id="75"/>
    </w:p>
    <w:p w14:paraId="0DCF30FA" w14:textId="107B8F70" w:rsidR="0057579E" w:rsidRPr="00C7150E" w:rsidRDefault="0057579E" w:rsidP="00996042">
      <w:pPr>
        <w:pStyle w:val="Heading2"/>
        <w:rPr>
          <w:rFonts w:eastAsia="Times New Roman"/>
          <w:lang w:val="en-GB" w:eastAsia="en-GB"/>
        </w:rPr>
      </w:pPr>
      <w:bookmarkStart w:id="76" w:name="_Toc240811435"/>
      <w:r w:rsidRPr="00C7150E">
        <w:rPr>
          <w:rFonts w:eastAsia="Times New Roman"/>
          <w:lang w:val="en-GB" w:eastAsia="en-GB"/>
        </w:rPr>
        <w:t>8</w:t>
      </w:r>
      <w:r w:rsidR="00996042">
        <w:rPr>
          <w:rFonts w:eastAsia="Times New Roman"/>
          <w:lang w:val="en-GB" w:eastAsia="en-GB"/>
        </w:rPr>
        <w:t>.1 Model Overview and Alignment</w:t>
      </w:r>
      <w:bookmarkEnd w:id="76"/>
    </w:p>
    <w:p w14:paraId="0D090304" w14:textId="7DB24221" w:rsidR="0057579E" w:rsidRPr="00C7150E" w:rsidRDefault="00235792" w:rsidP="00C7150E">
      <w:pPr>
        <w:spacing w:before="100" w:beforeAutospacing="1" w:after="100" w:afterAutospacing="1" w:line="360" w:lineRule="auto"/>
        <w:jc w:val="both"/>
        <w:rPr>
          <w:rFonts w:ascii="Arial" w:eastAsia="Times New Roman" w:hAnsi="Arial" w:cs="Arial"/>
          <w:sz w:val="24"/>
          <w:szCs w:val="24"/>
          <w:lang w:val="en-GB" w:eastAsia="en-GB"/>
        </w:rPr>
      </w:pPr>
      <w:r w:rsidRPr="00235792">
        <w:rPr>
          <w:rFonts w:ascii="Arial" w:eastAsia="Times New Roman" w:hAnsi="Arial" w:cs="Arial"/>
          <w:sz w:val="24"/>
          <w:szCs w:val="24"/>
          <w:lang w:val="en-GB" w:eastAsia="en-GB"/>
        </w:rPr>
        <w:t xml:space="preserve">Business Model Canvas (BMC) is an explanation of how a business creates, delivers and captures value with nine interconnected parts: Customer Segments, Value Proposition, Channels, Customer Relationships, Revenue Streams, Key Resources, Key Activities, Key Partnerships and Cost Structure (Osterwalder and Pigneur, 2010). The BMC is the operational and business model for The Ethical Bean Coffee House that was arrived at by focusing the staged differentiation strategy identified in Chapter 7. </w:t>
      </w:r>
      <w:r w:rsidR="00F75133" w:rsidRPr="00F75133">
        <w:rPr>
          <w:rFonts w:ascii="Arial" w:eastAsia="Times New Roman" w:hAnsi="Arial" w:cs="Arial"/>
          <w:sz w:val="24"/>
          <w:szCs w:val="24"/>
          <w:lang w:val="en-GB" w:eastAsia="en-GB"/>
        </w:rPr>
        <w:t>The completed visual Business Model Ca</w:t>
      </w:r>
      <w:r w:rsidR="00F75133">
        <w:rPr>
          <w:rFonts w:ascii="Arial" w:eastAsia="Times New Roman" w:hAnsi="Arial" w:cs="Arial"/>
          <w:sz w:val="24"/>
          <w:szCs w:val="24"/>
          <w:lang w:val="en-GB" w:eastAsia="en-GB"/>
        </w:rPr>
        <w:t>nvas is presented in Appendix 8</w:t>
      </w:r>
      <w:r w:rsidR="00B93C09">
        <w:rPr>
          <w:rFonts w:ascii="Arial" w:eastAsia="Times New Roman" w:hAnsi="Arial" w:cs="Arial"/>
          <w:sz w:val="24"/>
          <w:szCs w:val="24"/>
          <w:lang w:val="en-GB" w:eastAsia="en-GB"/>
        </w:rPr>
        <w:t>.</w:t>
      </w:r>
    </w:p>
    <w:p w14:paraId="0B23F5C8" w14:textId="4E8B859F" w:rsidR="0057579E" w:rsidRPr="007C5C09" w:rsidRDefault="0057579E" w:rsidP="007C5C09">
      <w:pPr>
        <w:pStyle w:val="Heading2"/>
        <w:rPr>
          <w:rFonts w:eastAsia="Times New Roman"/>
          <w:lang w:val="en-GB" w:eastAsia="en-GB"/>
        </w:rPr>
      </w:pPr>
      <w:bookmarkStart w:id="77" w:name="_Toc240811436"/>
      <w:r w:rsidRPr="00C7150E">
        <w:rPr>
          <w:rFonts w:eastAsia="Times New Roman"/>
          <w:lang w:val="en-GB" w:eastAsia="en-GB"/>
        </w:rPr>
        <w:t>8.2 Customer Segments and Value Proposition</w:t>
      </w:r>
      <w:bookmarkEnd w:id="77"/>
    </w:p>
    <w:p w14:paraId="51044B2A" w14:textId="0CCF2567" w:rsidR="007C5C09" w:rsidRPr="007C5C09" w:rsidRDefault="007C5C09" w:rsidP="007C5C09">
      <w:pPr>
        <w:spacing w:before="100" w:beforeAutospacing="1" w:after="100" w:afterAutospacing="1" w:line="360" w:lineRule="auto"/>
        <w:jc w:val="both"/>
        <w:rPr>
          <w:rFonts w:ascii="Arial" w:eastAsia="Times New Roman" w:hAnsi="Arial" w:cs="Arial"/>
          <w:sz w:val="24"/>
          <w:szCs w:val="24"/>
          <w:lang w:val="en-GB" w:eastAsia="en-GB"/>
        </w:rPr>
      </w:pPr>
      <w:r w:rsidRPr="007C5C09">
        <w:rPr>
          <w:rFonts w:ascii="Arial" w:eastAsia="Times New Roman" w:hAnsi="Arial" w:cs="Arial"/>
          <w:sz w:val="24"/>
          <w:szCs w:val="24"/>
          <w:lang w:val="en-GB" w:eastAsia="en-GB"/>
        </w:rPr>
        <w:t>The key customer group will be those who are conscious of their ethics and the specialty-coffee shopper and urban professionals in and around Monmouth Street, Covent Garden. These customers should appreciate the quality of their coffee, convenience of service, fun and enjoyable hospitality, and responsible consumption. The second group of visitors is people visiting Covent Garden in search of a good coffee and café. This prioritisation aligns with data indicating specialty coffee, personalised hospitality and café ambience are still significant players in the UK independent coffee-shop mark</w:t>
      </w:r>
      <w:r>
        <w:rPr>
          <w:rFonts w:ascii="Arial" w:eastAsia="Times New Roman" w:hAnsi="Arial" w:cs="Arial"/>
          <w:sz w:val="24"/>
          <w:szCs w:val="24"/>
          <w:lang w:val="en-GB" w:eastAsia="en-GB"/>
        </w:rPr>
        <w:t>et (World Coffee Portal, 2026).</w:t>
      </w:r>
    </w:p>
    <w:p w14:paraId="3EF073F9" w14:textId="2FDDB566" w:rsidR="0057579E" w:rsidRPr="00C7150E" w:rsidRDefault="007C5C09" w:rsidP="00C7150E">
      <w:pPr>
        <w:spacing w:before="100" w:beforeAutospacing="1" w:after="100" w:afterAutospacing="1" w:line="360" w:lineRule="auto"/>
        <w:jc w:val="both"/>
        <w:rPr>
          <w:rFonts w:ascii="Arial" w:eastAsia="Times New Roman" w:hAnsi="Arial" w:cs="Arial"/>
          <w:sz w:val="24"/>
          <w:szCs w:val="24"/>
          <w:lang w:val="en-GB" w:eastAsia="en-GB"/>
        </w:rPr>
      </w:pPr>
      <w:r w:rsidRPr="007C5C09">
        <w:rPr>
          <w:rFonts w:ascii="Arial" w:eastAsia="Times New Roman" w:hAnsi="Arial" w:cs="Arial"/>
          <w:sz w:val="24"/>
          <w:szCs w:val="24"/>
          <w:lang w:val="en-GB" w:eastAsia="en-GB"/>
        </w:rPr>
        <w:t xml:space="preserve">The value proposition is: specialty quality coffee, ethical sourcing, sourcing transparency, sustainable practices and personalised service. The potential to increase the price consumers may be willing to pay for sustainable coffee has been found, yet the extent to which this willingness to pay is demonstrated differs across consumer segments (Fuller and Grebitus, 2023; Abdu and Mutuku, 2021). The proposition thus caters to the functional aspects (quality, convenience and service) as well as to the ethical and experiential aspects. </w:t>
      </w:r>
      <w:r w:rsidR="004B56A6" w:rsidRPr="004B56A6">
        <w:rPr>
          <w:rFonts w:ascii="Arial" w:eastAsia="Times New Roman" w:hAnsi="Arial" w:cs="Arial"/>
          <w:sz w:val="24"/>
          <w:szCs w:val="24"/>
          <w:lang w:val="en-GB" w:eastAsia="en-GB"/>
        </w:rPr>
        <w:t>The project will seek to make responsible sourcing and sustainability visible within the customer journey, supporting a clearer ethical proposition than conventional mass-market alternatives</w:t>
      </w:r>
      <w:r w:rsidRPr="007C5C09">
        <w:rPr>
          <w:rFonts w:ascii="Arial" w:eastAsia="Times New Roman" w:hAnsi="Arial" w:cs="Arial"/>
          <w:sz w:val="24"/>
          <w:szCs w:val="24"/>
          <w:lang w:val="en-GB" w:eastAsia="en-GB"/>
        </w:rPr>
        <w:t>. Ethical positioning, however, is not enough to stand out as a specialty as there are well-known specialty players that also highlight responsible sourcing. It is therefore the quality, traceability, sustainability, and personalised hospitality that is the key to the competitive difference.</w:t>
      </w:r>
    </w:p>
    <w:p w14:paraId="2C2A77AE" w14:textId="21A4AA67" w:rsidR="0057579E" w:rsidRPr="007C5C09" w:rsidRDefault="0057579E" w:rsidP="007C5C09">
      <w:pPr>
        <w:pStyle w:val="Heading2"/>
        <w:rPr>
          <w:rFonts w:eastAsia="Times New Roman"/>
          <w:lang w:val="en-GB" w:eastAsia="en-GB"/>
        </w:rPr>
      </w:pPr>
      <w:bookmarkStart w:id="78" w:name="_Toc240811437"/>
      <w:r w:rsidRPr="00C7150E">
        <w:rPr>
          <w:rFonts w:eastAsia="Times New Roman"/>
          <w:lang w:val="en-GB" w:eastAsia="en-GB"/>
        </w:rPr>
        <w:lastRenderedPageBreak/>
        <w:t>8.3 Channels and Customer Relationships</w:t>
      </w:r>
      <w:bookmarkEnd w:id="78"/>
    </w:p>
    <w:p w14:paraId="6EB09FD2" w14:textId="0980B058" w:rsidR="007C5C09" w:rsidRPr="007C5C09" w:rsidRDefault="007C5C09" w:rsidP="007C5C09">
      <w:pPr>
        <w:spacing w:before="100" w:beforeAutospacing="1" w:after="100" w:afterAutospacing="1" w:line="360" w:lineRule="auto"/>
        <w:jc w:val="both"/>
        <w:rPr>
          <w:rFonts w:ascii="Arial" w:eastAsia="Times New Roman" w:hAnsi="Arial" w:cs="Arial"/>
          <w:sz w:val="24"/>
          <w:szCs w:val="24"/>
          <w:lang w:val="en-GB" w:eastAsia="en-GB"/>
        </w:rPr>
      </w:pPr>
      <w:r w:rsidRPr="007C5C09">
        <w:rPr>
          <w:rFonts w:ascii="Arial" w:eastAsia="Times New Roman" w:hAnsi="Arial" w:cs="Arial"/>
          <w:sz w:val="24"/>
          <w:szCs w:val="24"/>
          <w:lang w:val="en-GB" w:eastAsia="en-GB"/>
        </w:rPr>
        <w:t xml:space="preserve">The principal channel will be the offline café, where people will get to experience the product, service and brand. The website and social media will enable awareness, menus discovery, location and customer engagement. </w:t>
      </w:r>
      <w:r w:rsidR="00495D09" w:rsidRPr="00495D09">
        <w:rPr>
          <w:rFonts w:ascii="Arial" w:eastAsia="Times New Roman" w:hAnsi="Arial" w:cs="Arial"/>
          <w:sz w:val="24"/>
          <w:szCs w:val="24"/>
          <w:lang w:val="en-GB" w:eastAsia="en-GB"/>
        </w:rPr>
        <w:t>Where commercially feasible, direct digital ordering can support convenience and repeat purchases.</w:t>
      </w:r>
    </w:p>
    <w:p w14:paraId="6037566F" w14:textId="5B51C326" w:rsidR="0057579E" w:rsidRPr="00C7150E" w:rsidRDefault="007C5C09" w:rsidP="00C7150E">
      <w:pPr>
        <w:spacing w:before="100" w:beforeAutospacing="1" w:after="100" w:afterAutospacing="1" w:line="360" w:lineRule="auto"/>
        <w:jc w:val="both"/>
        <w:rPr>
          <w:rFonts w:ascii="Arial" w:eastAsia="Times New Roman" w:hAnsi="Arial" w:cs="Arial"/>
          <w:sz w:val="24"/>
          <w:szCs w:val="24"/>
          <w:lang w:val="en-GB" w:eastAsia="en-GB"/>
        </w:rPr>
      </w:pPr>
      <w:r w:rsidRPr="007C5C09">
        <w:rPr>
          <w:rFonts w:ascii="Arial" w:eastAsia="Times New Roman" w:hAnsi="Arial" w:cs="Arial"/>
          <w:sz w:val="24"/>
          <w:szCs w:val="24"/>
          <w:lang w:val="en-GB" w:eastAsia="en-GB"/>
        </w:rPr>
        <w:t>Customer relations will be a mix of personal support, self-service and digital interaction. Employees who are trained will be able to offer personalised service and product advice, and loyalty schemes, such as feedback and social-media communication, will help to keep the customer. Feedback/complaints by customers will be tracked to ensure that service is better and repeat purchases are facilitated. Data concerning customers gathered during digital or loyalty operations must be handled in a responsible and compliant way with regard to privacy.</w:t>
      </w:r>
    </w:p>
    <w:p w14:paraId="64F970BD" w14:textId="12CBF997" w:rsidR="0057579E" w:rsidRPr="00C7150E" w:rsidRDefault="0057579E" w:rsidP="00C04AA0">
      <w:pPr>
        <w:pStyle w:val="Heading2"/>
        <w:rPr>
          <w:rFonts w:eastAsia="Times New Roman"/>
          <w:lang w:val="en-GB" w:eastAsia="en-GB"/>
        </w:rPr>
      </w:pPr>
      <w:bookmarkStart w:id="79" w:name="_Toc240811438"/>
      <w:r w:rsidRPr="00C7150E">
        <w:rPr>
          <w:rFonts w:eastAsia="Times New Roman"/>
          <w:lang w:val="en-GB" w:eastAsia="en-GB"/>
        </w:rPr>
        <w:t>8.4 Revenue Streams and Cost Structu</w:t>
      </w:r>
      <w:r w:rsidR="00741EE0">
        <w:rPr>
          <w:rFonts w:eastAsia="Times New Roman"/>
          <w:lang w:val="en-GB" w:eastAsia="en-GB"/>
        </w:rPr>
        <w:t>re</w:t>
      </w:r>
      <w:bookmarkEnd w:id="79"/>
    </w:p>
    <w:p w14:paraId="71F2994E" w14:textId="6B45CC64" w:rsidR="00C04AA0" w:rsidRPr="00C04AA0" w:rsidRDefault="00C04AA0" w:rsidP="00C04AA0">
      <w:pPr>
        <w:spacing w:before="100" w:beforeAutospacing="1" w:after="100" w:afterAutospacing="1" w:line="360" w:lineRule="auto"/>
        <w:jc w:val="both"/>
        <w:rPr>
          <w:rFonts w:ascii="Arial" w:eastAsia="Times New Roman" w:hAnsi="Arial" w:cs="Arial"/>
          <w:sz w:val="24"/>
          <w:szCs w:val="24"/>
          <w:lang w:val="en-GB" w:eastAsia="en-GB"/>
        </w:rPr>
      </w:pPr>
      <w:r w:rsidRPr="00C04AA0">
        <w:rPr>
          <w:rFonts w:ascii="Arial" w:eastAsia="Times New Roman" w:hAnsi="Arial" w:cs="Arial"/>
          <w:sz w:val="24"/>
          <w:szCs w:val="24"/>
          <w:lang w:val="en-GB" w:eastAsia="en-GB"/>
        </w:rPr>
        <w:t>In-store sales of specialty coffee and other drinks/drinks will be the main source of income with food sales acting as the secondary income stream. Coffee beans and some complementary products are available to provide a secondary income. Revenue will thus primarily be based on transactions and will come from paying customers per transaction or per bundled offer. Prices should be premium, but attainable, and need to be compared to local competitors; don't presume customers would auto</w:t>
      </w:r>
      <w:r>
        <w:rPr>
          <w:rFonts w:ascii="Arial" w:eastAsia="Times New Roman" w:hAnsi="Arial" w:cs="Arial"/>
          <w:sz w:val="24"/>
          <w:szCs w:val="24"/>
          <w:lang w:val="en-GB" w:eastAsia="en-GB"/>
        </w:rPr>
        <w:t>matically pay the higher price.</w:t>
      </w:r>
    </w:p>
    <w:p w14:paraId="41127D33" w14:textId="2CBF3BA7" w:rsidR="0057579E" w:rsidRPr="00C7150E" w:rsidRDefault="00C04AA0" w:rsidP="00C7150E">
      <w:pPr>
        <w:spacing w:before="100" w:beforeAutospacing="1" w:after="100" w:afterAutospacing="1" w:line="360" w:lineRule="auto"/>
        <w:jc w:val="both"/>
        <w:rPr>
          <w:rFonts w:ascii="Arial" w:eastAsia="Times New Roman" w:hAnsi="Arial" w:cs="Arial"/>
          <w:sz w:val="24"/>
          <w:szCs w:val="24"/>
          <w:lang w:val="en-GB" w:eastAsia="en-GB"/>
        </w:rPr>
      </w:pPr>
      <w:r w:rsidRPr="00C04AA0">
        <w:rPr>
          <w:rFonts w:ascii="Arial" w:eastAsia="Times New Roman" w:hAnsi="Arial" w:cs="Arial"/>
          <w:sz w:val="24"/>
          <w:szCs w:val="24"/>
          <w:lang w:val="en-GB" w:eastAsia="en-GB"/>
        </w:rPr>
        <w:t xml:space="preserve">These are the major costs that are fixed such as premises, staff, insurance, licences, software and professional services. Variable costs are the costs of coffee, milk, food ingredients, packaging and payment charges. Other expenses include equipment, training, marketing and sustainability programs. Independent coffee shops are more likely to be subjected to higher costs as they do not benefit from the benefits of scale that larger chains can enjoy (World Coffee Portal, 2026). </w:t>
      </w:r>
    </w:p>
    <w:p w14:paraId="7A2DF3ED" w14:textId="264662CA" w:rsidR="0057579E" w:rsidRPr="00D44CCC" w:rsidRDefault="0057579E" w:rsidP="00D44CCC">
      <w:pPr>
        <w:pStyle w:val="Heading2"/>
        <w:rPr>
          <w:rFonts w:eastAsia="Times New Roman"/>
          <w:lang w:val="en-GB" w:eastAsia="en-GB"/>
        </w:rPr>
      </w:pPr>
      <w:bookmarkStart w:id="80" w:name="_Toc240811439"/>
      <w:r w:rsidRPr="00C7150E">
        <w:rPr>
          <w:rFonts w:eastAsia="Times New Roman"/>
          <w:lang w:val="en-GB" w:eastAsia="en-GB"/>
        </w:rPr>
        <w:t>8.5 Key Resources, Activities and Partnerships</w:t>
      </w:r>
      <w:bookmarkEnd w:id="80"/>
    </w:p>
    <w:p w14:paraId="335A6BE5" w14:textId="68704969" w:rsidR="00D44CCC" w:rsidRPr="00D44CCC" w:rsidRDefault="00194468" w:rsidP="00D44CCC">
      <w:pPr>
        <w:spacing w:before="100" w:beforeAutospacing="1" w:after="100" w:afterAutospacing="1" w:line="360" w:lineRule="auto"/>
        <w:jc w:val="both"/>
        <w:rPr>
          <w:rFonts w:ascii="Arial" w:eastAsia="Times New Roman" w:hAnsi="Arial" w:cs="Arial"/>
          <w:sz w:val="24"/>
          <w:szCs w:val="24"/>
          <w:lang w:val="en-GB" w:eastAsia="en-GB"/>
        </w:rPr>
      </w:pPr>
      <w:r w:rsidRPr="00194468">
        <w:rPr>
          <w:rFonts w:ascii="Arial" w:eastAsia="Times New Roman" w:hAnsi="Arial" w:cs="Arial"/>
          <w:sz w:val="24"/>
          <w:szCs w:val="24"/>
          <w:lang w:val="en-GB" w:eastAsia="en-GB"/>
        </w:rPr>
        <w:t xml:space="preserve">Key resources will include the Covent Garden location, professional coffee equipment, trained staff, working capital, brand identity, digital/POS systems and, once developed, </w:t>
      </w:r>
      <w:r w:rsidRPr="00194468">
        <w:rPr>
          <w:rFonts w:ascii="Arial" w:eastAsia="Times New Roman" w:hAnsi="Arial" w:cs="Arial"/>
          <w:sz w:val="24"/>
          <w:szCs w:val="24"/>
          <w:lang w:val="en-GB" w:eastAsia="en-GB"/>
        </w:rPr>
        <w:lastRenderedPageBreak/>
        <w:t>credible relationships with ethical suppliers</w:t>
      </w:r>
      <w:r w:rsidR="00D44CCC" w:rsidRPr="00D44CCC">
        <w:rPr>
          <w:rFonts w:ascii="Arial" w:eastAsia="Times New Roman" w:hAnsi="Arial" w:cs="Arial"/>
          <w:sz w:val="24"/>
          <w:szCs w:val="24"/>
          <w:lang w:val="en-GB" w:eastAsia="en-GB"/>
        </w:rPr>
        <w:t>. The premise and the trained staff are so crucial as the strategy relies on an experience-driven proposition. Ethical supplier relationships are the substantiation evidence needed to support sourcing claims, and working capital is required to cover rent, wages and inventory costs until the business has built a trading history. Most of these resources will have to be purcha</w:t>
      </w:r>
      <w:r w:rsidR="00D44CCC">
        <w:rPr>
          <w:rFonts w:ascii="Arial" w:eastAsia="Times New Roman" w:hAnsi="Arial" w:cs="Arial"/>
          <w:sz w:val="24"/>
          <w:szCs w:val="24"/>
          <w:lang w:val="en-GB" w:eastAsia="en-GB"/>
        </w:rPr>
        <w:t>sed or created prior to launch.</w:t>
      </w:r>
    </w:p>
    <w:p w14:paraId="25769AFC" w14:textId="33E4DED9" w:rsidR="0057579E" w:rsidRPr="00C7150E" w:rsidRDefault="00D44CCC" w:rsidP="00C7150E">
      <w:pPr>
        <w:spacing w:before="100" w:beforeAutospacing="1" w:after="100" w:afterAutospacing="1" w:line="360" w:lineRule="auto"/>
        <w:jc w:val="both"/>
        <w:rPr>
          <w:rFonts w:ascii="Arial" w:eastAsia="Times New Roman" w:hAnsi="Arial" w:cs="Arial"/>
          <w:sz w:val="24"/>
          <w:szCs w:val="24"/>
          <w:lang w:val="en-GB" w:eastAsia="en-GB"/>
        </w:rPr>
      </w:pPr>
      <w:r w:rsidRPr="00D44CCC">
        <w:rPr>
          <w:rFonts w:ascii="Arial" w:eastAsia="Times New Roman" w:hAnsi="Arial" w:cs="Arial"/>
          <w:sz w:val="24"/>
          <w:szCs w:val="24"/>
          <w:lang w:val="en-GB" w:eastAsia="en-GB"/>
        </w:rPr>
        <w:t>Ethical sourcing and supplier verification, coffee preparation and quality control, customer service, inventory management, waste reduction, digital engagement and performance monitoring are key activities. These activities are directly linked to the value proposition and revenue model. Coffee consistency will need to be standardised, with staff training, and ethical positioning will call for proper records of sourcing and correct c</w:t>
      </w:r>
      <w:r>
        <w:rPr>
          <w:rFonts w:ascii="Arial" w:eastAsia="Times New Roman" w:hAnsi="Arial" w:cs="Arial"/>
          <w:sz w:val="24"/>
          <w:szCs w:val="24"/>
          <w:lang w:val="en-GB" w:eastAsia="en-GB"/>
        </w:rPr>
        <w:t>ommunication with the customer.</w:t>
      </w:r>
      <w:r w:rsidR="004809C8">
        <w:rPr>
          <w:rFonts w:ascii="Arial" w:eastAsia="Times New Roman" w:hAnsi="Arial" w:cs="Arial"/>
          <w:sz w:val="24"/>
          <w:szCs w:val="24"/>
          <w:lang w:val="en-GB" w:eastAsia="en-GB"/>
        </w:rPr>
        <w:t xml:space="preserve"> </w:t>
      </w:r>
      <w:r w:rsidRPr="00D44CCC">
        <w:rPr>
          <w:rFonts w:ascii="Arial" w:eastAsia="Times New Roman" w:hAnsi="Arial" w:cs="Arial"/>
          <w:sz w:val="24"/>
          <w:szCs w:val="24"/>
          <w:lang w:val="en-GB" w:eastAsia="en-GB"/>
        </w:rPr>
        <w:t xml:space="preserve">Some key partners include selected roasters or producers of coffee, food suppliers, sustainability and waste-management partners, and payment or technology providers. Diversifying suppliers can help mitigate against reliance on a single source and help buffer against availability, quality and price issues. </w:t>
      </w:r>
    </w:p>
    <w:p w14:paraId="5F55BDDE" w14:textId="2D861778" w:rsidR="0057579E" w:rsidRPr="00C7150E" w:rsidRDefault="0057579E" w:rsidP="00BE3014">
      <w:pPr>
        <w:pStyle w:val="Heading2"/>
        <w:rPr>
          <w:rFonts w:eastAsia="Times New Roman"/>
          <w:lang w:val="en-GB" w:eastAsia="en-GB"/>
        </w:rPr>
      </w:pPr>
      <w:bookmarkStart w:id="81" w:name="_Toc240811440"/>
      <w:r w:rsidRPr="00C7150E">
        <w:rPr>
          <w:rFonts w:eastAsia="Times New Roman"/>
          <w:lang w:val="en-GB" w:eastAsia="en-GB"/>
        </w:rPr>
        <w:t>8.6 Integrat</w:t>
      </w:r>
      <w:r w:rsidR="00573EAA">
        <w:rPr>
          <w:rFonts w:eastAsia="Times New Roman"/>
          <w:lang w:val="en-GB" w:eastAsia="en-GB"/>
        </w:rPr>
        <w:t>ion, Assumptions and Conclusion</w:t>
      </w:r>
      <w:bookmarkEnd w:id="81"/>
    </w:p>
    <w:p w14:paraId="651045A4" w14:textId="2DC7D7D9" w:rsidR="00BE3014" w:rsidRPr="00BE3014" w:rsidRDefault="00BE3014" w:rsidP="00BE3014">
      <w:pPr>
        <w:spacing w:before="100" w:beforeAutospacing="1" w:after="100" w:afterAutospacing="1" w:line="360" w:lineRule="auto"/>
        <w:jc w:val="both"/>
        <w:rPr>
          <w:rFonts w:ascii="Arial" w:eastAsia="Times New Roman" w:hAnsi="Arial" w:cs="Arial"/>
          <w:sz w:val="24"/>
          <w:szCs w:val="24"/>
          <w:lang w:val="en-GB" w:eastAsia="en-GB"/>
        </w:rPr>
      </w:pPr>
      <w:r w:rsidRPr="00BE3014">
        <w:rPr>
          <w:rFonts w:ascii="Arial" w:eastAsia="Times New Roman" w:hAnsi="Arial" w:cs="Arial"/>
          <w:sz w:val="24"/>
          <w:szCs w:val="24"/>
          <w:lang w:val="en-GB" w:eastAsia="en-GB"/>
        </w:rPr>
        <w:t>The nine components are part of a whole: the value proposition dictates the channels, relationships, resources and activities needed; partnerships enable delivery; the revenue from beverages, foods and retailing should offset the cost structure. This helps to bring in direct alignment with focused staged differe</w:t>
      </w:r>
      <w:r>
        <w:rPr>
          <w:rFonts w:ascii="Arial" w:eastAsia="Times New Roman" w:hAnsi="Arial" w:cs="Arial"/>
          <w:sz w:val="24"/>
          <w:szCs w:val="24"/>
          <w:lang w:val="en-GB" w:eastAsia="en-GB"/>
        </w:rPr>
        <w:t>ntiation outlined in Chapter 7.</w:t>
      </w:r>
    </w:p>
    <w:p w14:paraId="531E98BD" w14:textId="135BDB3C" w:rsidR="0057579E" w:rsidRDefault="00BE3014" w:rsidP="00BE3014">
      <w:pPr>
        <w:spacing w:before="100" w:beforeAutospacing="1" w:after="100" w:afterAutospacing="1" w:line="360" w:lineRule="auto"/>
        <w:jc w:val="both"/>
        <w:rPr>
          <w:rFonts w:ascii="Arial" w:eastAsia="Times New Roman" w:hAnsi="Arial" w:cs="Arial"/>
          <w:sz w:val="24"/>
          <w:szCs w:val="24"/>
          <w:lang w:val="en-GB" w:eastAsia="en-GB"/>
        </w:rPr>
      </w:pPr>
      <w:r w:rsidRPr="00BE3014">
        <w:rPr>
          <w:rFonts w:ascii="Arial" w:eastAsia="Times New Roman" w:hAnsi="Arial" w:cs="Arial"/>
          <w:sz w:val="24"/>
          <w:szCs w:val="24"/>
          <w:lang w:val="en-GB" w:eastAsia="en-GB"/>
        </w:rPr>
        <w:t xml:space="preserve">The model has some assumptions that need to be validated, however. These include whether or not customers at Covent Garden are willing to pay extra for ethical and specialty characteristics and whether responsible sourcing is achievable without the unnecessary increase in prices. These assumptions would need to be validated with supplier quotes, competitor price checking, early sales information, repeat purchases and gross-margin tracking. </w:t>
      </w:r>
      <w:r w:rsidR="00B205B6" w:rsidRPr="00B205B6">
        <w:rPr>
          <w:rFonts w:ascii="Arial" w:eastAsia="Times New Roman" w:hAnsi="Arial" w:cs="Arial"/>
          <w:sz w:val="24"/>
          <w:szCs w:val="24"/>
          <w:lang w:val="en-GB" w:eastAsia="en-GB"/>
        </w:rPr>
        <w:t>The BMC should therefore be treated as a testable business model rather than a fixed plan, with the subsequent marketing, operational and financial chapters translating its assumptions into measurable implementation requirements</w:t>
      </w:r>
      <w:r w:rsidR="0057579E" w:rsidRPr="00C7150E">
        <w:rPr>
          <w:rFonts w:ascii="Arial" w:eastAsia="Times New Roman" w:hAnsi="Arial" w:cs="Arial"/>
          <w:sz w:val="24"/>
          <w:szCs w:val="24"/>
          <w:lang w:val="en-GB" w:eastAsia="en-GB"/>
        </w:rPr>
        <w:t>.</w:t>
      </w:r>
    </w:p>
    <w:p w14:paraId="0BB973FF" w14:textId="0F5E4592" w:rsidR="00A1593B" w:rsidRDefault="00A1593B" w:rsidP="00BE3014">
      <w:pPr>
        <w:spacing w:before="100" w:beforeAutospacing="1" w:after="100" w:afterAutospacing="1" w:line="360" w:lineRule="auto"/>
        <w:jc w:val="both"/>
        <w:rPr>
          <w:rFonts w:ascii="Arial" w:eastAsia="Times New Roman" w:hAnsi="Arial" w:cs="Arial"/>
          <w:sz w:val="24"/>
          <w:szCs w:val="24"/>
          <w:lang w:val="en-GB" w:eastAsia="en-GB"/>
        </w:rPr>
      </w:pPr>
    </w:p>
    <w:p w14:paraId="0D6354EB" w14:textId="77777777" w:rsidR="00B2409B" w:rsidRPr="00B2409B" w:rsidRDefault="00B2409B" w:rsidP="00C35696">
      <w:pPr>
        <w:pStyle w:val="Heading1"/>
        <w:jc w:val="center"/>
        <w:rPr>
          <w:rFonts w:eastAsia="Times New Roman"/>
          <w:lang w:val="en-GB" w:eastAsia="en-GB"/>
        </w:rPr>
      </w:pPr>
      <w:bookmarkStart w:id="82" w:name="_Toc240811441"/>
      <w:r w:rsidRPr="00B2409B">
        <w:rPr>
          <w:rFonts w:eastAsia="Times New Roman"/>
          <w:lang w:val="en-GB" w:eastAsia="en-GB"/>
        </w:rPr>
        <w:t>Chapter 9: Financial, Marketing and Sales, and Human Capital Management Plan</w:t>
      </w:r>
      <w:bookmarkEnd w:id="82"/>
    </w:p>
    <w:p w14:paraId="1DA57D3F" w14:textId="53E038CD" w:rsidR="00B2409B" w:rsidRPr="00B2409B" w:rsidRDefault="0038379F" w:rsidP="00C35696">
      <w:pPr>
        <w:pStyle w:val="Heading2"/>
        <w:rPr>
          <w:rFonts w:eastAsia="Times New Roman"/>
          <w:lang w:val="en-GB" w:eastAsia="en-GB"/>
        </w:rPr>
      </w:pPr>
      <w:bookmarkStart w:id="83" w:name="_Toc240811442"/>
      <w:r>
        <w:rPr>
          <w:rFonts w:eastAsia="Times New Roman"/>
          <w:lang w:val="en-GB" w:eastAsia="en-GB"/>
        </w:rPr>
        <w:t>9.1 Integrated Plan Overview</w:t>
      </w:r>
      <w:bookmarkEnd w:id="83"/>
    </w:p>
    <w:p w14:paraId="5E5B2F5E" w14:textId="6C85EFB5" w:rsidR="00C35696" w:rsidRPr="00C35696" w:rsidRDefault="00C35696" w:rsidP="00C35696">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 xml:space="preserve">This chapter is the conversion of the market opportunity, competitive environment, focused staged differentiation strategy and Business Model Canvas developed in Chapters 5-8 into an integrated functional plan for The Ethical Bean Coffee House (TEBC). The main idea is that all financial, marketing, sales and human-capital decisions should be one. The model proposes to appeal to an audience of ethically-minded specialty-foe coffee drinkers and city professionals in and around Monmouth Street, Covent Garden, with selected visitors and local residents. The business will differentiate on specialty coffee quality, credible transparency around sourcing, sustainability and personal service at an accessible-premium price point. The Value Creation, Delivery and Financial Viability (Osterwalder and Pigneur, 2010) is the connection between value creation and value delivery and the financial viability. </w:t>
      </w:r>
    </w:p>
    <w:p w14:paraId="6B350E60" w14:textId="77777777" w:rsidR="00C35696" w:rsidRPr="00C35696" w:rsidRDefault="00C35696" w:rsidP="00C35696">
      <w:pPr>
        <w:pStyle w:val="Heading2"/>
        <w:rPr>
          <w:rFonts w:eastAsia="Times New Roman"/>
          <w:lang w:val="en-GB" w:eastAsia="en-GB"/>
        </w:rPr>
      </w:pPr>
      <w:bookmarkStart w:id="84" w:name="_Toc240811443"/>
      <w:r w:rsidRPr="00C35696">
        <w:rPr>
          <w:rFonts w:eastAsia="Times New Roman"/>
          <w:lang w:val="en-GB" w:eastAsia="en-GB"/>
        </w:rPr>
        <w:t>9.2 Financial Plan</w:t>
      </w:r>
      <w:bookmarkEnd w:id="84"/>
    </w:p>
    <w:p w14:paraId="6D7561EC" w14:textId="0149C3EF" w:rsidR="00C35696" w:rsidRPr="00C35696" w:rsidRDefault="00665C21" w:rsidP="00665C21">
      <w:pPr>
        <w:pStyle w:val="Heading3"/>
        <w:rPr>
          <w:rFonts w:eastAsia="Times New Roman"/>
          <w:lang w:val="en-GB" w:eastAsia="en-GB"/>
        </w:rPr>
      </w:pPr>
      <w:bookmarkStart w:id="85" w:name="_Toc240811444"/>
      <w:r>
        <w:rPr>
          <w:rFonts w:eastAsia="Times New Roman"/>
          <w:lang w:val="en-GB" w:eastAsia="en-GB"/>
        </w:rPr>
        <w:t>9.2.1 Economic</w:t>
      </w:r>
      <w:r w:rsidR="00C35696" w:rsidRPr="00C35696">
        <w:rPr>
          <w:rFonts w:eastAsia="Times New Roman"/>
          <w:lang w:val="en-GB" w:eastAsia="en-GB"/>
        </w:rPr>
        <w:t xml:space="preserve"> assumptions and business model</w:t>
      </w:r>
      <w:bookmarkEnd w:id="85"/>
    </w:p>
    <w:p w14:paraId="4C8B3DB9" w14:textId="220FAAF2" w:rsidR="00B2409B" w:rsidRPr="00B2409B" w:rsidRDefault="00C35696" w:rsidP="00C35696">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The financial model is bottom up, rather than based on an unbacked percentage of the broader Covent Garden market. This corresponds to a revenue that is based on customers, transactions, prices, capacity and timing. The key planning assumptions are summarised below</w:t>
      </w:r>
      <w:r>
        <w:rPr>
          <w:rFonts w:ascii="Arial" w:eastAsia="Times New Roman" w:hAnsi="Arial" w:cs="Arial"/>
          <w:sz w:val="24"/>
          <w:szCs w:val="24"/>
          <w:lang w:val="en-GB" w:eastAsia="en-GB"/>
        </w:rPr>
        <w:t>.</w:t>
      </w:r>
    </w:p>
    <w:p w14:paraId="3198F995" w14:textId="7BD95C22" w:rsidR="00C35696" w:rsidRPr="00C35696" w:rsidRDefault="00C35696" w:rsidP="00C35696">
      <w:pPr>
        <w:pStyle w:val="Caption"/>
        <w:keepNext/>
        <w:jc w:val="both"/>
        <w:rPr>
          <w:rFonts w:ascii="Arial" w:hAnsi="Arial" w:cs="Arial"/>
          <w:sz w:val="24"/>
        </w:rPr>
      </w:pPr>
      <w:bookmarkStart w:id="86" w:name="_Toc240810941"/>
      <w:r w:rsidRPr="00C35696">
        <w:rPr>
          <w:rFonts w:ascii="Arial" w:hAnsi="Arial" w:cs="Arial"/>
          <w:sz w:val="24"/>
        </w:rPr>
        <w:t xml:space="preserve">Table </w:t>
      </w:r>
      <w:r w:rsidRPr="00C35696">
        <w:rPr>
          <w:rFonts w:ascii="Arial" w:hAnsi="Arial" w:cs="Arial"/>
          <w:sz w:val="24"/>
        </w:rPr>
        <w:fldChar w:fldCharType="begin"/>
      </w:r>
      <w:r w:rsidRPr="00C35696">
        <w:rPr>
          <w:rFonts w:ascii="Arial" w:hAnsi="Arial" w:cs="Arial"/>
          <w:sz w:val="24"/>
        </w:rPr>
        <w:instrText xml:space="preserve"> SEQ Table \* ARABIC </w:instrText>
      </w:r>
      <w:r w:rsidRPr="00C35696">
        <w:rPr>
          <w:rFonts w:ascii="Arial" w:hAnsi="Arial" w:cs="Arial"/>
          <w:sz w:val="24"/>
        </w:rPr>
        <w:fldChar w:fldCharType="separate"/>
      </w:r>
      <w:r w:rsidR="004E1559">
        <w:rPr>
          <w:rFonts w:ascii="Arial" w:hAnsi="Arial" w:cs="Arial"/>
          <w:noProof/>
          <w:sz w:val="24"/>
        </w:rPr>
        <w:t>10</w:t>
      </w:r>
      <w:r w:rsidRPr="00C35696">
        <w:rPr>
          <w:rFonts w:ascii="Arial" w:hAnsi="Arial" w:cs="Arial"/>
          <w:sz w:val="24"/>
        </w:rPr>
        <w:fldChar w:fldCharType="end"/>
      </w:r>
      <w:r w:rsidRPr="00C35696">
        <w:rPr>
          <w:rFonts w:ascii="Arial" w:hAnsi="Arial" w:cs="Arial"/>
          <w:sz w:val="24"/>
        </w:rPr>
        <w:t>.Economic assumptions and business model</w:t>
      </w:r>
      <w:bookmarkEnd w:id="86"/>
    </w:p>
    <w:tbl>
      <w:tblPr>
        <w:tblStyle w:val="TableGrid"/>
        <w:tblW w:w="0" w:type="auto"/>
        <w:tblLook w:val="04A0" w:firstRow="1" w:lastRow="0" w:firstColumn="1" w:lastColumn="0" w:noHBand="0" w:noVBand="1"/>
      </w:tblPr>
      <w:tblGrid>
        <w:gridCol w:w="4508"/>
        <w:gridCol w:w="4508"/>
      </w:tblGrid>
      <w:tr w:rsidR="00C35696" w:rsidRPr="00C35696" w14:paraId="00C440AA" w14:textId="77777777" w:rsidTr="00C35696">
        <w:tc>
          <w:tcPr>
            <w:tcW w:w="4508" w:type="dxa"/>
          </w:tcPr>
          <w:p w14:paraId="59F2D1AB" w14:textId="77777777" w:rsidR="00C35696" w:rsidRPr="00C35696" w:rsidRDefault="00C35696" w:rsidP="00BA66A0">
            <w:pPr>
              <w:spacing w:before="100" w:beforeAutospacing="1" w:after="100" w:afterAutospacing="1" w:line="360" w:lineRule="auto"/>
              <w:jc w:val="both"/>
              <w:rPr>
                <w:rFonts w:ascii="Arial" w:eastAsia="Times New Roman" w:hAnsi="Arial" w:cs="Arial"/>
                <w:b/>
                <w:sz w:val="24"/>
                <w:szCs w:val="24"/>
                <w:lang w:val="en-GB" w:eastAsia="en-GB"/>
              </w:rPr>
            </w:pPr>
            <w:r w:rsidRPr="00C35696">
              <w:rPr>
                <w:rFonts w:ascii="Arial" w:eastAsia="Times New Roman" w:hAnsi="Arial" w:cs="Arial"/>
                <w:b/>
                <w:sz w:val="24"/>
                <w:szCs w:val="24"/>
                <w:lang w:val="en-GB" w:eastAsia="en-GB"/>
              </w:rPr>
              <w:t>Assumption</w:t>
            </w:r>
          </w:p>
        </w:tc>
        <w:tc>
          <w:tcPr>
            <w:tcW w:w="4508" w:type="dxa"/>
          </w:tcPr>
          <w:p w14:paraId="536264DC" w14:textId="77777777" w:rsidR="00C35696" w:rsidRPr="00C35696" w:rsidRDefault="00C35696" w:rsidP="00BA66A0">
            <w:pPr>
              <w:spacing w:before="100" w:beforeAutospacing="1" w:after="100" w:afterAutospacing="1" w:line="360" w:lineRule="auto"/>
              <w:jc w:val="both"/>
              <w:rPr>
                <w:rFonts w:ascii="Arial" w:eastAsia="Times New Roman" w:hAnsi="Arial" w:cs="Arial"/>
                <w:b/>
                <w:sz w:val="24"/>
                <w:szCs w:val="24"/>
                <w:lang w:val="en-GB" w:eastAsia="en-GB"/>
              </w:rPr>
            </w:pPr>
            <w:r w:rsidRPr="00C35696">
              <w:rPr>
                <w:rFonts w:ascii="Arial" w:eastAsia="Times New Roman" w:hAnsi="Arial" w:cs="Arial"/>
                <w:b/>
                <w:sz w:val="24"/>
                <w:szCs w:val="24"/>
                <w:lang w:val="en-GB" w:eastAsia="en-GB"/>
              </w:rPr>
              <w:t>Base-case planning assumption</w:t>
            </w:r>
          </w:p>
        </w:tc>
      </w:tr>
      <w:tr w:rsidR="00C35696" w:rsidRPr="00C35696" w14:paraId="7B3FD4B2" w14:textId="77777777" w:rsidTr="00C35696">
        <w:tc>
          <w:tcPr>
            <w:tcW w:w="4508" w:type="dxa"/>
          </w:tcPr>
          <w:p w14:paraId="03F16D16" w14:textId="77777777" w:rsidR="00C35696" w:rsidRPr="00C35696" w:rsidRDefault="00C35696" w:rsidP="00BA66A0">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Average transaction value</w:t>
            </w:r>
          </w:p>
        </w:tc>
        <w:tc>
          <w:tcPr>
            <w:tcW w:w="4508" w:type="dxa"/>
          </w:tcPr>
          <w:p w14:paraId="5FF2A8BA" w14:textId="77777777" w:rsidR="00C35696" w:rsidRPr="00C35696" w:rsidRDefault="00C35696" w:rsidP="00BA66A0">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£7.00</w:t>
            </w:r>
          </w:p>
        </w:tc>
      </w:tr>
      <w:tr w:rsidR="00C35696" w:rsidRPr="00C35696" w14:paraId="2E94F2F1" w14:textId="77777777" w:rsidTr="00C35696">
        <w:tc>
          <w:tcPr>
            <w:tcW w:w="4508" w:type="dxa"/>
          </w:tcPr>
          <w:p w14:paraId="5ACFAB8C" w14:textId="77777777" w:rsidR="00C35696" w:rsidRPr="00C35696" w:rsidRDefault="00C35696" w:rsidP="00BA66A0">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Trading days</w:t>
            </w:r>
          </w:p>
        </w:tc>
        <w:tc>
          <w:tcPr>
            <w:tcW w:w="4508" w:type="dxa"/>
          </w:tcPr>
          <w:p w14:paraId="6BF4EF80" w14:textId="77777777" w:rsidR="00C35696" w:rsidRPr="00C35696" w:rsidRDefault="00C35696" w:rsidP="00BA66A0">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310 days per year</w:t>
            </w:r>
          </w:p>
        </w:tc>
      </w:tr>
      <w:tr w:rsidR="00C35696" w:rsidRPr="00C35696" w14:paraId="5299FFF4" w14:textId="77777777" w:rsidTr="00C35696">
        <w:tc>
          <w:tcPr>
            <w:tcW w:w="4508" w:type="dxa"/>
          </w:tcPr>
          <w:p w14:paraId="2338E1B1" w14:textId="77777777" w:rsidR="00C35696" w:rsidRPr="00C35696" w:rsidRDefault="00C35696" w:rsidP="00BA66A0">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Year 1 average transactions/day</w:t>
            </w:r>
          </w:p>
        </w:tc>
        <w:tc>
          <w:tcPr>
            <w:tcW w:w="4508" w:type="dxa"/>
          </w:tcPr>
          <w:p w14:paraId="58370A7B" w14:textId="77777777" w:rsidR="00C35696" w:rsidRPr="00C35696" w:rsidRDefault="00C35696" w:rsidP="00BA66A0">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135</w:t>
            </w:r>
          </w:p>
        </w:tc>
      </w:tr>
      <w:tr w:rsidR="00C35696" w:rsidRPr="00C35696" w14:paraId="761B1A48" w14:textId="77777777" w:rsidTr="00C35696">
        <w:tc>
          <w:tcPr>
            <w:tcW w:w="4508" w:type="dxa"/>
          </w:tcPr>
          <w:p w14:paraId="78FD035C" w14:textId="77777777" w:rsidR="00C35696" w:rsidRPr="00C35696" w:rsidRDefault="00C35696" w:rsidP="00BA66A0">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Year 2 average transactions/day</w:t>
            </w:r>
          </w:p>
        </w:tc>
        <w:tc>
          <w:tcPr>
            <w:tcW w:w="4508" w:type="dxa"/>
          </w:tcPr>
          <w:p w14:paraId="1D76EAD1" w14:textId="77777777" w:rsidR="00C35696" w:rsidRPr="00C35696" w:rsidRDefault="00C35696" w:rsidP="00BA66A0">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145</w:t>
            </w:r>
          </w:p>
        </w:tc>
      </w:tr>
      <w:tr w:rsidR="00C35696" w:rsidRPr="00C35696" w14:paraId="6F868B73" w14:textId="77777777" w:rsidTr="00C35696">
        <w:tc>
          <w:tcPr>
            <w:tcW w:w="4508" w:type="dxa"/>
          </w:tcPr>
          <w:p w14:paraId="08CC2B81" w14:textId="77777777" w:rsidR="00C35696" w:rsidRPr="00C35696" w:rsidRDefault="00C35696" w:rsidP="00BA66A0">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Year 3 average transactions/day</w:t>
            </w:r>
          </w:p>
        </w:tc>
        <w:tc>
          <w:tcPr>
            <w:tcW w:w="4508" w:type="dxa"/>
          </w:tcPr>
          <w:p w14:paraId="1BADA458" w14:textId="77777777" w:rsidR="00C35696" w:rsidRPr="00C35696" w:rsidRDefault="00C35696" w:rsidP="00BA66A0">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165</w:t>
            </w:r>
          </w:p>
        </w:tc>
      </w:tr>
      <w:tr w:rsidR="00C35696" w:rsidRPr="00C35696" w14:paraId="4CAF26D6" w14:textId="77777777" w:rsidTr="00C35696">
        <w:tc>
          <w:tcPr>
            <w:tcW w:w="4508" w:type="dxa"/>
          </w:tcPr>
          <w:p w14:paraId="17A09F8F" w14:textId="77777777" w:rsidR="00C35696" w:rsidRPr="00C35696" w:rsidRDefault="00C35696" w:rsidP="00BA66A0">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Year 4 average transactions/day</w:t>
            </w:r>
          </w:p>
        </w:tc>
        <w:tc>
          <w:tcPr>
            <w:tcW w:w="4508" w:type="dxa"/>
          </w:tcPr>
          <w:p w14:paraId="0815F044" w14:textId="77777777" w:rsidR="00C35696" w:rsidRPr="00C35696" w:rsidRDefault="00C35696" w:rsidP="00BA66A0">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185</w:t>
            </w:r>
          </w:p>
        </w:tc>
      </w:tr>
      <w:tr w:rsidR="00C35696" w:rsidRPr="00C35696" w14:paraId="1C809324" w14:textId="77777777" w:rsidTr="00C35696">
        <w:tc>
          <w:tcPr>
            <w:tcW w:w="4508" w:type="dxa"/>
          </w:tcPr>
          <w:p w14:paraId="7671BA2D" w14:textId="77777777" w:rsidR="00C35696" w:rsidRPr="00C35696" w:rsidRDefault="00C35696" w:rsidP="00BA66A0">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lastRenderedPageBreak/>
              <w:t>Year 5 average transactions/day</w:t>
            </w:r>
          </w:p>
        </w:tc>
        <w:tc>
          <w:tcPr>
            <w:tcW w:w="4508" w:type="dxa"/>
          </w:tcPr>
          <w:p w14:paraId="040059C5" w14:textId="77777777" w:rsidR="00C35696" w:rsidRPr="00C35696" w:rsidRDefault="00C35696" w:rsidP="00BA66A0">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205</w:t>
            </w:r>
          </w:p>
        </w:tc>
      </w:tr>
      <w:tr w:rsidR="00C35696" w:rsidRPr="00C35696" w14:paraId="4AFEE79A" w14:textId="77777777" w:rsidTr="00C35696">
        <w:tc>
          <w:tcPr>
            <w:tcW w:w="4508" w:type="dxa"/>
          </w:tcPr>
          <w:p w14:paraId="0B9984E1" w14:textId="77777777" w:rsidR="00C35696" w:rsidRPr="00C35696" w:rsidRDefault="00C35696" w:rsidP="00BA66A0">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Variable cost ratio</w:t>
            </w:r>
          </w:p>
        </w:tc>
        <w:tc>
          <w:tcPr>
            <w:tcW w:w="4508" w:type="dxa"/>
          </w:tcPr>
          <w:p w14:paraId="1B8B5314" w14:textId="77777777" w:rsidR="00C35696" w:rsidRPr="00C35696" w:rsidRDefault="00C35696" w:rsidP="00BA66A0">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30% of revenue</w:t>
            </w:r>
          </w:p>
        </w:tc>
      </w:tr>
      <w:tr w:rsidR="00C35696" w:rsidRPr="00C35696" w14:paraId="2903E1D3" w14:textId="77777777" w:rsidTr="00C35696">
        <w:tc>
          <w:tcPr>
            <w:tcW w:w="4508" w:type="dxa"/>
          </w:tcPr>
          <w:p w14:paraId="3007E7C5" w14:textId="77777777" w:rsidR="00C35696" w:rsidRPr="00C35696" w:rsidRDefault="00C35696" w:rsidP="00BA66A0">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Initial marketing budget</w:t>
            </w:r>
          </w:p>
        </w:tc>
        <w:tc>
          <w:tcPr>
            <w:tcW w:w="4508" w:type="dxa"/>
          </w:tcPr>
          <w:p w14:paraId="3A534ED4" w14:textId="77777777" w:rsidR="00C35696" w:rsidRPr="00C35696" w:rsidRDefault="00C35696" w:rsidP="00BA66A0">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£12,000</w:t>
            </w:r>
          </w:p>
        </w:tc>
      </w:tr>
      <w:tr w:rsidR="00C35696" w:rsidRPr="00C35696" w14:paraId="09558861" w14:textId="77777777" w:rsidTr="00C35696">
        <w:tc>
          <w:tcPr>
            <w:tcW w:w="4508" w:type="dxa"/>
          </w:tcPr>
          <w:p w14:paraId="14FB2815" w14:textId="77777777" w:rsidR="00C35696" w:rsidRPr="00C35696" w:rsidRDefault="00C35696" w:rsidP="00BA66A0">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Initial funding requirement</w:t>
            </w:r>
          </w:p>
        </w:tc>
        <w:tc>
          <w:tcPr>
            <w:tcW w:w="4508" w:type="dxa"/>
          </w:tcPr>
          <w:p w14:paraId="023D6B99" w14:textId="77777777" w:rsidR="00C35696" w:rsidRPr="00C35696" w:rsidRDefault="00C35696" w:rsidP="00BA66A0">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approximately £200,000</w:t>
            </w:r>
          </w:p>
        </w:tc>
      </w:tr>
    </w:tbl>
    <w:p w14:paraId="6EA2C75D" w14:textId="1B837324" w:rsidR="004537D1" w:rsidRPr="004537D1" w:rsidRDefault="004537D1" w:rsidP="004537D1">
      <w:pPr>
        <w:spacing w:before="100" w:beforeAutospacing="1" w:after="100" w:afterAutospacing="1" w:line="360" w:lineRule="auto"/>
        <w:jc w:val="both"/>
        <w:rPr>
          <w:rFonts w:ascii="Arial" w:eastAsia="Times New Roman" w:hAnsi="Arial" w:cs="Arial"/>
          <w:sz w:val="24"/>
          <w:szCs w:val="24"/>
          <w:lang w:val="en-GB" w:eastAsia="en-GB"/>
        </w:rPr>
      </w:pPr>
      <w:r w:rsidRPr="004537D1">
        <w:rPr>
          <w:rFonts w:ascii="Arial" w:eastAsia="Times New Roman" w:hAnsi="Arial" w:cs="Arial"/>
          <w:sz w:val="24"/>
          <w:szCs w:val="24"/>
          <w:lang w:val="en-GB" w:eastAsia="en-GB"/>
        </w:rPr>
        <w:t>This average transaction value of £7 is not a ‘precise’ price forecast, but rather is carried forward from the illustrative demand analysis in Chapter 5. It is based on a planning assumption of beverage and limited food purchases and needs to be confirmed by quotations from suppliers, observation and test trading with competitors. (W</w:t>
      </w:r>
      <w:r>
        <w:rPr>
          <w:rFonts w:ascii="Arial" w:eastAsia="Times New Roman" w:hAnsi="Arial" w:cs="Arial"/>
          <w:sz w:val="24"/>
          <w:szCs w:val="24"/>
          <w:lang w:val="en-GB" w:eastAsia="en-GB"/>
        </w:rPr>
        <w:t>estminster City Council, 2025).</w:t>
      </w:r>
    </w:p>
    <w:p w14:paraId="707B1526" w14:textId="244BC21E" w:rsidR="00B2409B" w:rsidRPr="00B2409B" w:rsidRDefault="004537D1" w:rsidP="00B2409B">
      <w:pPr>
        <w:spacing w:before="100" w:beforeAutospacing="1" w:after="100" w:afterAutospacing="1" w:line="360" w:lineRule="auto"/>
        <w:jc w:val="both"/>
        <w:rPr>
          <w:rFonts w:ascii="Arial" w:eastAsia="Times New Roman" w:hAnsi="Arial" w:cs="Arial"/>
          <w:sz w:val="24"/>
          <w:szCs w:val="24"/>
          <w:lang w:val="en-GB" w:eastAsia="en-GB"/>
        </w:rPr>
      </w:pPr>
      <w:r w:rsidRPr="004537D1">
        <w:rPr>
          <w:rFonts w:ascii="Arial" w:eastAsia="Times New Roman" w:hAnsi="Arial" w:cs="Arial"/>
          <w:sz w:val="24"/>
          <w:szCs w:val="24"/>
          <w:lang w:val="en-GB" w:eastAsia="en-GB"/>
        </w:rPr>
        <w:t>Its revenue streams consist of transaction fees. Coffee and other beverages are the main revenue generators, while the food product line is short and compact, and selected retail coffee products are secondary revenue generators. This would align with the Business Model Canvas outlined in Chapter 8 and the general coffee-shop market in the UK, which totalled £6.8 billion in 2026 from 12,313 branded outlets (World Coffee Portal, 2026).</w:t>
      </w:r>
    </w:p>
    <w:p w14:paraId="11D58090" w14:textId="361FF768" w:rsidR="00B2409B" w:rsidRPr="00665C21" w:rsidRDefault="00665C21" w:rsidP="00665C21">
      <w:pPr>
        <w:pStyle w:val="Heading3"/>
        <w:rPr>
          <w:rFonts w:eastAsia="Times New Roman"/>
          <w:lang w:val="en-GB" w:eastAsia="en-GB"/>
        </w:rPr>
      </w:pPr>
      <w:bookmarkStart w:id="87" w:name="_Toc240811445"/>
      <w:r>
        <w:rPr>
          <w:rFonts w:eastAsia="Times New Roman"/>
          <w:lang w:val="en-GB" w:eastAsia="en-GB"/>
        </w:rPr>
        <w:t xml:space="preserve">9.2.2 </w:t>
      </w:r>
      <w:r w:rsidR="00B2409B" w:rsidRPr="00665C21">
        <w:rPr>
          <w:rFonts w:eastAsia="Times New Roman"/>
          <w:lang w:val="en-GB" w:eastAsia="en-GB"/>
        </w:rPr>
        <w:t>Start-up investment and funding</w:t>
      </w:r>
      <w:bookmarkEnd w:id="87"/>
    </w:p>
    <w:p w14:paraId="7DF7A8D7" w14:textId="507AFCE6" w:rsidR="00665C21" w:rsidRPr="00665C21" w:rsidRDefault="00665C21" w:rsidP="00665C21">
      <w:pPr>
        <w:spacing w:before="100" w:beforeAutospacing="1" w:after="100" w:afterAutospacing="1" w:line="360" w:lineRule="auto"/>
        <w:jc w:val="both"/>
        <w:rPr>
          <w:rFonts w:ascii="Arial" w:eastAsia="Times New Roman" w:hAnsi="Arial" w:cs="Arial"/>
          <w:sz w:val="24"/>
          <w:szCs w:val="24"/>
          <w:lang w:val="en-GB" w:eastAsia="en-GB"/>
        </w:rPr>
      </w:pPr>
      <w:r w:rsidRPr="00665C21">
        <w:rPr>
          <w:rFonts w:ascii="Arial" w:eastAsia="Times New Roman" w:hAnsi="Arial" w:cs="Arial"/>
          <w:sz w:val="24"/>
          <w:szCs w:val="24"/>
          <w:lang w:val="en-GB" w:eastAsia="en-GB"/>
        </w:rPr>
        <w:t>TEBC has an estimated initial funding need of around £200,000. This is a planning estimate and not a supplier-quote investment number and is to be changed with actual supplier quotations before launch. The indicative requirement is about £80,000 for premises deposit, fit-out and installation, £55,000 for professional coffee equipment, refrigeration, furniture and point of sale (POS) technology, £15,000 for initial stock, packaging and operating materials, £10,000 for registration, insurance, branding, website, professional services and £8,000 for recruitment, training and pre-opening wages, plus a contingency of aro</w:t>
      </w:r>
      <w:r>
        <w:rPr>
          <w:rFonts w:ascii="Arial" w:eastAsia="Times New Roman" w:hAnsi="Arial" w:cs="Arial"/>
          <w:sz w:val="24"/>
          <w:szCs w:val="24"/>
          <w:lang w:val="en-GB" w:eastAsia="en-GB"/>
        </w:rPr>
        <w:t>und £20,000 as working capital.</w:t>
      </w:r>
    </w:p>
    <w:p w14:paraId="462E9595" w14:textId="7E331EF4" w:rsidR="00665C21" w:rsidRPr="00665C21" w:rsidRDefault="00665C21" w:rsidP="00665C21">
      <w:pPr>
        <w:spacing w:before="100" w:beforeAutospacing="1" w:after="100" w:afterAutospacing="1" w:line="360" w:lineRule="auto"/>
        <w:jc w:val="both"/>
        <w:rPr>
          <w:rFonts w:ascii="Arial" w:eastAsia="Times New Roman" w:hAnsi="Arial" w:cs="Arial"/>
          <w:sz w:val="24"/>
          <w:szCs w:val="24"/>
          <w:lang w:val="en-GB" w:eastAsia="en-GB"/>
        </w:rPr>
      </w:pPr>
      <w:r w:rsidRPr="00665C21">
        <w:rPr>
          <w:rFonts w:ascii="Arial" w:eastAsia="Times New Roman" w:hAnsi="Arial" w:cs="Arial"/>
          <w:sz w:val="24"/>
          <w:szCs w:val="24"/>
          <w:lang w:val="en-GB" w:eastAsia="en-GB"/>
        </w:rPr>
        <w:t xml:space="preserve">The working-capital allowance is crucial as the café is not likely to be fully populated right away. A staged launch can, therefore, minimise the risk of spending too much money initially and enable the company to find out how customers react to the acquisition, product mix and staffing level. A pre-launch requirement is also food-business registration: The Food Standards Agency require a food business to register </w:t>
      </w:r>
      <w:r w:rsidRPr="00665C21">
        <w:rPr>
          <w:rFonts w:ascii="Arial" w:eastAsia="Times New Roman" w:hAnsi="Arial" w:cs="Arial"/>
          <w:sz w:val="24"/>
          <w:szCs w:val="24"/>
          <w:lang w:val="en-GB" w:eastAsia="en-GB"/>
        </w:rPr>
        <w:lastRenderedPageBreak/>
        <w:t>with the appropriate local authority 28 days before they start trading</w:t>
      </w:r>
      <w:r>
        <w:rPr>
          <w:rFonts w:ascii="Arial" w:eastAsia="Times New Roman" w:hAnsi="Arial" w:cs="Arial"/>
          <w:sz w:val="24"/>
          <w:szCs w:val="24"/>
          <w:lang w:val="en-GB" w:eastAsia="en-GB"/>
        </w:rPr>
        <w:t xml:space="preserve"> (Food Standards Agency, 2026).</w:t>
      </w:r>
    </w:p>
    <w:p w14:paraId="5A636472" w14:textId="6EC91C35" w:rsidR="00665C21" w:rsidRPr="00665C21" w:rsidRDefault="00665C21" w:rsidP="00665C21">
      <w:pPr>
        <w:pStyle w:val="Heading3"/>
        <w:rPr>
          <w:rFonts w:eastAsia="Times New Roman"/>
          <w:lang w:val="en-GB" w:eastAsia="en-GB"/>
        </w:rPr>
      </w:pPr>
      <w:bookmarkStart w:id="88" w:name="_Toc240811446"/>
      <w:r>
        <w:rPr>
          <w:rFonts w:eastAsia="Times New Roman"/>
          <w:lang w:val="en-GB" w:eastAsia="en-GB"/>
        </w:rPr>
        <w:t>9.2.3</w:t>
      </w:r>
      <w:r w:rsidRPr="00665C21">
        <w:rPr>
          <w:rFonts w:eastAsia="Times New Roman"/>
          <w:lang w:val="en-GB" w:eastAsia="en-GB"/>
        </w:rPr>
        <w:t xml:space="preserve"> Operating cost structure</w:t>
      </w:r>
      <w:bookmarkEnd w:id="88"/>
    </w:p>
    <w:p w14:paraId="5ADDCB54" w14:textId="4A696BB3" w:rsidR="00665C21" w:rsidRPr="00665C21" w:rsidRDefault="00665C21" w:rsidP="00665C21">
      <w:pPr>
        <w:spacing w:before="100" w:beforeAutospacing="1" w:after="100" w:afterAutospacing="1" w:line="360" w:lineRule="auto"/>
        <w:jc w:val="both"/>
        <w:rPr>
          <w:rFonts w:ascii="Arial" w:eastAsia="Times New Roman" w:hAnsi="Arial" w:cs="Arial"/>
          <w:sz w:val="24"/>
          <w:szCs w:val="24"/>
          <w:lang w:val="en-GB" w:eastAsia="en-GB"/>
        </w:rPr>
      </w:pPr>
      <w:r w:rsidRPr="00665C21">
        <w:rPr>
          <w:rFonts w:ascii="Arial" w:eastAsia="Times New Roman" w:hAnsi="Arial" w:cs="Arial"/>
          <w:sz w:val="24"/>
          <w:szCs w:val="24"/>
          <w:lang w:val="en-GB" w:eastAsia="en-GB"/>
        </w:rPr>
        <w:t>The core staff, insurance, accounting, software and a commitment to a minimum level of marketing will be included in TEBC's fixed costs. Variable costs will be coffee beans, milk, food ingredients, packaging, and transaction and other costs. Semi variable/stepped costs such as utilities, maintenance and extra labour rise with operating intensity and capacity. The difference is crucial as independent coffee shops may be more vulnerable to cost inflation than larger chains due to less economies of scale (World Coffee Portal,</w:t>
      </w:r>
      <w:r>
        <w:rPr>
          <w:rFonts w:ascii="Arial" w:eastAsia="Times New Roman" w:hAnsi="Arial" w:cs="Arial"/>
          <w:sz w:val="24"/>
          <w:szCs w:val="24"/>
          <w:lang w:val="en-GB" w:eastAsia="en-GB"/>
        </w:rPr>
        <w:t xml:space="preserve"> 2026).</w:t>
      </w:r>
    </w:p>
    <w:p w14:paraId="3EC406AF" w14:textId="389473A5" w:rsidR="00B2409B" w:rsidRPr="00B2409B" w:rsidRDefault="00665C21" w:rsidP="00B2409B">
      <w:pPr>
        <w:spacing w:before="100" w:beforeAutospacing="1" w:after="100" w:afterAutospacing="1" w:line="360" w:lineRule="auto"/>
        <w:jc w:val="both"/>
        <w:rPr>
          <w:rFonts w:ascii="Arial" w:eastAsia="Times New Roman" w:hAnsi="Arial" w:cs="Arial"/>
          <w:sz w:val="24"/>
          <w:szCs w:val="24"/>
          <w:lang w:val="en-GB" w:eastAsia="en-GB"/>
        </w:rPr>
      </w:pPr>
      <w:r w:rsidRPr="00665C21">
        <w:rPr>
          <w:rFonts w:ascii="Arial" w:eastAsia="Times New Roman" w:hAnsi="Arial" w:cs="Arial"/>
          <w:sz w:val="24"/>
          <w:szCs w:val="24"/>
          <w:lang w:val="en-GB" w:eastAsia="en-GB"/>
        </w:rPr>
        <w:t>The model assumes, therefore, that the initial planning has a variable-cost ratio of 30% and that the contribution margin is indicative of 70%. This is an assumption that needs to be tested against supplier quotat</w:t>
      </w:r>
      <w:r w:rsidR="00DF0DAA">
        <w:rPr>
          <w:rFonts w:ascii="Arial" w:eastAsia="Times New Roman" w:hAnsi="Arial" w:cs="Arial"/>
          <w:sz w:val="24"/>
          <w:szCs w:val="24"/>
          <w:lang w:val="en-GB" w:eastAsia="en-GB"/>
        </w:rPr>
        <w:t>ions and the final product mix.</w:t>
      </w:r>
    </w:p>
    <w:p w14:paraId="3F40B3A3" w14:textId="43869F83" w:rsidR="00B2409B" w:rsidRPr="00B2409B" w:rsidRDefault="00665C21" w:rsidP="00665C21">
      <w:pPr>
        <w:pStyle w:val="Heading3"/>
        <w:rPr>
          <w:rFonts w:eastAsia="Times New Roman"/>
          <w:lang w:val="en-GB" w:eastAsia="en-GB"/>
        </w:rPr>
      </w:pPr>
      <w:bookmarkStart w:id="89" w:name="_Toc240811447"/>
      <w:r>
        <w:rPr>
          <w:rFonts w:eastAsia="Times New Roman"/>
          <w:lang w:val="en-GB" w:eastAsia="en-GB"/>
        </w:rPr>
        <w:t>9.2.4 Revenue and profitability projection</w:t>
      </w:r>
      <w:bookmarkEnd w:id="89"/>
    </w:p>
    <w:p w14:paraId="7B426A47" w14:textId="2ECD9526" w:rsidR="00B2409B" w:rsidRPr="00B2409B" w:rsidRDefault="00B2409B" w:rsidP="00B2409B">
      <w:pPr>
        <w:spacing w:before="100" w:beforeAutospacing="1" w:after="100" w:afterAutospacing="1" w:line="360" w:lineRule="auto"/>
        <w:jc w:val="both"/>
        <w:rPr>
          <w:rFonts w:ascii="Arial" w:eastAsia="Times New Roman" w:hAnsi="Arial" w:cs="Arial"/>
          <w:sz w:val="24"/>
          <w:szCs w:val="24"/>
          <w:lang w:val="en-GB" w:eastAsia="en-GB"/>
        </w:rPr>
      </w:pPr>
      <w:r w:rsidRPr="00B2409B">
        <w:rPr>
          <w:rFonts w:ascii="Arial" w:eastAsia="Times New Roman" w:hAnsi="Arial" w:cs="Arial"/>
          <w:sz w:val="24"/>
          <w:szCs w:val="24"/>
          <w:lang w:val="en-GB" w:eastAsia="en-GB"/>
        </w:rPr>
        <w:t>The base-case projection is based on 310 trading days annually and the assumed average transaction</w:t>
      </w:r>
      <w:r w:rsidR="00665C21">
        <w:rPr>
          <w:rFonts w:ascii="Arial" w:eastAsia="Times New Roman" w:hAnsi="Arial" w:cs="Arial"/>
          <w:sz w:val="24"/>
          <w:szCs w:val="24"/>
          <w:lang w:val="en-GB" w:eastAsia="en-GB"/>
        </w:rPr>
        <w:t xml:space="preserve"> value of £7.</w:t>
      </w:r>
    </w:p>
    <w:p w14:paraId="46A7DD48" w14:textId="48B10250" w:rsidR="00665C21" w:rsidRPr="00665C21" w:rsidRDefault="00665C21" w:rsidP="00665C21">
      <w:pPr>
        <w:pStyle w:val="Caption"/>
        <w:keepNext/>
        <w:rPr>
          <w:rFonts w:ascii="Arial" w:hAnsi="Arial" w:cs="Arial"/>
          <w:sz w:val="24"/>
        </w:rPr>
      </w:pPr>
      <w:bookmarkStart w:id="90" w:name="_Toc240810942"/>
      <w:r w:rsidRPr="00665C21">
        <w:rPr>
          <w:rFonts w:ascii="Arial" w:hAnsi="Arial" w:cs="Arial"/>
          <w:sz w:val="24"/>
        </w:rPr>
        <w:t xml:space="preserve">Table </w:t>
      </w:r>
      <w:r w:rsidRPr="00665C21">
        <w:rPr>
          <w:rFonts w:ascii="Arial" w:hAnsi="Arial" w:cs="Arial"/>
          <w:sz w:val="24"/>
        </w:rPr>
        <w:fldChar w:fldCharType="begin"/>
      </w:r>
      <w:r w:rsidRPr="00665C21">
        <w:rPr>
          <w:rFonts w:ascii="Arial" w:hAnsi="Arial" w:cs="Arial"/>
          <w:sz w:val="24"/>
        </w:rPr>
        <w:instrText xml:space="preserve"> SEQ Table \* ARABIC </w:instrText>
      </w:r>
      <w:r w:rsidRPr="00665C21">
        <w:rPr>
          <w:rFonts w:ascii="Arial" w:hAnsi="Arial" w:cs="Arial"/>
          <w:sz w:val="24"/>
        </w:rPr>
        <w:fldChar w:fldCharType="separate"/>
      </w:r>
      <w:r w:rsidR="004E1559">
        <w:rPr>
          <w:rFonts w:ascii="Arial" w:hAnsi="Arial" w:cs="Arial"/>
          <w:noProof/>
          <w:sz w:val="24"/>
        </w:rPr>
        <w:t>11</w:t>
      </w:r>
      <w:r w:rsidRPr="00665C21">
        <w:rPr>
          <w:rFonts w:ascii="Arial" w:hAnsi="Arial" w:cs="Arial"/>
          <w:sz w:val="24"/>
        </w:rPr>
        <w:fldChar w:fldCharType="end"/>
      </w:r>
      <w:r w:rsidRPr="00665C21">
        <w:rPr>
          <w:rFonts w:ascii="Arial" w:hAnsi="Arial" w:cs="Arial"/>
          <w:sz w:val="24"/>
        </w:rPr>
        <w:t>.Revenue and profitability projection</w:t>
      </w:r>
      <w:bookmarkEnd w:id="90"/>
    </w:p>
    <w:tbl>
      <w:tblPr>
        <w:tblStyle w:val="TableGrid"/>
        <w:tblW w:w="0" w:type="auto"/>
        <w:tblLook w:val="04A0" w:firstRow="1" w:lastRow="0" w:firstColumn="1" w:lastColumn="0" w:noHBand="0" w:noVBand="1"/>
      </w:tblPr>
      <w:tblGrid>
        <w:gridCol w:w="2254"/>
        <w:gridCol w:w="2254"/>
        <w:gridCol w:w="2254"/>
        <w:gridCol w:w="2254"/>
      </w:tblGrid>
      <w:tr w:rsidR="00C35696" w:rsidRPr="00C35696" w14:paraId="7853D81D" w14:textId="77777777" w:rsidTr="00C35696">
        <w:tc>
          <w:tcPr>
            <w:tcW w:w="2254" w:type="dxa"/>
          </w:tcPr>
          <w:p w14:paraId="44A8326E" w14:textId="77777777" w:rsidR="00C35696" w:rsidRPr="000A65E5" w:rsidRDefault="00C35696" w:rsidP="00212107">
            <w:pPr>
              <w:spacing w:before="100" w:beforeAutospacing="1" w:after="100" w:afterAutospacing="1" w:line="360" w:lineRule="auto"/>
              <w:jc w:val="both"/>
              <w:rPr>
                <w:rFonts w:ascii="Arial" w:eastAsia="Times New Roman" w:hAnsi="Arial" w:cs="Arial"/>
                <w:b/>
                <w:sz w:val="24"/>
                <w:szCs w:val="24"/>
                <w:lang w:val="en-GB" w:eastAsia="en-GB"/>
              </w:rPr>
            </w:pPr>
            <w:r w:rsidRPr="000A65E5">
              <w:rPr>
                <w:rFonts w:ascii="Arial" w:eastAsia="Times New Roman" w:hAnsi="Arial" w:cs="Arial"/>
                <w:b/>
                <w:sz w:val="24"/>
                <w:szCs w:val="24"/>
                <w:lang w:val="en-GB" w:eastAsia="en-GB"/>
              </w:rPr>
              <w:t>Year</w:t>
            </w:r>
          </w:p>
        </w:tc>
        <w:tc>
          <w:tcPr>
            <w:tcW w:w="2254" w:type="dxa"/>
          </w:tcPr>
          <w:p w14:paraId="03A38DAA" w14:textId="77777777" w:rsidR="00C35696" w:rsidRPr="000A65E5" w:rsidRDefault="00C35696" w:rsidP="00212107">
            <w:pPr>
              <w:spacing w:before="100" w:beforeAutospacing="1" w:after="100" w:afterAutospacing="1" w:line="360" w:lineRule="auto"/>
              <w:jc w:val="both"/>
              <w:rPr>
                <w:rFonts w:ascii="Arial" w:eastAsia="Times New Roman" w:hAnsi="Arial" w:cs="Arial"/>
                <w:b/>
                <w:sz w:val="24"/>
                <w:szCs w:val="24"/>
                <w:lang w:val="en-GB" w:eastAsia="en-GB"/>
              </w:rPr>
            </w:pPr>
            <w:r w:rsidRPr="000A65E5">
              <w:rPr>
                <w:rFonts w:ascii="Arial" w:eastAsia="Times New Roman" w:hAnsi="Arial" w:cs="Arial"/>
                <w:b/>
                <w:sz w:val="24"/>
                <w:szCs w:val="24"/>
                <w:lang w:val="en-GB" w:eastAsia="en-GB"/>
              </w:rPr>
              <w:t>Average transactions/day</w:t>
            </w:r>
          </w:p>
        </w:tc>
        <w:tc>
          <w:tcPr>
            <w:tcW w:w="2254" w:type="dxa"/>
          </w:tcPr>
          <w:p w14:paraId="347E7538" w14:textId="77777777" w:rsidR="00C35696" w:rsidRPr="000A65E5" w:rsidRDefault="00C35696" w:rsidP="00212107">
            <w:pPr>
              <w:spacing w:before="100" w:beforeAutospacing="1" w:after="100" w:afterAutospacing="1" w:line="360" w:lineRule="auto"/>
              <w:jc w:val="both"/>
              <w:rPr>
                <w:rFonts w:ascii="Arial" w:eastAsia="Times New Roman" w:hAnsi="Arial" w:cs="Arial"/>
                <w:b/>
                <w:sz w:val="24"/>
                <w:szCs w:val="24"/>
                <w:lang w:val="en-GB" w:eastAsia="en-GB"/>
              </w:rPr>
            </w:pPr>
            <w:r w:rsidRPr="000A65E5">
              <w:rPr>
                <w:rFonts w:ascii="Arial" w:eastAsia="Times New Roman" w:hAnsi="Arial" w:cs="Arial"/>
                <w:b/>
                <w:sz w:val="24"/>
                <w:szCs w:val="24"/>
                <w:lang w:val="en-GB" w:eastAsia="en-GB"/>
              </w:rPr>
              <w:t>Annual transactions</w:t>
            </w:r>
          </w:p>
        </w:tc>
        <w:tc>
          <w:tcPr>
            <w:tcW w:w="2254" w:type="dxa"/>
          </w:tcPr>
          <w:p w14:paraId="7263C39A" w14:textId="77777777" w:rsidR="00C35696" w:rsidRPr="000A65E5" w:rsidRDefault="00C35696" w:rsidP="00212107">
            <w:pPr>
              <w:spacing w:before="100" w:beforeAutospacing="1" w:after="100" w:afterAutospacing="1" w:line="360" w:lineRule="auto"/>
              <w:jc w:val="both"/>
              <w:rPr>
                <w:rFonts w:ascii="Arial" w:eastAsia="Times New Roman" w:hAnsi="Arial" w:cs="Arial"/>
                <w:b/>
                <w:sz w:val="24"/>
                <w:szCs w:val="24"/>
                <w:lang w:val="en-GB" w:eastAsia="en-GB"/>
              </w:rPr>
            </w:pPr>
            <w:r w:rsidRPr="000A65E5">
              <w:rPr>
                <w:rFonts w:ascii="Arial" w:eastAsia="Times New Roman" w:hAnsi="Arial" w:cs="Arial"/>
                <w:b/>
                <w:sz w:val="24"/>
                <w:szCs w:val="24"/>
                <w:lang w:val="en-GB" w:eastAsia="en-GB"/>
              </w:rPr>
              <w:t>Indicative revenue</w:t>
            </w:r>
          </w:p>
        </w:tc>
      </w:tr>
      <w:tr w:rsidR="00C35696" w:rsidRPr="00C35696" w14:paraId="12075486" w14:textId="77777777" w:rsidTr="00C35696">
        <w:tc>
          <w:tcPr>
            <w:tcW w:w="2254" w:type="dxa"/>
          </w:tcPr>
          <w:p w14:paraId="4396C366" w14:textId="77777777" w:rsidR="00C35696" w:rsidRPr="00C35696" w:rsidRDefault="00C35696" w:rsidP="00212107">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Year 1</w:t>
            </w:r>
          </w:p>
        </w:tc>
        <w:tc>
          <w:tcPr>
            <w:tcW w:w="2254" w:type="dxa"/>
          </w:tcPr>
          <w:p w14:paraId="09D30B6E" w14:textId="77777777" w:rsidR="00C35696" w:rsidRPr="00C35696" w:rsidRDefault="00C35696" w:rsidP="00212107">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135</w:t>
            </w:r>
          </w:p>
        </w:tc>
        <w:tc>
          <w:tcPr>
            <w:tcW w:w="2254" w:type="dxa"/>
          </w:tcPr>
          <w:p w14:paraId="006A399B" w14:textId="77777777" w:rsidR="00C35696" w:rsidRPr="00C35696" w:rsidRDefault="00C35696" w:rsidP="00212107">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41,850</w:t>
            </w:r>
          </w:p>
        </w:tc>
        <w:tc>
          <w:tcPr>
            <w:tcW w:w="2254" w:type="dxa"/>
          </w:tcPr>
          <w:p w14:paraId="06309D18" w14:textId="77777777" w:rsidR="00C35696" w:rsidRPr="00C35696" w:rsidRDefault="00C35696" w:rsidP="00212107">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£292,950</w:t>
            </w:r>
          </w:p>
        </w:tc>
      </w:tr>
      <w:tr w:rsidR="00C35696" w:rsidRPr="00C35696" w14:paraId="4BE7A760" w14:textId="77777777" w:rsidTr="00C35696">
        <w:tc>
          <w:tcPr>
            <w:tcW w:w="2254" w:type="dxa"/>
          </w:tcPr>
          <w:p w14:paraId="3E425D7F" w14:textId="77777777" w:rsidR="00C35696" w:rsidRPr="00C35696" w:rsidRDefault="00C35696" w:rsidP="00212107">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Year 2</w:t>
            </w:r>
          </w:p>
        </w:tc>
        <w:tc>
          <w:tcPr>
            <w:tcW w:w="2254" w:type="dxa"/>
          </w:tcPr>
          <w:p w14:paraId="1309B048" w14:textId="77777777" w:rsidR="00C35696" w:rsidRPr="00C35696" w:rsidRDefault="00C35696" w:rsidP="00212107">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145</w:t>
            </w:r>
          </w:p>
        </w:tc>
        <w:tc>
          <w:tcPr>
            <w:tcW w:w="2254" w:type="dxa"/>
          </w:tcPr>
          <w:p w14:paraId="75BC695C" w14:textId="77777777" w:rsidR="00C35696" w:rsidRPr="00C35696" w:rsidRDefault="00C35696" w:rsidP="00212107">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44,950</w:t>
            </w:r>
          </w:p>
        </w:tc>
        <w:tc>
          <w:tcPr>
            <w:tcW w:w="2254" w:type="dxa"/>
          </w:tcPr>
          <w:p w14:paraId="5822D8E5" w14:textId="77777777" w:rsidR="00C35696" w:rsidRPr="00C35696" w:rsidRDefault="00C35696" w:rsidP="00212107">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£314,650</w:t>
            </w:r>
          </w:p>
        </w:tc>
      </w:tr>
      <w:tr w:rsidR="00C35696" w:rsidRPr="00C35696" w14:paraId="7D22EBFB" w14:textId="77777777" w:rsidTr="00C35696">
        <w:tc>
          <w:tcPr>
            <w:tcW w:w="2254" w:type="dxa"/>
          </w:tcPr>
          <w:p w14:paraId="110CF415" w14:textId="77777777" w:rsidR="00C35696" w:rsidRPr="00C35696" w:rsidRDefault="00C35696" w:rsidP="00212107">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Year 3</w:t>
            </w:r>
          </w:p>
        </w:tc>
        <w:tc>
          <w:tcPr>
            <w:tcW w:w="2254" w:type="dxa"/>
          </w:tcPr>
          <w:p w14:paraId="38FC73D0" w14:textId="77777777" w:rsidR="00C35696" w:rsidRPr="00C35696" w:rsidRDefault="00C35696" w:rsidP="00212107">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165</w:t>
            </w:r>
          </w:p>
        </w:tc>
        <w:tc>
          <w:tcPr>
            <w:tcW w:w="2254" w:type="dxa"/>
          </w:tcPr>
          <w:p w14:paraId="47F3D684" w14:textId="77777777" w:rsidR="00C35696" w:rsidRPr="00C35696" w:rsidRDefault="00C35696" w:rsidP="00212107">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51,150</w:t>
            </w:r>
          </w:p>
        </w:tc>
        <w:tc>
          <w:tcPr>
            <w:tcW w:w="2254" w:type="dxa"/>
          </w:tcPr>
          <w:p w14:paraId="70796BA1" w14:textId="77777777" w:rsidR="00C35696" w:rsidRPr="00C35696" w:rsidRDefault="00C35696" w:rsidP="00212107">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£358,050</w:t>
            </w:r>
          </w:p>
        </w:tc>
      </w:tr>
      <w:tr w:rsidR="00C35696" w:rsidRPr="00C35696" w14:paraId="48143BAD" w14:textId="77777777" w:rsidTr="00C35696">
        <w:tc>
          <w:tcPr>
            <w:tcW w:w="2254" w:type="dxa"/>
          </w:tcPr>
          <w:p w14:paraId="3FC3FCFC" w14:textId="77777777" w:rsidR="00C35696" w:rsidRPr="00C35696" w:rsidRDefault="00C35696" w:rsidP="00212107">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Year 4</w:t>
            </w:r>
          </w:p>
        </w:tc>
        <w:tc>
          <w:tcPr>
            <w:tcW w:w="2254" w:type="dxa"/>
          </w:tcPr>
          <w:p w14:paraId="5CCD32AD" w14:textId="77777777" w:rsidR="00C35696" w:rsidRPr="00C35696" w:rsidRDefault="00C35696" w:rsidP="00212107">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185</w:t>
            </w:r>
          </w:p>
        </w:tc>
        <w:tc>
          <w:tcPr>
            <w:tcW w:w="2254" w:type="dxa"/>
          </w:tcPr>
          <w:p w14:paraId="471DFC9A" w14:textId="77777777" w:rsidR="00C35696" w:rsidRPr="00C35696" w:rsidRDefault="00C35696" w:rsidP="00212107">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57,350</w:t>
            </w:r>
          </w:p>
        </w:tc>
        <w:tc>
          <w:tcPr>
            <w:tcW w:w="2254" w:type="dxa"/>
          </w:tcPr>
          <w:p w14:paraId="64706D0B" w14:textId="77777777" w:rsidR="00C35696" w:rsidRPr="00C35696" w:rsidRDefault="00C35696" w:rsidP="00212107">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£401,450</w:t>
            </w:r>
          </w:p>
        </w:tc>
      </w:tr>
      <w:tr w:rsidR="00C35696" w:rsidRPr="00C35696" w14:paraId="1367A29F" w14:textId="77777777" w:rsidTr="00C35696">
        <w:tc>
          <w:tcPr>
            <w:tcW w:w="2254" w:type="dxa"/>
          </w:tcPr>
          <w:p w14:paraId="4B423F47" w14:textId="77777777" w:rsidR="00C35696" w:rsidRPr="00C35696" w:rsidRDefault="00C35696" w:rsidP="00212107">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Year 5</w:t>
            </w:r>
          </w:p>
        </w:tc>
        <w:tc>
          <w:tcPr>
            <w:tcW w:w="2254" w:type="dxa"/>
          </w:tcPr>
          <w:p w14:paraId="4782620E" w14:textId="77777777" w:rsidR="00C35696" w:rsidRPr="00C35696" w:rsidRDefault="00C35696" w:rsidP="00212107">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205</w:t>
            </w:r>
          </w:p>
        </w:tc>
        <w:tc>
          <w:tcPr>
            <w:tcW w:w="2254" w:type="dxa"/>
          </w:tcPr>
          <w:p w14:paraId="6FF89610" w14:textId="77777777" w:rsidR="00C35696" w:rsidRPr="00C35696" w:rsidRDefault="00C35696" w:rsidP="00212107">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63,550</w:t>
            </w:r>
          </w:p>
        </w:tc>
        <w:tc>
          <w:tcPr>
            <w:tcW w:w="2254" w:type="dxa"/>
          </w:tcPr>
          <w:p w14:paraId="2EA1E1FE" w14:textId="77777777" w:rsidR="00C35696" w:rsidRPr="00C35696" w:rsidRDefault="00C35696" w:rsidP="00212107">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£444,850</w:t>
            </w:r>
          </w:p>
        </w:tc>
      </w:tr>
    </w:tbl>
    <w:p w14:paraId="74BF1A5A" w14:textId="0EBFC1CC" w:rsidR="000A65E5" w:rsidRPr="000A65E5" w:rsidRDefault="000A65E5" w:rsidP="000A65E5">
      <w:pPr>
        <w:spacing w:before="100" w:beforeAutospacing="1" w:after="100" w:afterAutospacing="1" w:line="360" w:lineRule="auto"/>
        <w:jc w:val="both"/>
        <w:rPr>
          <w:rFonts w:ascii="Arial" w:eastAsia="Times New Roman" w:hAnsi="Arial" w:cs="Arial"/>
          <w:sz w:val="24"/>
          <w:szCs w:val="24"/>
          <w:lang w:val="en-GB" w:eastAsia="en-GB"/>
        </w:rPr>
      </w:pPr>
      <w:r w:rsidRPr="000A65E5">
        <w:rPr>
          <w:rFonts w:ascii="Arial" w:eastAsia="Times New Roman" w:hAnsi="Arial" w:cs="Arial"/>
          <w:sz w:val="24"/>
          <w:szCs w:val="24"/>
          <w:lang w:val="en-GB" w:eastAsia="en-GB"/>
        </w:rPr>
        <w:t>Year 1 contribution would be around £205,065 at a 30% variable cost ratio. With the fixed operating costs of around £205,000 (staff, premises, baseline marketing, insurance, software and other overheads), Year 1 would be a point near operational break-even. This is a testament to the fact that TEBC is a very margin-intensive business and requires a sufficient numbe</w:t>
      </w:r>
      <w:r>
        <w:rPr>
          <w:rFonts w:ascii="Arial" w:eastAsia="Times New Roman" w:hAnsi="Arial" w:cs="Arial"/>
          <w:sz w:val="24"/>
          <w:szCs w:val="24"/>
          <w:lang w:val="en-GB" w:eastAsia="en-GB"/>
        </w:rPr>
        <w:t>r of transactions to be viable.</w:t>
      </w:r>
    </w:p>
    <w:p w14:paraId="2D5BA082" w14:textId="4D51F3C2" w:rsidR="00B2409B" w:rsidRPr="00B2409B" w:rsidRDefault="000A65E5" w:rsidP="00B2409B">
      <w:pPr>
        <w:spacing w:before="100" w:beforeAutospacing="1" w:after="100" w:afterAutospacing="1" w:line="360" w:lineRule="auto"/>
        <w:jc w:val="both"/>
        <w:rPr>
          <w:rFonts w:ascii="Arial" w:eastAsia="Times New Roman" w:hAnsi="Arial" w:cs="Arial"/>
          <w:sz w:val="24"/>
          <w:szCs w:val="24"/>
          <w:lang w:val="en-GB" w:eastAsia="en-GB"/>
        </w:rPr>
      </w:pPr>
      <w:r w:rsidRPr="000A65E5">
        <w:rPr>
          <w:rFonts w:ascii="Arial" w:eastAsia="Times New Roman" w:hAnsi="Arial" w:cs="Arial"/>
          <w:sz w:val="24"/>
          <w:szCs w:val="24"/>
          <w:lang w:val="en-GB" w:eastAsia="en-GB"/>
        </w:rPr>
        <w:lastRenderedPageBreak/>
        <w:t>The forecast should be considered as an operating scenario and not a financial outcome. It is also required to be prepared in accordance with VAT-consistent method. Once confirmed, the final product level VAT treatment should be applied to TEBC's forecast, to yield customer prices that include VAT and accounting revenue that excludes VAT, where it is assumed that UK taxable turnover above £90,000 will result in VAT registration (HMRC, 2026).</w:t>
      </w:r>
    </w:p>
    <w:p w14:paraId="6032D040" w14:textId="51E36E40" w:rsidR="00B2409B" w:rsidRPr="000A65E5" w:rsidRDefault="000A65E5" w:rsidP="000A65E5">
      <w:pPr>
        <w:pStyle w:val="Heading3"/>
        <w:rPr>
          <w:rFonts w:eastAsia="Times New Roman"/>
          <w:lang w:val="en-GB" w:eastAsia="en-GB"/>
        </w:rPr>
      </w:pPr>
      <w:bookmarkStart w:id="91" w:name="_Toc240811448"/>
      <w:r>
        <w:rPr>
          <w:rFonts w:eastAsia="Times New Roman"/>
          <w:lang w:val="en-GB" w:eastAsia="en-GB"/>
        </w:rPr>
        <w:t>9.2.5 Break</w:t>
      </w:r>
      <w:r w:rsidR="00B2409B" w:rsidRPr="00B2409B">
        <w:rPr>
          <w:rFonts w:eastAsia="Times New Roman"/>
          <w:lang w:val="en-GB" w:eastAsia="en-GB"/>
        </w:rPr>
        <w:t>-even and sensitivity</w:t>
      </w:r>
      <w:bookmarkEnd w:id="91"/>
    </w:p>
    <w:p w14:paraId="02951F7B" w14:textId="27E0092C" w:rsidR="00B2409B" w:rsidRPr="00B2409B" w:rsidRDefault="00B2409B" w:rsidP="00B2409B">
      <w:pPr>
        <w:spacing w:before="100" w:beforeAutospacing="1" w:after="100" w:afterAutospacing="1" w:line="360" w:lineRule="auto"/>
        <w:jc w:val="both"/>
        <w:rPr>
          <w:rFonts w:ascii="Arial" w:eastAsia="Times New Roman" w:hAnsi="Arial" w:cs="Arial"/>
          <w:sz w:val="24"/>
          <w:szCs w:val="24"/>
          <w:lang w:val="en-GB" w:eastAsia="en-GB"/>
        </w:rPr>
      </w:pPr>
      <w:r w:rsidRPr="00B2409B">
        <w:rPr>
          <w:rFonts w:ascii="Arial" w:eastAsia="Times New Roman" w:hAnsi="Arial" w:cs="Arial"/>
          <w:sz w:val="24"/>
          <w:szCs w:val="24"/>
          <w:lang w:val="en-GB" w:eastAsia="en-GB"/>
        </w:rPr>
        <w:t>Using the planning assumptions, contribution pe</w:t>
      </w:r>
      <w:r w:rsidR="000A65E5">
        <w:rPr>
          <w:rFonts w:ascii="Arial" w:eastAsia="Times New Roman" w:hAnsi="Arial" w:cs="Arial"/>
          <w:sz w:val="24"/>
          <w:szCs w:val="24"/>
          <w:lang w:val="en-GB" w:eastAsia="en-GB"/>
        </w:rPr>
        <w:t>r transaction is approximately</w:t>
      </w:r>
    </w:p>
    <w:p w14:paraId="52ABFB7C" w14:textId="5329E4EC" w:rsidR="00B2409B" w:rsidRPr="00B2409B" w:rsidRDefault="000A65E5" w:rsidP="00B2409B">
      <w:pPr>
        <w:spacing w:before="100" w:beforeAutospacing="1" w:after="100" w:afterAutospacing="1" w:line="360" w:lineRule="auto"/>
        <w:jc w:val="both"/>
        <w:rPr>
          <w:rFonts w:ascii="Arial" w:eastAsia="Times New Roman" w:hAnsi="Arial" w:cs="Arial"/>
          <w:sz w:val="24"/>
          <w:szCs w:val="24"/>
          <w:lang w:val="en-GB" w:eastAsia="en-GB"/>
        </w:rPr>
      </w:pPr>
      <w:r>
        <w:rPr>
          <w:rFonts w:ascii="Arial" w:eastAsia="Times New Roman" w:hAnsi="Arial" w:cs="Arial"/>
          <w:sz w:val="24"/>
          <w:szCs w:val="24"/>
          <w:lang w:val="en-GB" w:eastAsia="en-GB"/>
        </w:rPr>
        <w:t>£7.00 − (£7.00 × 30%) = £4.90</w:t>
      </w:r>
    </w:p>
    <w:p w14:paraId="47057679" w14:textId="71339255" w:rsidR="00B2409B" w:rsidRPr="00B2409B" w:rsidRDefault="00B2409B" w:rsidP="00B2409B">
      <w:pPr>
        <w:spacing w:before="100" w:beforeAutospacing="1" w:after="100" w:afterAutospacing="1" w:line="360" w:lineRule="auto"/>
        <w:jc w:val="both"/>
        <w:rPr>
          <w:rFonts w:ascii="Arial" w:eastAsia="Times New Roman" w:hAnsi="Arial" w:cs="Arial"/>
          <w:sz w:val="24"/>
          <w:szCs w:val="24"/>
          <w:lang w:val="en-GB" w:eastAsia="en-GB"/>
        </w:rPr>
      </w:pPr>
      <w:r w:rsidRPr="00B2409B">
        <w:rPr>
          <w:rFonts w:ascii="Arial" w:eastAsia="Times New Roman" w:hAnsi="Arial" w:cs="Arial"/>
          <w:sz w:val="24"/>
          <w:szCs w:val="24"/>
          <w:lang w:val="en-GB" w:eastAsia="en-GB"/>
        </w:rPr>
        <w:t>If annual fixed co</w:t>
      </w:r>
      <w:r w:rsidR="000A65E5">
        <w:rPr>
          <w:rFonts w:ascii="Arial" w:eastAsia="Times New Roman" w:hAnsi="Arial" w:cs="Arial"/>
          <w:sz w:val="24"/>
          <w:szCs w:val="24"/>
          <w:lang w:val="en-GB" w:eastAsia="en-GB"/>
        </w:rPr>
        <w:t>sts are approximately £205,000:</w:t>
      </w:r>
    </w:p>
    <w:p w14:paraId="62E2A69E" w14:textId="26B7D58A" w:rsidR="00B2409B" w:rsidRPr="000A65E5" w:rsidRDefault="00B2409B" w:rsidP="00B2409B">
      <w:pPr>
        <w:spacing w:before="100" w:beforeAutospacing="1" w:after="100" w:afterAutospacing="1" w:line="360" w:lineRule="auto"/>
        <w:jc w:val="both"/>
        <w:rPr>
          <w:rFonts w:ascii="Arial" w:eastAsia="Times New Roman" w:hAnsi="Arial" w:cs="Arial"/>
          <w:b/>
          <w:sz w:val="24"/>
          <w:szCs w:val="24"/>
          <w:lang w:val="en-GB" w:eastAsia="en-GB"/>
        </w:rPr>
      </w:pPr>
      <w:r w:rsidRPr="000A65E5">
        <w:rPr>
          <w:rFonts w:ascii="Arial" w:eastAsia="Times New Roman" w:hAnsi="Arial" w:cs="Arial"/>
          <w:b/>
          <w:sz w:val="24"/>
          <w:szCs w:val="24"/>
          <w:lang w:val="en-GB" w:eastAsia="en-GB"/>
        </w:rPr>
        <w:t>Break-even transactions = £205,000 ÷ £4.90 = approximatel</w:t>
      </w:r>
      <w:r w:rsidR="000A65E5" w:rsidRPr="000A65E5">
        <w:rPr>
          <w:rFonts w:ascii="Arial" w:eastAsia="Times New Roman" w:hAnsi="Arial" w:cs="Arial"/>
          <w:b/>
          <w:sz w:val="24"/>
          <w:szCs w:val="24"/>
          <w:lang w:val="en-GB" w:eastAsia="en-GB"/>
        </w:rPr>
        <w:t>y 41,837 transactions per year.</w:t>
      </w:r>
    </w:p>
    <w:p w14:paraId="2A754137" w14:textId="3D8D6DDF" w:rsidR="000A65E5" w:rsidRPr="000A65E5" w:rsidRDefault="000A65E5" w:rsidP="000A65E5">
      <w:pPr>
        <w:spacing w:before="100" w:beforeAutospacing="1" w:after="100" w:afterAutospacing="1" w:line="360" w:lineRule="auto"/>
        <w:jc w:val="both"/>
        <w:rPr>
          <w:rFonts w:ascii="Arial" w:eastAsia="Times New Roman" w:hAnsi="Arial" w:cs="Arial"/>
          <w:sz w:val="24"/>
          <w:szCs w:val="24"/>
          <w:lang w:val="en-GB" w:eastAsia="en-GB"/>
        </w:rPr>
      </w:pPr>
      <w:r w:rsidRPr="000A65E5">
        <w:rPr>
          <w:rFonts w:ascii="Arial" w:eastAsia="Times New Roman" w:hAnsi="Arial" w:cs="Arial"/>
          <w:sz w:val="24"/>
          <w:szCs w:val="24"/>
          <w:lang w:val="en-GB" w:eastAsia="en-GB"/>
        </w:rPr>
        <w:t xml:space="preserve">Over 310 trading days that is around 135 transactions per day. This is a significant outcome given it is very close to the Year 1 base case volume. As a result, a downtrend to around 135 transactions per day would pose a </w:t>
      </w:r>
      <w:r>
        <w:rPr>
          <w:rFonts w:ascii="Arial" w:eastAsia="Times New Roman" w:hAnsi="Arial" w:cs="Arial"/>
          <w:sz w:val="24"/>
          <w:szCs w:val="24"/>
          <w:lang w:val="en-GB" w:eastAsia="en-GB"/>
        </w:rPr>
        <w:t>significant profitability risk.</w:t>
      </w:r>
    </w:p>
    <w:p w14:paraId="15476FE1" w14:textId="551BAD91" w:rsidR="00B2409B" w:rsidRPr="00B2409B" w:rsidRDefault="000A65E5" w:rsidP="00B2409B">
      <w:pPr>
        <w:spacing w:before="100" w:beforeAutospacing="1" w:after="100" w:afterAutospacing="1" w:line="360" w:lineRule="auto"/>
        <w:jc w:val="both"/>
        <w:rPr>
          <w:rFonts w:ascii="Arial" w:eastAsia="Times New Roman" w:hAnsi="Arial" w:cs="Arial"/>
          <w:sz w:val="24"/>
          <w:szCs w:val="24"/>
          <w:lang w:val="en-GB" w:eastAsia="en-GB"/>
        </w:rPr>
      </w:pPr>
      <w:r w:rsidRPr="000A65E5">
        <w:rPr>
          <w:rFonts w:ascii="Arial" w:eastAsia="Times New Roman" w:hAnsi="Arial" w:cs="Arial"/>
          <w:sz w:val="24"/>
          <w:szCs w:val="24"/>
          <w:lang w:val="en-GB" w:eastAsia="en-GB"/>
        </w:rPr>
        <w:t xml:space="preserve">A sensitivity test should concentrate on those assumptions that have a good chance of changing. If there's a 20% drop in transactions, then Year 1 revenue will drop from £292,950 to about £234,360. Contribution would be much less than the fixed costs, and there would be an operating deficit at the same variable-cost ratio. However, customer demand is likely to be compromised if average transaction value is increased by 10%, to £7.70, without compromising it. </w:t>
      </w:r>
    </w:p>
    <w:p w14:paraId="709BBCB6" w14:textId="77777777" w:rsidR="00B2409B" w:rsidRPr="00B2409B" w:rsidRDefault="00B2409B" w:rsidP="007C175A">
      <w:pPr>
        <w:pStyle w:val="Heading2"/>
        <w:rPr>
          <w:rFonts w:eastAsia="Times New Roman"/>
          <w:lang w:val="en-GB" w:eastAsia="en-GB"/>
        </w:rPr>
      </w:pPr>
      <w:bookmarkStart w:id="92" w:name="_Toc240811449"/>
      <w:r w:rsidRPr="00B2409B">
        <w:rPr>
          <w:rFonts w:eastAsia="Times New Roman"/>
          <w:lang w:val="en-GB" w:eastAsia="en-GB"/>
        </w:rPr>
        <w:t>9.3 Marketing and Sales Plan</w:t>
      </w:r>
      <w:bookmarkEnd w:id="92"/>
    </w:p>
    <w:p w14:paraId="1C143B66" w14:textId="01FC3A4F" w:rsidR="00B2409B" w:rsidRPr="00B2409B" w:rsidRDefault="004E1586" w:rsidP="007C175A">
      <w:pPr>
        <w:pStyle w:val="Heading3"/>
        <w:rPr>
          <w:rFonts w:eastAsia="Times New Roman"/>
          <w:lang w:val="en-GB" w:eastAsia="en-GB"/>
        </w:rPr>
      </w:pPr>
      <w:bookmarkStart w:id="93" w:name="_Toc240811450"/>
      <w:r>
        <w:rPr>
          <w:rFonts w:eastAsia="Times New Roman"/>
          <w:lang w:val="en-GB" w:eastAsia="en-GB"/>
        </w:rPr>
        <w:t xml:space="preserve">9.3.1 </w:t>
      </w:r>
      <w:r w:rsidR="00B2409B" w:rsidRPr="00B2409B">
        <w:rPr>
          <w:rFonts w:eastAsia="Times New Roman"/>
          <w:lang w:val="en-GB" w:eastAsia="en-GB"/>
        </w:rPr>
        <w:t>Segmenta</w:t>
      </w:r>
      <w:r w:rsidR="00E010BA">
        <w:rPr>
          <w:rFonts w:eastAsia="Times New Roman"/>
          <w:lang w:val="en-GB" w:eastAsia="en-GB"/>
        </w:rPr>
        <w:t>tion, targeting and positioning</w:t>
      </w:r>
      <w:bookmarkEnd w:id="93"/>
    </w:p>
    <w:p w14:paraId="589CCBEB" w14:textId="6775FE47" w:rsidR="00685E78" w:rsidRPr="00685E78" w:rsidRDefault="00685E78" w:rsidP="00685E78">
      <w:pPr>
        <w:spacing w:before="100" w:beforeAutospacing="1" w:after="100" w:afterAutospacing="1" w:line="360" w:lineRule="auto"/>
        <w:jc w:val="both"/>
        <w:rPr>
          <w:rFonts w:ascii="Arial" w:eastAsia="Times New Roman" w:hAnsi="Arial" w:cs="Arial"/>
          <w:sz w:val="24"/>
          <w:szCs w:val="24"/>
          <w:lang w:val="en-GB" w:eastAsia="en-GB"/>
        </w:rPr>
      </w:pPr>
      <w:r w:rsidRPr="00685E78">
        <w:rPr>
          <w:rFonts w:ascii="Arial" w:eastAsia="Times New Roman" w:hAnsi="Arial" w:cs="Arial"/>
          <w:sz w:val="24"/>
          <w:szCs w:val="24"/>
          <w:lang w:val="en-GB" w:eastAsia="en-GB"/>
        </w:rPr>
        <w:t xml:space="preserve">The marketing plan incorporates segmentation, targeting and positioning concepts developed in previous chapters. Geographic Segmentation is based on people living within walking distance of Monmouth Street and the wider Covent Garden/West End area. Psychographic segmentation targets consumers who appreciate specialty coffee, quality, and ethical consumption and sustainability, while behavioural </w:t>
      </w:r>
      <w:r w:rsidRPr="00685E78">
        <w:rPr>
          <w:rFonts w:ascii="Arial" w:eastAsia="Times New Roman" w:hAnsi="Arial" w:cs="Arial"/>
          <w:sz w:val="24"/>
          <w:szCs w:val="24"/>
          <w:lang w:val="en-GB" w:eastAsia="en-GB"/>
        </w:rPr>
        <w:lastRenderedPageBreak/>
        <w:t>segmentation targets repeat local and worker customers, versus occasional visitors. There is evidence that consumers are willing to pay for attributes of sustainability in their coffee but this is not specific to the UK context and should therefore be used to inform and not dictate the TEBC price (Fuller and Grebitus, 2023)</w:t>
      </w:r>
      <w:r w:rsidR="00DF0DAA">
        <w:rPr>
          <w:rFonts w:ascii="Arial" w:eastAsia="Times New Roman" w:hAnsi="Arial" w:cs="Arial"/>
          <w:sz w:val="24"/>
          <w:szCs w:val="24"/>
          <w:lang w:val="en-GB" w:eastAsia="en-GB"/>
        </w:rPr>
        <w:t>.</w:t>
      </w:r>
    </w:p>
    <w:p w14:paraId="1247D83B" w14:textId="77777777" w:rsidR="00685E78" w:rsidRPr="007C175A" w:rsidRDefault="00685E78" w:rsidP="00685E78">
      <w:pPr>
        <w:spacing w:before="100" w:beforeAutospacing="1" w:after="100" w:afterAutospacing="1" w:line="360" w:lineRule="auto"/>
        <w:jc w:val="both"/>
        <w:rPr>
          <w:rFonts w:ascii="Arial" w:eastAsia="Times New Roman" w:hAnsi="Arial" w:cs="Arial"/>
          <w:b/>
          <w:sz w:val="24"/>
          <w:szCs w:val="24"/>
          <w:lang w:val="en-GB" w:eastAsia="en-GB"/>
        </w:rPr>
      </w:pPr>
      <w:r w:rsidRPr="007C175A">
        <w:rPr>
          <w:rFonts w:ascii="Arial" w:eastAsia="Times New Roman" w:hAnsi="Arial" w:cs="Arial"/>
          <w:b/>
          <w:sz w:val="24"/>
          <w:szCs w:val="24"/>
          <w:lang w:val="en-GB" w:eastAsia="en-GB"/>
        </w:rPr>
        <w:t>The suggested placement is:</w:t>
      </w:r>
    </w:p>
    <w:p w14:paraId="693F0B73" w14:textId="77777777" w:rsidR="00685E78" w:rsidRPr="00685E78" w:rsidRDefault="00685E78" w:rsidP="00685E78">
      <w:pPr>
        <w:spacing w:before="100" w:beforeAutospacing="1" w:after="100" w:afterAutospacing="1" w:line="360" w:lineRule="auto"/>
        <w:jc w:val="both"/>
        <w:rPr>
          <w:rFonts w:ascii="Arial" w:eastAsia="Times New Roman" w:hAnsi="Arial" w:cs="Arial"/>
          <w:sz w:val="24"/>
          <w:szCs w:val="24"/>
          <w:lang w:val="en-GB" w:eastAsia="en-GB"/>
        </w:rPr>
      </w:pPr>
      <w:r w:rsidRPr="00685E78">
        <w:rPr>
          <w:rFonts w:ascii="Arial" w:eastAsia="Times New Roman" w:hAnsi="Arial" w:cs="Arial"/>
          <w:sz w:val="24"/>
          <w:szCs w:val="24"/>
          <w:lang w:val="en-GB" w:eastAsia="en-GB"/>
        </w:rPr>
        <w:t>The Ethical Bean Coffee House is an accessible-premium specialty coffee bar for the ethically conscious coffee-drinker, the city professional, and some visitors in Covent Garden, providing a high-quality coffee experience with credible evidence of sourcing transparency, sustainability, and personalised service.</w:t>
      </w:r>
    </w:p>
    <w:p w14:paraId="28599E77" w14:textId="32A72793" w:rsidR="00B2409B" w:rsidRPr="00B2409B" w:rsidRDefault="00685E78" w:rsidP="00685E78">
      <w:pPr>
        <w:spacing w:before="100" w:beforeAutospacing="1" w:after="100" w:afterAutospacing="1" w:line="360" w:lineRule="auto"/>
        <w:jc w:val="both"/>
        <w:rPr>
          <w:rFonts w:ascii="Arial" w:eastAsia="Times New Roman" w:hAnsi="Arial" w:cs="Arial"/>
          <w:sz w:val="24"/>
          <w:szCs w:val="24"/>
          <w:lang w:val="en-GB" w:eastAsia="en-GB"/>
        </w:rPr>
      </w:pPr>
      <w:r w:rsidRPr="00685E78">
        <w:rPr>
          <w:rFonts w:ascii="Arial" w:eastAsia="Times New Roman" w:hAnsi="Arial" w:cs="Arial"/>
          <w:sz w:val="24"/>
          <w:szCs w:val="24"/>
          <w:lang w:val="en-GB" w:eastAsia="en-GB"/>
        </w:rPr>
        <w:t>The positioning is thus not claiming that "ethical" coffee is unusual. Instead, differentiation is based on the integrated combination of quality, transparency, sustainability and customer experience</w:t>
      </w:r>
      <w:r w:rsidR="004E1586">
        <w:rPr>
          <w:rFonts w:ascii="Arial" w:eastAsia="Times New Roman" w:hAnsi="Arial" w:cs="Arial"/>
          <w:sz w:val="24"/>
          <w:szCs w:val="24"/>
          <w:lang w:val="en-GB" w:eastAsia="en-GB"/>
        </w:rPr>
        <w:t>.</w:t>
      </w:r>
    </w:p>
    <w:p w14:paraId="388C1AC1" w14:textId="3BAD0C9D" w:rsidR="00B2409B" w:rsidRPr="00B2409B" w:rsidRDefault="004E1586" w:rsidP="007C175A">
      <w:pPr>
        <w:pStyle w:val="Heading2"/>
        <w:rPr>
          <w:rFonts w:eastAsia="Times New Roman"/>
          <w:lang w:val="en-GB" w:eastAsia="en-GB"/>
        </w:rPr>
      </w:pPr>
      <w:bookmarkStart w:id="94" w:name="_Toc240811451"/>
      <w:r>
        <w:rPr>
          <w:rFonts w:eastAsia="Times New Roman"/>
          <w:lang w:val="en-GB" w:eastAsia="en-GB"/>
        </w:rPr>
        <w:t>9.3.2 Marketing mix: 7Ps</w:t>
      </w:r>
      <w:bookmarkEnd w:id="94"/>
    </w:p>
    <w:p w14:paraId="64B50101" w14:textId="4FC79F73" w:rsidR="00B2409B" w:rsidRPr="00B2409B" w:rsidRDefault="00B2409B" w:rsidP="00B2409B">
      <w:pPr>
        <w:spacing w:before="100" w:beforeAutospacing="1" w:after="100" w:afterAutospacing="1" w:line="360" w:lineRule="auto"/>
        <w:jc w:val="both"/>
        <w:rPr>
          <w:rFonts w:ascii="Arial" w:eastAsia="Times New Roman" w:hAnsi="Arial" w:cs="Arial"/>
          <w:sz w:val="24"/>
          <w:szCs w:val="24"/>
          <w:lang w:val="en-GB" w:eastAsia="en-GB"/>
        </w:rPr>
      </w:pPr>
      <w:r w:rsidRPr="00B2409B">
        <w:rPr>
          <w:rFonts w:ascii="Arial" w:eastAsia="Times New Roman" w:hAnsi="Arial" w:cs="Arial"/>
          <w:sz w:val="24"/>
          <w:szCs w:val="24"/>
          <w:lang w:val="en-GB" w:eastAsia="en-GB"/>
        </w:rPr>
        <w:t xml:space="preserve">The 7Ps framework is appropriate because service quality and employee interaction are </w:t>
      </w:r>
      <w:r w:rsidR="004E1586">
        <w:rPr>
          <w:rFonts w:ascii="Arial" w:eastAsia="Times New Roman" w:hAnsi="Arial" w:cs="Arial"/>
          <w:sz w:val="24"/>
          <w:szCs w:val="24"/>
          <w:lang w:val="en-GB" w:eastAsia="en-GB"/>
        </w:rPr>
        <w:t>central to the café experience.</w:t>
      </w:r>
    </w:p>
    <w:p w14:paraId="4BB45BA0" w14:textId="254641A5" w:rsidR="007C175A" w:rsidRPr="007C175A" w:rsidRDefault="007C175A" w:rsidP="007C175A">
      <w:pPr>
        <w:pStyle w:val="Caption"/>
        <w:keepNext/>
        <w:jc w:val="both"/>
        <w:rPr>
          <w:rFonts w:ascii="Arial" w:hAnsi="Arial" w:cs="Arial"/>
          <w:sz w:val="24"/>
        </w:rPr>
      </w:pPr>
      <w:bookmarkStart w:id="95" w:name="_Toc240810943"/>
      <w:r w:rsidRPr="007C175A">
        <w:rPr>
          <w:rFonts w:ascii="Arial" w:hAnsi="Arial" w:cs="Arial"/>
          <w:sz w:val="24"/>
        </w:rPr>
        <w:t xml:space="preserve">Table </w:t>
      </w:r>
      <w:r w:rsidRPr="007C175A">
        <w:rPr>
          <w:rFonts w:ascii="Arial" w:hAnsi="Arial" w:cs="Arial"/>
          <w:sz w:val="24"/>
        </w:rPr>
        <w:fldChar w:fldCharType="begin"/>
      </w:r>
      <w:r w:rsidRPr="007C175A">
        <w:rPr>
          <w:rFonts w:ascii="Arial" w:hAnsi="Arial" w:cs="Arial"/>
          <w:sz w:val="24"/>
        </w:rPr>
        <w:instrText xml:space="preserve"> SEQ Table \* ARABIC </w:instrText>
      </w:r>
      <w:r w:rsidRPr="007C175A">
        <w:rPr>
          <w:rFonts w:ascii="Arial" w:hAnsi="Arial" w:cs="Arial"/>
          <w:sz w:val="24"/>
        </w:rPr>
        <w:fldChar w:fldCharType="separate"/>
      </w:r>
      <w:r w:rsidR="004E1559">
        <w:rPr>
          <w:rFonts w:ascii="Arial" w:hAnsi="Arial" w:cs="Arial"/>
          <w:noProof/>
          <w:sz w:val="24"/>
        </w:rPr>
        <w:t>12</w:t>
      </w:r>
      <w:r w:rsidRPr="007C175A">
        <w:rPr>
          <w:rFonts w:ascii="Arial" w:hAnsi="Arial" w:cs="Arial"/>
          <w:sz w:val="24"/>
        </w:rPr>
        <w:fldChar w:fldCharType="end"/>
      </w:r>
      <w:r w:rsidRPr="007C175A">
        <w:rPr>
          <w:rFonts w:ascii="Arial" w:hAnsi="Arial" w:cs="Arial"/>
          <w:sz w:val="24"/>
        </w:rPr>
        <w:t>.Marketing mix</w:t>
      </w:r>
      <w:bookmarkEnd w:id="95"/>
    </w:p>
    <w:tbl>
      <w:tblPr>
        <w:tblStyle w:val="TableGrid"/>
        <w:tblW w:w="0" w:type="auto"/>
        <w:tblLook w:val="04A0" w:firstRow="1" w:lastRow="0" w:firstColumn="1" w:lastColumn="0" w:noHBand="0" w:noVBand="1"/>
      </w:tblPr>
      <w:tblGrid>
        <w:gridCol w:w="4508"/>
        <w:gridCol w:w="4508"/>
      </w:tblGrid>
      <w:tr w:rsidR="00C35696" w:rsidRPr="00C35696" w14:paraId="47C5D14C" w14:textId="77777777" w:rsidTr="00C35696">
        <w:tc>
          <w:tcPr>
            <w:tcW w:w="4508" w:type="dxa"/>
          </w:tcPr>
          <w:p w14:paraId="03B0DE69" w14:textId="77777777" w:rsidR="00C35696" w:rsidRPr="00B44053" w:rsidRDefault="00C35696" w:rsidP="00F06C1E">
            <w:pPr>
              <w:spacing w:before="100" w:beforeAutospacing="1" w:after="100" w:afterAutospacing="1" w:line="360" w:lineRule="auto"/>
              <w:jc w:val="both"/>
              <w:rPr>
                <w:rFonts w:ascii="Arial" w:eastAsia="Times New Roman" w:hAnsi="Arial" w:cs="Arial"/>
                <w:b/>
                <w:sz w:val="24"/>
                <w:szCs w:val="24"/>
                <w:lang w:val="en-GB" w:eastAsia="en-GB"/>
              </w:rPr>
            </w:pPr>
            <w:r w:rsidRPr="00B44053">
              <w:rPr>
                <w:rFonts w:ascii="Arial" w:eastAsia="Times New Roman" w:hAnsi="Arial" w:cs="Arial"/>
                <w:b/>
                <w:sz w:val="24"/>
                <w:szCs w:val="24"/>
                <w:lang w:val="en-GB" w:eastAsia="en-GB"/>
              </w:rPr>
              <w:t>Element</w:t>
            </w:r>
          </w:p>
        </w:tc>
        <w:tc>
          <w:tcPr>
            <w:tcW w:w="4508" w:type="dxa"/>
          </w:tcPr>
          <w:p w14:paraId="33510F54" w14:textId="77777777" w:rsidR="00C35696" w:rsidRPr="00B44053" w:rsidRDefault="00C35696" w:rsidP="00F06C1E">
            <w:pPr>
              <w:spacing w:before="100" w:beforeAutospacing="1" w:after="100" w:afterAutospacing="1" w:line="360" w:lineRule="auto"/>
              <w:jc w:val="both"/>
              <w:rPr>
                <w:rFonts w:ascii="Arial" w:eastAsia="Times New Roman" w:hAnsi="Arial" w:cs="Arial"/>
                <w:b/>
                <w:sz w:val="24"/>
                <w:szCs w:val="24"/>
                <w:lang w:val="en-GB" w:eastAsia="en-GB"/>
              </w:rPr>
            </w:pPr>
            <w:r w:rsidRPr="00B44053">
              <w:rPr>
                <w:rFonts w:ascii="Arial" w:eastAsia="Times New Roman" w:hAnsi="Arial" w:cs="Arial"/>
                <w:b/>
                <w:sz w:val="24"/>
                <w:szCs w:val="24"/>
                <w:lang w:val="en-GB" w:eastAsia="en-GB"/>
              </w:rPr>
              <w:t>TEBC decision</w:t>
            </w:r>
          </w:p>
        </w:tc>
      </w:tr>
      <w:tr w:rsidR="00C35696" w:rsidRPr="00C35696" w14:paraId="63D34382" w14:textId="77777777" w:rsidTr="00C35696">
        <w:tc>
          <w:tcPr>
            <w:tcW w:w="4508" w:type="dxa"/>
          </w:tcPr>
          <w:p w14:paraId="0AFB2AE7" w14:textId="77777777" w:rsidR="00C35696" w:rsidRPr="00C35696" w:rsidRDefault="00C35696" w:rsidP="00F06C1E">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Product</w:t>
            </w:r>
          </w:p>
        </w:tc>
        <w:tc>
          <w:tcPr>
            <w:tcW w:w="4508" w:type="dxa"/>
          </w:tcPr>
          <w:p w14:paraId="60A98EAC" w14:textId="77777777" w:rsidR="00C35696" w:rsidRPr="00C35696" w:rsidRDefault="00C35696" w:rsidP="00F06C1E">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Specialty coffee, hot/cold beverages, concise food range and selected retail beans</w:t>
            </w:r>
          </w:p>
        </w:tc>
      </w:tr>
      <w:tr w:rsidR="00C35696" w:rsidRPr="00C35696" w14:paraId="3A9E46E9" w14:textId="77777777" w:rsidTr="00C35696">
        <w:tc>
          <w:tcPr>
            <w:tcW w:w="4508" w:type="dxa"/>
          </w:tcPr>
          <w:p w14:paraId="3AD1C910" w14:textId="77777777" w:rsidR="00C35696" w:rsidRPr="00C35696" w:rsidRDefault="00C35696" w:rsidP="00F06C1E">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Price</w:t>
            </w:r>
          </w:p>
        </w:tc>
        <w:tc>
          <w:tcPr>
            <w:tcW w:w="4508" w:type="dxa"/>
          </w:tcPr>
          <w:p w14:paraId="1D1B47CD" w14:textId="77777777" w:rsidR="00C35696" w:rsidRPr="00C35696" w:rsidRDefault="00C35696" w:rsidP="00F06C1E">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Accessible-premium pricing, benchmarked against local competitors and contribution requirements</w:t>
            </w:r>
          </w:p>
        </w:tc>
      </w:tr>
      <w:tr w:rsidR="00C35696" w:rsidRPr="00C35696" w14:paraId="02F9E18A" w14:textId="77777777" w:rsidTr="00C35696">
        <w:tc>
          <w:tcPr>
            <w:tcW w:w="4508" w:type="dxa"/>
          </w:tcPr>
          <w:p w14:paraId="65131E67" w14:textId="77777777" w:rsidR="00C35696" w:rsidRPr="00C35696" w:rsidRDefault="00C35696" w:rsidP="00F06C1E">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Place</w:t>
            </w:r>
          </w:p>
        </w:tc>
        <w:tc>
          <w:tcPr>
            <w:tcW w:w="4508" w:type="dxa"/>
          </w:tcPr>
          <w:p w14:paraId="29823361" w14:textId="77777777" w:rsidR="00C35696" w:rsidRPr="00C35696" w:rsidRDefault="00C35696" w:rsidP="00F06C1E">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Monmouth Street, Covent Garden, supported by digital discovery and feasible direct ordering</w:t>
            </w:r>
          </w:p>
        </w:tc>
      </w:tr>
      <w:tr w:rsidR="00C35696" w:rsidRPr="00C35696" w14:paraId="0A6ECDE2" w14:textId="77777777" w:rsidTr="00C35696">
        <w:tc>
          <w:tcPr>
            <w:tcW w:w="4508" w:type="dxa"/>
          </w:tcPr>
          <w:p w14:paraId="474E21AE" w14:textId="77777777" w:rsidR="00C35696" w:rsidRPr="00C35696" w:rsidRDefault="00C35696" w:rsidP="00F06C1E">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Promotion</w:t>
            </w:r>
          </w:p>
        </w:tc>
        <w:tc>
          <w:tcPr>
            <w:tcW w:w="4508" w:type="dxa"/>
          </w:tcPr>
          <w:p w14:paraId="1B6EF30C" w14:textId="77777777" w:rsidR="00C35696" w:rsidRPr="00C35696" w:rsidRDefault="00C35696" w:rsidP="00F06C1E">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Social media, local partnerships, launch activity, content marketing, reviews and loyalty communications</w:t>
            </w:r>
          </w:p>
        </w:tc>
      </w:tr>
      <w:tr w:rsidR="00C35696" w:rsidRPr="00C35696" w14:paraId="3615C0D7" w14:textId="77777777" w:rsidTr="00C35696">
        <w:tc>
          <w:tcPr>
            <w:tcW w:w="4508" w:type="dxa"/>
          </w:tcPr>
          <w:p w14:paraId="57DD0542" w14:textId="77777777" w:rsidR="00C35696" w:rsidRPr="00C35696" w:rsidRDefault="00C35696" w:rsidP="00F06C1E">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lastRenderedPageBreak/>
              <w:t>People</w:t>
            </w:r>
          </w:p>
        </w:tc>
        <w:tc>
          <w:tcPr>
            <w:tcW w:w="4508" w:type="dxa"/>
          </w:tcPr>
          <w:p w14:paraId="551F8A9E" w14:textId="77777777" w:rsidR="00C35696" w:rsidRPr="00C35696" w:rsidRDefault="00C35696" w:rsidP="00F06C1E">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Trained baristas and customer-facing staff able to communicate product and sourcing value</w:t>
            </w:r>
          </w:p>
        </w:tc>
      </w:tr>
      <w:tr w:rsidR="00C35696" w:rsidRPr="00C35696" w14:paraId="38FEE1AA" w14:textId="77777777" w:rsidTr="00C35696">
        <w:tc>
          <w:tcPr>
            <w:tcW w:w="4508" w:type="dxa"/>
          </w:tcPr>
          <w:p w14:paraId="7B93D217" w14:textId="77777777" w:rsidR="00C35696" w:rsidRPr="00C35696" w:rsidRDefault="00C35696" w:rsidP="00F06C1E">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Process</w:t>
            </w:r>
          </w:p>
        </w:tc>
        <w:tc>
          <w:tcPr>
            <w:tcW w:w="4508" w:type="dxa"/>
          </w:tcPr>
          <w:p w14:paraId="70EFC253" w14:textId="77777777" w:rsidR="00C35696" w:rsidRPr="00C35696" w:rsidRDefault="00C35696" w:rsidP="00F06C1E">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Fast ordering, consistent preparation, quality control, service recovery and loyalty registration</w:t>
            </w:r>
          </w:p>
        </w:tc>
      </w:tr>
      <w:tr w:rsidR="00C35696" w:rsidRPr="00C35696" w14:paraId="76F1F9BF" w14:textId="77777777" w:rsidTr="00C35696">
        <w:tc>
          <w:tcPr>
            <w:tcW w:w="4508" w:type="dxa"/>
          </w:tcPr>
          <w:p w14:paraId="252405CF" w14:textId="77777777" w:rsidR="00C35696" w:rsidRPr="00C35696" w:rsidRDefault="00C35696" w:rsidP="00F06C1E">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Physical evidence</w:t>
            </w:r>
          </w:p>
        </w:tc>
        <w:tc>
          <w:tcPr>
            <w:tcW w:w="4508" w:type="dxa"/>
          </w:tcPr>
          <w:p w14:paraId="71FFA1E0" w14:textId="77777777" w:rsidR="00C35696" w:rsidRPr="00C35696" w:rsidRDefault="00C35696" w:rsidP="00F06C1E">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Café environment, packaging, sourcing information, reviews, staff presentation and traceability communication</w:t>
            </w:r>
          </w:p>
        </w:tc>
      </w:tr>
    </w:tbl>
    <w:p w14:paraId="447EC750" w14:textId="501D48C8" w:rsidR="00EB59AF" w:rsidRPr="00B2409B" w:rsidRDefault="00B44053" w:rsidP="00B2409B">
      <w:pPr>
        <w:spacing w:before="100" w:beforeAutospacing="1" w:after="100" w:afterAutospacing="1" w:line="360" w:lineRule="auto"/>
        <w:jc w:val="both"/>
        <w:rPr>
          <w:rFonts w:ascii="Arial" w:eastAsia="Times New Roman" w:hAnsi="Arial" w:cs="Arial"/>
          <w:sz w:val="24"/>
          <w:szCs w:val="24"/>
          <w:lang w:val="en-GB" w:eastAsia="en-GB"/>
        </w:rPr>
      </w:pPr>
      <w:r w:rsidRPr="00B44053">
        <w:rPr>
          <w:rFonts w:ascii="Arial" w:eastAsia="Times New Roman" w:hAnsi="Arial" w:cs="Arial"/>
          <w:sz w:val="24"/>
          <w:szCs w:val="24"/>
          <w:lang w:val="en-GB" w:eastAsia="en-GB"/>
        </w:rPr>
        <w:t>This approach complements the strategy as the value for the customer is created not only by the coffee itself, but also on the basis of the information provided on its origin, the atmosphere and service created, a</w:t>
      </w:r>
      <w:r w:rsidR="0009016E">
        <w:rPr>
          <w:rFonts w:ascii="Arial" w:eastAsia="Times New Roman" w:hAnsi="Arial" w:cs="Arial"/>
          <w:sz w:val="24"/>
          <w:szCs w:val="24"/>
          <w:lang w:val="en-GB" w:eastAsia="en-GB"/>
        </w:rPr>
        <w:t>s well as the surroundings</w:t>
      </w:r>
      <w:r w:rsidR="004E1586">
        <w:rPr>
          <w:rFonts w:ascii="Arial" w:eastAsia="Times New Roman" w:hAnsi="Arial" w:cs="Arial"/>
          <w:sz w:val="24"/>
          <w:szCs w:val="24"/>
          <w:lang w:val="en-GB" w:eastAsia="en-GB"/>
        </w:rPr>
        <w:t>.</w:t>
      </w:r>
    </w:p>
    <w:p w14:paraId="0AC87244" w14:textId="22BA3376" w:rsidR="00B2409B" w:rsidRPr="00EB59AF" w:rsidRDefault="004E1586" w:rsidP="00EB59AF">
      <w:pPr>
        <w:pStyle w:val="Heading3"/>
        <w:rPr>
          <w:rFonts w:eastAsia="Times New Roman"/>
          <w:lang w:val="en-GB" w:eastAsia="en-GB"/>
        </w:rPr>
      </w:pPr>
      <w:bookmarkStart w:id="96" w:name="_Toc240811452"/>
      <w:r>
        <w:rPr>
          <w:rFonts w:eastAsia="Times New Roman"/>
          <w:lang w:val="en-GB" w:eastAsia="en-GB"/>
        </w:rPr>
        <w:t>9.3.3 Customer</w:t>
      </w:r>
      <w:r w:rsidR="00B2409B" w:rsidRPr="00B2409B">
        <w:rPr>
          <w:rFonts w:eastAsia="Times New Roman"/>
          <w:lang w:val="en-GB" w:eastAsia="en-GB"/>
        </w:rPr>
        <w:t xml:space="preserve"> acquisition and sales process</w:t>
      </w:r>
      <w:bookmarkEnd w:id="96"/>
    </w:p>
    <w:p w14:paraId="59C24CA4" w14:textId="1F40BFAF" w:rsidR="00B2409B" w:rsidRPr="00B2409B" w:rsidRDefault="00B2409B" w:rsidP="00B2409B">
      <w:pPr>
        <w:spacing w:before="100" w:beforeAutospacing="1" w:after="100" w:afterAutospacing="1" w:line="360" w:lineRule="auto"/>
        <w:jc w:val="both"/>
        <w:rPr>
          <w:rFonts w:ascii="Arial" w:eastAsia="Times New Roman" w:hAnsi="Arial" w:cs="Arial"/>
          <w:sz w:val="24"/>
          <w:szCs w:val="24"/>
          <w:lang w:val="en-GB" w:eastAsia="en-GB"/>
        </w:rPr>
      </w:pPr>
      <w:r w:rsidRPr="00B2409B">
        <w:rPr>
          <w:rFonts w:ascii="Arial" w:eastAsia="Times New Roman" w:hAnsi="Arial" w:cs="Arial"/>
          <w:sz w:val="24"/>
          <w:szCs w:val="24"/>
          <w:lang w:val="en-GB" w:eastAsia="en-GB"/>
        </w:rPr>
        <w:t>Customer acquisition will f</w:t>
      </w:r>
      <w:r w:rsidR="00EB59AF">
        <w:rPr>
          <w:rFonts w:ascii="Arial" w:eastAsia="Times New Roman" w:hAnsi="Arial" w:cs="Arial"/>
          <w:sz w:val="24"/>
          <w:szCs w:val="24"/>
          <w:lang w:val="en-GB" w:eastAsia="en-GB"/>
        </w:rPr>
        <w:t>ollow a staged funnel:</w:t>
      </w:r>
    </w:p>
    <w:p w14:paraId="26B81218" w14:textId="4ABF9202" w:rsidR="00B2409B" w:rsidRPr="00B2409B" w:rsidRDefault="00B2409B" w:rsidP="00B2409B">
      <w:pPr>
        <w:spacing w:before="100" w:beforeAutospacing="1" w:after="100" w:afterAutospacing="1" w:line="360" w:lineRule="auto"/>
        <w:jc w:val="both"/>
        <w:rPr>
          <w:rFonts w:ascii="Arial" w:eastAsia="Times New Roman" w:hAnsi="Arial" w:cs="Arial"/>
          <w:sz w:val="24"/>
          <w:szCs w:val="24"/>
          <w:lang w:val="en-GB" w:eastAsia="en-GB"/>
        </w:rPr>
      </w:pPr>
      <w:r w:rsidRPr="00B4723C">
        <w:rPr>
          <w:rFonts w:ascii="Arial" w:eastAsia="Times New Roman" w:hAnsi="Arial" w:cs="Arial"/>
          <w:b/>
          <w:sz w:val="24"/>
          <w:szCs w:val="24"/>
          <w:lang w:val="en-GB" w:eastAsia="en-GB"/>
        </w:rPr>
        <w:t>Awareness → Engagement → First purchase → Repeat</w:t>
      </w:r>
      <w:r w:rsidR="00EB59AF" w:rsidRPr="00B4723C">
        <w:rPr>
          <w:rFonts w:ascii="Arial" w:eastAsia="Times New Roman" w:hAnsi="Arial" w:cs="Arial"/>
          <w:b/>
          <w:sz w:val="24"/>
          <w:szCs w:val="24"/>
          <w:lang w:val="en-GB" w:eastAsia="en-GB"/>
        </w:rPr>
        <w:t xml:space="preserve"> purchase → Loyalty → Advocacy</w:t>
      </w:r>
      <w:r w:rsidR="00EB59AF">
        <w:rPr>
          <w:rFonts w:ascii="Arial" w:eastAsia="Times New Roman" w:hAnsi="Arial" w:cs="Arial"/>
          <w:sz w:val="24"/>
          <w:szCs w:val="24"/>
          <w:lang w:val="en-GB" w:eastAsia="en-GB"/>
        </w:rPr>
        <w:t>.</w:t>
      </w:r>
    </w:p>
    <w:p w14:paraId="58607492" w14:textId="4CE0D624" w:rsidR="00B4723C" w:rsidRPr="00B4723C" w:rsidRDefault="00B4723C" w:rsidP="00B4723C">
      <w:pPr>
        <w:spacing w:before="100" w:beforeAutospacing="1" w:after="100" w:afterAutospacing="1" w:line="360" w:lineRule="auto"/>
        <w:jc w:val="both"/>
        <w:rPr>
          <w:rFonts w:ascii="Arial" w:eastAsia="Times New Roman" w:hAnsi="Arial" w:cs="Arial"/>
          <w:sz w:val="24"/>
          <w:szCs w:val="24"/>
          <w:lang w:val="en-GB" w:eastAsia="en-GB"/>
        </w:rPr>
      </w:pPr>
      <w:r w:rsidRPr="00B4723C">
        <w:rPr>
          <w:rFonts w:ascii="Arial" w:eastAsia="Times New Roman" w:hAnsi="Arial" w:cs="Arial"/>
          <w:sz w:val="24"/>
          <w:szCs w:val="24"/>
          <w:lang w:val="en-GB" w:eastAsia="en-GB"/>
        </w:rPr>
        <w:t xml:space="preserve">Instagram and social media, Google/local search and local partnerships and visually appealing content of coffee quality and sourcing will be used to raise awareness. Coffee education and producer stories and sustainability evidence will be used to encourage engagement. Conversion will be achieved by way of a controlled launch offer, not permanent discounting, which will preserve the </w:t>
      </w:r>
      <w:r>
        <w:rPr>
          <w:rFonts w:ascii="Arial" w:eastAsia="Times New Roman" w:hAnsi="Arial" w:cs="Arial"/>
          <w:sz w:val="24"/>
          <w:szCs w:val="24"/>
          <w:lang w:val="en-GB" w:eastAsia="en-GB"/>
        </w:rPr>
        <w:t>position of accessible-premium</w:t>
      </w:r>
      <w:r w:rsidR="00DF0DAA">
        <w:rPr>
          <w:rFonts w:ascii="Arial" w:eastAsia="Times New Roman" w:hAnsi="Arial" w:cs="Arial"/>
          <w:sz w:val="24"/>
          <w:szCs w:val="24"/>
          <w:lang w:val="en-GB" w:eastAsia="en-GB"/>
        </w:rPr>
        <w:t xml:space="preserve">.  </w:t>
      </w:r>
      <w:r w:rsidRPr="00B4723C">
        <w:rPr>
          <w:rFonts w:ascii="Arial" w:eastAsia="Times New Roman" w:hAnsi="Arial" w:cs="Arial"/>
          <w:sz w:val="24"/>
          <w:szCs w:val="24"/>
          <w:lang w:val="en-GB" w:eastAsia="en-GB"/>
        </w:rPr>
        <w:t xml:space="preserve">The main type of sales in a café is direct, transactional. The sales process thus includes customer discovery, store visit, purchase, service delivery, feedback, repeat purchase and referral. </w:t>
      </w:r>
    </w:p>
    <w:p w14:paraId="46F63830" w14:textId="72674F3B" w:rsidR="00B2409B" w:rsidRPr="00B2409B" w:rsidRDefault="00B4723C" w:rsidP="00B2409B">
      <w:pPr>
        <w:spacing w:before="100" w:beforeAutospacing="1" w:after="100" w:afterAutospacing="1" w:line="360" w:lineRule="auto"/>
        <w:jc w:val="both"/>
        <w:rPr>
          <w:rFonts w:ascii="Arial" w:eastAsia="Times New Roman" w:hAnsi="Arial" w:cs="Arial"/>
          <w:sz w:val="24"/>
          <w:szCs w:val="24"/>
          <w:lang w:val="en-GB" w:eastAsia="en-GB"/>
        </w:rPr>
      </w:pPr>
      <w:r w:rsidRPr="00B4723C">
        <w:rPr>
          <w:rFonts w:ascii="Arial" w:eastAsia="Times New Roman" w:hAnsi="Arial" w:cs="Arial"/>
          <w:sz w:val="24"/>
          <w:szCs w:val="24"/>
          <w:lang w:val="en-GB" w:eastAsia="en-GB"/>
        </w:rPr>
        <w:t>The marketing budget is allocated at £12,000 for Year 1, which will comprise around £3,000 for website, photography and launch assets, £4,000 for digital and targeted marketing, £2,000 for local partnerships and events and £3,000 for loyalty marketing, review generation and promotions. The budget needs to be allocated based on the actual amount of measurable perf</w:t>
      </w:r>
      <w:r w:rsidR="00DF0DAA">
        <w:rPr>
          <w:rFonts w:ascii="Arial" w:eastAsia="Times New Roman" w:hAnsi="Arial" w:cs="Arial"/>
          <w:sz w:val="24"/>
          <w:szCs w:val="24"/>
          <w:lang w:val="en-GB" w:eastAsia="en-GB"/>
        </w:rPr>
        <w:t>ormance, not evenly distributed.</w:t>
      </w:r>
    </w:p>
    <w:p w14:paraId="6ED653B0" w14:textId="77777777" w:rsidR="00B2409B" w:rsidRPr="00B2409B" w:rsidRDefault="00B2409B" w:rsidP="00CA31B4">
      <w:pPr>
        <w:pStyle w:val="Heading2"/>
        <w:rPr>
          <w:rFonts w:eastAsia="Times New Roman"/>
          <w:lang w:val="en-GB" w:eastAsia="en-GB"/>
        </w:rPr>
      </w:pPr>
      <w:bookmarkStart w:id="97" w:name="_Toc240811453"/>
      <w:r w:rsidRPr="00B2409B">
        <w:rPr>
          <w:rFonts w:eastAsia="Times New Roman"/>
          <w:lang w:val="en-GB" w:eastAsia="en-GB"/>
        </w:rPr>
        <w:lastRenderedPageBreak/>
        <w:t>9.4 Human Capital Management Plan</w:t>
      </w:r>
      <w:bookmarkEnd w:id="97"/>
    </w:p>
    <w:p w14:paraId="7F36E182" w14:textId="30F7DF21" w:rsidR="00B2409B" w:rsidRPr="00CA31B4" w:rsidRDefault="004E1586" w:rsidP="00CA31B4">
      <w:pPr>
        <w:pStyle w:val="Heading3"/>
        <w:rPr>
          <w:rFonts w:eastAsia="Times New Roman"/>
          <w:lang w:val="en-GB" w:eastAsia="en-GB"/>
        </w:rPr>
      </w:pPr>
      <w:bookmarkStart w:id="98" w:name="_Toc240811454"/>
      <w:r w:rsidRPr="004E1586">
        <w:rPr>
          <w:rFonts w:eastAsia="Times New Roman"/>
          <w:lang w:val="en-GB" w:eastAsia="en-GB"/>
        </w:rPr>
        <w:t>9.4</w:t>
      </w:r>
      <w:r>
        <w:rPr>
          <w:rFonts w:eastAsia="Times New Roman"/>
          <w:lang w:val="en-GB" w:eastAsia="en-GB"/>
        </w:rPr>
        <w:t>.1</w:t>
      </w:r>
      <w:r w:rsidRPr="004E1586">
        <w:rPr>
          <w:rFonts w:eastAsia="Times New Roman"/>
          <w:lang w:val="en-GB" w:eastAsia="en-GB"/>
        </w:rPr>
        <w:t xml:space="preserve"> </w:t>
      </w:r>
      <w:r w:rsidR="00B2409B" w:rsidRPr="00B2409B">
        <w:rPr>
          <w:rFonts w:eastAsia="Times New Roman"/>
          <w:lang w:val="en-GB" w:eastAsia="en-GB"/>
        </w:rPr>
        <w:t>Organisational structure and staffing</w:t>
      </w:r>
      <w:bookmarkEnd w:id="98"/>
    </w:p>
    <w:p w14:paraId="47492A58" w14:textId="0F570E70" w:rsidR="009D48DB" w:rsidRPr="009D48DB" w:rsidRDefault="009D48DB" w:rsidP="009D48DB">
      <w:pPr>
        <w:spacing w:before="100" w:beforeAutospacing="1" w:after="100" w:afterAutospacing="1" w:line="360" w:lineRule="auto"/>
        <w:jc w:val="both"/>
        <w:rPr>
          <w:rFonts w:ascii="Arial" w:eastAsia="Times New Roman" w:hAnsi="Arial" w:cs="Arial"/>
          <w:sz w:val="24"/>
          <w:szCs w:val="24"/>
          <w:lang w:val="en-GB" w:eastAsia="en-GB"/>
        </w:rPr>
      </w:pPr>
      <w:r w:rsidRPr="009D48DB">
        <w:rPr>
          <w:rFonts w:ascii="Arial" w:eastAsia="Times New Roman" w:hAnsi="Arial" w:cs="Arial"/>
          <w:sz w:val="24"/>
          <w:szCs w:val="24"/>
          <w:lang w:val="en-GB" w:eastAsia="en-GB"/>
        </w:rPr>
        <w:t>Initially, TEBC will have a lean organisation with the owner/founder, the Operations/Café lead and a flexible team of trained baristas/customer service staff. Some accounting, some marketing activities, legal advice and expert technology assistance may be provided on a contract basis when it is more cost-effective than havi</w:t>
      </w:r>
      <w:r>
        <w:rPr>
          <w:rFonts w:ascii="Arial" w:eastAsia="Times New Roman" w:hAnsi="Arial" w:cs="Arial"/>
          <w:sz w:val="24"/>
          <w:szCs w:val="24"/>
          <w:lang w:val="en-GB" w:eastAsia="en-GB"/>
        </w:rPr>
        <w:t xml:space="preserve">ng staff on board. </w:t>
      </w:r>
    </w:p>
    <w:p w14:paraId="5E8EE560" w14:textId="2D7F0F91" w:rsidR="00B2409B" w:rsidRPr="00B2409B" w:rsidRDefault="009D48DB" w:rsidP="00B2409B">
      <w:pPr>
        <w:spacing w:before="100" w:beforeAutospacing="1" w:after="100" w:afterAutospacing="1" w:line="360" w:lineRule="auto"/>
        <w:jc w:val="both"/>
        <w:rPr>
          <w:rFonts w:ascii="Arial" w:eastAsia="Times New Roman" w:hAnsi="Arial" w:cs="Arial"/>
          <w:sz w:val="24"/>
          <w:szCs w:val="24"/>
          <w:lang w:val="en-GB" w:eastAsia="en-GB"/>
        </w:rPr>
      </w:pPr>
      <w:r w:rsidRPr="009D48DB">
        <w:rPr>
          <w:rFonts w:ascii="Arial" w:eastAsia="Times New Roman" w:hAnsi="Arial" w:cs="Arial"/>
          <w:sz w:val="24"/>
          <w:szCs w:val="24"/>
          <w:lang w:val="en-GB" w:eastAsia="en-GB"/>
        </w:rPr>
        <w:t>There should be immediate staffing in relation to volume of transactions and opening hours. A model of about 3–4 FTE employees combined with flexible part-time staff with a role to cover, with founder/manager participation, is sufficient for a planning structure, to be scaled up or down based on the fina</w:t>
      </w:r>
      <w:r>
        <w:rPr>
          <w:rFonts w:ascii="Arial" w:eastAsia="Times New Roman" w:hAnsi="Arial" w:cs="Arial"/>
          <w:sz w:val="24"/>
          <w:szCs w:val="24"/>
          <w:lang w:val="en-GB" w:eastAsia="en-GB"/>
        </w:rPr>
        <w:t xml:space="preserve">l premises capacity and hours. </w:t>
      </w:r>
      <w:r w:rsidR="00DF0DAA">
        <w:rPr>
          <w:rFonts w:ascii="Arial" w:eastAsia="Times New Roman" w:hAnsi="Arial" w:cs="Arial"/>
          <w:sz w:val="24"/>
          <w:szCs w:val="24"/>
          <w:lang w:val="en-GB" w:eastAsia="en-GB"/>
        </w:rPr>
        <w:t xml:space="preserve">  </w:t>
      </w:r>
      <w:r w:rsidRPr="009D48DB">
        <w:rPr>
          <w:rFonts w:ascii="Arial" w:eastAsia="Times New Roman" w:hAnsi="Arial" w:cs="Arial"/>
          <w:sz w:val="24"/>
          <w:szCs w:val="24"/>
          <w:lang w:val="en-GB" w:eastAsia="en-GB"/>
        </w:rPr>
        <w:t xml:space="preserve">The National Living Wage will increase from £12.71 per hour for workers over 21 years from April 2026 (GOV.UK, 2026). In the financial model (HMRC, 2026), employer National Insurance and other payroll costs need to be included in basic wages. </w:t>
      </w:r>
    </w:p>
    <w:p w14:paraId="1B87A57E" w14:textId="783AA7BC" w:rsidR="00B2409B" w:rsidRPr="009D48DB" w:rsidRDefault="004E1586" w:rsidP="009D48DB">
      <w:pPr>
        <w:pStyle w:val="Heading3"/>
        <w:rPr>
          <w:rFonts w:eastAsia="Times New Roman"/>
          <w:lang w:val="en-GB" w:eastAsia="en-GB"/>
        </w:rPr>
      </w:pPr>
      <w:bookmarkStart w:id="99" w:name="_Toc240811455"/>
      <w:r w:rsidRPr="004E1586">
        <w:rPr>
          <w:rFonts w:eastAsia="Times New Roman"/>
          <w:lang w:val="en-GB" w:eastAsia="en-GB"/>
        </w:rPr>
        <w:t>9.4</w:t>
      </w:r>
      <w:r>
        <w:rPr>
          <w:rFonts w:eastAsia="Times New Roman"/>
          <w:lang w:val="en-GB" w:eastAsia="en-GB"/>
        </w:rPr>
        <w:t>.2</w:t>
      </w:r>
      <w:r w:rsidRPr="004E1586">
        <w:rPr>
          <w:rFonts w:eastAsia="Times New Roman"/>
          <w:lang w:val="en-GB" w:eastAsia="en-GB"/>
        </w:rPr>
        <w:t xml:space="preserve"> </w:t>
      </w:r>
      <w:r w:rsidR="00B2409B" w:rsidRPr="00B2409B">
        <w:rPr>
          <w:rFonts w:eastAsia="Times New Roman"/>
          <w:lang w:val="en-GB" w:eastAsia="en-GB"/>
        </w:rPr>
        <w:t>Recruitment, development and retention</w:t>
      </w:r>
      <w:bookmarkEnd w:id="99"/>
    </w:p>
    <w:p w14:paraId="57EB5022" w14:textId="3512488C" w:rsidR="009D48DB" w:rsidRPr="009D48DB" w:rsidRDefault="009D48DB" w:rsidP="009D48DB">
      <w:pPr>
        <w:spacing w:before="100" w:beforeAutospacing="1" w:after="100" w:afterAutospacing="1" w:line="360" w:lineRule="auto"/>
        <w:jc w:val="both"/>
        <w:rPr>
          <w:rFonts w:ascii="Arial" w:eastAsia="Times New Roman" w:hAnsi="Arial" w:cs="Arial"/>
          <w:sz w:val="24"/>
          <w:szCs w:val="24"/>
          <w:lang w:val="en-GB" w:eastAsia="en-GB"/>
        </w:rPr>
      </w:pPr>
      <w:r w:rsidRPr="009D48DB">
        <w:rPr>
          <w:rFonts w:ascii="Arial" w:eastAsia="Times New Roman" w:hAnsi="Arial" w:cs="Arial"/>
          <w:sz w:val="24"/>
          <w:szCs w:val="24"/>
          <w:lang w:val="en-GB" w:eastAsia="en-GB"/>
        </w:rPr>
        <w:t>The staff's qualifications should focus on their ability to prepare coffee, customer service, reliability, communication and understanding of ethical practices. Or it may be a combination of application screening, structured interviews and practical coffee/service assessment. All staff should be inducted in Food Safety, Allergen Awareness, Health and Safety, Customer Service and POS procedure</w:t>
      </w:r>
      <w:r>
        <w:rPr>
          <w:rFonts w:ascii="Arial" w:eastAsia="Times New Roman" w:hAnsi="Arial" w:cs="Arial"/>
          <w:sz w:val="24"/>
          <w:szCs w:val="24"/>
          <w:lang w:val="en-GB" w:eastAsia="en-GB"/>
        </w:rPr>
        <w:t>s and Sustainability practices.</w:t>
      </w:r>
    </w:p>
    <w:p w14:paraId="0EC992BF" w14:textId="0921EC18" w:rsidR="009D48DB" w:rsidRPr="009D48DB" w:rsidRDefault="009D48DB" w:rsidP="009D48DB">
      <w:pPr>
        <w:spacing w:before="100" w:beforeAutospacing="1" w:after="100" w:afterAutospacing="1" w:line="360" w:lineRule="auto"/>
        <w:jc w:val="both"/>
        <w:rPr>
          <w:rFonts w:ascii="Arial" w:eastAsia="Times New Roman" w:hAnsi="Arial" w:cs="Arial"/>
          <w:sz w:val="24"/>
          <w:szCs w:val="24"/>
          <w:lang w:val="en-GB" w:eastAsia="en-GB"/>
        </w:rPr>
      </w:pPr>
      <w:r w:rsidRPr="009D48DB">
        <w:rPr>
          <w:rFonts w:ascii="Arial" w:eastAsia="Times New Roman" w:hAnsi="Arial" w:cs="Arial"/>
          <w:sz w:val="24"/>
          <w:szCs w:val="24"/>
          <w:lang w:val="en-GB" w:eastAsia="en-GB"/>
        </w:rPr>
        <w:t xml:space="preserve">Espresso preparation, milk handling, quality control, product knowledge and responsible sourcing communication should be part of specialist training. Staff should also be educated on accurate reporting of provenance as well as on avoiding making unsupported sustainability claims. This is key since the proposition of differentiation is reliant on the ability of employees to convey the </w:t>
      </w:r>
      <w:r>
        <w:rPr>
          <w:rFonts w:ascii="Arial" w:eastAsia="Times New Roman" w:hAnsi="Arial" w:cs="Arial"/>
          <w:sz w:val="24"/>
          <w:szCs w:val="24"/>
          <w:lang w:val="en-GB" w:eastAsia="en-GB"/>
        </w:rPr>
        <w:t>message in a consistent manner.</w:t>
      </w:r>
    </w:p>
    <w:p w14:paraId="630208E3" w14:textId="3E15CC04" w:rsidR="00B2409B" w:rsidRPr="00B2409B" w:rsidRDefault="009D48DB" w:rsidP="00B2409B">
      <w:pPr>
        <w:spacing w:before="100" w:beforeAutospacing="1" w:after="100" w:afterAutospacing="1" w:line="360" w:lineRule="auto"/>
        <w:jc w:val="both"/>
        <w:rPr>
          <w:rFonts w:ascii="Arial" w:eastAsia="Times New Roman" w:hAnsi="Arial" w:cs="Arial"/>
          <w:sz w:val="24"/>
          <w:szCs w:val="24"/>
          <w:lang w:val="en-GB" w:eastAsia="en-GB"/>
        </w:rPr>
      </w:pPr>
      <w:r w:rsidRPr="009D48DB">
        <w:rPr>
          <w:rFonts w:ascii="Arial" w:eastAsia="Times New Roman" w:hAnsi="Arial" w:cs="Arial"/>
          <w:sz w:val="24"/>
          <w:szCs w:val="24"/>
          <w:lang w:val="en-GB" w:eastAsia="en-GB"/>
        </w:rPr>
        <w:t xml:space="preserve">They will be supported to stay through fair pay, recognition, predictable working hours, skills development and opportunities for progression. Customer indicators like reviews, service quality, repeat-purchase behaviour as well as operational indicators </w:t>
      </w:r>
      <w:r w:rsidRPr="009D48DB">
        <w:rPr>
          <w:rFonts w:ascii="Arial" w:eastAsia="Times New Roman" w:hAnsi="Arial" w:cs="Arial"/>
          <w:sz w:val="24"/>
          <w:szCs w:val="24"/>
          <w:lang w:val="en-GB" w:eastAsia="en-GB"/>
        </w:rPr>
        <w:lastRenderedPageBreak/>
        <w:t xml:space="preserve">like productivity and waste are combined in performance management. This aligns human capital with the customer </w:t>
      </w:r>
      <w:r>
        <w:rPr>
          <w:rFonts w:ascii="Arial" w:eastAsia="Times New Roman" w:hAnsi="Arial" w:cs="Arial"/>
          <w:sz w:val="24"/>
          <w:szCs w:val="24"/>
          <w:lang w:val="en-GB" w:eastAsia="en-GB"/>
        </w:rPr>
        <w:t>experience part of the strategy.</w:t>
      </w:r>
    </w:p>
    <w:p w14:paraId="28424597" w14:textId="75662F8E" w:rsidR="00B2409B" w:rsidRPr="00332C7B" w:rsidRDefault="004E1586" w:rsidP="00332C7B">
      <w:pPr>
        <w:pStyle w:val="Heading3"/>
        <w:rPr>
          <w:rFonts w:eastAsia="Times New Roman"/>
          <w:lang w:val="en-GB" w:eastAsia="en-GB"/>
        </w:rPr>
      </w:pPr>
      <w:bookmarkStart w:id="100" w:name="_Toc240811456"/>
      <w:r>
        <w:rPr>
          <w:rFonts w:eastAsia="Times New Roman"/>
          <w:lang w:val="en-GB" w:eastAsia="en-GB"/>
        </w:rPr>
        <w:t xml:space="preserve">9.4.3 </w:t>
      </w:r>
      <w:r w:rsidR="00B2409B" w:rsidRPr="00B2409B">
        <w:rPr>
          <w:rFonts w:eastAsia="Times New Roman"/>
          <w:lang w:val="en-GB" w:eastAsia="en-GB"/>
        </w:rPr>
        <w:t>Employment and operational compliance</w:t>
      </w:r>
      <w:bookmarkEnd w:id="100"/>
    </w:p>
    <w:p w14:paraId="3DB5CDA2" w14:textId="3006EAA2" w:rsidR="00B2409B" w:rsidRPr="00B2409B" w:rsidRDefault="00B2409B" w:rsidP="00B2409B">
      <w:pPr>
        <w:spacing w:before="100" w:beforeAutospacing="1" w:after="100" w:afterAutospacing="1" w:line="360" w:lineRule="auto"/>
        <w:jc w:val="both"/>
        <w:rPr>
          <w:rFonts w:ascii="Arial" w:eastAsia="Times New Roman" w:hAnsi="Arial" w:cs="Arial"/>
          <w:sz w:val="24"/>
          <w:szCs w:val="24"/>
          <w:lang w:val="en-GB" w:eastAsia="en-GB"/>
        </w:rPr>
      </w:pPr>
      <w:r w:rsidRPr="00B2409B">
        <w:rPr>
          <w:rFonts w:ascii="Arial" w:eastAsia="Times New Roman" w:hAnsi="Arial" w:cs="Arial"/>
          <w:sz w:val="24"/>
          <w:szCs w:val="24"/>
          <w:lang w:val="en-GB" w:eastAsia="en-GB"/>
        </w:rPr>
        <w:t>TEBC must incorporate employment, food-safety and customer-protection requirements into its operating system. The Food Standards Agency requires food businesses to register with the local authority at least 28 days before trading and to maintain appropriate food-safety procedures (Food Standards Agency, 2026). Employment practices should also cover contracts, right-to-work checks, working time, minimum pay, pension obligations, equality and health and safety. These are compliance requirements rather than sources of competitive differentiation, but failure to meet them could create f</w:t>
      </w:r>
      <w:r w:rsidR="00332C7B">
        <w:rPr>
          <w:rFonts w:ascii="Arial" w:eastAsia="Times New Roman" w:hAnsi="Arial" w:cs="Arial"/>
          <w:sz w:val="24"/>
          <w:szCs w:val="24"/>
          <w:lang w:val="en-GB" w:eastAsia="en-GB"/>
        </w:rPr>
        <w:t>inancial and reputational risk.</w:t>
      </w:r>
    </w:p>
    <w:p w14:paraId="16BD8C88" w14:textId="58A842D2" w:rsidR="00B2409B" w:rsidRPr="00B2409B" w:rsidRDefault="00B2409B" w:rsidP="00332C7B">
      <w:pPr>
        <w:pStyle w:val="Heading2"/>
        <w:rPr>
          <w:rFonts w:eastAsia="Times New Roman"/>
          <w:lang w:val="en-GB" w:eastAsia="en-GB"/>
        </w:rPr>
      </w:pPr>
      <w:bookmarkStart w:id="101" w:name="_Toc240811457"/>
      <w:r w:rsidRPr="00B2409B">
        <w:rPr>
          <w:rFonts w:eastAsia="Times New Roman"/>
          <w:lang w:val="en-GB" w:eastAsia="en-GB"/>
        </w:rPr>
        <w:t>9.5 Integrat</w:t>
      </w:r>
      <w:r w:rsidR="00332C7B">
        <w:rPr>
          <w:rFonts w:eastAsia="Times New Roman"/>
          <w:lang w:val="en-GB" w:eastAsia="en-GB"/>
        </w:rPr>
        <w:t>ion, Scalability and Conclusion</w:t>
      </w:r>
      <w:bookmarkEnd w:id="101"/>
    </w:p>
    <w:p w14:paraId="42707F34" w14:textId="69AC4192" w:rsidR="00332C7B" w:rsidRPr="00332C7B" w:rsidRDefault="00332C7B" w:rsidP="00332C7B">
      <w:pPr>
        <w:spacing w:before="100" w:beforeAutospacing="1" w:after="100" w:afterAutospacing="1" w:line="360" w:lineRule="auto"/>
        <w:jc w:val="both"/>
        <w:rPr>
          <w:rFonts w:ascii="Arial" w:eastAsia="Times New Roman" w:hAnsi="Arial" w:cs="Arial"/>
          <w:sz w:val="24"/>
          <w:szCs w:val="24"/>
          <w:lang w:val="en-GB" w:eastAsia="en-GB"/>
        </w:rPr>
      </w:pPr>
      <w:r w:rsidRPr="00332C7B">
        <w:rPr>
          <w:rFonts w:ascii="Arial" w:eastAsia="Times New Roman" w:hAnsi="Arial" w:cs="Arial"/>
          <w:sz w:val="24"/>
          <w:szCs w:val="24"/>
          <w:lang w:val="en-GB" w:eastAsia="en-GB"/>
        </w:rPr>
        <w:t>These three functional plans should be seen as a whole system and not individual activities. Marketing channels and messages are dependent on the target audience; marketing attracts customers to the store; sales turn customers into transactions; transactions create revenue and transaction volume dictates staffin</w:t>
      </w:r>
      <w:r>
        <w:rPr>
          <w:rFonts w:ascii="Arial" w:eastAsia="Times New Roman" w:hAnsi="Arial" w:cs="Arial"/>
          <w:sz w:val="24"/>
          <w:szCs w:val="24"/>
          <w:lang w:val="en-GB" w:eastAsia="en-GB"/>
        </w:rPr>
        <w:t xml:space="preserve">g, stock and service capacity. </w:t>
      </w:r>
    </w:p>
    <w:p w14:paraId="2E9FB6E6" w14:textId="40746154" w:rsidR="00A1593B" w:rsidRDefault="00332C7B" w:rsidP="00332C7B">
      <w:pPr>
        <w:spacing w:before="100" w:beforeAutospacing="1" w:after="100" w:afterAutospacing="1" w:line="360" w:lineRule="auto"/>
        <w:jc w:val="both"/>
        <w:rPr>
          <w:rFonts w:ascii="Arial" w:eastAsia="Times New Roman" w:hAnsi="Arial" w:cs="Arial"/>
          <w:sz w:val="24"/>
          <w:szCs w:val="24"/>
          <w:lang w:val="en-GB" w:eastAsia="en-GB"/>
        </w:rPr>
      </w:pPr>
      <w:r w:rsidRPr="00332C7B">
        <w:rPr>
          <w:rFonts w:ascii="Arial" w:eastAsia="Times New Roman" w:hAnsi="Arial" w:cs="Arial"/>
          <w:sz w:val="24"/>
          <w:szCs w:val="24"/>
          <w:lang w:val="en-GB" w:eastAsia="en-GB"/>
        </w:rPr>
        <w:t>Under the assumed conditions, the base case suggests that TEBC can move towards operating break-even with around 135 transactions per day. This creates a need to acquire customers early, repeat customers and monitor contribution-margin. Before embarking on expansion, the business should work on improving the utilisation of the resources, retaining customers and optimising the working processes, in order to develop and mature the system incrementally. Where volumes of transactions regularly exceed the practical capacity of service, other staffing, equipment or premises capacity can be added. On the other hand, when volumes are not reaching break-even points, management should strive to maximise marketing, product mix, staffing schedules and supplier’s costs rather than expand before they reach that point. This structured method works with the focused staged differentiation strategy outlined in Chapter 7 and is a financially managed pathway to eventual growth.</w:t>
      </w:r>
    </w:p>
    <w:p w14:paraId="04F2F28C" w14:textId="54364FA6" w:rsidR="00AA5615" w:rsidRDefault="00AA5615" w:rsidP="00B2409B">
      <w:pPr>
        <w:spacing w:before="100" w:beforeAutospacing="1" w:after="100" w:afterAutospacing="1" w:line="360" w:lineRule="auto"/>
        <w:jc w:val="both"/>
        <w:rPr>
          <w:rFonts w:ascii="Arial" w:eastAsia="Times New Roman" w:hAnsi="Arial" w:cs="Arial"/>
          <w:sz w:val="24"/>
          <w:szCs w:val="24"/>
          <w:lang w:val="en-GB" w:eastAsia="en-GB"/>
        </w:rPr>
      </w:pPr>
    </w:p>
    <w:p w14:paraId="0A363C4E" w14:textId="77777777" w:rsidR="00AA5615" w:rsidRPr="00AA5615" w:rsidRDefault="00AA5615" w:rsidP="002E019E">
      <w:pPr>
        <w:pStyle w:val="Heading1"/>
        <w:jc w:val="center"/>
        <w:rPr>
          <w:rFonts w:eastAsia="Times New Roman"/>
          <w:lang w:val="en-GB" w:eastAsia="en-GB"/>
        </w:rPr>
      </w:pPr>
      <w:bookmarkStart w:id="102" w:name="_Toc240811458"/>
      <w:r w:rsidRPr="00AA5615">
        <w:rPr>
          <w:rFonts w:eastAsia="Times New Roman"/>
          <w:lang w:val="en-GB" w:eastAsia="en-GB"/>
        </w:rPr>
        <w:lastRenderedPageBreak/>
        <w:t>Chapter 10: Operations Plan</w:t>
      </w:r>
      <w:bookmarkEnd w:id="102"/>
    </w:p>
    <w:p w14:paraId="65F400B7" w14:textId="18FF54A2" w:rsidR="00AA5615" w:rsidRPr="00AA5615" w:rsidRDefault="002E019E" w:rsidP="002E019E">
      <w:pPr>
        <w:pStyle w:val="Heading2"/>
        <w:rPr>
          <w:rFonts w:eastAsia="Times New Roman"/>
          <w:lang w:val="en-GB" w:eastAsia="en-GB"/>
        </w:rPr>
      </w:pPr>
      <w:bookmarkStart w:id="103" w:name="_Toc240811459"/>
      <w:r>
        <w:rPr>
          <w:rFonts w:eastAsia="Times New Roman"/>
          <w:lang w:val="en-GB" w:eastAsia="en-GB"/>
        </w:rPr>
        <w:t>10.1 Operating Model</w:t>
      </w:r>
      <w:bookmarkEnd w:id="103"/>
    </w:p>
    <w:p w14:paraId="7E4F164E" w14:textId="688C9C9E" w:rsidR="002E019E" w:rsidRPr="002E019E" w:rsidRDefault="002E019E" w:rsidP="002E019E">
      <w:pPr>
        <w:spacing w:before="100" w:beforeAutospacing="1" w:after="100" w:afterAutospacing="1" w:line="360" w:lineRule="auto"/>
        <w:jc w:val="both"/>
        <w:rPr>
          <w:rFonts w:ascii="Arial" w:eastAsia="Times New Roman" w:hAnsi="Arial" w:cs="Arial"/>
          <w:sz w:val="24"/>
          <w:szCs w:val="24"/>
          <w:lang w:val="en-GB" w:eastAsia="en-GB"/>
        </w:rPr>
      </w:pPr>
      <w:r w:rsidRPr="002E019E">
        <w:rPr>
          <w:rFonts w:ascii="Arial" w:eastAsia="Times New Roman" w:hAnsi="Arial" w:cs="Arial"/>
          <w:sz w:val="24"/>
          <w:szCs w:val="24"/>
          <w:lang w:val="en-GB" w:eastAsia="en-GB"/>
        </w:rPr>
        <w:t>Ethical Bean Coffee House (TEBC) is a high quality, specialty coffee shop to be found on Monmouth Street, Covent Garden, London. Its business model will be based on the experience of producing quality coffee, respectful sourcing, customized coffee experience and sustainability alongside with the business efficiencies of daily running of the café. The model is based on a physical café, digital payment, customer engagement, and stock-management systems. This is in line with the expansion of the independent coffee-shop industry in the UK, where specialty coffee and the personalisation of hospitality and unique experiences are still significant competitive advantag</w:t>
      </w:r>
      <w:r>
        <w:rPr>
          <w:rFonts w:ascii="Arial" w:eastAsia="Times New Roman" w:hAnsi="Arial" w:cs="Arial"/>
          <w:sz w:val="24"/>
          <w:szCs w:val="24"/>
          <w:lang w:val="en-GB" w:eastAsia="en-GB"/>
        </w:rPr>
        <w:t>es (World Coffee Portal, 2026).</w:t>
      </w:r>
    </w:p>
    <w:p w14:paraId="2F985557" w14:textId="7B5AB170" w:rsidR="00AA5615" w:rsidRPr="00AA5615" w:rsidRDefault="002E019E" w:rsidP="00AA5615">
      <w:pPr>
        <w:spacing w:before="100" w:beforeAutospacing="1" w:after="100" w:afterAutospacing="1" w:line="360" w:lineRule="auto"/>
        <w:jc w:val="both"/>
        <w:rPr>
          <w:rFonts w:ascii="Arial" w:eastAsia="Times New Roman" w:hAnsi="Arial" w:cs="Arial"/>
          <w:sz w:val="24"/>
          <w:szCs w:val="24"/>
          <w:lang w:val="en-GB" w:eastAsia="en-GB"/>
        </w:rPr>
      </w:pPr>
      <w:r w:rsidRPr="002E019E">
        <w:rPr>
          <w:rFonts w:ascii="Arial" w:eastAsia="Times New Roman" w:hAnsi="Arial" w:cs="Arial"/>
          <w:sz w:val="24"/>
          <w:szCs w:val="24"/>
          <w:lang w:val="en-GB" w:eastAsia="en-GB"/>
        </w:rPr>
        <w:t>The customer journey from arrival to purchase and feedback will be defined through process mapping and inventory and supply-chain principles will enable reliable product availability. The operating model will therefore aim to find a balance between service quality, speed, cost control and responsible sourcing.</w:t>
      </w:r>
    </w:p>
    <w:p w14:paraId="0BD2583F" w14:textId="4D549D0E" w:rsidR="00AA5615" w:rsidRPr="002E019E" w:rsidRDefault="00AA5615" w:rsidP="002E019E">
      <w:pPr>
        <w:pStyle w:val="Heading2"/>
        <w:rPr>
          <w:rFonts w:eastAsia="Times New Roman"/>
          <w:lang w:val="en-GB" w:eastAsia="en-GB"/>
        </w:rPr>
      </w:pPr>
      <w:bookmarkStart w:id="104" w:name="_Toc240811460"/>
      <w:r w:rsidRPr="00AA5615">
        <w:rPr>
          <w:rFonts w:eastAsia="Times New Roman"/>
          <w:lang w:val="en-GB" w:eastAsia="en-GB"/>
        </w:rPr>
        <w:t>10.2 Operational Workflow and Capacity</w:t>
      </w:r>
      <w:bookmarkEnd w:id="104"/>
    </w:p>
    <w:p w14:paraId="74751D47" w14:textId="5A6A9A8E" w:rsidR="00AA5615" w:rsidRPr="002E019E" w:rsidRDefault="00AA5615" w:rsidP="00AA5615">
      <w:pPr>
        <w:spacing w:before="100" w:beforeAutospacing="1" w:after="100" w:afterAutospacing="1" w:line="360" w:lineRule="auto"/>
        <w:jc w:val="both"/>
        <w:rPr>
          <w:rFonts w:ascii="Arial" w:eastAsia="Times New Roman" w:hAnsi="Arial" w:cs="Arial"/>
          <w:b/>
          <w:sz w:val="24"/>
          <w:szCs w:val="24"/>
          <w:lang w:val="en-GB" w:eastAsia="en-GB"/>
        </w:rPr>
      </w:pPr>
      <w:r w:rsidRPr="002E019E">
        <w:rPr>
          <w:rFonts w:ascii="Arial" w:eastAsia="Times New Roman" w:hAnsi="Arial" w:cs="Arial"/>
          <w:b/>
          <w:sz w:val="24"/>
          <w:szCs w:val="24"/>
          <w:lang w:val="en-GB" w:eastAsia="en-GB"/>
        </w:rPr>
        <w:t>The c</w:t>
      </w:r>
      <w:r w:rsidR="002E019E" w:rsidRPr="002E019E">
        <w:rPr>
          <w:rFonts w:ascii="Arial" w:eastAsia="Times New Roman" w:hAnsi="Arial" w:cs="Arial"/>
          <w:b/>
          <w:sz w:val="24"/>
          <w:szCs w:val="24"/>
          <w:lang w:val="en-GB" w:eastAsia="en-GB"/>
        </w:rPr>
        <w:t>ore operating workflow will be:</w:t>
      </w:r>
    </w:p>
    <w:p w14:paraId="3E3BB9DF" w14:textId="77777777" w:rsidR="002E019E" w:rsidRDefault="00AA5615" w:rsidP="002E019E">
      <w:pPr>
        <w:spacing w:before="100" w:beforeAutospacing="1" w:after="100" w:afterAutospacing="1" w:line="360" w:lineRule="auto"/>
        <w:jc w:val="both"/>
        <w:rPr>
          <w:rFonts w:ascii="Arial" w:eastAsia="Times New Roman" w:hAnsi="Arial" w:cs="Arial"/>
          <w:b/>
          <w:sz w:val="24"/>
          <w:szCs w:val="24"/>
          <w:lang w:val="en-GB" w:eastAsia="en-GB"/>
        </w:rPr>
      </w:pPr>
      <w:r w:rsidRPr="002E019E">
        <w:rPr>
          <w:rFonts w:ascii="Arial" w:eastAsia="Times New Roman" w:hAnsi="Arial" w:cs="Arial"/>
          <w:b/>
          <w:sz w:val="24"/>
          <w:szCs w:val="24"/>
          <w:lang w:val="en-GB" w:eastAsia="en-GB"/>
        </w:rPr>
        <w:t xml:space="preserve">Customer arrival/order → Product selection → POS order → Stock and preparation check → Coffee/food preparation → Quality check → Customer fulfilment → Payment/record → </w:t>
      </w:r>
      <w:r w:rsidR="002E019E">
        <w:rPr>
          <w:rFonts w:ascii="Arial" w:eastAsia="Times New Roman" w:hAnsi="Arial" w:cs="Arial"/>
          <w:b/>
          <w:sz w:val="24"/>
          <w:szCs w:val="24"/>
          <w:lang w:val="en-GB" w:eastAsia="en-GB"/>
        </w:rPr>
        <w:t>Feedback/loyalty → Stock update</w:t>
      </w:r>
    </w:p>
    <w:p w14:paraId="76DB5625" w14:textId="3E2A0040" w:rsidR="002E019E" w:rsidRPr="002E019E" w:rsidRDefault="002E019E" w:rsidP="002E019E">
      <w:pPr>
        <w:spacing w:before="100" w:beforeAutospacing="1" w:after="100" w:afterAutospacing="1" w:line="360" w:lineRule="auto"/>
        <w:jc w:val="both"/>
        <w:rPr>
          <w:rFonts w:ascii="Arial" w:eastAsia="Times New Roman" w:hAnsi="Arial" w:cs="Arial"/>
          <w:b/>
          <w:sz w:val="24"/>
          <w:szCs w:val="24"/>
          <w:lang w:val="en-GB" w:eastAsia="en-GB"/>
        </w:rPr>
      </w:pPr>
      <w:r w:rsidRPr="002E019E">
        <w:rPr>
          <w:rFonts w:ascii="Arial" w:eastAsia="Times New Roman" w:hAnsi="Arial" w:cs="Arial"/>
          <w:sz w:val="24"/>
          <w:szCs w:val="24"/>
          <w:lang w:val="en-GB" w:eastAsia="en-GB"/>
        </w:rPr>
        <w:t>The customer journey starts from the moment a customer comes into the café, or places an order via a available digital channel. The front of house member takes the order and checks the availability of the product through the point-of-sale (POS) system. The barista then, utilizing normal recipes and prep methods, prepares the drink. Food products are prepared or assembled based on appropriate food-safety requirements. Prior to dispatch, the order is verified for acc</w:t>
      </w:r>
      <w:r>
        <w:rPr>
          <w:rFonts w:ascii="Arial" w:eastAsia="Times New Roman" w:hAnsi="Arial" w:cs="Arial"/>
          <w:sz w:val="24"/>
          <w:szCs w:val="24"/>
          <w:lang w:val="en-GB" w:eastAsia="en-GB"/>
        </w:rPr>
        <w:t>uracy, presentation and quality</w:t>
      </w:r>
    </w:p>
    <w:p w14:paraId="0B4C3966" w14:textId="4ED0E991" w:rsidR="00AA5615" w:rsidRPr="00AA5615" w:rsidRDefault="002E019E" w:rsidP="00AA5615">
      <w:pPr>
        <w:spacing w:before="100" w:beforeAutospacing="1" w:after="100" w:afterAutospacing="1" w:line="360" w:lineRule="auto"/>
        <w:jc w:val="both"/>
        <w:rPr>
          <w:rFonts w:ascii="Arial" w:eastAsia="Times New Roman" w:hAnsi="Arial" w:cs="Arial"/>
          <w:sz w:val="24"/>
          <w:szCs w:val="24"/>
          <w:lang w:val="en-GB" w:eastAsia="en-GB"/>
        </w:rPr>
      </w:pPr>
      <w:r w:rsidRPr="002E019E">
        <w:rPr>
          <w:rFonts w:ascii="Arial" w:eastAsia="Times New Roman" w:hAnsi="Arial" w:cs="Arial"/>
          <w:sz w:val="24"/>
          <w:szCs w:val="24"/>
          <w:lang w:val="en-GB" w:eastAsia="en-GB"/>
        </w:rPr>
        <w:t xml:space="preserve">In Year 1, the financial plan is based on around 135 transactions a trading day which equals around 41,850 transactions a year over 310 trading days. This is only a </w:t>
      </w:r>
      <w:r w:rsidRPr="002E019E">
        <w:rPr>
          <w:rFonts w:ascii="Arial" w:eastAsia="Times New Roman" w:hAnsi="Arial" w:cs="Arial"/>
          <w:sz w:val="24"/>
          <w:szCs w:val="24"/>
          <w:lang w:val="en-GB" w:eastAsia="en-GB"/>
        </w:rPr>
        <w:lastRenderedPageBreak/>
        <w:t>planning figure and does not guarantee operational capacity. Some of the main potential bottlenecks include barista preparation during peak times, queues at the cashier, equipment availability, seating space, and supplier delays. To detect capacity issues, TEBC should track transactions per hour, time per transaction, number of transactions in the queue, stock-outs, and customer complaints. If operational data shows a sustained demand additional staff support during peak periods can be introduced.</w:t>
      </w:r>
    </w:p>
    <w:p w14:paraId="0642C04C" w14:textId="77777777" w:rsidR="00AA5615" w:rsidRPr="00AA5615" w:rsidRDefault="00AA5615" w:rsidP="000B4733">
      <w:pPr>
        <w:pStyle w:val="Heading2"/>
        <w:rPr>
          <w:rFonts w:eastAsia="Times New Roman"/>
          <w:lang w:val="en-GB" w:eastAsia="en-GB"/>
        </w:rPr>
      </w:pPr>
      <w:bookmarkStart w:id="105" w:name="_Toc240811461"/>
      <w:r w:rsidRPr="00AA5615">
        <w:rPr>
          <w:rFonts w:eastAsia="Times New Roman"/>
          <w:lang w:val="en-GB" w:eastAsia="en-GB"/>
        </w:rPr>
        <w:t>10.3 Location, Facilities, Equipment and Technology</w:t>
      </w:r>
      <w:bookmarkEnd w:id="105"/>
    </w:p>
    <w:p w14:paraId="14D17A08" w14:textId="197DDFE6" w:rsidR="000B4733" w:rsidRPr="000B4733" w:rsidRDefault="000B4733" w:rsidP="000B4733">
      <w:pPr>
        <w:spacing w:before="100" w:beforeAutospacing="1" w:after="100" w:afterAutospacing="1" w:line="360" w:lineRule="auto"/>
        <w:jc w:val="both"/>
        <w:rPr>
          <w:rFonts w:ascii="Arial" w:eastAsia="Times New Roman" w:hAnsi="Arial" w:cs="Arial"/>
          <w:sz w:val="24"/>
          <w:szCs w:val="24"/>
          <w:lang w:val="en-GB" w:eastAsia="en-GB"/>
        </w:rPr>
      </w:pPr>
      <w:r w:rsidRPr="000B4733">
        <w:rPr>
          <w:rFonts w:ascii="Arial" w:eastAsia="Times New Roman" w:hAnsi="Arial" w:cs="Arial"/>
          <w:sz w:val="24"/>
          <w:szCs w:val="24"/>
          <w:lang w:val="en-GB" w:eastAsia="en-GB"/>
        </w:rPr>
        <w:t>The idea of extending Monmouth Street in Covent Garden is appropriate due to the nature of its potential customers, who consist of specialty-coffee drinkers, as well as urban professionals and tourists. The area has good pedestrian flow and accessibility for workers, residents and visitors, but it also brings about cost and competitive pressures. High footfall sites in Westminster were also seen to be important as the city had significant visitor numbers in 2024 (W</w:t>
      </w:r>
      <w:r>
        <w:rPr>
          <w:rFonts w:ascii="Arial" w:eastAsia="Times New Roman" w:hAnsi="Arial" w:cs="Arial"/>
          <w:sz w:val="24"/>
          <w:szCs w:val="24"/>
          <w:lang w:val="en-GB" w:eastAsia="en-GB"/>
        </w:rPr>
        <w:t>estminster City Council, 2025).</w:t>
      </w:r>
    </w:p>
    <w:p w14:paraId="06F620D6" w14:textId="0E2A2ED7" w:rsidR="000B4733" w:rsidRPr="000B4733" w:rsidRDefault="000B4733" w:rsidP="000B4733">
      <w:pPr>
        <w:spacing w:before="100" w:beforeAutospacing="1" w:after="100" w:afterAutospacing="1" w:line="360" w:lineRule="auto"/>
        <w:jc w:val="both"/>
        <w:rPr>
          <w:rFonts w:ascii="Arial" w:eastAsia="Times New Roman" w:hAnsi="Arial" w:cs="Arial"/>
          <w:sz w:val="24"/>
          <w:szCs w:val="24"/>
          <w:lang w:val="en-GB" w:eastAsia="en-GB"/>
        </w:rPr>
      </w:pPr>
      <w:r w:rsidRPr="000B4733">
        <w:rPr>
          <w:rFonts w:ascii="Arial" w:eastAsia="Times New Roman" w:hAnsi="Arial" w:cs="Arial"/>
          <w:sz w:val="24"/>
          <w:szCs w:val="24"/>
          <w:lang w:val="en-GB" w:eastAsia="en-GB"/>
        </w:rPr>
        <w:t>The premises should have a customer seating area, service counter, an area for coffee preparation, a food preparation area, dry and chilled storage, staff facilities and suitable waste-storage facilities. Professional espresso machines, food-preparation equipment, display units and cleaning equipment will be core equipment, along with water filtrati</w:t>
      </w:r>
      <w:r>
        <w:rPr>
          <w:rFonts w:ascii="Arial" w:eastAsia="Times New Roman" w:hAnsi="Arial" w:cs="Arial"/>
          <w:sz w:val="24"/>
          <w:szCs w:val="24"/>
          <w:lang w:val="en-GB" w:eastAsia="en-GB"/>
        </w:rPr>
        <w:t>on equipment and refrigeration.</w:t>
      </w:r>
    </w:p>
    <w:p w14:paraId="448E179E" w14:textId="23A7FA25" w:rsidR="00AA5615" w:rsidRPr="00AA5615" w:rsidRDefault="000B4733" w:rsidP="00AA5615">
      <w:pPr>
        <w:spacing w:before="100" w:beforeAutospacing="1" w:after="100" w:afterAutospacing="1" w:line="360" w:lineRule="auto"/>
        <w:jc w:val="both"/>
        <w:rPr>
          <w:rFonts w:ascii="Arial" w:eastAsia="Times New Roman" w:hAnsi="Arial" w:cs="Arial"/>
          <w:sz w:val="24"/>
          <w:szCs w:val="24"/>
          <w:lang w:val="en-GB" w:eastAsia="en-GB"/>
        </w:rPr>
      </w:pPr>
      <w:r w:rsidRPr="000B4733">
        <w:rPr>
          <w:rFonts w:ascii="Arial" w:eastAsia="Times New Roman" w:hAnsi="Arial" w:cs="Arial"/>
          <w:sz w:val="24"/>
          <w:szCs w:val="24"/>
          <w:lang w:val="en-GB" w:eastAsia="en-GB"/>
        </w:rPr>
        <w:t>Technology will feature a point-of-sale system and payment system, inventory-management, accounting software and employee-scheduling and customer-engagement digital facilities. Gathering data or information about customers should only be done when it is required, and the proper notice and data protection controls must be implemented. The ICO reiterates the need for data protection to be relevant to the small businesses that hold and use personal data, such as customer and employee information (ICO 2026).</w:t>
      </w:r>
    </w:p>
    <w:p w14:paraId="457A60A5" w14:textId="5DD4428D" w:rsidR="00AA5615" w:rsidRPr="000B4733" w:rsidRDefault="00AA5615" w:rsidP="000B4733">
      <w:pPr>
        <w:pStyle w:val="Heading2"/>
        <w:rPr>
          <w:rFonts w:eastAsia="Times New Roman"/>
          <w:lang w:val="en-GB" w:eastAsia="en-GB"/>
        </w:rPr>
      </w:pPr>
      <w:bookmarkStart w:id="106" w:name="_Toc240811462"/>
      <w:r w:rsidRPr="00AA5615">
        <w:rPr>
          <w:rFonts w:eastAsia="Times New Roman"/>
          <w:lang w:val="en-GB" w:eastAsia="en-GB"/>
        </w:rPr>
        <w:t>10.4 Supply Chain, Proc</w:t>
      </w:r>
      <w:r w:rsidR="000B4733">
        <w:rPr>
          <w:rFonts w:eastAsia="Times New Roman"/>
          <w:lang w:val="en-GB" w:eastAsia="en-GB"/>
        </w:rPr>
        <w:t>urement, Inventory and Logistic</w:t>
      </w:r>
      <w:bookmarkEnd w:id="106"/>
    </w:p>
    <w:p w14:paraId="41F9A929" w14:textId="1E96CF5D" w:rsidR="000B4733" w:rsidRPr="000B4733" w:rsidRDefault="000B4733" w:rsidP="000B4733">
      <w:pPr>
        <w:spacing w:before="100" w:beforeAutospacing="1" w:after="100" w:afterAutospacing="1" w:line="360" w:lineRule="auto"/>
        <w:jc w:val="both"/>
        <w:rPr>
          <w:rFonts w:ascii="Arial" w:eastAsia="Times New Roman" w:hAnsi="Arial" w:cs="Arial"/>
          <w:sz w:val="24"/>
          <w:szCs w:val="24"/>
          <w:lang w:val="en-GB" w:eastAsia="en-GB"/>
        </w:rPr>
      </w:pPr>
      <w:r w:rsidRPr="000B4733">
        <w:rPr>
          <w:rFonts w:ascii="Arial" w:eastAsia="Times New Roman" w:hAnsi="Arial" w:cs="Arial"/>
          <w:sz w:val="24"/>
          <w:szCs w:val="24"/>
          <w:lang w:val="en-GB" w:eastAsia="en-GB"/>
        </w:rPr>
        <w:t xml:space="preserve">Sourcing will become much more than a marketing message and will be expected to be ethical. Coffee suppliers will thus be reviewed on their quality, ability to trace their source, proof of ethical sourcing, reliability, lead time, minimum order and capacity </w:t>
      </w:r>
      <w:r w:rsidRPr="000B4733">
        <w:rPr>
          <w:rFonts w:ascii="Arial" w:eastAsia="Times New Roman" w:hAnsi="Arial" w:cs="Arial"/>
          <w:sz w:val="24"/>
          <w:szCs w:val="24"/>
          <w:lang w:val="en-GB" w:eastAsia="en-GB"/>
        </w:rPr>
        <w:lastRenderedPageBreak/>
        <w:t>and price. TEBC should not rely too heavily on a single supplier by having an approved primary supplier and an alternate supplier that can prov</w:t>
      </w:r>
      <w:r>
        <w:rPr>
          <w:rFonts w:ascii="Arial" w:eastAsia="Times New Roman" w:hAnsi="Arial" w:cs="Arial"/>
          <w:sz w:val="24"/>
          <w:szCs w:val="24"/>
          <w:lang w:val="en-GB" w:eastAsia="en-GB"/>
        </w:rPr>
        <w:t>ide the essential requirements.</w:t>
      </w:r>
    </w:p>
    <w:p w14:paraId="7571B8CA" w14:textId="09C8866F" w:rsidR="000B4733" w:rsidRPr="000B4733" w:rsidRDefault="000B4733" w:rsidP="000B4733">
      <w:pPr>
        <w:spacing w:before="100" w:beforeAutospacing="1" w:after="100" w:afterAutospacing="1" w:line="360" w:lineRule="auto"/>
        <w:jc w:val="both"/>
        <w:rPr>
          <w:rFonts w:ascii="Arial" w:eastAsia="Times New Roman" w:hAnsi="Arial" w:cs="Arial"/>
          <w:sz w:val="24"/>
          <w:szCs w:val="24"/>
          <w:lang w:val="en-GB" w:eastAsia="en-GB"/>
        </w:rPr>
      </w:pPr>
      <w:r w:rsidRPr="000B4733">
        <w:rPr>
          <w:rFonts w:ascii="Arial" w:eastAsia="Times New Roman" w:hAnsi="Arial" w:cs="Arial"/>
          <w:sz w:val="24"/>
          <w:szCs w:val="24"/>
          <w:lang w:val="en-GB" w:eastAsia="en-GB"/>
        </w:rPr>
        <w:t>Each procurement decision will be made taking into account commercial sustainability as well as ethical and quality requirements. Supplier documentation should be reviewed on a regular basis to ensure that claims in relation to responsible sourcing are backed up with evidence. It is especially relevant due to the lack of a universal legally binding definition and scientific methodology of the term “responsibly source</w:t>
      </w:r>
      <w:r>
        <w:rPr>
          <w:rFonts w:ascii="Arial" w:eastAsia="Times New Roman" w:hAnsi="Arial" w:cs="Arial"/>
          <w:sz w:val="24"/>
          <w:szCs w:val="24"/>
          <w:lang w:val="en-GB" w:eastAsia="en-GB"/>
        </w:rPr>
        <w:t>d” (World Coffee Portal, 2026).</w:t>
      </w:r>
    </w:p>
    <w:p w14:paraId="57C2461B" w14:textId="2FB4E85A" w:rsidR="000B4733" w:rsidRPr="000B4733" w:rsidRDefault="000B4733" w:rsidP="000B4733">
      <w:pPr>
        <w:spacing w:before="100" w:beforeAutospacing="1" w:after="100" w:afterAutospacing="1" w:line="360" w:lineRule="auto"/>
        <w:jc w:val="both"/>
        <w:rPr>
          <w:rFonts w:ascii="Arial" w:eastAsia="Times New Roman" w:hAnsi="Arial" w:cs="Arial"/>
          <w:sz w:val="24"/>
          <w:szCs w:val="24"/>
          <w:lang w:val="en-GB" w:eastAsia="en-GB"/>
        </w:rPr>
      </w:pPr>
      <w:r w:rsidRPr="000B4733">
        <w:rPr>
          <w:rFonts w:ascii="Arial" w:eastAsia="Times New Roman" w:hAnsi="Arial" w:cs="Arial"/>
          <w:sz w:val="24"/>
          <w:szCs w:val="24"/>
          <w:lang w:val="en-GB" w:eastAsia="en-GB"/>
        </w:rPr>
        <w:t>Product characteristics will be used to manage inventory. Appropriate reorder points/safety-stock levels will be used for coffee beans, milk, food ingredients and packaging. SOP data may be used for monitoring stock on a daily basis and first expiry first out should be implemented for relevant food products. The deliveries should be planned to be made with minimal disruption and without unnecessary stock holding. Staff should inspect the number of items, packaging, product quality and relevant dates upon arrival, before ac</w:t>
      </w:r>
      <w:r>
        <w:rPr>
          <w:rFonts w:ascii="Arial" w:eastAsia="Times New Roman" w:hAnsi="Arial" w:cs="Arial"/>
          <w:sz w:val="24"/>
          <w:szCs w:val="24"/>
          <w:lang w:val="en-GB" w:eastAsia="en-GB"/>
        </w:rPr>
        <w:t>cepting and storing deliveries.</w:t>
      </w:r>
    </w:p>
    <w:p w14:paraId="01D6F4F9" w14:textId="62753E4C" w:rsidR="000B4733" w:rsidRPr="000B4733" w:rsidRDefault="000B4733" w:rsidP="000B4733">
      <w:pPr>
        <w:pStyle w:val="Heading2"/>
        <w:rPr>
          <w:rFonts w:eastAsia="Times New Roman"/>
          <w:lang w:val="en-GB" w:eastAsia="en-GB"/>
        </w:rPr>
      </w:pPr>
      <w:bookmarkStart w:id="107" w:name="_Toc240811463"/>
      <w:r w:rsidRPr="000B4733">
        <w:rPr>
          <w:rFonts w:eastAsia="Times New Roman"/>
          <w:lang w:val="en-GB" w:eastAsia="en-GB"/>
        </w:rPr>
        <w:t>10.5 Quality, Compliance and Operational Controls</w:t>
      </w:r>
      <w:bookmarkEnd w:id="107"/>
    </w:p>
    <w:p w14:paraId="16C04422" w14:textId="38809E18" w:rsidR="000B4733" w:rsidRPr="000B4733" w:rsidRDefault="000B4733" w:rsidP="000B4733">
      <w:pPr>
        <w:spacing w:before="100" w:beforeAutospacing="1" w:after="100" w:afterAutospacing="1" w:line="360" w:lineRule="auto"/>
        <w:jc w:val="both"/>
        <w:rPr>
          <w:rFonts w:ascii="Arial" w:eastAsia="Times New Roman" w:hAnsi="Arial" w:cs="Arial"/>
          <w:sz w:val="24"/>
          <w:szCs w:val="24"/>
          <w:lang w:val="en-GB" w:eastAsia="en-GB"/>
        </w:rPr>
      </w:pPr>
      <w:r w:rsidRPr="000B4733">
        <w:rPr>
          <w:rFonts w:ascii="Arial" w:eastAsia="Times New Roman" w:hAnsi="Arial" w:cs="Arial"/>
          <w:sz w:val="24"/>
          <w:szCs w:val="24"/>
          <w:lang w:val="en-GB" w:eastAsia="en-GB"/>
        </w:rPr>
        <w:t>TEBC will implement standard operating procedures (SOPs) to ensure consistency in opening and preparation, service, cleaning, closing and stock-management activities. Regular cleaning of equipment, adjusting the grinders and recipe calibration should be performed to control the quality of the coffee. Standard of customer service should include requirements for accuracy, courtesy, waiting times, and how compla</w:t>
      </w:r>
      <w:r>
        <w:rPr>
          <w:rFonts w:ascii="Arial" w:eastAsia="Times New Roman" w:hAnsi="Arial" w:cs="Arial"/>
          <w:sz w:val="24"/>
          <w:szCs w:val="24"/>
          <w:lang w:val="en-GB" w:eastAsia="en-GB"/>
        </w:rPr>
        <w:t>ints will be dealt with.</w:t>
      </w:r>
    </w:p>
    <w:p w14:paraId="2227E015" w14:textId="37EAB37C" w:rsidR="000B4733" w:rsidRPr="000B4733" w:rsidRDefault="000B4733" w:rsidP="000B4733">
      <w:pPr>
        <w:spacing w:before="100" w:beforeAutospacing="1" w:after="100" w:afterAutospacing="1" w:line="360" w:lineRule="auto"/>
        <w:jc w:val="both"/>
        <w:rPr>
          <w:rFonts w:ascii="Arial" w:eastAsia="Times New Roman" w:hAnsi="Arial" w:cs="Arial"/>
          <w:sz w:val="24"/>
          <w:szCs w:val="24"/>
          <w:lang w:val="en-GB" w:eastAsia="en-GB"/>
        </w:rPr>
      </w:pPr>
      <w:r w:rsidRPr="000B4733">
        <w:rPr>
          <w:rFonts w:ascii="Arial" w:eastAsia="Times New Roman" w:hAnsi="Arial" w:cs="Arial"/>
          <w:sz w:val="24"/>
          <w:szCs w:val="24"/>
          <w:lang w:val="en-GB" w:eastAsia="en-GB"/>
        </w:rPr>
        <w:t>Suitable hygienic procedures, allergen control, temperature controls, cleaning procedures and training will be required for food safety. A food business normally needs to be registered by the relevant local authority not less than 28 days before it starts trading (GOV.UK, 2026). It is also important for TEBC to keep records of food-safety pr</w:t>
      </w:r>
      <w:r>
        <w:rPr>
          <w:rFonts w:ascii="Arial" w:eastAsia="Times New Roman" w:hAnsi="Arial" w:cs="Arial"/>
          <w:sz w:val="24"/>
          <w:szCs w:val="24"/>
          <w:lang w:val="en-GB" w:eastAsia="en-GB"/>
        </w:rPr>
        <w:t>ocedures and supplier controls.</w:t>
      </w:r>
    </w:p>
    <w:p w14:paraId="2FD962E4" w14:textId="19C28121" w:rsidR="000B4733" w:rsidRPr="000B4733" w:rsidRDefault="000B4733" w:rsidP="000B4733">
      <w:pPr>
        <w:spacing w:before="100" w:beforeAutospacing="1" w:after="100" w:afterAutospacing="1" w:line="360" w:lineRule="auto"/>
        <w:jc w:val="both"/>
        <w:rPr>
          <w:rFonts w:ascii="Arial" w:eastAsia="Times New Roman" w:hAnsi="Arial" w:cs="Arial"/>
          <w:sz w:val="24"/>
          <w:szCs w:val="24"/>
          <w:lang w:val="en-GB" w:eastAsia="en-GB"/>
        </w:rPr>
      </w:pPr>
      <w:r w:rsidRPr="000B4733">
        <w:rPr>
          <w:rFonts w:ascii="Arial" w:eastAsia="Times New Roman" w:hAnsi="Arial" w:cs="Arial"/>
          <w:sz w:val="24"/>
          <w:szCs w:val="24"/>
          <w:lang w:val="en-GB" w:eastAsia="en-GB"/>
        </w:rPr>
        <w:t xml:space="preserve">Compliance with the law and legal requirements will apply to employment, workplace health and safety, insurance, where applicable, data protection and taxation. Environmental controls should include waste segregation, reduction of avoidable food </w:t>
      </w:r>
      <w:r w:rsidRPr="000B4733">
        <w:rPr>
          <w:rFonts w:ascii="Arial" w:eastAsia="Times New Roman" w:hAnsi="Arial" w:cs="Arial"/>
          <w:sz w:val="24"/>
          <w:szCs w:val="24"/>
          <w:lang w:val="en-GB" w:eastAsia="en-GB"/>
        </w:rPr>
        <w:lastRenderedPageBreak/>
        <w:t xml:space="preserve">waste, responsible disposal of the grounds of coffee and proper packaging. These environmental controls are “operational” and should be incorporated into daily activities and not just </w:t>
      </w:r>
      <w:r>
        <w:rPr>
          <w:rFonts w:ascii="Arial" w:eastAsia="Times New Roman" w:hAnsi="Arial" w:cs="Arial"/>
          <w:sz w:val="24"/>
          <w:szCs w:val="24"/>
          <w:lang w:val="en-GB" w:eastAsia="en-GB"/>
        </w:rPr>
        <w:t>considered to be “promotional.”</w:t>
      </w:r>
    </w:p>
    <w:p w14:paraId="1FC17B7D" w14:textId="0255C0A1" w:rsidR="000B4733" w:rsidRPr="000B4733" w:rsidRDefault="000B4733" w:rsidP="000B4733">
      <w:pPr>
        <w:pStyle w:val="Heading2"/>
        <w:rPr>
          <w:rFonts w:eastAsia="Times New Roman"/>
          <w:lang w:val="en-GB" w:eastAsia="en-GB"/>
        </w:rPr>
      </w:pPr>
      <w:bookmarkStart w:id="108" w:name="_Toc240811464"/>
      <w:r w:rsidRPr="000B4733">
        <w:rPr>
          <w:rFonts w:eastAsia="Times New Roman"/>
          <w:lang w:val="en-GB" w:eastAsia="en-GB"/>
        </w:rPr>
        <w:t>10.6 Operational Synthesis</w:t>
      </w:r>
      <w:bookmarkEnd w:id="108"/>
    </w:p>
    <w:p w14:paraId="01D4595D" w14:textId="2B47EA11" w:rsidR="00AA5615" w:rsidRDefault="000B4733" w:rsidP="000B4733">
      <w:pPr>
        <w:spacing w:before="100" w:beforeAutospacing="1" w:after="100" w:afterAutospacing="1" w:line="360" w:lineRule="auto"/>
        <w:jc w:val="both"/>
        <w:rPr>
          <w:rFonts w:ascii="Arial" w:eastAsia="Times New Roman" w:hAnsi="Arial" w:cs="Arial"/>
          <w:sz w:val="24"/>
          <w:szCs w:val="24"/>
          <w:lang w:val="en-GB" w:eastAsia="en-GB"/>
        </w:rPr>
      </w:pPr>
      <w:r w:rsidRPr="000B4733">
        <w:rPr>
          <w:rFonts w:ascii="Arial" w:eastAsia="Times New Roman" w:hAnsi="Arial" w:cs="Arial"/>
          <w:sz w:val="24"/>
          <w:szCs w:val="24"/>
          <w:lang w:val="en-GB" w:eastAsia="en-GB"/>
        </w:rPr>
        <w:t>The proposed OS translates TEBC's differential approach into hands-on activities. Consistent customer service, ethical sourcing will be supported by reliable suppliers, trained employees, correct equipment, SOPs, inventory controls and digital systems. Peak period capacity issues, reliance on suppliers, food waste, equipment failure, and increasing input costs are the main operational challenges. These risks can be addressed through staff training, diversification of suppliers, preventative maintenance, and safety stock and continuous performance monitoring. By adopting a staged operating model, TEBC will be able to test the market and operational capacity before embarking on a serious expansion.</w:t>
      </w:r>
    </w:p>
    <w:p w14:paraId="00EB5EBA" w14:textId="7AA086C0" w:rsidR="00877D14" w:rsidRDefault="00877D14" w:rsidP="000B4733">
      <w:pPr>
        <w:spacing w:before="100" w:beforeAutospacing="1" w:after="100" w:afterAutospacing="1" w:line="360" w:lineRule="auto"/>
        <w:jc w:val="both"/>
        <w:rPr>
          <w:rFonts w:ascii="Arial" w:eastAsia="Times New Roman" w:hAnsi="Arial" w:cs="Arial"/>
          <w:sz w:val="24"/>
          <w:szCs w:val="24"/>
          <w:lang w:val="en-GB" w:eastAsia="en-GB"/>
        </w:rPr>
      </w:pPr>
    </w:p>
    <w:p w14:paraId="7B5E6E2E" w14:textId="7089F53B" w:rsidR="00877D14" w:rsidRDefault="00877D14" w:rsidP="000B4733">
      <w:pPr>
        <w:spacing w:before="100" w:beforeAutospacing="1" w:after="100" w:afterAutospacing="1" w:line="360" w:lineRule="auto"/>
        <w:jc w:val="both"/>
        <w:rPr>
          <w:rFonts w:ascii="Arial" w:eastAsia="Times New Roman" w:hAnsi="Arial" w:cs="Arial"/>
          <w:sz w:val="24"/>
          <w:szCs w:val="24"/>
          <w:lang w:val="en-GB" w:eastAsia="en-GB"/>
        </w:rPr>
      </w:pPr>
    </w:p>
    <w:p w14:paraId="7791C17B" w14:textId="01EB9C3F" w:rsidR="00877D14" w:rsidRDefault="00877D14" w:rsidP="000B4733">
      <w:pPr>
        <w:spacing w:before="100" w:beforeAutospacing="1" w:after="100" w:afterAutospacing="1" w:line="360" w:lineRule="auto"/>
        <w:jc w:val="both"/>
        <w:rPr>
          <w:rFonts w:ascii="Arial" w:eastAsia="Times New Roman" w:hAnsi="Arial" w:cs="Arial"/>
          <w:sz w:val="24"/>
          <w:szCs w:val="24"/>
          <w:lang w:val="en-GB" w:eastAsia="en-GB"/>
        </w:rPr>
      </w:pPr>
    </w:p>
    <w:p w14:paraId="46D5DD06" w14:textId="1EEEBB29" w:rsidR="00877D14" w:rsidRDefault="00877D14" w:rsidP="000B4733">
      <w:pPr>
        <w:spacing w:before="100" w:beforeAutospacing="1" w:after="100" w:afterAutospacing="1" w:line="360" w:lineRule="auto"/>
        <w:jc w:val="both"/>
        <w:rPr>
          <w:rFonts w:ascii="Arial" w:eastAsia="Times New Roman" w:hAnsi="Arial" w:cs="Arial"/>
          <w:sz w:val="24"/>
          <w:szCs w:val="24"/>
          <w:lang w:val="en-GB" w:eastAsia="en-GB"/>
        </w:rPr>
      </w:pPr>
    </w:p>
    <w:p w14:paraId="478EC4F9" w14:textId="3E627CD8" w:rsidR="00877D14" w:rsidRDefault="00877D14" w:rsidP="000B4733">
      <w:pPr>
        <w:spacing w:before="100" w:beforeAutospacing="1" w:after="100" w:afterAutospacing="1" w:line="360" w:lineRule="auto"/>
        <w:jc w:val="both"/>
        <w:rPr>
          <w:rFonts w:ascii="Arial" w:eastAsia="Times New Roman" w:hAnsi="Arial" w:cs="Arial"/>
          <w:sz w:val="24"/>
          <w:szCs w:val="24"/>
          <w:lang w:val="en-GB" w:eastAsia="en-GB"/>
        </w:rPr>
      </w:pPr>
    </w:p>
    <w:p w14:paraId="635C43A2" w14:textId="24891495" w:rsidR="00877D14" w:rsidRDefault="00877D14" w:rsidP="000B4733">
      <w:pPr>
        <w:spacing w:before="100" w:beforeAutospacing="1" w:after="100" w:afterAutospacing="1" w:line="360" w:lineRule="auto"/>
        <w:jc w:val="both"/>
        <w:rPr>
          <w:rFonts w:ascii="Arial" w:eastAsia="Times New Roman" w:hAnsi="Arial" w:cs="Arial"/>
          <w:sz w:val="24"/>
          <w:szCs w:val="24"/>
          <w:lang w:val="en-GB" w:eastAsia="en-GB"/>
        </w:rPr>
      </w:pPr>
    </w:p>
    <w:p w14:paraId="0ECAA8AC" w14:textId="1BB39410" w:rsidR="00877D14" w:rsidRDefault="00877D14" w:rsidP="000B4733">
      <w:pPr>
        <w:spacing w:before="100" w:beforeAutospacing="1" w:after="100" w:afterAutospacing="1" w:line="360" w:lineRule="auto"/>
        <w:jc w:val="both"/>
        <w:rPr>
          <w:rFonts w:ascii="Arial" w:eastAsia="Times New Roman" w:hAnsi="Arial" w:cs="Arial"/>
          <w:sz w:val="24"/>
          <w:szCs w:val="24"/>
          <w:lang w:val="en-GB" w:eastAsia="en-GB"/>
        </w:rPr>
      </w:pPr>
    </w:p>
    <w:p w14:paraId="02C5810B" w14:textId="75FE28FC" w:rsidR="00066DDC" w:rsidRDefault="00066DDC" w:rsidP="00BE3014">
      <w:pPr>
        <w:spacing w:before="100" w:beforeAutospacing="1" w:after="100" w:afterAutospacing="1" w:line="360" w:lineRule="auto"/>
        <w:jc w:val="both"/>
        <w:rPr>
          <w:rFonts w:ascii="Arial" w:eastAsia="Times New Roman" w:hAnsi="Arial" w:cs="Arial"/>
          <w:sz w:val="24"/>
          <w:szCs w:val="24"/>
          <w:lang w:val="en-GB" w:eastAsia="en-GB"/>
        </w:rPr>
      </w:pPr>
    </w:p>
    <w:p w14:paraId="32774B27" w14:textId="36748C0C" w:rsidR="000B4733" w:rsidRDefault="000B4733" w:rsidP="00BE3014">
      <w:pPr>
        <w:spacing w:before="100" w:beforeAutospacing="1" w:after="100" w:afterAutospacing="1" w:line="360" w:lineRule="auto"/>
        <w:jc w:val="both"/>
        <w:rPr>
          <w:rFonts w:ascii="Arial" w:eastAsia="Times New Roman" w:hAnsi="Arial" w:cs="Arial"/>
          <w:sz w:val="24"/>
          <w:szCs w:val="24"/>
          <w:lang w:val="en-GB" w:eastAsia="en-GB"/>
        </w:rPr>
      </w:pPr>
    </w:p>
    <w:p w14:paraId="302D87D2" w14:textId="59A6FE8D" w:rsidR="000B4733" w:rsidRDefault="000B4733" w:rsidP="00BE3014">
      <w:pPr>
        <w:spacing w:before="100" w:beforeAutospacing="1" w:after="100" w:afterAutospacing="1" w:line="360" w:lineRule="auto"/>
        <w:jc w:val="both"/>
        <w:rPr>
          <w:rFonts w:ascii="Arial" w:eastAsia="Times New Roman" w:hAnsi="Arial" w:cs="Arial"/>
          <w:sz w:val="24"/>
          <w:szCs w:val="24"/>
          <w:lang w:val="en-GB" w:eastAsia="en-GB"/>
        </w:rPr>
      </w:pPr>
    </w:p>
    <w:p w14:paraId="76805BF5" w14:textId="59BA5993" w:rsidR="000B4733" w:rsidRDefault="000B4733" w:rsidP="00BE3014">
      <w:pPr>
        <w:spacing w:before="100" w:beforeAutospacing="1" w:after="100" w:afterAutospacing="1" w:line="360" w:lineRule="auto"/>
        <w:jc w:val="both"/>
        <w:rPr>
          <w:rFonts w:ascii="Arial" w:eastAsia="Times New Roman" w:hAnsi="Arial" w:cs="Arial"/>
          <w:sz w:val="24"/>
          <w:szCs w:val="24"/>
          <w:lang w:val="en-GB" w:eastAsia="en-GB"/>
        </w:rPr>
      </w:pPr>
    </w:p>
    <w:p w14:paraId="161E0C81" w14:textId="77777777" w:rsidR="00877D14" w:rsidRPr="0081009F" w:rsidRDefault="00877D14" w:rsidP="0081009F">
      <w:pPr>
        <w:pStyle w:val="Heading1"/>
        <w:jc w:val="center"/>
        <w:rPr>
          <w:rFonts w:eastAsia="Times New Roman"/>
          <w:lang w:val="en-GB" w:eastAsia="en-GB"/>
        </w:rPr>
      </w:pPr>
      <w:bookmarkStart w:id="109" w:name="_Toc240811465"/>
      <w:r w:rsidRPr="0081009F">
        <w:rPr>
          <w:rFonts w:eastAsia="Times New Roman"/>
          <w:lang w:val="en-GB" w:eastAsia="en-GB"/>
        </w:rPr>
        <w:lastRenderedPageBreak/>
        <w:t>Chapter 11: Feasibility Analysis</w:t>
      </w:r>
      <w:bookmarkEnd w:id="109"/>
    </w:p>
    <w:p w14:paraId="19D277F9" w14:textId="77777777" w:rsidR="00877D14" w:rsidRPr="0081009F" w:rsidRDefault="00877D14" w:rsidP="0081009F">
      <w:pPr>
        <w:pStyle w:val="Heading2"/>
        <w:rPr>
          <w:rFonts w:eastAsia="Times New Roman"/>
          <w:lang w:val="en-GB" w:eastAsia="en-GB"/>
        </w:rPr>
      </w:pPr>
      <w:bookmarkStart w:id="110" w:name="_Toc240811466"/>
      <w:r w:rsidRPr="0081009F">
        <w:rPr>
          <w:rFonts w:eastAsia="Times New Roman"/>
          <w:lang w:val="en-GB" w:eastAsia="en-GB"/>
        </w:rPr>
        <w:t>11.1 Feasibility Basis and Decision Criteria</w:t>
      </w:r>
      <w:bookmarkEnd w:id="110"/>
    </w:p>
    <w:p w14:paraId="3A514D65" w14:textId="14FA13D1" w:rsidR="00877D14" w:rsidRPr="0081009F" w:rsidRDefault="00877D14" w:rsidP="0081009F">
      <w:pPr>
        <w:spacing w:before="240" w:line="360" w:lineRule="auto"/>
        <w:jc w:val="both"/>
        <w:rPr>
          <w:rFonts w:ascii="Arial" w:hAnsi="Arial" w:cs="Arial"/>
          <w:sz w:val="24"/>
          <w:szCs w:val="24"/>
          <w:lang w:val="en-GB" w:eastAsia="en-GB"/>
        </w:rPr>
      </w:pPr>
      <w:r w:rsidRPr="0081009F">
        <w:rPr>
          <w:rFonts w:ascii="Arial" w:hAnsi="Arial" w:cs="Arial"/>
          <w:sz w:val="24"/>
          <w:szCs w:val="24"/>
          <w:lang w:val="en-GB" w:eastAsia="en-GB"/>
        </w:rPr>
        <w:t>In the next few chapters, the market, competitive, strategic, business-model, financial and operational evidence developed in the foregoing chapters is integrated and reviewed to determine the feasibility of The Ethical Bean Coffee House (TEBC). Assessment includes viability of the proposed venture in terms of ethics, commercial, operational, financial and strategic viability. Therefore, feasibility is considered as a conditional judgement instead of taking the chance that the business will be succ</w:t>
      </w:r>
      <w:r w:rsidR="0077435E">
        <w:rPr>
          <w:rFonts w:ascii="Arial" w:hAnsi="Arial" w:cs="Arial"/>
          <w:sz w:val="24"/>
          <w:szCs w:val="24"/>
          <w:lang w:val="en-GB" w:eastAsia="en-GB"/>
        </w:rPr>
        <w:t xml:space="preserve">essful. </w:t>
      </w:r>
    </w:p>
    <w:p w14:paraId="5C12EF89" w14:textId="77777777" w:rsidR="00877D14" w:rsidRPr="0081009F" w:rsidRDefault="00877D14" w:rsidP="0081009F">
      <w:pPr>
        <w:pStyle w:val="Heading2"/>
        <w:rPr>
          <w:rFonts w:eastAsia="Times New Roman"/>
          <w:lang w:val="en-GB" w:eastAsia="en-GB"/>
        </w:rPr>
      </w:pPr>
      <w:bookmarkStart w:id="111" w:name="_Toc240811467"/>
      <w:r w:rsidRPr="0081009F">
        <w:rPr>
          <w:rFonts w:eastAsia="Times New Roman"/>
          <w:lang w:val="en-GB" w:eastAsia="en-GB"/>
        </w:rPr>
        <w:t>11.2 Ethical and Market Feasibility</w:t>
      </w:r>
      <w:bookmarkEnd w:id="111"/>
    </w:p>
    <w:p w14:paraId="21D1B626" w14:textId="51E9A175" w:rsidR="006748BB" w:rsidRPr="0081009F" w:rsidRDefault="006748BB" w:rsidP="0081009F">
      <w:pPr>
        <w:spacing w:before="240" w:line="360" w:lineRule="auto"/>
        <w:jc w:val="both"/>
        <w:rPr>
          <w:rFonts w:ascii="Arial" w:hAnsi="Arial" w:cs="Arial"/>
          <w:sz w:val="24"/>
          <w:szCs w:val="24"/>
          <w:lang w:val="en-GB" w:eastAsia="en-GB"/>
        </w:rPr>
      </w:pPr>
      <w:r w:rsidRPr="0081009F">
        <w:rPr>
          <w:rFonts w:ascii="Arial" w:hAnsi="Arial" w:cs="Arial"/>
          <w:sz w:val="24"/>
          <w:szCs w:val="24"/>
          <w:lang w:val="en-GB" w:eastAsia="en-GB"/>
        </w:rPr>
        <w:t xml:space="preserve">Ethical feasibility is a key consideration because ethical sourcing is at the heart of TEBC's differentiation. The business should give trustworthy details regarding the origins of their coffee, the way their suppliers operate, and their sustainability assertions, instead of just taking a moral stance. This is especially relevant to the term “responsibly sourced” coffee, which lacks a common definition and methodology, and may lead to misunderstanding or ‘greenwashing' (World Coffee Portal, 2026). Thus, TEBC must have supplier evidence, keep track of sourcing and provide accurate sourcing information. </w:t>
      </w:r>
    </w:p>
    <w:p w14:paraId="0273A568" w14:textId="30FD9BEC" w:rsidR="00877D14" w:rsidRPr="0081009F" w:rsidRDefault="00477077" w:rsidP="0081009F">
      <w:pPr>
        <w:spacing w:before="240" w:line="360" w:lineRule="auto"/>
        <w:jc w:val="both"/>
        <w:rPr>
          <w:rFonts w:ascii="Arial" w:hAnsi="Arial" w:cs="Arial"/>
          <w:sz w:val="24"/>
          <w:szCs w:val="24"/>
          <w:lang w:val="en-GB" w:eastAsia="en-GB"/>
        </w:rPr>
      </w:pPr>
      <w:r w:rsidRPr="00477077">
        <w:rPr>
          <w:rFonts w:ascii="Arial" w:hAnsi="Arial" w:cs="Arial"/>
          <w:sz w:val="24"/>
          <w:szCs w:val="24"/>
          <w:lang w:val="en-GB" w:eastAsia="en-GB"/>
        </w:rPr>
        <w:t xml:space="preserve">Market prospects are good, but subject to conditions. The UK coffee-shop market remains conducive to specialty and experience-led consumption, and workers and residents can access Covent Garden as well as significant tourist traffic (Westminster City Council, 2025; World Coffee Portal, 2026). The local competitive analysis also revealed that there are existing specialty operators and TEBC cannot take it for granted that the general market demand will automatically lead to sales. The Year 1 forecast is for 41,850 transactions, which is the equivalent of 135 transactions per trading day for 310 trading days. This is the minimum operating volume that needs to be benchmarked against the local customer base that can be achieved and the intensity of competition and the </w:t>
      </w:r>
      <w:r w:rsidR="00B534C1">
        <w:rPr>
          <w:rFonts w:ascii="Arial" w:hAnsi="Arial" w:cs="Arial"/>
          <w:sz w:val="24"/>
          <w:szCs w:val="24"/>
          <w:lang w:val="en-GB" w:eastAsia="en-GB"/>
        </w:rPr>
        <w:t>willingness of customers to pay</w:t>
      </w:r>
      <w:r w:rsidRPr="00477077">
        <w:rPr>
          <w:rFonts w:ascii="Arial" w:hAnsi="Arial" w:cs="Arial"/>
          <w:sz w:val="24"/>
          <w:szCs w:val="24"/>
          <w:lang w:val="en-GB" w:eastAsia="en-GB"/>
        </w:rPr>
        <w:t xml:space="preserve">. Evidence of willingness to pay for sustainability attributes is supportive evidence only, as consumers' responses to sustainability attributes and the context in which the </w:t>
      </w:r>
      <w:r w:rsidRPr="00477077">
        <w:rPr>
          <w:rFonts w:ascii="Arial" w:hAnsi="Arial" w:cs="Arial"/>
          <w:sz w:val="24"/>
          <w:szCs w:val="24"/>
          <w:lang w:val="en-GB" w:eastAsia="en-GB"/>
        </w:rPr>
        <w:lastRenderedPageBreak/>
        <w:t>attributes come vary by attribute. So, the £7 average transaction is a planning assumption which should be tested</w:t>
      </w:r>
      <w:r>
        <w:rPr>
          <w:rFonts w:ascii="Arial" w:hAnsi="Arial" w:cs="Arial"/>
          <w:sz w:val="24"/>
          <w:szCs w:val="24"/>
          <w:lang w:val="en-GB" w:eastAsia="en-GB"/>
        </w:rPr>
        <w:t xml:space="preserve"> with early trading performance</w:t>
      </w:r>
      <w:r w:rsidR="006748BB" w:rsidRPr="0081009F">
        <w:rPr>
          <w:rFonts w:ascii="Arial" w:hAnsi="Arial" w:cs="Arial"/>
          <w:sz w:val="24"/>
          <w:szCs w:val="24"/>
          <w:lang w:val="en-GB" w:eastAsia="en-GB"/>
        </w:rPr>
        <w:t>.</w:t>
      </w:r>
    </w:p>
    <w:p w14:paraId="299D3709" w14:textId="77777777" w:rsidR="00877D14" w:rsidRPr="0081009F" w:rsidRDefault="00877D14" w:rsidP="0081009F">
      <w:pPr>
        <w:pStyle w:val="Heading2"/>
        <w:rPr>
          <w:rFonts w:eastAsia="Times New Roman"/>
          <w:lang w:val="en-GB" w:eastAsia="en-GB"/>
        </w:rPr>
      </w:pPr>
      <w:bookmarkStart w:id="112" w:name="_Toc240811468"/>
      <w:r w:rsidRPr="0081009F">
        <w:rPr>
          <w:rFonts w:eastAsia="Times New Roman"/>
          <w:lang w:val="en-GB" w:eastAsia="en-GB"/>
        </w:rPr>
        <w:t>11.3 Technical and Operational Feasibility</w:t>
      </w:r>
      <w:bookmarkEnd w:id="112"/>
    </w:p>
    <w:p w14:paraId="51B45266" w14:textId="13E7BF0E" w:rsidR="00877D14" w:rsidRPr="0081009F" w:rsidRDefault="001B5058" w:rsidP="0081009F">
      <w:pPr>
        <w:spacing w:before="240" w:line="360" w:lineRule="auto"/>
        <w:jc w:val="both"/>
        <w:rPr>
          <w:rFonts w:ascii="Arial" w:hAnsi="Arial" w:cs="Arial"/>
          <w:sz w:val="24"/>
          <w:szCs w:val="24"/>
          <w:lang w:val="en-GB" w:eastAsia="en-GB"/>
        </w:rPr>
      </w:pPr>
      <w:r w:rsidRPr="001B5058">
        <w:rPr>
          <w:rFonts w:ascii="Arial" w:hAnsi="Arial" w:cs="Arial"/>
          <w:sz w:val="24"/>
          <w:szCs w:val="24"/>
          <w:lang w:val="en-GB" w:eastAsia="en-GB"/>
        </w:rPr>
        <w:t xml:space="preserve">The forecasted demand for the proposed one site operating model is achievable given the staffing, premises, equipment and supplier capacity. The Year 1 forecast is to have 135 transactions a day for 310 trading days, which equals 41,850 annual transactions, and needs to be catered for with adequate barista capacity, preparation area, espresso equipment, point of sale systems and customer flow design. Staffing to ensure the best use of the human resource to ensure that when the service is at maximum capacity there is no drop in service quality and there must be appropriate preparation, storage, customer and waste facilities </w:t>
      </w:r>
      <w:r w:rsidR="00B534C1">
        <w:rPr>
          <w:rFonts w:ascii="Arial" w:hAnsi="Arial" w:cs="Arial"/>
          <w:sz w:val="24"/>
          <w:szCs w:val="24"/>
          <w:lang w:val="en-GB" w:eastAsia="en-GB"/>
        </w:rPr>
        <w:t>in the Monmouth Street premises</w:t>
      </w:r>
      <w:r w:rsidRPr="001B5058">
        <w:rPr>
          <w:rFonts w:ascii="Arial" w:hAnsi="Arial" w:cs="Arial"/>
          <w:sz w:val="24"/>
          <w:szCs w:val="24"/>
          <w:lang w:val="en-GB" w:eastAsia="en-GB"/>
        </w:rPr>
        <w:t xml:space="preserve">. There are several operational risks associated with this, such as peak time delays, supplier disruption, equipment failure, stocks out and food waste, and staff shortage. These risks should be managed with the use of approved alternative suppliers, safety-stock policies, preventive maintenance, standard operating procedures and staff cross training. </w:t>
      </w:r>
    </w:p>
    <w:p w14:paraId="0DC9EE78" w14:textId="77777777" w:rsidR="00877D14" w:rsidRPr="0081009F" w:rsidRDefault="00877D14" w:rsidP="0081009F">
      <w:pPr>
        <w:pStyle w:val="Heading2"/>
        <w:rPr>
          <w:rFonts w:eastAsia="Times New Roman"/>
          <w:lang w:val="en-GB" w:eastAsia="en-GB"/>
        </w:rPr>
      </w:pPr>
      <w:bookmarkStart w:id="113" w:name="_Toc240811469"/>
      <w:r w:rsidRPr="0081009F">
        <w:rPr>
          <w:rFonts w:eastAsia="Times New Roman"/>
          <w:lang w:val="en-GB" w:eastAsia="en-GB"/>
        </w:rPr>
        <w:t>11.4 Financial Feasibility</w:t>
      </w:r>
      <w:bookmarkEnd w:id="113"/>
    </w:p>
    <w:p w14:paraId="34E6387F" w14:textId="6CB8223C" w:rsidR="00477077" w:rsidRDefault="00D124C6" w:rsidP="0081009F">
      <w:pPr>
        <w:spacing w:before="240" w:line="360" w:lineRule="auto"/>
        <w:jc w:val="both"/>
        <w:rPr>
          <w:rFonts w:ascii="Arial" w:hAnsi="Arial" w:cs="Arial"/>
          <w:sz w:val="24"/>
          <w:szCs w:val="24"/>
          <w:lang w:val="en-GB" w:eastAsia="en-GB"/>
        </w:rPr>
      </w:pPr>
      <w:r w:rsidRPr="00D124C6">
        <w:rPr>
          <w:rFonts w:ascii="Arial" w:hAnsi="Arial" w:cs="Arial"/>
          <w:sz w:val="24"/>
          <w:szCs w:val="24"/>
          <w:lang w:val="en-GB" w:eastAsia="en-GB"/>
        </w:rPr>
        <w:t xml:space="preserve">There is some possibility of financial viability but not much. In the first year, the revenue is anticipated to be about £292,950, with an average transaction value of £7 and an annual number of transactions of 41,850. The variable costs are 30 per cent of total costs. Hence, the break-even revenue is approximately £292,857 (£205,000 / 0.70) or 41,837 transactions, or 135 transactions per trading day for 310 trading days per year. The Year 1 forecast is thus just marginally positive, so transaction volume and contribution margin protection are top priorities. Sensitivity analysis also suggests that reduced demand and/or reduction in variable costs or adjustment in prices may have material adverse effects on viability. </w:t>
      </w:r>
    </w:p>
    <w:p w14:paraId="00E64D62" w14:textId="00A1CEF4" w:rsidR="00877D14" w:rsidRPr="0081009F" w:rsidRDefault="00245424" w:rsidP="0081009F">
      <w:pPr>
        <w:spacing w:before="240" w:line="360" w:lineRule="auto"/>
        <w:jc w:val="both"/>
        <w:rPr>
          <w:rFonts w:ascii="Arial" w:hAnsi="Arial" w:cs="Arial"/>
          <w:sz w:val="24"/>
          <w:szCs w:val="24"/>
          <w:lang w:val="en-GB" w:eastAsia="en-GB"/>
        </w:rPr>
      </w:pPr>
      <w:r w:rsidRPr="0081009F">
        <w:rPr>
          <w:rFonts w:ascii="Arial" w:hAnsi="Arial" w:cs="Arial"/>
          <w:sz w:val="24"/>
          <w:szCs w:val="24"/>
          <w:lang w:val="en-GB" w:eastAsia="en-GB"/>
        </w:rPr>
        <w:t>The initial funding requirement is estimated at around £200,000, which is for premises and fit-out, equipment, initial stock, professional costs, recruitment, marketing for</w:t>
      </w:r>
      <w:r w:rsidR="00B534C1">
        <w:rPr>
          <w:rFonts w:ascii="Arial" w:hAnsi="Arial" w:cs="Arial"/>
          <w:sz w:val="24"/>
          <w:szCs w:val="24"/>
          <w:lang w:val="en-GB" w:eastAsia="en-GB"/>
        </w:rPr>
        <w:t xml:space="preserve"> the launch and working capital</w:t>
      </w:r>
      <w:r w:rsidRPr="0081009F">
        <w:rPr>
          <w:rFonts w:ascii="Arial" w:hAnsi="Arial" w:cs="Arial"/>
          <w:sz w:val="24"/>
          <w:szCs w:val="24"/>
          <w:lang w:val="en-GB" w:eastAsia="en-GB"/>
        </w:rPr>
        <w:t>. Therefore, protection of working capital and careful review of margins and costs (as well as sales) is crucial. Cash flow problems can occur in a business even if it is making an accounting profit be</w:t>
      </w:r>
      <w:r w:rsidR="00C0389B">
        <w:rPr>
          <w:rFonts w:ascii="Arial" w:hAnsi="Arial" w:cs="Arial"/>
          <w:sz w:val="24"/>
          <w:szCs w:val="24"/>
          <w:lang w:val="en-GB" w:eastAsia="en-GB"/>
        </w:rPr>
        <w:t>cause of a low working capital.</w:t>
      </w:r>
    </w:p>
    <w:p w14:paraId="1E335855" w14:textId="77777777" w:rsidR="00877D14" w:rsidRPr="0081009F" w:rsidRDefault="00877D14" w:rsidP="0081009F">
      <w:pPr>
        <w:pStyle w:val="Heading2"/>
        <w:rPr>
          <w:rFonts w:eastAsia="Times New Roman"/>
          <w:lang w:val="en-GB" w:eastAsia="en-GB"/>
        </w:rPr>
      </w:pPr>
      <w:bookmarkStart w:id="114" w:name="_Toc240811470"/>
      <w:r w:rsidRPr="0081009F">
        <w:rPr>
          <w:rFonts w:eastAsia="Times New Roman"/>
          <w:lang w:val="en-GB" w:eastAsia="en-GB"/>
        </w:rPr>
        <w:lastRenderedPageBreak/>
        <w:t>11.5 Strategic Fit, Risks and Mitigation</w:t>
      </w:r>
      <w:bookmarkEnd w:id="114"/>
    </w:p>
    <w:p w14:paraId="711ABC92" w14:textId="3172DE86" w:rsidR="005508A7" w:rsidRPr="0081009F" w:rsidRDefault="005508A7" w:rsidP="0081009F">
      <w:pPr>
        <w:spacing w:before="240" w:line="360" w:lineRule="auto"/>
        <w:jc w:val="both"/>
        <w:rPr>
          <w:rFonts w:ascii="Arial" w:hAnsi="Arial" w:cs="Arial"/>
          <w:sz w:val="24"/>
          <w:szCs w:val="24"/>
          <w:lang w:val="en-GB" w:eastAsia="en-GB"/>
        </w:rPr>
      </w:pPr>
      <w:r w:rsidRPr="0081009F">
        <w:rPr>
          <w:rFonts w:ascii="Arial" w:hAnsi="Arial" w:cs="Arial"/>
          <w:sz w:val="24"/>
          <w:szCs w:val="24"/>
          <w:lang w:val="en-GB" w:eastAsia="en-GB"/>
        </w:rPr>
        <w:t>The recommended fit, both externally and internally, is reasonable. TEBC's competitive advantage is based on ethical differentiation, whereas staged implementation has a focus and restricts initial exposure to one Covent Garden, and to a defined customer segment. This is consistent to the proposed value proposition and also helps to the venture to test the demand before they invest in the ext</w:t>
      </w:r>
      <w:r w:rsidR="0081009F">
        <w:rPr>
          <w:rFonts w:ascii="Arial" w:hAnsi="Arial" w:cs="Arial"/>
          <w:sz w:val="24"/>
          <w:szCs w:val="24"/>
          <w:lang w:val="en-GB" w:eastAsia="en-GB"/>
        </w:rPr>
        <w:t>ended expansion (Barney, 1991)</w:t>
      </w:r>
    </w:p>
    <w:p w14:paraId="71760657" w14:textId="4DDA9994" w:rsidR="005508A7" w:rsidRPr="0081009F" w:rsidRDefault="000A3049" w:rsidP="0081009F">
      <w:pPr>
        <w:spacing w:before="240" w:line="360" w:lineRule="auto"/>
        <w:jc w:val="both"/>
        <w:rPr>
          <w:rFonts w:ascii="Arial" w:hAnsi="Arial" w:cs="Arial"/>
          <w:sz w:val="24"/>
          <w:szCs w:val="24"/>
          <w:lang w:val="en-GB" w:eastAsia="en-GB"/>
        </w:rPr>
      </w:pPr>
      <w:r w:rsidRPr="000A3049">
        <w:rPr>
          <w:rFonts w:ascii="Arial" w:hAnsi="Arial" w:cs="Arial"/>
          <w:sz w:val="24"/>
          <w:szCs w:val="24"/>
          <w:lang w:val="en-GB" w:eastAsia="en-GB"/>
        </w:rPr>
        <w:t>The most significant risk is demand b</w:t>
      </w:r>
      <w:r>
        <w:rPr>
          <w:rFonts w:ascii="Arial" w:hAnsi="Arial" w:cs="Arial"/>
          <w:sz w:val="24"/>
          <w:szCs w:val="24"/>
          <w:lang w:val="en-GB" w:eastAsia="en-GB"/>
        </w:rPr>
        <w:t>elow the break-even requirement</w:t>
      </w:r>
      <w:r w:rsidR="005508A7" w:rsidRPr="0081009F">
        <w:rPr>
          <w:rFonts w:ascii="Arial" w:hAnsi="Arial" w:cs="Arial"/>
          <w:sz w:val="24"/>
          <w:szCs w:val="24"/>
          <w:lang w:val="en-GB" w:eastAsia="en-GB"/>
        </w:rPr>
        <w:t xml:space="preserve">, followed by cost increases, supply disruption, employee shortages and the risk that competitors copy observable sustainability elements. Specific controls should be used to manage these risks. Management should monitor transactions, average spend and repeat purchases monthly, set clearly defined transaction growth targets, have an approved list of suppliers, have appropriate safety stock levels, cross train employees and have documented procedures for sourcing food, safety and data protection. Also, the proposed competitive advantage needs to be treated as a developing advantage as opposed to an established advantage, since </w:t>
      </w:r>
      <w:r w:rsidR="00BE121A" w:rsidRPr="00BE121A">
        <w:rPr>
          <w:rFonts w:ascii="Arial" w:hAnsi="Arial" w:cs="Arial"/>
          <w:sz w:val="24"/>
          <w:szCs w:val="24"/>
          <w:lang w:val="en-GB" w:eastAsia="en-GB"/>
        </w:rPr>
        <w:t>TEBC does not yet have</w:t>
      </w:r>
      <w:r w:rsidR="00BE121A">
        <w:rPr>
          <w:rFonts w:ascii="Arial" w:hAnsi="Arial" w:cs="Arial"/>
          <w:sz w:val="24"/>
          <w:szCs w:val="24"/>
          <w:lang w:val="en-GB" w:eastAsia="en-GB"/>
        </w:rPr>
        <w:t xml:space="preserve"> </w:t>
      </w:r>
      <w:r w:rsidR="005508A7" w:rsidRPr="0081009F">
        <w:rPr>
          <w:rFonts w:ascii="Arial" w:hAnsi="Arial" w:cs="Arial"/>
          <w:sz w:val="24"/>
          <w:szCs w:val="24"/>
          <w:lang w:val="en-GB" w:eastAsia="en-GB"/>
        </w:rPr>
        <w:t>any operating history, established brand or a netw</w:t>
      </w:r>
      <w:r w:rsidR="0081009F">
        <w:rPr>
          <w:rFonts w:ascii="Arial" w:hAnsi="Arial" w:cs="Arial"/>
          <w:sz w:val="24"/>
          <w:szCs w:val="24"/>
          <w:lang w:val="en-GB" w:eastAsia="en-GB"/>
        </w:rPr>
        <w:t>ork of suppliers (Barney, 1991)</w:t>
      </w:r>
    </w:p>
    <w:p w14:paraId="7F529D15" w14:textId="7FF9D148" w:rsidR="005508A7" w:rsidRPr="0081009F" w:rsidRDefault="005508A7" w:rsidP="0081009F">
      <w:pPr>
        <w:pStyle w:val="Heading2"/>
        <w:rPr>
          <w:rFonts w:eastAsia="Times New Roman"/>
          <w:lang w:val="en-GB" w:eastAsia="en-GB"/>
        </w:rPr>
      </w:pPr>
      <w:bookmarkStart w:id="115" w:name="_Toc240811471"/>
      <w:r w:rsidRPr="0081009F">
        <w:rPr>
          <w:rFonts w:eastAsia="Times New Roman"/>
          <w:lang w:val="en-GB" w:eastAsia="en-GB"/>
        </w:rPr>
        <w:t>11.</w:t>
      </w:r>
      <w:r w:rsidR="0081009F">
        <w:rPr>
          <w:rFonts w:eastAsia="Times New Roman"/>
          <w:lang w:val="en-GB" w:eastAsia="en-GB"/>
        </w:rPr>
        <w:t>6 Integrated Viability Judgement</w:t>
      </w:r>
      <w:bookmarkEnd w:id="115"/>
    </w:p>
    <w:p w14:paraId="6F038B0D" w14:textId="6ABB385B" w:rsidR="005508A7" w:rsidRPr="0081009F" w:rsidRDefault="005508A7" w:rsidP="0081009F">
      <w:pPr>
        <w:spacing w:before="240" w:line="360" w:lineRule="auto"/>
        <w:jc w:val="both"/>
        <w:rPr>
          <w:rFonts w:ascii="Arial" w:hAnsi="Arial" w:cs="Arial"/>
          <w:sz w:val="24"/>
          <w:szCs w:val="24"/>
          <w:lang w:val="en-GB" w:eastAsia="en-GB"/>
        </w:rPr>
      </w:pPr>
      <w:r w:rsidRPr="0081009F">
        <w:rPr>
          <w:rFonts w:ascii="Arial" w:hAnsi="Arial" w:cs="Arial"/>
          <w:sz w:val="24"/>
          <w:szCs w:val="24"/>
          <w:lang w:val="en-GB" w:eastAsia="en-GB"/>
        </w:rPr>
        <w:t>Overall, TEBC is feasible subject to conditions. The most compelling factors are the right location in Covent Garden, an established specialty-coffee market and a differentiated proposition through quality, credible ethical sourcing, sustainability and personalised service (World Coffee Portal, 2026). The financial risk is due to the near identity of forecast year 1 demand and break-even, and the competition and lack of a base load of cu</w:t>
      </w:r>
      <w:r w:rsidR="0081009F">
        <w:rPr>
          <w:rFonts w:ascii="Arial" w:hAnsi="Arial" w:cs="Arial"/>
          <w:sz w:val="24"/>
          <w:szCs w:val="24"/>
          <w:lang w:val="en-GB" w:eastAsia="en-GB"/>
        </w:rPr>
        <w:t>stomers introduces uncertainty</w:t>
      </w:r>
    </w:p>
    <w:p w14:paraId="66FA95FF" w14:textId="67EF6C93" w:rsidR="000B4733" w:rsidRDefault="005508A7" w:rsidP="0081009F">
      <w:pPr>
        <w:spacing w:before="240" w:line="360" w:lineRule="auto"/>
        <w:jc w:val="both"/>
        <w:rPr>
          <w:rFonts w:ascii="Arial" w:hAnsi="Arial" w:cs="Arial"/>
          <w:sz w:val="24"/>
          <w:szCs w:val="24"/>
          <w:lang w:val="en-GB" w:eastAsia="en-GB"/>
        </w:rPr>
      </w:pPr>
      <w:r w:rsidRPr="0081009F">
        <w:rPr>
          <w:rFonts w:ascii="Arial" w:hAnsi="Arial" w:cs="Arial"/>
          <w:sz w:val="24"/>
          <w:szCs w:val="24"/>
          <w:lang w:val="en-GB" w:eastAsia="en-GB"/>
        </w:rPr>
        <w:t>It is recommended, therefore, to make a decision to proceed with conditions and staged implementation. Prior to trading, TEBC should establish commercially viable supply arrangements, the find out the cost of the final premises, fit-out, start-up costs and working capital, and the staffing capacity as well as reliable evidence of custo</w:t>
      </w:r>
      <w:r w:rsidR="0081009F">
        <w:rPr>
          <w:rFonts w:ascii="Arial" w:hAnsi="Arial" w:cs="Arial"/>
          <w:sz w:val="24"/>
          <w:szCs w:val="24"/>
          <w:lang w:val="en-GB" w:eastAsia="en-GB"/>
        </w:rPr>
        <w:t>mer demand at the agreed price.</w:t>
      </w:r>
    </w:p>
    <w:p w14:paraId="0B8A40FC" w14:textId="7EFAC698" w:rsidR="00CE5501" w:rsidRDefault="00CE5501" w:rsidP="0081009F">
      <w:pPr>
        <w:spacing w:before="240" w:line="360" w:lineRule="auto"/>
        <w:jc w:val="both"/>
        <w:rPr>
          <w:rFonts w:ascii="Arial" w:hAnsi="Arial" w:cs="Arial"/>
          <w:sz w:val="24"/>
          <w:szCs w:val="24"/>
          <w:lang w:val="en-GB" w:eastAsia="en-GB"/>
        </w:rPr>
      </w:pPr>
    </w:p>
    <w:p w14:paraId="6B3EC9C6" w14:textId="77777777" w:rsidR="00CE5501" w:rsidRPr="00231238" w:rsidRDefault="00CE5501" w:rsidP="00D049AE">
      <w:pPr>
        <w:pStyle w:val="Heading1"/>
        <w:jc w:val="center"/>
        <w:rPr>
          <w:rFonts w:eastAsia="Times New Roman"/>
          <w:lang w:val="en-GB" w:eastAsia="en-GB"/>
        </w:rPr>
      </w:pPr>
      <w:bookmarkStart w:id="116" w:name="_Toc240811472"/>
      <w:r w:rsidRPr="00231238">
        <w:rPr>
          <w:rFonts w:eastAsia="Times New Roman"/>
          <w:lang w:val="en-GB" w:eastAsia="en-GB"/>
        </w:rPr>
        <w:lastRenderedPageBreak/>
        <w:t>Chapter 12: Implementation Plan</w:t>
      </w:r>
      <w:bookmarkEnd w:id="116"/>
    </w:p>
    <w:p w14:paraId="62CF94A8" w14:textId="77777777" w:rsidR="00CE5501" w:rsidRPr="00231238" w:rsidRDefault="00CE5501" w:rsidP="00D049AE">
      <w:pPr>
        <w:pStyle w:val="Heading2"/>
        <w:rPr>
          <w:rFonts w:eastAsia="Times New Roman"/>
          <w:lang w:val="en-GB" w:eastAsia="en-GB"/>
        </w:rPr>
      </w:pPr>
      <w:bookmarkStart w:id="117" w:name="_Toc240811473"/>
      <w:r w:rsidRPr="00231238">
        <w:rPr>
          <w:rFonts w:eastAsia="Times New Roman"/>
          <w:lang w:val="en-GB" w:eastAsia="en-GB"/>
        </w:rPr>
        <w:t>12.1 Implementation Approach and Launch Phases</w:t>
      </w:r>
      <w:bookmarkEnd w:id="117"/>
    </w:p>
    <w:p w14:paraId="5086E83E" w14:textId="7E227029" w:rsidR="00CE5501" w:rsidRPr="00231238" w:rsidRDefault="00954966" w:rsidP="00231238">
      <w:pPr>
        <w:spacing w:before="240" w:line="360" w:lineRule="auto"/>
        <w:jc w:val="both"/>
        <w:rPr>
          <w:rFonts w:ascii="Arial" w:hAnsi="Arial" w:cs="Arial"/>
          <w:sz w:val="24"/>
          <w:szCs w:val="24"/>
          <w:lang w:val="en-GB" w:eastAsia="en-GB"/>
        </w:rPr>
      </w:pPr>
      <w:r w:rsidRPr="00231238">
        <w:rPr>
          <w:rFonts w:ascii="Arial" w:hAnsi="Arial" w:cs="Arial"/>
          <w:sz w:val="24"/>
          <w:szCs w:val="24"/>
          <w:lang w:val="en-GB" w:eastAsia="en-GB"/>
        </w:rPr>
        <w:t xml:space="preserve">The implementation plan is a process that transforms the strategic, business-model, financial, marketing, human-capital and operational decisions into a controlled launch process. The Ethical Bean Coffee House (TEBC) is a new business that has not a robust customer base, supplier network or operating history so a phased approach is appropriate. The advantage of a phased implementation is to keep the necessary activities completed in sequence, and to minimize the exposure of unnecessary resources </w:t>
      </w:r>
      <w:r w:rsidR="007544AD">
        <w:rPr>
          <w:rFonts w:ascii="Arial" w:hAnsi="Arial" w:cs="Arial"/>
          <w:sz w:val="24"/>
          <w:szCs w:val="24"/>
          <w:lang w:val="en-GB" w:eastAsia="en-GB"/>
        </w:rPr>
        <w:t>(Osterwalder and Pigneur, 2010)</w:t>
      </w:r>
      <w:r w:rsidR="00CE5501" w:rsidRPr="00231238">
        <w:rPr>
          <w:rFonts w:ascii="Arial" w:hAnsi="Arial" w:cs="Arial"/>
          <w:sz w:val="24"/>
          <w:szCs w:val="24"/>
          <w:lang w:val="en-GB" w:eastAsia="en-GB"/>
        </w:rPr>
        <w:t>.</w:t>
      </w:r>
    </w:p>
    <w:p w14:paraId="62886BFC" w14:textId="77777777" w:rsidR="00CE5501" w:rsidRPr="00231238" w:rsidRDefault="00CE5501" w:rsidP="00D049AE">
      <w:pPr>
        <w:pStyle w:val="Heading2"/>
        <w:rPr>
          <w:rFonts w:eastAsia="Times New Roman"/>
          <w:lang w:val="en-GB" w:eastAsia="en-GB"/>
        </w:rPr>
      </w:pPr>
      <w:bookmarkStart w:id="118" w:name="_Toc240811474"/>
      <w:r w:rsidRPr="00231238">
        <w:rPr>
          <w:rFonts w:eastAsia="Times New Roman"/>
          <w:lang w:val="en-GB" w:eastAsia="en-GB"/>
        </w:rPr>
        <w:t>12.2 Milestones and Timeline</w:t>
      </w:r>
      <w:bookmarkEnd w:id="118"/>
    </w:p>
    <w:p w14:paraId="26A39E1B" w14:textId="77777777" w:rsidR="00CE5501" w:rsidRPr="00231238" w:rsidRDefault="00CE5501" w:rsidP="00231238">
      <w:pPr>
        <w:spacing w:before="240" w:line="360" w:lineRule="auto"/>
        <w:jc w:val="both"/>
        <w:rPr>
          <w:rFonts w:ascii="Arial" w:hAnsi="Arial" w:cs="Arial"/>
          <w:sz w:val="24"/>
          <w:szCs w:val="24"/>
          <w:lang w:val="en-GB" w:eastAsia="en-GB"/>
        </w:rPr>
      </w:pPr>
      <w:r w:rsidRPr="00231238">
        <w:rPr>
          <w:rFonts w:ascii="Arial" w:hAnsi="Arial" w:cs="Arial"/>
          <w:sz w:val="24"/>
          <w:szCs w:val="24"/>
          <w:lang w:val="en-GB" w:eastAsia="en-GB"/>
        </w:rPr>
        <w:t>The proposed implementation will occur over four months, followed by structured post-launch monitoring.</w:t>
      </w:r>
    </w:p>
    <w:p w14:paraId="5D48C7CF" w14:textId="3AAE18BE" w:rsidR="00D049AE" w:rsidRPr="00D049AE" w:rsidRDefault="00D049AE" w:rsidP="00D049AE">
      <w:pPr>
        <w:pStyle w:val="Caption"/>
        <w:keepNext/>
        <w:rPr>
          <w:rFonts w:ascii="Arial" w:hAnsi="Arial" w:cs="Arial"/>
          <w:sz w:val="24"/>
        </w:rPr>
      </w:pPr>
      <w:bookmarkStart w:id="119" w:name="_Toc240810944"/>
      <w:r w:rsidRPr="00D049AE">
        <w:rPr>
          <w:rFonts w:ascii="Arial" w:hAnsi="Arial" w:cs="Arial"/>
          <w:sz w:val="24"/>
        </w:rPr>
        <w:t xml:space="preserve">Table </w:t>
      </w:r>
      <w:r w:rsidRPr="00D049AE">
        <w:rPr>
          <w:rFonts w:ascii="Arial" w:hAnsi="Arial" w:cs="Arial"/>
          <w:sz w:val="24"/>
        </w:rPr>
        <w:fldChar w:fldCharType="begin"/>
      </w:r>
      <w:r w:rsidRPr="00D049AE">
        <w:rPr>
          <w:rFonts w:ascii="Arial" w:hAnsi="Arial" w:cs="Arial"/>
          <w:sz w:val="24"/>
        </w:rPr>
        <w:instrText xml:space="preserve"> SEQ Table \* ARABIC </w:instrText>
      </w:r>
      <w:r w:rsidRPr="00D049AE">
        <w:rPr>
          <w:rFonts w:ascii="Arial" w:hAnsi="Arial" w:cs="Arial"/>
          <w:sz w:val="24"/>
        </w:rPr>
        <w:fldChar w:fldCharType="separate"/>
      </w:r>
      <w:r w:rsidR="004E1559">
        <w:rPr>
          <w:rFonts w:ascii="Arial" w:hAnsi="Arial" w:cs="Arial"/>
          <w:noProof/>
          <w:sz w:val="24"/>
        </w:rPr>
        <w:t>13</w:t>
      </w:r>
      <w:r w:rsidRPr="00D049AE">
        <w:rPr>
          <w:rFonts w:ascii="Arial" w:hAnsi="Arial" w:cs="Arial"/>
          <w:sz w:val="24"/>
        </w:rPr>
        <w:fldChar w:fldCharType="end"/>
      </w:r>
      <w:r w:rsidRPr="00D049AE">
        <w:rPr>
          <w:rFonts w:ascii="Arial" w:hAnsi="Arial" w:cs="Arial"/>
          <w:sz w:val="24"/>
        </w:rPr>
        <w:t>.Milestones and Timeline</w:t>
      </w:r>
      <w:bookmarkEnd w:id="119"/>
    </w:p>
    <w:tbl>
      <w:tblPr>
        <w:tblStyle w:val="TableGrid"/>
        <w:tblW w:w="0" w:type="auto"/>
        <w:tblLook w:val="04A0" w:firstRow="1" w:lastRow="0" w:firstColumn="1" w:lastColumn="0" w:noHBand="0" w:noVBand="1"/>
      </w:tblPr>
      <w:tblGrid>
        <w:gridCol w:w="2225"/>
        <w:gridCol w:w="2159"/>
        <w:gridCol w:w="2430"/>
        <w:gridCol w:w="2202"/>
      </w:tblGrid>
      <w:tr w:rsidR="00B13A0C" w:rsidRPr="00B13A0C" w14:paraId="23E2611C" w14:textId="77777777" w:rsidTr="00B13A0C">
        <w:tc>
          <w:tcPr>
            <w:tcW w:w="2254" w:type="dxa"/>
          </w:tcPr>
          <w:p w14:paraId="31874E06" w14:textId="77777777" w:rsidR="00B13A0C" w:rsidRPr="00B13A0C" w:rsidRDefault="00B13A0C" w:rsidP="00B13A0C">
            <w:pPr>
              <w:spacing w:before="240" w:line="240" w:lineRule="auto"/>
              <w:jc w:val="both"/>
              <w:rPr>
                <w:rFonts w:ascii="Arial" w:hAnsi="Arial" w:cs="Arial"/>
                <w:b/>
                <w:szCs w:val="24"/>
                <w:lang w:val="en-GB" w:eastAsia="en-GB"/>
              </w:rPr>
            </w:pPr>
            <w:r w:rsidRPr="00B13A0C">
              <w:rPr>
                <w:rFonts w:ascii="Arial" w:hAnsi="Arial" w:cs="Arial"/>
                <w:b/>
                <w:szCs w:val="24"/>
                <w:lang w:val="en-GB" w:eastAsia="en-GB"/>
              </w:rPr>
              <w:t>Activity</w:t>
            </w:r>
          </w:p>
        </w:tc>
        <w:tc>
          <w:tcPr>
            <w:tcW w:w="2254" w:type="dxa"/>
          </w:tcPr>
          <w:p w14:paraId="2EC9040A" w14:textId="77777777" w:rsidR="00B13A0C" w:rsidRPr="00B13A0C" w:rsidRDefault="00B13A0C" w:rsidP="00B13A0C">
            <w:pPr>
              <w:spacing w:before="240" w:line="240" w:lineRule="auto"/>
              <w:jc w:val="both"/>
              <w:rPr>
                <w:rFonts w:ascii="Arial" w:hAnsi="Arial" w:cs="Arial"/>
                <w:b/>
                <w:szCs w:val="24"/>
                <w:lang w:val="en-GB" w:eastAsia="en-GB"/>
              </w:rPr>
            </w:pPr>
            <w:r w:rsidRPr="00B13A0C">
              <w:rPr>
                <w:rFonts w:ascii="Arial" w:hAnsi="Arial" w:cs="Arial"/>
                <w:b/>
                <w:szCs w:val="24"/>
                <w:lang w:val="en-GB" w:eastAsia="en-GB"/>
              </w:rPr>
              <w:t>Timing</w:t>
            </w:r>
          </w:p>
        </w:tc>
        <w:tc>
          <w:tcPr>
            <w:tcW w:w="2254" w:type="dxa"/>
          </w:tcPr>
          <w:p w14:paraId="70ACAE86" w14:textId="77777777" w:rsidR="00B13A0C" w:rsidRPr="00B13A0C" w:rsidRDefault="00B13A0C" w:rsidP="00B13A0C">
            <w:pPr>
              <w:spacing w:before="240" w:line="240" w:lineRule="auto"/>
              <w:jc w:val="both"/>
              <w:rPr>
                <w:rFonts w:ascii="Arial" w:hAnsi="Arial" w:cs="Arial"/>
                <w:b/>
                <w:szCs w:val="24"/>
                <w:lang w:val="en-GB" w:eastAsia="en-GB"/>
              </w:rPr>
            </w:pPr>
            <w:r w:rsidRPr="00B13A0C">
              <w:rPr>
                <w:rFonts w:ascii="Arial" w:hAnsi="Arial" w:cs="Arial"/>
                <w:b/>
                <w:szCs w:val="24"/>
                <w:lang w:val="en-GB" w:eastAsia="en-GB"/>
              </w:rPr>
              <w:t>Principal Deliverable</w:t>
            </w:r>
          </w:p>
        </w:tc>
        <w:tc>
          <w:tcPr>
            <w:tcW w:w="2254" w:type="dxa"/>
          </w:tcPr>
          <w:p w14:paraId="2BB0420B" w14:textId="77777777" w:rsidR="00B13A0C" w:rsidRPr="00B13A0C" w:rsidRDefault="00B13A0C" w:rsidP="00B13A0C">
            <w:pPr>
              <w:spacing w:before="240" w:line="240" w:lineRule="auto"/>
              <w:jc w:val="both"/>
              <w:rPr>
                <w:rFonts w:ascii="Arial" w:hAnsi="Arial" w:cs="Arial"/>
                <w:b/>
                <w:szCs w:val="24"/>
                <w:lang w:val="en-GB" w:eastAsia="en-GB"/>
              </w:rPr>
            </w:pPr>
            <w:r w:rsidRPr="00B13A0C">
              <w:rPr>
                <w:rFonts w:ascii="Arial" w:hAnsi="Arial" w:cs="Arial"/>
                <w:b/>
                <w:szCs w:val="24"/>
                <w:lang w:val="en-GB" w:eastAsia="en-GB"/>
              </w:rPr>
              <w:t>Responsible Role</w:t>
            </w:r>
          </w:p>
        </w:tc>
      </w:tr>
      <w:tr w:rsidR="00B13A0C" w:rsidRPr="00B13A0C" w14:paraId="3921A8FF" w14:textId="77777777" w:rsidTr="00B13A0C">
        <w:tc>
          <w:tcPr>
            <w:tcW w:w="2254" w:type="dxa"/>
          </w:tcPr>
          <w:p w14:paraId="3EB44318" w14:textId="77777777" w:rsidR="00B13A0C" w:rsidRPr="00B13A0C" w:rsidRDefault="00B13A0C" w:rsidP="00B13A0C">
            <w:pPr>
              <w:spacing w:before="240" w:line="240" w:lineRule="auto"/>
              <w:jc w:val="both"/>
              <w:rPr>
                <w:rFonts w:ascii="Arial" w:hAnsi="Arial" w:cs="Arial"/>
                <w:szCs w:val="24"/>
                <w:lang w:val="en-GB" w:eastAsia="en-GB"/>
              </w:rPr>
            </w:pPr>
            <w:r w:rsidRPr="00B13A0C">
              <w:rPr>
                <w:rFonts w:ascii="Arial" w:hAnsi="Arial" w:cs="Arial"/>
                <w:szCs w:val="24"/>
                <w:lang w:val="en-GB" w:eastAsia="en-GB"/>
              </w:rPr>
              <w:t>Funding and legal/compliance arrangements</w:t>
            </w:r>
          </w:p>
        </w:tc>
        <w:tc>
          <w:tcPr>
            <w:tcW w:w="2254" w:type="dxa"/>
          </w:tcPr>
          <w:p w14:paraId="247EB3FB" w14:textId="77777777" w:rsidR="00B13A0C" w:rsidRPr="00B13A0C" w:rsidRDefault="00B13A0C" w:rsidP="00B13A0C">
            <w:pPr>
              <w:spacing w:before="240" w:line="240" w:lineRule="auto"/>
              <w:jc w:val="both"/>
              <w:rPr>
                <w:rFonts w:ascii="Arial" w:hAnsi="Arial" w:cs="Arial"/>
                <w:szCs w:val="24"/>
                <w:lang w:val="en-GB" w:eastAsia="en-GB"/>
              </w:rPr>
            </w:pPr>
            <w:r w:rsidRPr="00B13A0C">
              <w:rPr>
                <w:rFonts w:ascii="Arial" w:hAnsi="Arial" w:cs="Arial"/>
                <w:szCs w:val="24"/>
                <w:lang w:val="en-GB" w:eastAsia="en-GB"/>
              </w:rPr>
              <w:t>M1</w:t>
            </w:r>
          </w:p>
        </w:tc>
        <w:tc>
          <w:tcPr>
            <w:tcW w:w="2254" w:type="dxa"/>
          </w:tcPr>
          <w:p w14:paraId="2BCB69DE" w14:textId="77777777" w:rsidR="00B13A0C" w:rsidRPr="00B13A0C" w:rsidRDefault="00B13A0C" w:rsidP="00B13A0C">
            <w:pPr>
              <w:spacing w:before="240" w:line="240" w:lineRule="auto"/>
              <w:jc w:val="both"/>
              <w:rPr>
                <w:rFonts w:ascii="Arial" w:hAnsi="Arial" w:cs="Arial"/>
                <w:szCs w:val="24"/>
                <w:lang w:val="en-GB" w:eastAsia="en-GB"/>
              </w:rPr>
            </w:pPr>
            <w:r w:rsidRPr="00B13A0C">
              <w:rPr>
                <w:rFonts w:ascii="Arial" w:hAnsi="Arial" w:cs="Arial"/>
                <w:szCs w:val="24"/>
                <w:lang w:val="en-GB" w:eastAsia="en-GB"/>
              </w:rPr>
              <w:t>Funding secured and required registrations/approvals initiated</w:t>
            </w:r>
          </w:p>
        </w:tc>
        <w:tc>
          <w:tcPr>
            <w:tcW w:w="2254" w:type="dxa"/>
          </w:tcPr>
          <w:p w14:paraId="35A940A4" w14:textId="77777777" w:rsidR="00B13A0C" w:rsidRPr="00B13A0C" w:rsidRDefault="00B13A0C" w:rsidP="00B13A0C">
            <w:pPr>
              <w:spacing w:before="240" w:line="240" w:lineRule="auto"/>
              <w:jc w:val="both"/>
              <w:rPr>
                <w:rFonts w:ascii="Arial" w:hAnsi="Arial" w:cs="Arial"/>
                <w:szCs w:val="24"/>
                <w:lang w:val="en-GB" w:eastAsia="en-GB"/>
              </w:rPr>
            </w:pPr>
            <w:r w:rsidRPr="00B13A0C">
              <w:rPr>
                <w:rFonts w:ascii="Arial" w:hAnsi="Arial" w:cs="Arial"/>
                <w:szCs w:val="24"/>
                <w:lang w:val="en-GB" w:eastAsia="en-GB"/>
              </w:rPr>
              <w:t>Founder + Professional Adviser</w:t>
            </w:r>
          </w:p>
        </w:tc>
      </w:tr>
      <w:tr w:rsidR="00B13A0C" w:rsidRPr="00B13A0C" w14:paraId="570CA995" w14:textId="77777777" w:rsidTr="00B13A0C">
        <w:tc>
          <w:tcPr>
            <w:tcW w:w="2254" w:type="dxa"/>
          </w:tcPr>
          <w:p w14:paraId="5B5D1B2C" w14:textId="77777777" w:rsidR="00B13A0C" w:rsidRPr="00B13A0C" w:rsidRDefault="00B13A0C" w:rsidP="00B13A0C">
            <w:pPr>
              <w:spacing w:before="240" w:line="240" w:lineRule="auto"/>
              <w:jc w:val="both"/>
              <w:rPr>
                <w:rFonts w:ascii="Arial" w:hAnsi="Arial" w:cs="Arial"/>
                <w:szCs w:val="24"/>
                <w:lang w:val="en-GB" w:eastAsia="en-GB"/>
              </w:rPr>
            </w:pPr>
            <w:r w:rsidRPr="00B13A0C">
              <w:rPr>
                <w:rFonts w:ascii="Arial" w:hAnsi="Arial" w:cs="Arial"/>
                <w:szCs w:val="24"/>
                <w:lang w:val="en-GB" w:eastAsia="en-GB"/>
              </w:rPr>
              <w:t>Premises and equipment setup</w:t>
            </w:r>
          </w:p>
        </w:tc>
        <w:tc>
          <w:tcPr>
            <w:tcW w:w="2254" w:type="dxa"/>
          </w:tcPr>
          <w:p w14:paraId="1DE84D57" w14:textId="77777777" w:rsidR="00B13A0C" w:rsidRPr="00B13A0C" w:rsidRDefault="00B13A0C" w:rsidP="00B13A0C">
            <w:pPr>
              <w:spacing w:before="240" w:line="240" w:lineRule="auto"/>
              <w:jc w:val="both"/>
              <w:rPr>
                <w:rFonts w:ascii="Arial" w:hAnsi="Arial" w:cs="Arial"/>
                <w:szCs w:val="24"/>
                <w:lang w:val="en-GB" w:eastAsia="en-GB"/>
              </w:rPr>
            </w:pPr>
            <w:r w:rsidRPr="00B13A0C">
              <w:rPr>
                <w:rFonts w:ascii="Arial" w:hAnsi="Arial" w:cs="Arial"/>
                <w:szCs w:val="24"/>
                <w:lang w:val="en-GB" w:eastAsia="en-GB"/>
              </w:rPr>
              <w:t>M1–M2</w:t>
            </w:r>
          </w:p>
        </w:tc>
        <w:tc>
          <w:tcPr>
            <w:tcW w:w="2254" w:type="dxa"/>
          </w:tcPr>
          <w:p w14:paraId="73EBBAB9" w14:textId="77777777" w:rsidR="00B13A0C" w:rsidRPr="00B13A0C" w:rsidRDefault="00B13A0C" w:rsidP="00B13A0C">
            <w:pPr>
              <w:spacing w:before="240" w:line="240" w:lineRule="auto"/>
              <w:jc w:val="both"/>
              <w:rPr>
                <w:rFonts w:ascii="Arial" w:hAnsi="Arial" w:cs="Arial"/>
                <w:szCs w:val="24"/>
                <w:lang w:val="en-GB" w:eastAsia="en-GB"/>
              </w:rPr>
            </w:pPr>
            <w:r w:rsidRPr="00B13A0C">
              <w:rPr>
                <w:rFonts w:ascii="Arial" w:hAnsi="Arial" w:cs="Arial"/>
                <w:szCs w:val="24"/>
                <w:lang w:val="en-GB" w:eastAsia="en-GB"/>
              </w:rPr>
              <w:t>Premises fitted and core equipment installed</w:t>
            </w:r>
          </w:p>
        </w:tc>
        <w:tc>
          <w:tcPr>
            <w:tcW w:w="2254" w:type="dxa"/>
          </w:tcPr>
          <w:p w14:paraId="35674D49" w14:textId="77777777" w:rsidR="00B13A0C" w:rsidRPr="00B13A0C" w:rsidRDefault="00B13A0C" w:rsidP="00B13A0C">
            <w:pPr>
              <w:spacing w:before="240" w:line="240" w:lineRule="auto"/>
              <w:jc w:val="both"/>
              <w:rPr>
                <w:rFonts w:ascii="Arial" w:hAnsi="Arial" w:cs="Arial"/>
                <w:szCs w:val="24"/>
                <w:lang w:val="en-GB" w:eastAsia="en-GB"/>
              </w:rPr>
            </w:pPr>
            <w:r w:rsidRPr="00B13A0C">
              <w:rPr>
                <w:rFonts w:ascii="Arial" w:hAnsi="Arial" w:cs="Arial"/>
                <w:szCs w:val="24"/>
                <w:lang w:val="en-GB" w:eastAsia="en-GB"/>
              </w:rPr>
              <w:t>Founder + Operations Lead</w:t>
            </w:r>
          </w:p>
        </w:tc>
      </w:tr>
      <w:tr w:rsidR="00B13A0C" w:rsidRPr="00B13A0C" w14:paraId="2EC2795D" w14:textId="77777777" w:rsidTr="00B13A0C">
        <w:tc>
          <w:tcPr>
            <w:tcW w:w="2254" w:type="dxa"/>
          </w:tcPr>
          <w:p w14:paraId="1BD29E96" w14:textId="77777777" w:rsidR="00B13A0C" w:rsidRPr="00B13A0C" w:rsidRDefault="00B13A0C" w:rsidP="00B13A0C">
            <w:pPr>
              <w:spacing w:before="240" w:line="240" w:lineRule="auto"/>
              <w:jc w:val="both"/>
              <w:rPr>
                <w:rFonts w:ascii="Arial" w:hAnsi="Arial" w:cs="Arial"/>
                <w:szCs w:val="24"/>
                <w:lang w:val="en-GB" w:eastAsia="en-GB"/>
              </w:rPr>
            </w:pPr>
            <w:r w:rsidRPr="00B13A0C">
              <w:rPr>
                <w:rFonts w:ascii="Arial" w:hAnsi="Arial" w:cs="Arial"/>
                <w:szCs w:val="24"/>
                <w:lang w:val="en-GB" w:eastAsia="en-GB"/>
              </w:rPr>
              <w:t>Supplier selection and testing</w:t>
            </w:r>
          </w:p>
        </w:tc>
        <w:tc>
          <w:tcPr>
            <w:tcW w:w="2254" w:type="dxa"/>
          </w:tcPr>
          <w:p w14:paraId="7A1A91B8" w14:textId="77777777" w:rsidR="00B13A0C" w:rsidRPr="00B13A0C" w:rsidRDefault="00B13A0C" w:rsidP="00B13A0C">
            <w:pPr>
              <w:spacing w:before="240" w:line="240" w:lineRule="auto"/>
              <w:jc w:val="both"/>
              <w:rPr>
                <w:rFonts w:ascii="Arial" w:hAnsi="Arial" w:cs="Arial"/>
                <w:szCs w:val="24"/>
                <w:lang w:val="en-GB" w:eastAsia="en-GB"/>
              </w:rPr>
            </w:pPr>
            <w:r w:rsidRPr="00B13A0C">
              <w:rPr>
                <w:rFonts w:ascii="Arial" w:hAnsi="Arial" w:cs="Arial"/>
                <w:szCs w:val="24"/>
                <w:lang w:val="en-GB" w:eastAsia="en-GB"/>
              </w:rPr>
              <w:t>M2–M3</w:t>
            </w:r>
          </w:p>
        </w:tc>
        <w:tc>
          <w:tcPr>
            <w:tcW w:w="2254" w:type="dxa"/>
          </w:tcPr>
          <w:p w14:paraId="685526A5" w14:textId="77777777" w:rsidR="00B13A0C" w:rsidRPr="00B13A0C" w:rsidRDefault="00B13A0C" w:rsidP="00B13A0C">
            <w:pPr>
              <w:spacing w:before="240" w:line="240" w:lineRule="auto"/>
              <w:jc w:val="both"/>
              <w:rPr>
                <w:rFonts w:ascii="Arial" w:hAnsi="Arial" w:cs="Arial"/>
                <w:szCs w:val="24"/>
                <w:lang w:val="en-GB" w:eastAsia="en-GB"/>
              </w:rPr>
            </w:pPr>
            <w:r w:rsidRPr="00B13A0C">
              <w:rPr>
                <w:rFonts w:ascii="Arial" w:hAnsi="Arial" w:cs="Arial"/>
                <w:szCs w:val="24"/>
                <w:lang w:val="en-GB" w:eastAsia="en-GB"/>
              </w:rPr>
              <w:t>Approved primary and backup suppliers confirmed</w:t>
            </w:r>
          </w:p>
        </w:tc>
        <w:tc>
          <w:tcPr>
            <w:tcW w:w="2254" w:type="dxa"/>
          </w:tcPr>
          <w:p w14:paraId="25B869E0" w14:textId="77777777" w:rsidR="00B13A0C" w:rsidRPr="00B13A0C" w:rsidRDefault="00B13A0C" w:rsidP="00B13A0C">
            <w:pPr>
              <w:spacing w:before="240" w:line="240" w:lineRule="auto"/>
              <w:jc w:val="both"/>
              <w:rPr>
                <w:rFonts w:ascii="Arial" w:hAnsi="Arial" w:cs="Arial"/>
                <w:szCs w:val="24"/>
                <w:lang w:val="en-GB" w:eastAsia="en-GB"/>
              </w:rPr>
            </w:pPr>
            <w:r w:rsidRPr="00B13A0C">
              <w:rPr>
                <w:rFonts w:ascii="Arial" w:hAnsi="Arial" w:cs="Arial"/>
                <w:szCs w:val="24"/>
                <w:lang w:val="en-GB" w:eastAsia="en-GB"/>
              </w:rPr>
              <w:t>Operations Lead</w:t>
            </w:r>
          </w:p>
        </w:tc>
      </w:tr>
      <w:tr w:rsidR="00B13A0C" w:rsidRPr="00B13A0C" w14:paraId="43F30554" w14:textId="77777777" w:rsidTr="00B13A0C">
        <w:tc>
          <w:tcPr>
            <w:tcW w:w="2254" w:type="dxa"/>
          </w:tcPr>
          <w:p w14:paraId="75B6A718" w14:textId="77777777" w:rsidR="00B13A0C" w:rsidRPr="00B13A0C" w:rsidRDefault="00B13A0C" w:rsidP="00B13A0C">
            <w:pPr>
              <w:spacing w:before="240" w:line="240" w:lineRule="auto"/>
              <w:jc w:val="both"/>
              <w:rPr>
                <w:rFonts w:ascii="Arial" w:hAnsi="Arial" w:cs="Arial"/>
                <w:szCs w:val="24"/>
                <w:lang w:val="en-GB" w:eastAsia="en-GB"/>
              </w:rPr>
            </w:pPr>
            <w:r w:rsidRPr="00B13A0C">
              <w:rPr>
                <w:rFonts w:ascii="Arial" w:hAnsi="Arial" w:cs="Arial"/>
                <w:szCs w:val="24"/>
                <w:lang w:val="en-GB" w:eastAsia="en-GB"/>
              </w:rPr>
              <w:t>Recruitment and staff training</w:t>
            </w:r>
          </w:p>
        </w:tc>
        <w:tc>
          <w:tcPr>
            <w:tcW w:w="2254" w:type="dxa"/>
          </w:tcPr>
          <w:p w14:paraId="7B353A67" w14:textId="77777777" w:rsidR="00B13A0C" w:rsidRPr="00B13A0C" w:rsidRDefault="00B13A0C" w:rsidP="00B13A0C">
            <w:pPr>
              <w:spacing w:before="240" w:line="240" w:lineRule="auto"/>
              <w:jc w:val="both"/>
              <w:rPr>
                <w:rFonts w:ascii="Arial" w:hAnsi="Arial" w:cs="Arial"/>
                <w:szCs w:val="24"/>
                <w:lang w:val="en-GB" w:eastAsia="en-GB"/>
              </w:rPr>
            </w:pPr>
            <w:r w:rsidRPr="00B13A0C">
              <w:rPr>
                <w:rFonts w:ascii="Arial" w:hAnsi="Arial" w:cs="Arial"/>
                <w:szCs w:val="24"/>
                <w:lang w:val="en-GB" w:eastAsia="en-GB"/>
              </w:rPr>
              <w:t>M2–M3</w:t>
            </w:r>
          </w:p>
        </w:tc>
        <w:tc>
          <w:tcPr>
            <w:tcW w:w="2254" w:type="dxa"/>
          </w:tcPr>
          <w:p w14:paraId="440E76D5" w14:textId="77777777" w:rsidR="00B13A0C" w:rsidRPr="00B13A0C" w:rsidRDefault="00B13A0C" w:rsidP="00B13A0C">
            <w:pPr>
              <w:spacing w:before="240" w:line="240" w:lineRule="auto"/>
              <w:jc w:val="both"/>
              <w:rPr>
                <w:rFonts w:ascii="Arial" w:hAnsi="Arial" w:cs="Arial"/>
                <w:szCs w:val="24"/>
                <w:lang w:val="en-GB" w:eastAsia="en-GB"/>
              </w:rPr>
            </w:pPr>
            <w:r w:rsidRPr="00B13A0C">
              <w:rPr>
                <w:rFonts w:ascii="Arial" w:hAnsi="Arial" w:cs="Arial"/>
                <w:szCs w:val="24"/>
                <w:lang w:val="en-GB" w:eastAsia="en-GB"/>
              </w:rPr>
              <w:t>Critical staff recruited and trained</w:t>
            </w:r>
          </w:p>
        </w:tc>
        <w:tc>
          <w:tcPr>
            <w:tcW w:w="2254" w:type="dxa"/>
          </w:tcPr>
          <w:p w14:paraId="79F19521" w14:textId="77777777" w:rsidR="00B13A0C" w:rsidRPr="00B13A0C" w:rsidRDefault="00B13A0C" w:rsidP="00B13A0C">
            <w:pPr>
              <w:spacing w:before="240" w:line="240" w:lineRule="auto"/>
              <w:jc w:val="both"/>
              <w:rPr>
                <w:rFonts w:ascii="Arial" w:hAnsi="Arial" w:cs="Arial"/>
                <w:szCs w:val="24"/>
                <w:lang w:val="en-GB" w:eastAsia="en-GB"/>
              </w:rPr>
            </w:pPr>
            <w:r w:rsidRPr="00B13A0C">
              <w:rPr>
                <w:rFonts w:ascii="Arial" w:hAnsi="Arial" w:cs="Arial"/>
                <w:szCs w:val="24"/>
                <w:lang w:val="en-GB" w:eastAsia="en-GB"/>
              </w:rPr>
              <w:t>Founder + Operations Lead</w:t>
            </w:r>
          </w:p>
        </w:tc>
      </w:tr>
      <w:tr w:rsidR="00B13A0C" w:rsidRPr="00B13A0C" w14:paraId="7F260A69" w14:textId="77777777" w:rsidTr="00B13A0C">
        <w:tc>
          <w:tcPr>
            <w:tcW w:w="2254" w:type="dxa"/>
          </w:tcPr>
          <w:p w14:paraId="5D20488C" w14:textId="77777777" w:rsidR="00B13A0C" w:rsidRPr="00B13A0C" w:rsidRDefault="00B13A0C" w:rsidP="00B13A0C">
            <w:pPr>
              <w:spacing w:before="240" w:line="240" w:lineRule="auto"/>
              <w:jc w:val="both"/>
              <w:rPr>
                <w:rFonts w:ascii="Arial" w:hAnsi="Arial" w:cs="Arial"/>
                <w:szCs w:val="24"/>
                <w:lang w:val="en-GB" w:eastAsia="en-GB"/>
              </w:rPr>
            </w:pPr>
            <w:r w:rsidRPr="00B13A0C">
              <w:rPr>
                <w:rFonts w:ascii="Arial" w:hAnsi="Arial" w:cs="Arial"/>
                <w:szCs w:val="24"/>
                <w:lang w:val="en-GB" w:eastAsia="en-GB"/>
              </w:rPr>
              <w:t>Website, POS and digital setup</w:t>
            </w:r>
          </w:p>
        </w:tc>
        <w:tc>
          <w:tcPr>
            <w:tcW w:w="2254" w:type="dxa"/>
          </w:tcPr>
          <w:p w14:paraId="3A8C0551" w14:textId="77777777" w:rsidR="00B13A0C" w:rsidRPr="00B13A0C" w:rsidRDefault="00B13A0C" w:rsidP="00B13A0C">
            <w:pPr>
              <w:spacing w:before="240" w:line="240" w:lineRule="auto"/>
              <w:jc w:val="both"/>
              <w:rPr>
                <w:rFonts w:ascii="Arial" w:hAnsi="Arial" w:cs="Arial"/>
                <w:szCs w:val="24"/>
                <w:lang w:val="en-GB" w:eastAsia="en-GB"/>
              </w:rPr>
            </w:pPr>
            <w:r w:rsidRPr="00B13A0C">
              <w:rPr>
                <w:rFonts w:ascii="Arial" w:hAnsi="Arial" w:cs="Arial"/>
                <w:szCs w:val="24"/>
                <w:lang w:val="en-GB" w:eastAsia="en-GB"/>
              </w:rPr>
              <w:t>M2–M3</w:t>
            </w:r>
          </w:p>
        </w:tc>
        <w:tc>
          <w:tcPr>
            <w:tcW w:w="2254" w:type="dxa"/>
          </w:tcPr>
          <w:p w14:paraId="28B4C1D4" w14:textId="77777777" w:rsidR="00B13A0C" w:rsidRPr="00B13A0C" w:rsidRDefault="00B13A0C" w:rsidP="00B13A0C">
            <w:pPr>
              <w:spacing w:before="240" w:line="240" w:lineRule="auto"/>
              <w:jc w:val="both"/>
              <w:rPr>
                <w:rFonts w:ascii="Arial" w:hAnsi="Arial" w:cs="Arial"/>
                <w:szCs w:val="24"/>
                <w:lang w:val="en-GB" w:eastAsia="en-GB"/>
              </w:rPr>
            </w:pPr>
            <w:r w:rsidRPr="00B13A0C">
              <w:rPr>
                <w:rFonts w:ascii="Arial" w:hAnsi="Arial" w:cs="Arial"/>
                <w:szCs w:val="24"/>
                <w:lang w:val="en-GB" w:eastAsia="en-GB"/>
              </w:rPr>
              <w:t>Tested POS, payment, website and customer systems</w:t>
            </w:r>
          </w:p>
        </w:tc>
        <w:tc>
          <w:tcPr>
            <w:tcW w:w="2254" w:type="dxa"/>
          </w:tcPr>
          <w:p w14:paraId="397CADD8" w14:textId="77777777" w:rsidR="00B13A0C" w:rsidRPr="00B13A0C" w:rsidRDefault="00B13A0C" w:rsidP="00B13A0C">
            <w:pPr>
              <w:spacing w:before="240" w:line="240" w:lineRule="auto"/>
              <w:jc w:val="both"/>
              <w:rPr>
                <w:rFonts w:ascii="Arial" w:hAnsi="Arial" w:cs="Arial"/>
                <w:szCs w:val="24"/>
                <w:lang w:val="en-GB" w:eastAsia="en-GB"/>
              </w:rPr>
            </w:pPr>
            <w:r w:rsidRPr="00B13A0C">
              <w:rPr>
                <w:rFonts w:ascii="Arial" w:hAnsi="Arial" w:cs="Arial"/>
                <w:szCs w:val="24"/>
                <w:lang w:val="en-GB" w:eastAsia="en-GB"/>
              </w:rPr>
              <w:t>Founder + Technology Provider</w:t>
            </w:r>
          </w:p>
        </w:tc>
      </w:tr>
      <w:tr w:rsidR="00B13A0C" w:rsidRPr="00B13A0C" w14:paraId="4B20FE0B" w14:textId="77777777" w:rsidTr="00B13A0C">
        <w:tc>
          <w:tcPr>
            <w:tcW w:w="2254" w:type="dxa"/>
          </w:tcPr>
          <w:p w14:paraId="716A6144" w14:textId="77777777" w:rsidR="00B13A0C" w:rsidRPr="00B13A0C" w:rsidRDefault="00B13A0C" w:rsidP="00B13A0C">
            <w:pPr>
              <w:spacing w:before="240" w:line="240" w:lineRule="auto"/>
              <w:jc w:val="both"/>
              <w:rPr>
                <w:rFonts w:ascii="Arial" w:hAnsi="Arial" w:cs="Arial"/>
                <w:szCs w:val="24"/>
                <w:lang w:val="en-GB" w:eastAsia="en-GB"/>
              </w:rPr>
            </w:pPr>
            <w:r w:rsidRPr="00B13A0C">
              <w:rPr>
                <w:rFonts w:ascii="Arial" w:hAnsi="Arial" w:cs="Arial"/>
                <w:szCs w:val="24"/>
                <w:lang w:val="en-GB" w:eastAsia="en-GB"/>
              </w:rPr>
              <w:t>Pre-launch marketing</w:t>
            </w:r>
          </w:p>
        </w:tc>
        <w:tc>
          <w:tcPr>
            <w:tcW w:w="2254" w:type="dxa"/>
          </w:tcPr>
          <w:p w14:paraId="1922691D" w14:textId="77777777" w:rsidR="00B13A0C" w:rsidRPr="00B13A0C" w:rsidRDefault="00B13A0C" w:rsidP="00B13A0C">
            <w:pPr>
              <w:spacing w:before="240" w:line="240" w:lineRule="auto"/>
              <w:jc w:val="both"/>
              <w:rPr>
                <w:rFonts w:ascii="Arial" w:hAnsi="Arial" w:cs="Arial"/>
                <w:szCs w:val="24"/>
                <w:lang w:val="en-GB" w:eastAsia="en-GB"/>
              </w:rPr>
            </w:pPr>
            <w:r w:rsidRPr="00B13A0C">
              <w:rPr>
                <w:rFonts w:ascii="Arial" w:hAnsi="Arial" w:cs="Arial"/>
                <w:szCs w:val="24"/>
                <w:lang w:val="en-GB" w:eastAsia="en-GB"/>
              </w:rPr>
              <w:t>M2–M3</w:t>
            </w:r>
          </w:p>
        </w:tc>
        <w:tc>
          <w:tcPr>
            <w:tcW w:w="2254" w:type="dxa"/>
          </w:tcPr>
          <w:p w14:paraId="5827374E" w14:textId="77777777" w:rsidR="00B13A0C" w:rsidRPr="00B13A0C" w:rsidRDefault="00B13A0C" w:rsidP="00B13A0C">
            <w:pPr>
              <w:spacing w:before="240" w:line="240" w:lineRule="auto"/>
              <w:jc w:val="both"/>
              <w:rPr>
                <w:rFonts w:ascii="Arial" w:hAnsi="Arial" w:cs="Arial"/>
                <w:szCs w:val="24"/>
                <w:lang w:val="en-GB" w:eastAsia="en-GB"/>
              </w:rPr>
            </w:pPr>
            <w:r w:rsidRPr="00B13A0C">
              <w:rPr>
                <w:rFonts w:ascii="Arial" w:hAnsi="Arial" w:cs="Arial"/>
                <w:szCs w:val="24"/>
                <w:lang w:val="en-GB" w:eastAsia="en-GB"/>
              </w:rPr>
              <w:t>Website/content launched and opening campaign prepared</w:t>
            </w:r>
          </w:p>
        </w:tc>
        <w:tc>
          <w:tcPr>
            <w:tcW w:w="2254" w:type="dxa"/>
          </w:tcPr>
          <w:p w14:paraId="738186E5" w14:textId="77777777" w:rsidR="00B13A0C" w:rsidRPr="00B13A0C" w:rsidRDefault="00B13A0C" w:rsidP="00B13A0C">
            <w:pPr>
              <w:spacing w:before="240" w:line="240" w:lineRule="auto"/>
              <w:jc w:val="both"/>
              <w:rPr>
                <w:rFonts w:ascii="Arial" w:hAnsi="Arial" w:cs="Arial"/>
                <w:szCs w:val="24"/>
                <w:lang w:val="en-GB" w:eastAsia="en-GB"/>
              </w:rPr>
            </w:pPr>
            <w:r w:rsidRPr="00B13A0C">
              <w:rPr>
                <w:rFonts w:ascii="Arial" w:hAnsi="Arial" w:cs="Arial"/>
                <w:szCs w:val="24"/>
                <w:lang w:val="en-GB" w:eastAsia="en-GB"/>
              </w:rPr>
              <w:t>Marketing Lead</w:t>
            </w:r>
          </w:p>
        </w:tc>
      </w:tr>
      <w:tr w:rsidR="00B13A0C" w:rsidRPr="00B13A0C" w14:paraId="518F946E" w14:textId="77777777" w:rsidTr="00B13A0C">
        <w:tc>
          <w:tcPr>
            <w:tcW w:w="2254" w:type="dxa"/>
          </w:tcPr>
          <w:p w14:paraId="4BBED9C4" w14:textId="77777777" w:rsidR="00B13A0C" w:rsidRPr="00B13A0C" w:rsidRDefault="00B13A0C" w:rsidP="00B13A0C">
            <w:pPr>
              <w:spacing w:before="240" w:line="240" w:lineRule="auto"/>
              <w:jc w:val="both"/>
              <w:rPr>
                <w:rFonts w:ascii="Arial" w:hAnsi="Arial" w:cs="Arial"/>
                <w:szCs w:val="24"/>
                <w:lang w:val="en-GB" w:eastAsia="en-GB"/>
              </w:rPr>
            </w:pPr>
            <w:r w:rsidRPr="00B13A0C">
              <w:rPr>
                <w:rFonts w:ascii="Arial" w:hAnsi="Arial" w:cs="Arial"/>
                <w:szCs w:val="24"/>
                <w:lang w:val="en-GB" w:eastAsia="en-GB"/>
              </w:rPr>
              <w:t>Soft launch/pilot</w:t>
            </w:r>
          </w:p>
        </w:tc>
        <w:tc>
          <w:tcPr>
            <w:tcW w:w="2254" w:type="dxa"/>
          </w:tcPr>
          <w:p w14:paraId="73B51203" w14:textId="77777777" w:rsidR="00B13A0C" w:rsidRPr="00B13A0C" w:rsidRDefault="00B13A0C" w:rsidP="00B13A0C">
            <w:pPr>
              <w:spacing w:before="240" w:line="240" w:lineRule="auto"/>
              <w:jc w:val="both"/>
              <w:rPr>
                <w:rFonts w:ascii="Arial" w:hAnsi="Arial" w:cs="Arial"/>
                <w:szCs w:val="24"/>
                <w:lang w:val="en-GB" w:eastAsia="en-GB"/>
              </w:rPr>
            </w:pPr>
            <w:r w:rsidRPr="00B13A0C">
              <w:rPr>
                <w:rFonts w:ascii="Arial" w:hAnsi="Arial" w:cs="Arial"/>
                <w:szCs w:val="24"/>
                <w:lang w:val="en-GB" w:eastAsia="en-GB"/>
              </w:rPr>
              <w:t>M3</w:t>
            </w:r>
          </w:p>
        </w:tc>
        <w:tc>
          <w:tcPr>
            <w:tcW w:w="2254" w:type="dxa"/>
          </w:tcPr>
          <w:p w14:paraId="0480E6D1" w14:textId="77777777" w:rsidR="00B13A0C" w:rsidRPr="00B13A0C" w:rsidRDefault="00B13A0C" w:rsidP="00B13A0C">
            <w:pPr>
              <w:spacing w:before="240" w:line="240" w:lineRule="auto"/>
              <w:jc w:val="both"/>
              <w:rPr>
                <w:rFonts w:ascii="Arial" w:hAnsi="Arial" w:cs="Arial"/>
                <w:szCs w:val="24"/>
                <w:lang w:val="en-GB" w:eastAsia="en-GB"/>
              </w:rPr>
            </w:pPr>
            <w:r w:rsidRPr="00B13A0C">
              <w:rPr>
                <w:rFonts w:ascii="Arial" w:hAnsi="Arial" w:cs="Arial"/>
                <w:szCs w:val="24"/>
                <w:lang w:val="en-GB" w:eastAsia="en-GB"/>
              </w:rPr>
              <w:t>Pilot completed and operational issues recorded</w:t>
            </w:r>
          </w:p>
        </w:tc>
        <w:tc>
          <w:tcPr>
            <w:tcW w:w="2254" w:type="dxa"/>
          </w:tcPr>
          <w:p w14:paraId="60239ECA" w14:textId="77777777" w:rsidR="00B13A0C" w:rsidRPr="00B13A0C" w:rsidRDefault="00B13A0C" w:rsidP="00B13A0C">
            <w:pPr>
              <w:spacing w:before="240" w:line="240" w:lineRule="auto"/>
              <w:jc w:val="both"/>
              <w:rPr>
                <w:rFonts w:ascii="Arial" w:hAnsi="Arial" w:cs="Arial"/>
                <w:szCs w:val="24"/>
                <w:lang w:val="en-GB" w:eastAsia="en-GB"/>
              </w:rPr>
            </w:pPr>
            <w:r w:rsidRPr="00B13A0C">
              <w:rPr>
                <w:rFonts w:ascii="Arial" w:hAnsi="Arial" w:cs="Arial"/>
                <w:szCs w:val="24"/>
                <w:lang w:val="en-GB" w:eastAsia="en-GB"/>
              </w:rPr>
              <w:t>Management Team</w:t>
            </w:r>
          </w:p>
        </w:tc>
      </w:tr>
    </w:tbl>
    <w:p w14:paraId="54AF56BB" w14:textId="6B5BDEE4" w:rsidR="00CE5501" w:rsidRPr="00231238" w:rsidRDefault="00160C1C" w:rsidP="00231238">
      <w:pPr>
        <w:spacing w:before="240" w:line="360" w:lineRule="auto"/>
        <w:jc w:val="both"/>
        <w:rPr>
          <w:rFonts w:ascii="Arial" w:hAnsi="Arial" w:cs="Arial"/>
          <w:sz w:val="24"/>
          <w:szCs w:val="24"/>
          <w:lang w:val="en-GB" w:eastAsia="en-GB"/>
        </w:rPr>
      </w:pPr>
      <w:r w:rsidRPr="00231238">
        <w:rPr>
          <w:rFonts w:ascii="Arial" w:hAnsi="Arial" w:cs="Arial"/>
          <w:sz w:val="24"/>
          <w:szCs w:val="24"/>
          <w:lang w:val="en-GB" w:eastAsia="en-GB"/>
        </w:rPr>
        <w:lastRenderedPageBreak/>
        <w:t xml:space="preserve">Significant milestones include the successful funding of the project, compliance clearance, readiness of premises, readiness of supplier, readiness of staff, and successful </w:t>
      </w:r>
      <w:r w:rsidR="007544AD">
        <w:rPr>
          <w:rFonts w:ascii="Arial" w:hAnsi="Arial" w:cs="Arial"/>
          <w:sz w:val="24"/>
          <w:szCs w:val="24"/>
          <w:lang w:val="en-GB" w:eastAsia="en-GB"/>
        </w:rPr>
        <w:t>soft launch and full launch</w:t>
      </w:r>
      <w:r w:rsidR="00E82CB1">
        <w:rPr>
          <w:rFonts w:ascii="Arial" w:hAnsi="Arial" w:cs="Arial"/>
          <w:sz w:val="24"/>
          <w:szCs w:val="24"/>
          <w:lang w:val="en-GB" w:eastAsia="en-GB"/>
        </w:rPr>
        <w:t>.</w:t>
      </w:r>
    </w:p>
    <w:p w14:paraId="659F20D8" w14:textId="77777777" w:rsidR="00CE5501" w:rsidRPr="00231238" w:rsidRDefault="00CE5501" w:rsidP="004E1559">
      <w:pPr>
        <w:pStyle w:val="Heading2"/>
        <w:rPr>
          <w:rFonts w:eastAsia="Times New Roman"/>
          <w:lang w:val="en-GB" w:eastAsia="en-GB"/>
        </w:rPr>
      </w:pPr>
      <w:bookmarkStart w:id="120" w:name="_Toc240811475"/>
      <w:r w:rsidRPr="00231238">
        <w:rPr>
          <w:rFonts w:eastAsia="Times New Roman"/>
          <w:lang w:val="en-GB" w:eastAsia="en-GB"/>
        </w:rPr>
        <w:t>12.3 Resource Allocation and Priorities</w:t>
      </w:r>
      <w:bookmarkEnd w:id="120"/>
    </w:p>
    <w:p w14:paraId="5BFEEC4E" w14:textId="3EC569CE" w:rsidR="00F5794C" w:rsidRPr="00231238" w:rsidRDefault="00886A83" w:rsidP="00231238">
      <w:pPr>
        <w:spacing w:before="240" w:line="360" w:lineRule="auto"/>
        <w:jc w:val="both"/>
        <w:rPr>
          <w:rFonts w:ascii="Arial" w:hAnsi="Arial" w:cs="Arial"/>
          <w:sz w:val="24"/>
          <w:szCs w:val="24"/>
          <w:lang w:val="en-GB" w:eastAsia="en-GB"/>
        </w:rPr>
      </w:pPr>
      <w:r w:rsidRPr="00886A83">
        <w:rPr>
          <w:rFonts w:ascii="Arial" w:hAnsi="Arial" w:cs="Arial"/>
          <w:sz w:val="24"/>
          <w:szCs w:val="24"/>
          <w:lang w:val="en-GB" w:eastAsia="en-GB"/>
        </w:rPr>
        <w:t>Resource allocation will remain consistent with the £200,000 start-up requirement established in Chapter 9. Financial resources will be prioritised first for premises and fit-out, equipment, essential pre-opening costs, initial stock, recruitment and training, launch marketing and working capital. The £12,000 Year 1 marketing budget will support website and content development, digital promotion, partnerships and customer-retention activity. During Months 1–2, resources will prioritise funding, premises, equipment, compliance and supplier arrangements; during Months 2–3, staffing, training, technology and pre-launch marketing will receive priority; and from Month 3 onwards, resources will focus on the soft launch, customer acquisition, operational contr</w:t>
      </w:r>
      <w:r>
        <w:rPr>
          <w:rFonts w:ascii="Arial" w:hAnsi="Arial" w:cs="Arial"/>
          <w:sz w:val="24"/>
          <w:szCs w:val="24"/>
          <w:lang w:val="en-GB" w:eastAsia="en-GB"/>
        </w:rPr>
        <w:t>ol and post-launch optimisation</w:t>
      </w:r>
      <w:r w:rsidR="004E1559">
        <w:rPr>
          <w:rFonts w:ascii="Arial" w:hAnsi="Arial" w:cs="Arial"/>
          <w:sz w:val="24"/>
          <w:szCs w:val="24"/>
          <w:lang w:val="en-GB" w:eastAsia="en-GB"/>
        </w:rPr>
        <w:t>.</w:t>
      </w:r>
    </w:p>
    <w:p w14:paraId="56BF10DA" w14:textId="35BB0ADA" w:rsidR="00CE5501" w:rsidRDefault="00F5794C" w:rsidP="00231238">
      <w:pPr>
        <w:spacing w:before="240" w:line="360" w:lineRule="auto"/>
        <w:jc w:val="both"/>
        <w:rPr>
          <w:rFonts w:ascii="Arial" w:hAnsi="Arial" w:cs="Arial"/>
          <w:sz w:val="24"/>
          <w:szCs w:val="24"/>
          <w:lang w:val="en-GB" w:eastAsia="en-GB"/>
        </w:rPr>
      </w:pPr>
      <w:r w:rsidRPr="00231238">
        <w:rPr>
          <w:rFonts w:ascii="Arial" w:hAnsi="Arial" w:cs="Arial"/>
          <w:sz w:val="24"/>
          <w:szCs w:val="24"/>
          <w:lang w:val="en-GB" w:eastAsia="en-GB"/>
        </w:rPr>
        <w:t xml:space="preserve">Human resources will include the founder/management role, the management of the café or operations as well as </w:t>
      </w:r>
      <w:r w:rsidR="00354F2D" w:rsidRPr="00354F2D">
        <w:rPr>
          <w:rFonts w:ascii="Arial" w:hAnsi="Arial" w:cs="Arial"/>
          <w:sz w:val="24"/>
          <w:szCs w:val="24"/>
          <w:lang w:val="en-GB" w:eastAsia="en-GB"/>
        </w:rPr>
        <w:t>trained baristas and customer-service staff</w:t>
      </w:r>
      <w:r w:rsidRPr="00231238">
        <w:rPr>
          <w:rFonts w:ascii="Arial" w:hAnsi="Arial" w:cs="Arial"/>
          <w:sz w:val="24"/>
          <w:szCs w:val="24"/>
          <w:lang w:val="en-GB" w:eastAsia="en-GB"/>
        </w:rPr>
        <w:t xml:space="preserve">, backed by flexibility in part-time cover when needed. The Coffee Equipment, Point-of-Order (POS), Payment Systems, Inventory Controls, Website Functionality and reliable suppliers are critical resources. </w:t>
      </w:r>
    </w:p>
    <w:p w14:paraId="0776928D" w14:textId="3F9EA5A8" w:rsidR="00786C09" w:rsidRPr="00231238" w:rsidRDefault="00786C09" w:rsidP="00231238">
      <w:pPr>
        <w:spacing w:before="240" w:line="360" w:lineRule="auto"/>
        <w:jc w:val="both"/>
        <w:rPr>
          <w:rFonts w:ascii="Arial" w:hAnsi="Arial" w:cs="Arial"/>
          <w:sz w:val="24"/>
          <w:szCs w:val="24"/>
          <w:lang w:val="en-GB" w:eastAsia="en-GB"/>
        </w:rPr>
      </w:pPr>
      <w:r w:rsidRPr="00786C09">
        <w:rPr>
          <w:rFonts w:ascii="Arial" w:hAnsi="Arial" w:cs="Arial"/>
          <w:sz w:val="24"/>
          <w:szCs w:val="24"/>
          <w:lang w:val="en-GB" w:eastAsia="en-GB"/>
        </w:rPr>
        <w:t>Short-term priorities are regulatory readiness, premises completion, critical staffing, supplier reliability, technology testing, service quality and working-capital protection. Longer-term priorities are customer retention, process optimisation, capacity improvement, additional partnerships, product development and controlled expansion after the initial operating model has been validated.</w:t>
      </w:r>
    </w:p>
    <w:p w14:paraId="7AF658C7" w14:textId="77777777" w:rsidR="00CE5501" w:rsidRPr="00231238" w:rsidRDefault="00CE5501" w:rsidP="004E1559">
      <w:pPr>
        <w:pStyle w:val="Heading2"/>
        <w:rPr>
          <w:rFonts w:eastAsia="Times New Roman"/>
          <w:lang w:val="en-GB" w:eastAsia="en-GB"/>
        </w:rPr>
      </w:pPr>
      <w:bookmarkStart w:id="121" w:name="_Toc240811476"/>
      <w:r w:rsidRPr="00231238">
        <w:rPr>
          <w:rFonts w:eastAsia="Times New Roman"/>
          <w:lang w:val="en-GB" w:eastAsia="en-GB"/>
        </w:rPr>
        <w:t>12.4 KPIs, Monitoring and Control</w:t>
      </w:r>
      <w:bookmarkEnd w:id="121"/>
    </w:p>
    <w:p w14:paraId="57B8C579" w14:textId="1297C3D0" w:rsidR="00CE5501" w:rsidRPr="00231238" w:rsidRDefault="0073066F" w:rsidP="00231238">
      <w:pPr>
        <w:spacing w:before="240" w:line="360" w:lineRule="auto"/>
        <w:jc w:val="both"/>
        <w:rPr>
          <w:rFonts w:ascii="Arial" w:hAnsi="Arial" w:cs="Arial"/>
          <w:sz w:val="24"/>
          <w:szCs w:val="24"/>
          <w:lang w:val="en-GB" w:eastAsia="en-GB"/>
        </w:rPr>
      </w:pPr>
      <w:r w:rsidRPr="00231238">
        <w:rPr>
          <w:rFonts w:ascii="Arial" w:hAnsi="Arial" w:cs="Arial"/>
          <w:sz w:val="24"/>
          <w:szCs w:val="24"/>
          <w:lang w:val="en-GB" w:eastAsia="en-GB"/>
        </w:rPr>
        <w:t>Monitoring of implementation will be based on financial indicators, customer indicators, operational indicators and people indicators. This is a balanced approach to prevent management to only be based on the sales performance and to provide continuous performance evaluation (Kaplan and Norton, 1992).</w:t>
      </w:r>
    </w:p>
    <w:p w14:paraId="3D6AF8BA" w14:textId="31BD8652" w:rsidR="004E1559" w:rsidRPr="004E1559" w:rsidRDefault="004E1559" w:rsidP="004E1559">
      <w:pPr>
        <w:pStyle w:val="Caption"/>
        <w:keepNext/>
        <w:rPr>
          <w:rFonts w:ascii="Arial" w:hAnsi="Arial" w:cs="Arial"/>
          <w:sz w:val="24"/>
        </w:rPr>
      </w:pPr>
      <w:bookmarkStart w:id="122" w:name="_Toc240810945"/>
      <w:r w:rsidRPr="004E1559">
        <w:rPr>
          <w:rFonts w:ascii="Arial" w:hAnsi="Arial" w:cs="Arial"/>
          <w:sz w:val="24"/>
        </w:rPr>
        <w:lastRenderedPageBreak/>
        <w:t xml:space="preserve">Table </w:t>
      </w:r>
      <w:r w:rsidRPr="004E1559">
        <w:rPr>
          <w:rFonts w:ascii="Arial" w:hAnsi="Arial" w:cs="Arial"/>
          <w:sz w:val="24"/>
        </w:rPr>
        <w:fldChar w:fldCharType="begin"/>
      </w:r>
      <w:r w:rsidRPr="004E1559">
        <w:rPr>
          <w:rFonts w:ascii="Arial" w:hAnsi="Arial" w:cs="Arial"/>
          <w:sz w:val="24"/>
        </w:rPr>
        <w:instrText xml:space="preserve"> SEQ Table \* ARABIC </w:instrText>
      </w:r>
      <w:r w:rsidRPr="004E1559">
        <w:rPr>
          <w:rFonts w:ascii="Arial" w:hAnsi="Arial" w:cs="Arial"/>
          <w:sz w:val="24"/>
        </w:rPr>
        <w:fldChar w:fldCharType="separate"/>
      </w:r>
      <w:r w:rsidRPr="004E1559">
        <w:rPr>
          <w:rFonts w:ascii="Arial" w:hAnsi="Arial" w:cs="Arial"/>
          <w:noProof/>
          <w:sz w:val="24"/>
        </w:rPr>
        <w:t>14</w:t>
      </w:r>
      <w:r w:rsidRPr="004E1559">
        <w:rPr>
          <w:rFonts w:ascii="Arial" w:hAnsi="Arial" w:cs="Arial"/>
          <w:sz w:val="24"/>
        </w:rPr>
        <w:fldChar w:fldCharType="end"/>
      </w:r>
      <w:r w:rsidRPr="004E1559">
        <w:rPr>
          <w:rFonts w:ascii="Arial" w:hAnsi="Arial" w:cs="Arial"/>
          <w:sz w:val="24"/>
        </w:rPr>
        <w:t>.KPIs, Monitoring and Control</w:t>
      </w:r>
      <w:bookmarkEnd w:id="122"/>
    </w:p>
    <w:tbl>
      <w:tblPr>
        <w:tblStyle w:val="TableGrid"/>
        <w:tblW w:w="0" w:type="auto"/>
        <w:tblLook w:val="04A0" w:firstRow="1" w:lastRow="0" w:firstColumn="1" w:lastColumn="0" w:noHBand="0" w:noVBand="1"/>
      </w:tblPr>
      <w:tblGrid>
        <w:gridCol w:w="1803"/>
        <w:gridCol w:w="1803"/>
        <w:gridCol w:w="1803"/>
        <w:gridCol w:w="1803"/>
        <w:gridCol w:w="1804"/>
      </w:tblGrid>
      <w:tr w:rsidR="00BB0967" w:rsidRPr="00BB0967" w14:paraId="2A859A20" w14:textId="77777777" w:rsidTr="00BB0967">
        <w:tc>
          <w:tcPr>
            <w:tcW w:w="1803" w:type="dxa"/>
          </w:tcPr>
          <w:p w14:paraId="3EB34306"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KPI</w:t>
            </w:r>
          </w:p>
        </w:tc>
        <w:tc>
          <w:tcPr>
            <w:tcW w:w="1803" w:type="dxa"/>
          </w:tcPr>
          <w:p w14:paraId="7E1F0675"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Numerical Target</w:t>
            </w:r>
          </w:p>
        </w:tc>
        <w:tc>
          <w:tcPr>
            <w:tcW w:w="1803" w:type="dxa"/>
          </w:tcPr>
          <w:p w14:paraId="0747A913"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Frequency</w:t>
            </w:r>
          </w:p>
        </w:tc>
        <w:tc>
          <w:tcPr>
            <w:tcW w:w="1803" w:type="dxa"/>
          </w:tcPr>
          <w:p w14:paraId="632DE709"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Owner</w:t>
            </w:r>
          </w:p>
        </w:tc>
        <w:tc>
          <w:tcPr>
            <w:tcW w:w="1804" w:type="dxa"/>
          </w:tcPr>
          <w:p w14:paraId="730539C1"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Corrective Action</w:t>
            </w:r>
          </w:p>
        </w:tc>
      </w:tr>
      <w:tr w:rsidR="00BB0967" w:rsidRPr="00BB0967" w14:paraId="4FEB3720" w14:textId="77777777" w:rsidTr="00BB0967">
        <w:tc>
          <w:tcPr>
            <w:tcW w:w="1803" w:type="dxa"/>
          </w:tcPr>
          <w:p w14:paraId="62767E96"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Transactions</w:t>
            </w:r>
          </w:p>
        </w:tc>
        <w:tc>
          <w:tcPr>
            <w:tcW w:w="1803" w:type="dxa"/>
          </w:tcPr>
          <w:p w14:paraId="76E32CD6"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≥135/day average during Year 1</w:t>
            </w:r>
          </w:p>
        </w:tc>
        <w:tc>
          <w:tcPr>
            <w:tcW w:w="1803" w:type="dxa"/>
          </w:tcPr>
          <w:p w14:paraId="043C009C"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Weekly</w:t>
            </w:r>
          </w:p>
        </w:tc>
        <w:tc>
          <w:tcPr>
            <w:tcW w:w="1803" w:type="dxa"/>
          </w:tcPr>
          <w:p w14:paraId="0CF025AF"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Founder</w:t>
            </w:r>
          </w:p>
        </w:tc>
        <w:tc>
          <w:tcPr>
            <w:tcW w:w="1804" w:type="dxa"/>
          </w:tcPr>
          <w:p w14:paraId="73E26936"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Review acquisition and capacity if below target</w:t>
            </w:r>
          </w:p>
        </w:tc>
      </w:tr>
      <w:tr w:rsidR="00BB0967" w:rsidRPr="00BB0967" w14:paraId="38D439D0" w14:textId="77777777" w:rsidTr="00BB0967">
        <w:tc>
          <w:tcPr>
            <w:tcW w:w="1803" w:type="dxa"/>
          </w:tcPr>
          <w:p w14:paraId="0DAE9FDE"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Average transaction value</w:t>
            </w:r>
          </w:p>
        </w:tc>
        <w:tc>
          <w:tcPr>
            <w:tcW w:w="1803" w:type="dxa"/>
          </w:tcPr>
          <w:p w14:paraId="7F37C7EF"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≥£7</w:t>
            </w:r>
          </w:p>
        </w:tc>
        <w:tc>
          <w:tcPr>
            <w:tcW w:w="1803" w:type="dxa"/>
          </w:tcPr>
          <w:p w14:paraId="19FE162F"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Weekly</w:t>
            </w:r>
          </w:p>
        </w:tc>
        <w:tc>
          <w:tcPr>
            <w:tcW w:w="1803" w:type="dxa"/>
          </w:tcPr>
          <w:p w14:paraId="43A5D461"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Manager</w:t>
            </w:r>
          </w:p>
        </w:tc>
        <w:tc>
          <w:tcPr>
            <w:tcW w:w="1804" w:type="dxa"/>
          </w:tcPr>
          <w:p w14:paraId="4BD155C5"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Review pricing and product mix</w:t>
            </w:r>
          </w:p>
        </w:tc>
      </w:tr>
      <w:tr w:rsidR="00BB0967" w:rsidRPr="00BB0967" w14:paraId="33C7C4D0" w14:textId="77777777" w:rsidTr="00BB0967">
        <w:tc>
          <w:tcPr>
            <w:tcW w:w="1803" w:type="dxa"/>
          </w:tcPr>
          <w:p w14:paraId="40BAB2D6"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Gross margin</w:t>
            </w:r>
          </w:p>
        </w:tc>
        <w:tc>
          <w:tcPr>
            <w:tcW w:w="1803" w:type="dxa"/>
          </w:tcPr>
          <w:p w14:paraId="556B8027"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≥70% contribution margin</w:t>
            </w:r>
          </w:p>
        </w:tc>
        <w:tc>
          <w:tcPr>
            <w:tcW w:w="1803" w:type="dxa"/>
          </w:tcPr>
          <w:p w14:paraId="18202BCA"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Monthly</w:t>
            </w:r>
          </w:p>
        </w:tc>
        <w:tc>
          <w:tcPr>
            <w:tcW w:w="1803" w:type="dxa"/>
          </w:tcPr>
          <w:p w14:paraId="253CB322"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Founder</w:t>
            </w:r>
          </w:p>
        </w:tc>
        <w:tc>
          <w:tcPr>
            <w:tcW w:w="1804" w:type="dxa"/>
          </w:tcPr>
          <w:p w14:paraId="24B0F585"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Review supplier costs and pricing</w:t>
            </w:r>
          </w:p>
        </w:tc>
      </w:tr>
      <w:tr w:rsidR="00BB0967" w:rsidRPr="00BB0967" w14:paraId="0CDAA432" w14:textId="77777777" w:rsidTr="00BB0967">
        <w:tc>
          <w:tcPr>
            <w:tcW w:w="1803" w:type="dxa"/>
          </w:tcPr>
          <w:p w14:paraId="11D61CB5"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Repeat purchase rate</w:t>
            </w:r>
          </w:p>
        </w:tc>
        <w:tc>
          <w:tcPr>
            <w:tcW w:w="1803" w:type="dxa"/>
          </w:tcPr>
          <w:p w14:paraId="5E18079F"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≥30% by Month 3</w:t>
            </w:r>
          </w:p>
        </w:tc>
        <w:tc>
          <w:tcPr>
            <w:tcW w:w="1803" w:type="dxa"/>
          </w:tcPr>
          <w:p w14:paraId="5AE93D9F"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Monthly</w:t>
            </w:r>
          </w:p>
        </w:tc>
        <w:tc>
          <w:tcPr>
            <w:tcW w:w="1803" w:type="dxa"/>
          </w:tcPr>
          <w:p w14:paraId="40EDD4F4"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Marketing Lead</w:t>
            </w:r>
          </w:p>
        </w:tc>
        <w:tc>
          <w:tcPr>
            <w:tcW w:w="1804" w:type="dxa"/>
          </w:tcPr>
          <w:p w14:paraId="7F0F6675"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Strengthen loyalty and retention activity</w:t>
            </w:r>
          </w:p>
        </w:tc>
      </w:tr>
      <w:tr w:rsidR="00BB0967" w:rsidRPr="00BB0967" w14:paraId="62A52EA1" w14:textId="77777777" w:rsidTr="00BB0967">
        <w:tc>
          <w:tcPr>
            <w:tcW w:w="1803" w:type="dxa"/>
          </w:tcPr>
          <w:p w14:paraId="3AD9D839"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Service time</w:t>
            </w:r>
          </w:p>
        </w:tc>
        <w:tc>
          <w:tcPr>
            <w:tcW w:w="1803" w:type="dxa"/>
          </w:tcPr>
          <w:p w14:paraId="5248D62D"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≤5 minutes average for standard orders</w:t>
            </w:r>
          </w:p>
        </w:tc>
        <w:tc>
          <w:tcPr>
            <w:tcW w:w="1803" w:type="dxa"/>
          </w:tcPr>
          <w:p w14:paraId="4F4D6386"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Weekly</w:t>
            </w:r>
          </w:p>
        </w:tc>
        <w:tc>
          <w:tcPr>
            <w:tcW w:w="1803" w:type="dxa"/>
          </w:tcPr>
          <w:p w14:paraId="66EFEA16"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Operations Lead</w:t>
            </w:r>
          </w:p>
        </w:tc>
        <w:tc>
          <w:tcPr>
            <w:tcW w:w="1804" w:type="dxa"/>
          </w:tcPr>
          <w:p w14:paraId="1CF4491A"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Adjust workflow or staffing</w:t>
            </w:r>
          </w:p>
        </w:tc>
      </w:tr>
      <w:tr w:rsidR="00BB0967" w:rsidRPr="00BB0967" w14:paraId="48F216BC" w14:textId="77777777" w:rsidTr="00BB0967">
        <w:tc>
          <w:tcPr>
            <w:tcW w:w="1803" w:type="dxa"/>
          </w:tcPr>
          <w:p w14:paraId="75FABB90"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Stock-out rate</w:t>
            </w:r>
          </w:p>
        </w:tc>
        <w:tc>
          <w:tcPr>
            <w:tcW w:w="1803" w:type="dxa"/>
          </w:tcPr>
          <w:p w14:paraId="2EFA84CA"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≤2% of core product lines/month</w:t>
            </w:r>
          </w:p>
        </w:tc>
        <w:tc>
          <w:tcPr>
            <w:tcW w:w="1803" w:type="dxa"/>
          </w:tcPr>
          <w:p w14:paraId="5BC50E6D"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Weekly</w:t>
            </w:r>
          </w:p>
        </w:tc>
        <w:tc>
          <w:tcPr>
            <w:tcW w:w="1803" w:type="dxa"/>
          </w:tcPr>
          <w:p w14:paraId="31C74BA8"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Operations Lead</w:t>
            </w:r>
          </w:p>
        </w:tc>
        <w:tc>
          <w:tcPr>
            <w:tcW w:w="1804" w:type="dxa"/>
          </w:tcPr>
          <w:p w14:paraId="45AE40A0"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Reorder or activate backup supplier</w:t>
            </w:r>
          </w:p>
        </w:tc>
      </w:tr>
      <w:tr w:rsidR="00BB0967" w:rsidRPr="00BB0967" w14:paraId="6748DAF8" w14:textId="77777777" w:rsidTr="00BB0967">
        <w:tc>
          <w:tcPr>
            <w:tcW w:w="1803" w:type="dxa"/>
          </w:tcPr>
          <w:p w14:paraId="0A5F179F"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Cash reserve</w:t>
            </w:r>
          </w:p>
        </w:tc>
        <w:tc>
          <w:tcPr>
            <w:tcW w:w="1803" w:type="dxa"/>
          </w:tcPr>
          <w:p w14:paraId="7D19E2C2"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≥3 months of planned fixed operating costs</w:t>
            </w:r>
          </w:p>
        </w:tc>
        <w:tc>
          <w:tcPr>
            <w:tcW w:w="1803" w:type="dxa"/>
          </w:tcPr>
          <w:p w14:paraId="651D2EED"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Monthly</w:t>
            </w:r>
          </w:p>
        </w:tc>
        <w:tc>
          <w:tcPr>
            <w:tcW w:w="1803" w:type="dxa"/>
          </w:tcPr>
          <w:p w14:paraId="2B9E1D14"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Founder</w:t>
            </w:r>
          </w:p>
        </w:tc>
        <w:tc>
          <w:tcPr>
            <w:tcW w:w="1804" w:type="dxa"/>
          </w:tcPr>
          <w:p w14:paraId="6BCE6014"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Restrict discretionary expenditure</w:t>
            </w:r>
          </w:p>
        </w:tc>
      </w:tr>
    </w:tbl>
    <w:p w14:paraId="47557312" w14:textId="31343C22" w:rsidR="00CE5501" w:rsidRPr="00231238" w:rsidRDefault="00B0462B" w:rsidP="00231238">
      <w:pPr>
        <w:spacing w:before="240" w:line="360" w:lineRule="auto"/>
        <w:jc w:val="both"/>
        <w:rPr>
          <w:rFonts w:ascii="Arial" w:hAnsi="Arial" w:cs="Arial"/>
          <w:sz w:val="24"/>
          <w:szCs w:val="24"/>
          <w:lang w:val="en-GB" w:eastAsia="en-GB"/>
        </w:rPr>
      </w:pPr>
      <w:r w:rsidRPr="00231238">
        <w:rPr>
          <w:rFonts w:ascii="Arial" w:hAnsi="Arial" w:cs="Arial"/>
          <w:sz w:val="24"/>
          <w:szCs w:val="24"/>
          <w:lang w:val="en-GB" w:eastAsia="en-GB"/>
        </w:rPr>
        <w:t>Expenses will be reviewed against the budget and the risks for the implementation will be documented and updated. Post launch reviews will be held at 30, 60 and 90 days to ensure that the actual performance does not deviate from the business assumptions</w:t>
      </w:r>
      <w:r w:rsidR="00CE5501" w:rsidRPr="00231238">
        <w:rPr>
          <w:rFonts w:ascii="Arial" w:hAnsi="Arial" w:cs="Arial"/>
          <w:sz w:val="24"/>
          <w:szCs w:val="24"/>
          <w:lang w:val="en-GB" w:eastAsia="en-GB"/>
        </w:rPr>
        <w:t>.</w:t>
      </w:r>
    </w:p>
    <w:p w14:paraId="342C4CDC" w14:textId="77777777" w:rsidR="00CE5501" w:rsidRPr="00231238" w:rsidRDefault="00CE5501" w:rsidP="004C0444">
      <w:pPr>
        <w:pStyle w:val="Heading2"/>
        <w:rPr>
          <w:rFonts w:eastAsia="Times New Roman"/>
          <w:lang w:val="en-GB" w:eastAsia="en-GB"/>
        </w:rPr>
      </w:pPr>
      <w:bookmarkStart w:id="123" w:name="_Toc240811477"/>
      <w:r w:rsidRPr="00231238">
        <w:rPr>
          <w:rFonts w:eastAsia="Times New Roman"/>
          <w:lang w:val="en-GB" w:eastAsia="en-GB"/>
        </w:rPr>
        <w:t>12.5 Change Management and Implementation Risks</w:t>
      </w:r>
      <w:bookmarkEnd w:id="123"/>
    </w:p>
    <w:p w14:paraId="73DB738D" w14:textId="69D1E847" w:rsidR="002154D2" w:rsidRPr="00231238" w:rsidRDefault="002154D2" w:rsidP="00231238">
      <w:pPr>
        <w:spacing w:before="240" w:line="360" w:lineRule="auto"/>
        <w:jc w:val="both"/>
        <w:rPr>
          <w:rFonts w:ascii="Arial" w:hAnsi="Arial" w:cs="Arial"/>
          <w:sz w:val="24"/>
          <w:szCs w:val="24"/>
          <w:lang w:val="en-GB" w:eastAsia="en-GB"/>
        </w:rPr>
      </w:pPr>
      <w:r w:rsidRPr="00231238">
        <w:rPr>
          <w:rFonts w:ascii="Arial" w:hAnsi="Arial" w:cs="Arial"/>
          <w:sz w:val="24"/>
          <w:szCs w:val="24"/>
          <w:lang w:val="en-GB" w:eastAsia="en-GB"/>
        </w:rPr>
        <w:t>To implement, workers need to adopt new service standards, digital systems, inventory and sustainability practices. Staff will, therefore, be inducted, clarified in their role and practically trained prior to soft launch. New technology will be tried out before its full-scale adoption and revised workflows will be documented and reviewed to ensure</w:t>
      </w:r>
      <w:r w:rsidR="00B652C6">
        <w:rPr>
          <w:rFonts w:ascii="Arial" w:hAnsi="Arial" w:cs="Arial"/>
          <w:sz w:val="24"/>
          <w:szCs w:val="24"/>
          <w:lang w:val="en-GB" w:eastAsia="en-GB"/>
        </w:rPr>
        <w:t xml:space="preserve"> consistency of implementation.</w:t>
      </w:r>
    </w:p>
    <w:p w14:paraId="108A4E61" w14:textId="5D3CF409" w:rsidR="000314AE" w:rsidRPr="00231238" w:rsidRDefault="002154D2" w:rsidP="00231238">
      <w:pPr>
        <w:spacing w:before="240" w:line="360" w:lineRule="auto"/>
        <w:jc w:val="both"/>
        <w:rPr>
          <w:rFonts w:ascii="Arial" w:hAnsi="Arial" w:cs="Arial"/>
          <w:sz w:val="24"/>
          <w:szCs w:val="24"/>
          <w:lang w:val="en-GB" w:eastAsia="en-GB"/>
        </w:rPr>
      </w:pPr>
      <w:r w:rsidRPr="00231238">
        <w:rPr>
          <w:rFonts w:ascii="Arial" w:hAnsi="Arial" w:cs="Arial"/>
          <w:sz w:val="24"/>
          <w:szCs w:val="24"/>
          <w:lang w:val="en-GB" w:eastAsia="en-GB"/>
        </w:rPr>
        <w:t>Common risks that need to be addressed when implementing include approval delays, failure of suppliers, recruitment challenges, technical issues, and costs exceeding expectations or demand falling short.</w:t>
      </w:r>
      <w:r w:rsidR="007544AD">
        <w:rPr>
          <w:rFonts w:ascii="Arial" w:hAnsi="Arial" w:cs="Arial"/>
          <w:sz w:val="24"/>
          <w:szCs w:val="24"/>
          <w:lang w:val="en-GB" w:eastAsia="en-GB"/>
        </w:rPr>
        <w:t xml:space="preserve"> </w:t>
      </w:r>
      <w:r w:rsidR="000314AE" w:rsidRPr="000314AE">
        <w:rPr>
          <w:rFonts w:ascii="Arial" w:hAnsi="Arial" w:cs="Arial"/>
          <w:sz w:val="24"/>
          <w:szCs w:val="24"/>
          <w:lang w:val="en-GB" w:eastAsia="en-GB"/>
        </w:rPr>
        <w:t xml:space="preserve">Approval or premises delays will trigger a revised </w:t>
      </w:r>
      <w:r w:rsidR="000314AE" w:rsidRPr="000314AE">
        <w:rPr>
          <w:rFonts w:ascii="Arial" w:hAnsi="Arial" w:cs="Arial"/>
          <w:sz w:val="24"/>
          <w:szCs w:val="24"/>
          <w:lang w:val="en-GB" w:eastAsia="en-GB"/>
        </w:rPr>
        <w:lastRenderedPageBreak/>
        <w:t xml:space="preserve">launch date; supplier failure will trigger activation of the approved backup supplier; recruitment delays will trigger temporary staffing support; technology failure will require a manual operating </w:t>
      </w:r>
      <w:r w:rsidR="007544AD" w:rsidRPr="000314AE">
        <w:rPr>
          <w:rFonts w:ascii="Arial" w:hAnsi="Arial" w:cs="Arial"/>
          <w:sz w:val="24"/>
          <w:szCs w:val="24"/>
          <w:lang w:val="en-GB" w:eastAsia="en-GB"/>
        </w:rPr>
        <w:t>fullback</w:t>
      </w:r>
      <w:r w:rsidR="000314AE" w:rsidRPr="000314AE">
        <w:rPr>
          <w:rFonts w:ascii="Arial" w:hAnsi="Arial" w:cs="Arial"/>
          <w:sz w:val="24"/>
          <w:szCs w:val="24"/>
          <w:lang w:val="en-GB" w:eastAsia="en-GB"/>
        </w:rPr>
        <w:t>; and demand below 135 transactions per day for two consecutive months will trigger a review of marketing, pricing, staffing and capacity assumptions.</w:t>
      </w:r>
    </w:p>
    <w:p w14:paraId="4B719BDE" w14:textId="6E0F925C" w:rsidR="002154D2" w:rsidRPr="00231238" w:rsidRDefault="002154D2" w:rsidP="00B652C6">
      <w:pPr>
        <w:pStyle w:val="Heading2"/>
        <w:rPr>
          <w:rFonts w:eastAsia="Times New Roman"/>
          <w:lang w:val="en-GB" w:eastAsia="en-GB"/>
        </w:rPr>
      </w:pPr>
      <w:bookmarkStart w:id="124" w:name="_Toc240811478"/>
      <w:r w:rsidRPr="00231238">
        <w:rPr>
          <w:rFonts w:eastAsia="Times New Roman"/>
          <w:lang w:val="en-GB" w:eastAsia="en-GB"/>
        </w:rPr>
        <w:t>12.6 I</w:t>
      </w:r>
      <w:r w:rsidR="00B652C6">
        <w:rPr>
          <w:lang w:val="en-GB" w:eastAsia="en-GB"/>
        </w:rPr>
        <w:t>mplementation Readiness Summary</w:t>
      </w:r>
      <w:bookmarkEnd w:id="124"/>
    </w:p>
    <w:p w14:paraId="020736CA" w14:textId="059B6A62" w:rsidR="00CE5501" w:rsidRDefault="002154D2" w:rsidP="00231238">
      <w:pPr>
        <w:spacing w:before="240" w:line="360" w:lineRule="auto"/>
        <w:jc w:val="both"/>
        <w:rPr>
          <w:rFonts w:ascii="Arial" w:hAnsi="Arial" w:cs="Arial"/>
          <w:sz w:val="24"/>
          <w:szCs w:val="24"/>
          <w:lang w:val="en-GB" w:eastAsia="en-GB"/>
        </w:rPr>
      </w:pPr>
      <w:r w:rsidRPr="00231238">
        <w:rPr>
          <w:rFonts w:ascii="Arial" w:hAnsi="Arial" w:cs="Arial"/>
          <w:sz w:val="24"/>
          <w:szCs w:val="24"/>
          <w:lang w:val="en-GB" w:eastAsia="en-GB"/>
        </w:rPr>
        <w:t xml:space="preserve">TEBC should move to full launch once the funding, compliance, premises, critical staffing, supplier planning and core systems are in place to meet agreed readiness criteria. The soft launch will give information prior to a full commitment of resources, and KPI monitoring will help ensure that actual customer, financial and operational performance is in line with the KPIs set in the BDP. Implementation plan thus enables for a controlled launch, timely corrective action and evidence-based early growth </w:t>
      </w:r>
      <w:r w:rsidR="007B585F" w:rsidRPr="007B585F">
        <w:rPr>
          <w:rFonts w:ascii="Arial" w:hAnsi="Arial" w:cs="Arial"/>
          <w:sz w:val="24"/>
          <w:szCs w:val="24"/>
          <w:lang w:val="en-GB" w:eastAsia="en-GB"/>
        </w:rPr>
        <w:t>rather than premature expansion</w:t>
      </w:r>
      <w:r w:rsidR="00CE5501" w:rsidRPr="00231238">
        <w:rPr>
          <w:rFonts w:ascii="Arial" w:hAnsi="Arial" w:cs="Arial"/>
          <w:sz w:val="24"/>
          <w:szCs w:val="24"/>
          <w:lang w:val="en-GB" w:eastAsia="en-GB"/>
        </w:rPr>
        <w:t>.</w:t>
      </w:r>
      <w:r w:rsidR="008F64A8" w:rsidRPr="008F64A8">
        <w:t xml:space="preserve"> </w:t>
      </w:r>
      <w:r w:rsidR="008F64A8" w:rsidRPr="008F64A8">
        <w:rPr>
          <w:rFonts w:ascii="Arial" w:hAnsi="Arial" w:cs="Arial"/>
          <w:sz w:val="24"/>
          <w:szCs w:val="24"/>
          <w:lang w:val="en-GB" w:eastAsia="en-GB"/>
        </w:rPr>
        <w:t>The implementation plan therefore enables a controlled launch, timely corrective action and evidence-based early growth rather than premature expansion.</w:t>
      </w:r>
    </w:p>
    <w:p w14:paraId="364CE288" w14:textId="19C11AA0" w:rsidR="00DF6F73" w:rsidRDefault="00DF6F73" w:rsidP="00231238">
      <w:pPr>
        <w:spacing w:before="240" w:line="360" w:lineRule="auto"/>
        <w:jc w:val="both"/>
        <w:rPr>
          <w:rFonts w:ascii="Arial" w:hAnsi="Arial" w:cs="Arial"/>
          <w:sz w:val="24"/>
          <w:szCs w:val="24"/>
          <w:lang w:val="en-GB" w:eastAsia="en-GB"/>
        </w:rPr>
      </w:pPr>
    </w:p>
    <w:p w14:paraId="2027382E" w14:textId="3A3FFA24" w:rsidR="00DF6F73" w:rsidRDefault="00DF6F73" w:rsidP="00231238">
      <w:pPr>
        <w:spacing w:before="240" w:line="360" w:lineRule="auto"/>
        <w:jc w:val="both"/>
        <w:rPr>
          <w:rFonts w:ascii="Arial" w:hAnsi="Arial" w:cs="Arial"/>
          <w:sz w:val="24"/>
          <w:szCs w:val="24"/>
          <w:lang w:val="en-GB" w:eastAsia="en-GB"/>
        </w:rPr>
      </w:pPr>
    </w:p>
    <w:p w14:paraId="436C1C88" w14:textId="0FB18E31" w:rsidR="00DF6F73" w:rsidRDefault="00DF6F73" w:rsidP="00231238">
      <w:pPr>
        <w:spacing w:before="240" w:line="360" w:lineRule="auto"/>
        <w:jc w:val="both"/>
        <w:rPr>
          <w:rFonts w:ascii="Arial" w:hAnsi="Arial" w:cs="Arial"/>
          <w:sz w:val="24"/>
          <w:szCs w:val="24"/>
          <w:lang w:val="en-GB" w:eastAsia="en-GB"/>
        </w:rPr>
      </w:pPr>
    </w:p>
    <w:p w14:paraId="29A8991C" w14:textId="16A0EAF0" w:rsidR="00DF6F73" w:rsidRDefault="00DF6F73" w:rsidP="00231238">
      <w:pPr>
        <w:spacing w:before="240" w:line="360" w:lineRule="auto"/>
        <w:jc w:val="both"/>
        <w:rPr>
          <w:rFonts w:ascii="Arial" w:hAnsi="Arial" w:cs="Arial"/>
          <w:sz w:val="24"/>
          <w:szCs w:val="24"/>
          <w:lang w:val="en-GB" w:eastAsia="en-GB"/>
        </w:rPr>
      </w:pPr>
    </w:p>
    <w:p w14:paraId="3661A758" w14:textId="56E26B51" w:rsidR="00DF6F73" w:rsidRDefault="00DF6F73" w:rsidP="00231238">
      <w:pPr>
        <w:spacing w:before="240" w:line="360" w:lineRule="auto"/>
        <w:jc w:val="both"/>
        <w:rPr>
          <w:rFonts w:ascii="Arial" w:hAnsi="Arial" w:cs="Arial"/>
          <w:sz w:val="24"/>
          <w:szCs w:val="24"/>
          <w:lang w:val="en-GB" w:eastAsia="en-GB"/>
        </w:rPr>
      </w:pPr>
    </w:p>
    <w:p w14:paraId="473BF67D" w14:textId="3329765D" w:rsidR="00DF6F73" w:rsidRDefault="00DF6F73" w:rsidP="00231238">
      <w:pPr>
        <w:spacing w:before="240" w:line="360" w:lineRule="auto"/>
        <w:jc w:val="both"/>
        <w:rPr>
          <w:rFonts w:ascii="Arial" w:hAnsi="Arial" w:cs="Arial"/>
          <w:sz w:val="24"/>
          <w:szCs w:val="24"/>
          <w:lang w:val="en-GB" w:eastAsia="en-GB"/>
        </w:rPr>
      </w:pPr>
    </w:p>
    <w:p w14:paraId="58AE9CAF" w14:textId="77777777" w:rsidR="00DF6F73" w:rsidRDefault="00DF6F73" w:rsidP="00231238">
      <w:pPr>
        <w:spacing w:before="240" w:line="360" w:lineRule="auto"/>
        <w:jc w:val="both"/>
        <w:rPr>
          <w:rFonts w:ascii="Arial" w:hAnsi="Arial" w:cs="Arial"/>
          <w:sz w:val="24"/>
          <w:szCs w:val="24"/>
          <w:lang w:val="en-GB" w:eastAsia="en-GB"/>
        </w:rPr>
      </w:pPr>
    </w:p>
    <w:p w14:paraId="6FA72DAC" w14:textId="3DAADCEA" w:rsidR="006826F6" w:rsidRDefault="006826F6" w:rsidP="00231238">
      <w:pPr>
        <w:spacing w:before="240" w:line="360" w:lineRule="auto"/>
        <w:jc w:val="both"/>
        <w:rPr>
          <w:rFonts w:ascii="Arial" w:hAnsi="Arial" w:cs="Arial"/>
          <w:sz w:val="24"/>
          <w:szCs w:val="24"/>
          <w:lang w:val="en-GB" w:eastAsia="en-GB"/>
        </w:rPr>
      </w:pPr>
    </w:p>
    <w:p w14:paraId="1F97CFC2" w14:textId="77777777" w:rsidR="006826F6" w:rsidRPr="005B5A20" w:rsidRDefault="006826F6" w:rsidP="0053125B">
      <w:pPr>
        <w:pStyle w:val="Heading1"/>
        <w:jc w:val="center"/>
        <w:rPr>
          <w:rFonts w:eastAsia="Times New Roman"/>
          <w:lang w:val="en-GB" w:eastAsia="en-GB"/>
        </w:rPr>
      </w:pPr>
      <w:bookmarkStart w:id="125" w:name="_Toc240811479"/>
      <w:r w:rsidRPr="005B5A20">
        <w:rPr>
          <w:rFonts w:eastAsia="Times New Roman"/>
          <w:lang w:val="en-GB" w:eastAsia="en-GB"/>
        </w:rPr>
        <w:lastRenderedPageBreak/>
        <w:t>Chapter 13: Conclusion and Recommendations</w:t>
      </w:r>
      <w:bookmarkEnd w:id="125"/>
    </w:p>
    <w:p w14:paraId="1E0A0039" w14:textId="77777777" w:rsidR="006826F6" w:rsidRPr="005B5A20" w:rsidRDefault="006826F6" w:rsidP="0053125B">
      <w:pPr>
        <w:pStyle w:val="Heading2"/>
        <w:rPr>
          <w:rFonts w:eastAsia="Times New Roman"/>
          <w:lang w:val="en-GB" w:eastAsia="en-GB"/>
        </w:rPr>
      </w:pPr>
      <w:bookmarkStart w:id="126" w:name="_Toc240811480"/>
      <w:r w:rsidRPr="005B5A20">
        <w:rPr>
          <w:rFonts w:eastAsia="Times New Roman"/>
          <w:lang w:val="en-GB" w:eastAsia="en-GB"/>
        </w:rPr>
        <w:t>13.1 Conclusion</w:t>
      </w:r>
      <w:bookmarkEnd w:id="126"/>
    </w:p>
    <w:p w14:paraId="1E3EB29C" w14:textId="1C1D99B9" w:rsidR="005B5A20" w:rsidRPr="005B5A20" w:rsidRDefault="005B5A20" w:rsidP="005B5A20">
      <w:pPr>
        <w:spacing w:before="240" w:line="360" w:lineRule="auto"/>
        <w:jc w:val="both"/>
        <w:rPr>
          <w:rFonts w:ascii="Arial" w:hAnsi="Arial" w:cs="Arial"/>
          <w:sz w:val="24"/>
          <w:szCs w:val="24"/>
          <w:lang w:val="en-GB" w:eastAsia="en-GB"/>
        </w:rPr>
      </w:pPr>
      <w:r w:rsidRPr="005B5A20">
        <w:rPr>
          <w:rFonts w:ascii="Arial" w:hAnsi="Arial" w:cs="Arial"/>
          <w:sz w:val="24"/>
          <w:szCs w:val="24"/>
          <w:lang w:val="en-GB" w:eastAsia="en-GB"/>
        </w:rPr>
        <w:t>The aim of this Business Development Proposal was to make a feasibility study to see if The Ethical Bean Coffee House (TEBC) could be viable as a premium specialty coffee business on Monmouth Street, Covent Garden, London. There is a credible market opportunity, with viability determined by disciplined execution, demand validation and financial control. Hence, the proposal calls for an unconditional decision to launch, not to conditional</w:t>
      </w:r>
    </w:p>
    <w:p w14:paraId="132F47D9" w14:textId="4589A790" w:rsidR="006826F6" w:rsidRPr="005B5A20" w:rsidRDefault="005B5A20" w:rsidP="005B5A20">
      <w:pPr>
        <w:spacing w:before="240" w:line="360" w:lineRule="auto"/>
        <w:jc w:val="both"/>
        <w:rPr>
          <w:rFonts w:ascii="Arial" w:hAnsi="Arial" w:cs="Arial"/>
          <w:sz w:val="24"/>
          <w:szCs w:val="24"/>
          <w:lang w:val="en-GB" w:eastAsia="en-GB"/>
        </w:rPr>
      </w:pPr>
      <w:r w:rsidRPr="005B5A20">
        <w:rPr>
          <w:rFonts w:ascii="Arial" w:hAnsi="Arial" w:cs="Arial"/>
          <w:sz w:val="24"/>
          <w:szCs w:val="24"/>
          <w:lang w:val="en-GB" w:eastAsia="en-GB"/>
        </w:rPr>
        <w:t>The complementary frameworks provided valuable decision-making support. PESTLE highlighted external factors such as changed consumer expectations, sustainability concerns, and operating-cost pressures, and Porter's Five Forces indicated high competitive intensity, high switching costs, and threat of substitutes. SWOT was used in a similar fashion to combine internal strengths and weaknesses with external threats and opportunities, but due to its static nature this is not very useful in a dynamic market environment. VRIO proved to be of specific value in delineating the potential of competitive advantages of ethical sourcing, traceability, sustainability and personalised service. It pointed out that the prevalence of ethical sourcing is not necessarily uncommon—what is needed is to establish credible supplier relationships and to consistently incorporate ethical practices in the process of sourcing for value (Barney, 1991). The relationship between the strategic proposition and the customers, channels, resources, activities, partnerships and revenue logic was linked together in the Business Model Canvas (BMC) (Osterwalder and Pigneur, 2010).</w:t>
      </w:r>
    </w:p>
    <w:p w14:paraId="17E41C0A" w14:textId="77777777" w:rsidR="006826F6" w:rsidRPr="005B5A20" w:rsidRDefault="006826F6" w:rsidP="0053125B">
      <w:pPr>
        <w:pStyle w:val="Heading2"/>
        <w:rPr>
          <w:rFonts w:eastAsia="Times New Roman"/>
          <w:lang w:val="en-GB" w:eastAsia="en-GB"/>
        </w:rPr>
      </w:pPr>
      <w:bookmarkStart w:id="127" w:name="_Toc240811481"/>
      <w:r w:rsidRPr="005B5A20">
        <w:rPr>
          <w:rFonts w:eastAsia="Times New Roman"/>
          <w:lang w:val="en-GB" w:eastAsia="en-GB"/>
        </w:rPr>
        <w:t>13.2 Integrated Findings and Feasibility Judgement</w:t>
      </w:r>
      <w:bookmarkEnd w:id="127"/>
    </w:p>
    <w:p w14:paraId="15973EF2" w14:textId="09C97318" w:rsidR="005B5A20" w:rsidRPr="005B5A20" w:rsidRDefault="005B5A20" w:rsidP="005B5A20">
      <w:pPr>
        <w:spacing w:before="240" w:line="360" w:lineRule="auto"/>
        <w:jc w:val="both"/>
        <w:rPr>
          <w:rFonts w:ascii="Arial" w:hAnsi="Arial" w:cs="Arial"/>
          <w:sz w:val="24"/>
          <w:szCs w:val="24"/>
          <w:lang w:val="en-GB" w:eastAsia="en-GB"/>
        </w:rPr>
      </w:pPr>
      <w:r w:rsidRPr="005B5A20">
        <w:rPr>
          <w:rFonts w:ascii="Arial" w:hAnsi="Arial" w:cs="Arial"/>
          <w:sz w:val="24"/>
          <w:szCs w:val="24"/>
          <w:lang w:val="en-GB" w:eastAsia="en-GB"/>
        </w:rPr>
        <w:t>The market findings reflect that there is a competitive and an attractive customer environment in Covent Garden. So it is important for TEBC not to rely only on location &amp; the quality of the coffee. The specialty coffee quality, the credible ethical sourcing of the coffee, the traceability, the sustainability and the personalised service are the best offering it makes.</w:t>
      </w:r>
    </w:p>
    <w:p w14:paraId="20264AB7" w14:textId="57B2993B" w:rsidR="005B5A20" w:rsidRPr="005B5A20" w:rsidRDefault="005B5A20" w:rsidP="005B5A20">
      <w:pPr>
        <w:spacing w:before="240" w:line="360" w:lineRule="auto"/>
        <w:jc w:val="both"/>
        <w:rPr>
          <w:rFonts w:ascii="Arial" w:hAnsi="Arial" w:cs="Arial"/>
          <w:sz w:val="24"/>
          <w:szCs w:val="24"/>
          <w:lang w:val="en-GB" w:eastAsia="en-GB"/>
        </w:rPr>
      </w:pPr>
      <w:r w:rsidRPr="005B5A20">
        <w:rPr>
          <w:rFonts w:ascii="Arial" w:hAnsi="Arial" w:cs="Arial"/>
          <w:sz w:val="24"/>
          <w:szCs w:val="24"/>
          <w:lang w:val="en-GB" w:eastAsia="en-GB"/>
        </w:rPr>
        <w:t xml:space="preserve">The financial analysis indicates potential viability with average £7,310 transaction value, and 135 transactions per day in Year 1 with an average of approximately 310 trading days per transaction. This results in a forecasted Year 1 income of around </w:t>
      </w:r>
      <w:r w:rsidRPr="005B5A20">
        <w:rPr>
          <w:rFonts w:ascii="Arial" w:hAnsi="Arial" w:cs="Arial"/>
          <w:sz w:val="24"/>
          <w:szCs w:val="24"/>
          <w:lang w:val="en-GB" w:eastAsia="en-GB"/>
        </w:rPr>
        <w:lastRenderedPageBreak/>
        <w:t>£292,950. But with an estimated break-even requirement of around 41,837 transactions per year, it's all important to reach adequate transaction levels and ensure contribution margins.</w:t>
      </w:r>
    </w:p>
    <w:p w14:paraId="2A9191D1" w14:textId="26E52221" w:rsidR="005B5A20" w:rsidRPr="005B5A20" w:rsidRDefault="005B5A20" w:rsidP="005B5A20">
      <w:pPr>
        <w:spacing w:before="240" w:line="360" w:lineRule="auto"/>
        <w:jc w:val="both"/>
        <w:rPr>
          <w:rFonts w:ascii="Arial" w:hAnsi="Arial" w:cs="Arial"/>
          <w:sz w:val="24"/>
          <w:szCs w:val="24"/>
          <w:lang w:val="en-GB" w:eastAsia="en-GB"/>
        </w:rPr>
      </w:pPr>
      <w:r w:rsidRPr="005B5A20">
        <w:rPr>
          <w:rFonts w:ascii="Arial" w:hAnsi="Arial" w:cs="Arial"/>
          <w:sz w:val="24"/>
          <w:szCs w:val="24"/>
          <w:lang w:val="en-GB" w:eastAsia="en-GB"/>
        </w:rPr>
        <w:t>The favourable operational feasibility is also due to the fact that premises, equipment, human resources, supplies, point of sale (POS) and operating procedures can be identified. However, capacity, reliance on suppliers, equipment failure and staffing availability are still major risks when it comes to peak periods.</w:t>
      </w:r>
    </w:p>
    <w:p w14:paraId="1B712E91" w14:textId="165A6394" w:rsidR="005B5A20" w:rsidRPr="005B5A20" w:rsidRDefault="005B5A20" w:rsidP="005B5A20">
      <w:pPr>
        <w:spacing w:before="240" w:line="360" w:lineRule="auto"/>
        <w:jc w:val="both"/>
        <w:rPr>
          <w:rFonts w:ascii="Arial" w:hAnsi="Arial" w:cs="Arial"/>
          <w:sz w:val="24"/>
          <w:szCs w:val="24"/>
          <w:lang w:val="en-GB" w:eastAsia="en-GB"/>
        </w:rPr>
      </w:pPr>
      <w:r w:rsidRPr="005B5A20">
        <w:rPr>
          <w:rFonts w:ascii="Arial" w:hAnsi="Arial" w:cs="Arial"/>
          <w:sz w:val="24"/>
          <w:szCs w:val="24"/>
          <w:lang w:val="en-GB" w:eastAsia="en-GB"/>
        </w:rPr>
        <w:t>Ethically it is fine if sustainability and sourcing claims are substantiated with credible evidence and not merely promotional statements. It is therefore crucial that there is transparency concerning the sourcing process, that suppliers are assessed, and that environmental and employment practices are consistent in order to build stakeholder trust (Elkington, 1997)</w:t>
      </w:r>
    </w:p>
    <w:p w14:paraId="03D7CE83" w14:textId="778FC0DE" w:rsidR="005B5A20" w:rsidRPr="0053125B" w:rsidRDefault="005B5A20" w:rsidP="0053125B">
      <w:pPr>
        <w:pStyle w:val="Heading2"/>
        <w:rPr>
          <w:rFonts w:eastAsia="Times New Roman"/>
          <w:lang w:val="en-GB" w:eastAsia="en-GB"/>
        </w:rPr>
      </w:pPr>
      <w:bookmarkStart w:id="128" w:name="_Toc240811482"/>
      <w:r w:rsidRPr="005B5A20">
        <w:rPr>
          <w:rFonts w:eastAsia="Times New Roman"/>
          <w:lang w:val="en-GB" w:eastAsia="en-GB"/>
        </w:rPr>
        <w:t>13.3 Recommendations</w:t>
      </w:r>
      <w:bookmarkEnd w:id="128"/>
    </w:p>
    <w:p w14:paraId="4A101293" w14:textId="3B63BEAD" w:rsidR="005B5A20" w:rsidRPr="005B5A20" w:rsidRDefault="0053125B" w:rsidP="005B5A20">
      <w:pPr>
        <w:spacing w:before="240" w:line="360" w:lineRule="auto"/>
        <w:jc w:val="both"/>
        <w:rPr>
          <w:rFonts w:ascii="Arial" w:hAnsi="Arial" w:cs="Arial"/>
          <w:sz w:val="24"/>
          <w:szCs w:val="24"/>
          <w:lang w:val="en-GB" w:eastAsia="en-GB"/>
        </w:rPr>
      </w:pPr>
      <w:r w:rsidRPr="0053125B">
        <w:rPr>
          <w:rFonts w:ascii="Arial" w:hAnsi="Arial" w:cs="Arial"/>
          <w:b/>
          <w:sz w:val="24"/>
          <w:szCs w:val="24"/>
          <w:lang w:val="en-GB" w:eastAsia="en-GB"/>
        </w:rPr>
        <w:t>1</w:t>
      </w:r>
      <w:r w:rsidR="005B5A20" w:rsidRPr="0053125B">
        <w:rPr>
          <w:rFonts w:ascii="Arial" w:hAnsi="Arial" w:cs="Arial"/>
          <w:b/>
          <w:sz w:val="24"/>
          <w:szCs w:val="24"/>
          <w:lang w:val="en-GB" w:eastAsia="en-GB"/>
        </w:rPr>
        <w:t>. Validate demand prior to expansion.</w:t>
      </w:r>
      <w:r w:rsidR="005B5A20" w:rsidRPr="005B5A20">
        <w:rPr>
          <w:rFonts w:ascii="Arial" w:hAnsi="Arial" w:cs="Arial"/>
          <w:sz w:val="24"/>
          <w:szCs w:val="24"/>
          <w:lang w:val="en-GB" w:eastAsia="en-GB"/>
        </w:rPr>
        <w:t xml:space="preserve"> Before expanding capacity, management must track transactions, AVT, repeat purchasing, and customer satisfaction and customer response during the soft </w:t>
      </w:r>
      <w:r>
        <w:rPr>
          <w:rFonts w:ascii="Arial" w:hAnsi="Arial" w:cs="Arial"/>
          <w:sz w:val="24"/>
          <w:szCs w:val="24"/>
          <w:lang w:val="en-GB" w:eastAsia="en-GB"/>
        </w:rPr>
        <w:t>launch and the initial 90 days.</w:t>
      </w:r>
    </w:p>
    <w:p w14:paraId="1643B8DF" w14:textId="7E3B33B3" w:rsidR="005B5A20" w:rsidRPr="005B5A20" w:rsidRDefault="005B5A20" w:rsidP="005B5A20">
      <w:pPr>
        <w:spacing w:before="240" w:line="360" w:lineRule="auto"/>
        <w:jc w:val="both"/>
        <w:rPr>
          <w:rFonts w:ascii="Arial" w:hAnsi="Arial" w:cs="Arial"/>
          <w:sz w:val="24"/>
          <w:szCs w:val="24"/>
          <w:lang w:val="en-GB" w:eastAsia="en-GB"/>
        </w:rPr>
      </w:pPr>
      <w:r w:rsidRPr="0053125B">
        <w:rPr>
          <w:rFonts w:ascii="Arial" w:hAnsi="Arial" w:cs="Arial"/>
          <w:b/>
          <w:sz w:val="24"/>
          <w:szCs w:val="24"/>
          <w:lang w:val="en-GB" w:eastAsia="en-GB"/>
        </w:rPr>
        <w:t>2. Improve evidence based ethical differentiation.</w:t>
      </w:r>
      <w:r w:rsidRPr="005B5A20">
        <w:rPr>
          <w:rFonts w:ascii="Arial" w:hAnsi="Arial" w:cs="Arial"/>
          <w:sz w:val="24"/>
          <w:szCs w:val="24"/>
          <w:lang w:val="en-GB" w:eastAsia="en-GB"/>
        </w:rPr>
        <w:t xml:space="preserve"> TEBC should define criteria for choosing suppliers, establish traceability records, and define clear sustainability standards. Claims need to be accurate, transparent and verifia</w:t>
      </w:r>
      <w:r w:rsidR="0053125B">
        <w:rPr>
          <w:rFonts w:ascii="Arial" w:hAnsi="Arial" w:cs="Arial"/>
          <w:sz w:val="24"/>
          <w:szCs w:val="24"/>
          <w:lang w:val="en-GB" w:eastAsia="en-GB"/>
        </w:rPr>
        <w:t>ble to limit reputational risk.</w:t>
      </w:r>
    </w:p>
    <w:p w14:paraId="15A86777" w14:textId="623566CB" w:rsidR="005B5A20" w:rsidRPr="005B5A20" w:rsidRDefault="005B5A20" w:rsidP="005B5A20">
      <w:pPr>
        <w:spacing w:before="240" w:line="360" w:lineRule="auto"/>
        <w:jc w:val="both"/>
        <w:rPr>
          <w:rFonts w:ascii="Arial" w:hAnsi="Arial" w:cs="Arial"/>
          <w:sz w:val="24"/>
          <w:szCs w:val="24"/>
          <w:lang w:val="en-GB" w:eastAsia="en-GB"/>
        </w:rPr>
      </w:pPr>
      <w:r w:rsidRPr="0053125B">
        <w:rPr>
          <w:rFonts w:ascii="Arial" w:hAnsi="Arial" w:cs="Arial"/>
          <w:b/>
          <w:sz w:val="24"/>
          <w:szCs w:val="24"/>
          <w:lang w:val="en-GB" w:eastAsia="en-GB"/>
        </w:rPr>
        <w:t>3. Protect financial viability</w:t>
      </w:r>
      <w:r w:rsidRPr="005B5A20">
        <w:rPr>
          <w:rFonts w:ascii="Arial" w:hAnsi="Arial" w:cs="Arial"/>
          <w:sz w:val="24"/>
          <w:szCs w:val="24"/>
          <w:lang w:val="en-GB" w:eastAsia="en-GB"/>
        </w:rPr>
        <w:t>. Management needs to track revenue, gross margin, labour and supplier expenses, cash reserves and break even status on a regular basis. The anticipated £200K start-up funds and £12K marketing budget in Year 1 should be subje</w:t>
      </w:r>
      <w:r w:rsidR="0053125B">
        <w:rPr>
          <w:rFonts w:ascii="Arial" w:hAnsi="Arial" w:cs="Arial"/>
          <w:sz w:val="24"/>
          <w:szCs w:val="24"/>
          <w:lang w:val="en-GB" w:eastAsia="en-GB"/>
        </w:rPr>
        <w:t>ct to budget vs actual control</w:t>
      </w:r>
    </w:p>
    <w:p w14:paraId="2B9679B8" w14:textId="1BB22792" w:rsidR="005B5A20" w:rsidRPr="005B5A20" w:rsidRDefault="005B5A20" w:rsidP="005B5A20">
      <w:pPr>
        <w:spacing w:before="240" w:line="360" w:lineRule="auto"/>
        <w:jc w:val="both"/>
        <w:rPr>
          <w:rFonts w:ascii="Arial" w:hAnsi="Arial" w:cs="Arial"/>
          <w:sz w:val="24"/>
          <w:szCs w:val="24"/>
          <w:lang w:val="en-GB" w:eastAsia="en-GB"/>
        </w:rPr>
      </w:pPr>
      <w:r w:rsidRPr="0053125B">
        <w:rPr>
          <w:rFonts w:ascii="Arial" w:hAnsi="Arial" w:cs="Arial"/>
          <w:b/>
          <w:sz w:val="24"/>
          <w:szCs w:val="24"/>
          <w:lang w:val="en-GB" w:eastAsia="en-GB"/>
        </w:rPr>
        <w:t>4. Build operational resilience.</w:t>
      </w:r>
      <w:r w:rsidRPr="005B5A20">
        <w:rPr>
          <w:rFonts w:ascii="Arial" w:hAnsi="Arial" w:cs="Arial"/>
          <w:sz w:val="24"/>
          <w:szCs w:val="24"/>
          <w:lang w:val="en-GB" w:eastAsia="en-GB"/>
        </w:rPr>
        <w:t xml:space="preserve"> Before a large amount of capacity is added, backup suppliers, contingency stock, preventive equipment maintenance, staff cross-training and document</w:t>
      </w:r>
      <w:r w:rsidR="0053125B">
        <w:rPr>
          <w:rFonts w:ascii="Arial" w:hAnsi="Arial" w:cs="Arial"/>
          <w:sz w:val="24"/>
          <w:szCs w:val="24"/>
          <w:lang w:val="en-GB" w:eastAsia="en-GB"/>
        </w:rPr>
        <w:t>ed procedures should be set up</w:t>
      </w:r>
    </w:p>
    <w:p w14:paraId="78561410" w14:textId="1122AEDD" w:rsidR="006826F6" w:rsidRPr="005B5A20" w:rsidRDefault="005B5A20" w:rsidP="005B5A20">
      <w:pPr>
        <w:spacing w:before="240" w:line="360" w:lineRule="auto"/>
        <w:jc w:val="both"/>
        <w:rPr>
          <w:rFonts w:ascii="Arial" w:hAnsi="Arial" w:cs="Arial"/>
          <w:sz w:val="24"/>
          <w:szCs w:val="24"/>
          <w:lang w:val="en-GB" w:eastAsia="en-GB"/>
        </w:rPr>
      </w:pPr>
      <w:r w:rsidRPr="0053125B">
        <w:rPr>
          <w:rFonts w:ascii="Arial" w:hAnsi="Arial" w:cs="Arial"/>
          <w:b/>
          <w:sz w:val="24"/>
          <w:szCs w:val="24"/>
          <w:lang w:val="en-GB" w:eastAsia="en-GB"/>
        </w:rPr>
        <w:t>5. Pursue controlled growth.</w:t>
      </w:r>
      <w:r w:rsidRPr="005B5A20">
        <w:rPr>
          <w:rFonts w:ascii="Arial" w:hAnsi="Arial" w:cs="Arial"/>
          <w:sz w:val="24"/>
          <w:szCs w:val="24"/>
          <w:lang w:val="en-GB" w:eastAsia="en-GB"/>
        </w:rPr>
        <w:t xml:space="preserve"> TEBC should focus on repeat customers, ethical consumers, urban professionals and relevant visitors to Covent Garden as priority </w:t>
      </w:r>
      <w:r w:rsidRPr="005B5A20">
        <w:rPr>
          <w:rFonts w:ascii="Arial" w:hAnsi="Arial" w:cs="Arial"/>
          <w:sz w:val="24"/>
          <w:szCs w:val="24"/>
          <w:lang w:val="en-GB" w:eastAsia="en-GB"/>
        </w:rPr>
        <w:lastRenderedPageBreak/>
        <w:t xml:space="preserve">customer groups at first. Further sites or significant product development should only take place after proof of sustainable </w:t>
      </w:r>
      <w:r w:rsidR="0053125B" w:rsidRPr="005B5A20">
        <w:rPr>
          <w:rFonts w:ascii="Arial" w:hAnsi="Arial" w:cs="Arial"/>
          <w:sz w:val="24"/>
          <w:szCs w:val="24"/>
          <w:lang w:val="en-GB" w:eastAsia="en-GB"/>
        </w:rPr>
        <w:t>performance</w:t>
      </w:r>
      <w:r w:rsidR="006826F6" w:rsidRPr="005B5A20">
        <w:rPr>
          <w:rFonts w:ascii="Arial" w:hAnsi="Arial" w:cs="Arial"/>
          <w:sz w:val="24"/>
          <w:szCs w:val="24"/>
          <w:lang w:val="en-GB" w:eastAsia="en-GB"/>
        </w:rPr>
        <w:t>.</w:t>
      </w:r>
    </w:p>
    <w:p w14:paraId="194CA84B" w14:textId="77777777" w:rsidR="006826F6" w:rsidRPr="005B5A20" w:rsidRDefault="006826F6" w:rsidP="0053125B">
      <w:pPr>
        <w:pStyle w:val="Heading2"/>
        <w:rPr>
          <w:rFonts w:eastAsia="Times New Roman"/>
          <w:lang w:val="en-GB" w:eastAsia="en-GB"/>
        </w:rPr>
      </w:pPr>
      <w:bookmarkStart w:id="129" w:name="_Toc240811483"/>
      <w:r w:rsidRPr="005B5A20">
        <w:rPr>
          <w:rFonts w:eastAsia="Times New Roman"/>
          <w:lang w:val="en-GB" w:eastAsia="en-GB"/>
        </w:rPr>
        <w:t>13.4 Final Decision and Future Development</w:t>
      </w:r>
      <w:bookmarkEnd w:id="129"/>
    </w:p>
    <w:p w14:paraId="64282046" w14:textId="1E3F4959" w:rsidR="005B5A20" w:rsidRPr="005B5A20" w:rsidRDefault="005B5A20" w:rsidP="005B5A20">
      <w:pPr>
        <w:spacing w:before="240" w:line="360" w:lineRule="auto"/>
        <w:jc w:val="both"/>
        <w:rPr>
          <w:rFonts w:ascii="Arial" w:hAnsi="Arial" w:cs="Arial"/>
          <w:sz w:val="24"/>
          <w:szCs w:val="24"/>
          <w:lang w:val="en-GB" w:eastAsia="en-GB"/>
        </w:rPr>
      </w:pPr>
      <w:r w:rsidRPr="005B5A20">
        <w:rPr>
          <w:rFonts w:ascii="Arial" w:hAnsi="Arial" w:cs="Arial"/>
          <w:sz w:val="24"/>
          <w:szCs w:val="24"/>
          <w:lang w:val="en-GB" w:eastAsia="en-GB"/>
        </w:rPr>
        <w:t>The final recommendation is go with conditions. Assuming that funds are available, regulatory considerations are met, premises are confirmed, suppliers, critical employees are completed and early demand supports the financial assumptions, TEBC should proceed towards launch. The evidence suggests potential commercial viability but makes no assumption as to immediate long-</w:t>
      </w:r>
      <w:r w:rsidR="0053125B">
        <w:rPr>
          <w:rFonts w:ascii="Arial" w:hAnsi="Arial" w:cs="Arial"/>
          <w:sz w:val="24"/>
          <w:szCs w:val="24"/>
          <w:lang w:val="en-GB" w:eastAsia="en-GB"/>
        </w:rPr>
        <w:t>term success</w:t>
      </w:r>
    </w:p>
    <w:p w14:paraId="51337A87" w14:textId="25387C78" w:rsidR="006826F6" w:rsidRDefault="005B5A20" w:rsidP="005B5A20">
      <w:pPr>
        <w:spacing w:before="240" w:line="360" w:lineRule="auto"/>
        <w:jc w:val="both"/>
        <w:rPr>
          <w:rFonts w:ascii="Arial" w:hAnsi="Arial" w:cs="Arial"/>
          <w:sz w:val="24"/>
          <w:szCs w:val="24"/>
          <w:lang w:val="en-GB" w:eastAsia="en-GB"/>
        </w:rPr>
      </w:pPr>
      <w:r w:rsidRPr="005B5A20">
        <w:rPr>
          <w:rFonts w:ascii="Arial" w:hAnsi="Arial" w:cs="Arial"/>
          <w:sz w:val="24"/>
          <w:szCs w:val="24"/>
          <w:lang w:val="en-GB" w:eastAsia="en-GB"/>
        </w:rPr>
        <w:t>Going forward, further development is needed on the following basis: Current, real post-launch data to refine demand, willingness-to-pay assumptions, customer-retention strategies, supplier performance and financial projections. Overall, the BDP suggests that TEBC could be a viable, strategic and ethically distinct undertaking, if it can be evidence-led, financially controlled and operationally disciplined</w:t>
      </w:r>
      <w:r w:rsidR="0053125B">
        <w:rPr>
          <w:rFonts w:ascii="Arial" w:hAnsi="Arial" w:cs="Arial"/>
          <w:sz w:val="24"/>
          <w:szCs w:val="24"/>
          <w:lang w:val="en-GB" w:eastAsia="en-GB"/>
        </w:rPr>
        <w:t>.</w:t>
      </w:r>
    </w:p>
    <w:p w14:paraId="030BBD2C" w14:textId="0E62B7CF" w:rsidR="0053125B" w:rsidRDefault="0053125B" w:rsidP="005B5A20">
      <w:pPr>
        <w:spacing w:before="240" w:line="360" w:lineRule="auto"/>
        <w:jc w:val="both"/>
        <w:rPr>
          <w:rFonts w:ascii="Arial" w:hAnsi="Arial" w:cs="Arial"/>
          <w:sz w:val="24"/>
          <w:szCs w:val="24"/>
          <w:lang w:val="en-GB" w:eastAsia="en-GB"/>
        </w:rPr>
      </w:pPr>
    </w:p>
    <w:p w14:paraId="7C32267C" w14:textId="11746186" w:rsidR="0053125B" w:rsidRDefault="0053125B" w:rsidP="005B5A20">
      <w:pPr>
        <w:spacing w:before="240" w:line="360" w:lineRule="auto"/>
        <w:jc w:val="both"/>
        <w:rPr>
          <w:rFonts w:ascii="Arial" w:hAnsi="Arial" w:cs="Arial"/>
          <w:sz w:val="24"/>
          <w:szCs w:val="24"/>
          <w:lang w:val="en-GB" w:eastAsia="en-GB"/>
        </w:rPr>
      </w:pPr>
    </w:p>
    <w:p w14:paraId="38CE126B" w14:textId="78476105" w:rsidR="008A5186" w:rsidRDefault="008A5186" w:rsidP="005B5A20">
      <w:pPr>
        <w:spacing w:before="240" w:line="360" w:lineRule="auto"/>
        <w:jc w:val="both"/>
        <w:rPr>
          <w:rFonts w:ascii="Arial" w:hAnsi="Arial" w:cs="Arial"/>
          <w:sz w:val="24"/>
          <w:szCs w:val="24"/>
          <w:lang w:val="en-GB" w:eastAsia="en-GB"/>
        </w:rPr>
      </w:pPr>
    </w:p>
    <w:p w14:paraId="6561EE8E" w14:textId="3EA34C79" w:rsidR="008A5186" w:rsidRDefault="008A5186" w:rsidP="005B5A20">
      <w:pPr>
        <w:spacing w:before="240" w:line="360" w:lineRule="auto"/>
        <w:jc w:val="both"/>
        <w:rPr>
          <w:rFonts w:ascii="Arial" w:hAnsi="Arial" w:cs="Arial"/>
          <w:sz w:val="24"/>
          <w:szCs w:val="24"/>
          <w:lang w:val="en-GB" w:eastAsia="en-GB"/>
        </w:rPr>
      </w:pPr>
    </w:p>
    <w:p w14:paraId="19B980DF" w14:textId="2A677F7C" w:rsidR="008A5186" w:rsidRDefault="008A5186" w:rsidP="005B5A20">
      <w:pPr>
        <w:spacing w:before="240" w:line="360" w:lineRule="auto"/>
        <w:jc w:val="both"/>
        <w:rPr>
          <w:rFonts w:ascii="Arial" w:hAnsi="Arial" w:cs="Arial"/>
          <w:sz w:val="24"/>
          <w:szCs w:val="24"/>
          <w:lang w:val="en-GB" w:eastAsia="en-GB"/>
        </w:rPr>
      </w:pPr>
    </w:p>
    <w:p w14:paraId="5F928D17" w14:textId="51C22499" w:rsidR="008A5186" w:rsidRDefault="008A5186" w:rsidP="005B5A20">
      <w:pPr>
        <w:spacing w:before="240" w:line="360" w:lineRule="auto"/>
        <w:jc w:val="both"/>
        <w:rPr>
          <w:rFonts w:ascii="Arial" w:hAnsi="Arial" w:cs="Arial"/>
          <w:sz w:val="24"/>
          <w:szCs w:val="24"/>
          <w:lang w:val="en-GB" w:eastAsia="en-GB"/>
        </w:rPr>
      </w:pPr>
    </w:p>
    <w:p w14:paraId="2002F44D" w14:textId="0D2B2CEE" w:rsidR="008A5186" w:rsidRDefault="008A5186" w:rsidP="005B5A20">
      <w:pPr>
        <w:spacing w:before="240" w:line="360" w:lineRule="auto"/>
        <w:jc w:val="both"/>
        <w:rPr>
          <w:rFonts w:ascii="Arial" w:hAnsi="Arial" w:cs="Arial"/>
          <w:sz w:val="24"/>
          <w:szCs w:val="24"/>
          <w:lang w:val="en-GB" w:eastAsia="en-GB"/>
        </w:rPr>
      </w:pPr>
    </w:p>
    <w:p w14:paraId="4C676912" w14:textId="77879CB5" w:rsidR="008A5186" w:rsidRDefault="008A5186" w:rsidP="005B5A20">
      <w:pPr>
        <w:spacing w:before="240" w:line="360" w:lineRule="auto"/>
        <w:jc w:val="both"/>
        <w:rPr>
          <w:rFonts w:ascii="Arial" w:hAnsi="Arial" w:cs="Arial"/>
          <w:sz w:val="24"/>
          <w:szCs w:val="24"/>
          <w:lang w:val="en-GB" w:eastAsia="en-GB"/>
        </w:rPr>
      </w:pPr>
    </w:p>
    <w:p w14:paraId="2893B9D3" w14:textId="43BDF5A1" w:rsidR="008A5186" w:rsidRDefault="008A5186" w:rsidP="005B5A20">
      <w:pPr>
        <w:spacing w:before="240" w:line="360" w:lineRule="auto"/>
        <w:jc w:val="both"/>
        <w:rPr>
          <w:rFonts w:ascii="Arial" w:hAnsi="Arial" w:cs="Arial"/>
          <w:sz w:val="24"/>
          <w:szCs w:val="24"/>
          <w:lang w:val="en-GB" w:eastAsia="en-GB"/>
        </w:rPr>
      </w:pPr>
    </w:p>
    <w:p w14:paraId="6984ECDD" w14:textId="4A91C6F8" w:rsidR="008A5186" w:rsidRDefault="008A5186" w:rsidP="005B5A20">
      <w:pPr>
        <w:spacing w:before="240" w:line="360" w:lineRule="auto"/>
        <w:jc w:val="both"/>
        <w:rPr>
          <w:rFonts w:ascii="Arial" w:hAnsi="Arial" w:cs="Arial"/>
          <w:sz w:val="24"/>
          <w:szCs w:val="24"/>
          <w:lang w:val="en-GB" w:eastAsia="en-GB"/>
        </w:rPr>
      </w:pPr>
    </w:p>
    <w:p w14:paraId="558AE891" w14:textId="714E1565" w:rsidR="008A5186" w:rsidRDefault="008A5186" w:rsidP="005B5A20">
      <w:pPr>
        <w:spacing w:before="240" w:line="360" w:lineRule="auto"/>
        <w:jc w:val="both"/>
        <w:rPr>
          <w:rFonts w:ascii="Arial" w:hAnsi="Arial" w:cs="Arial"/>
          <w:sz w:val="24"/>
          <w:szCs w:val="24"/>
          <w:lang w:val="en-GB" w:eastAsia="en-GB"/>
        </w:rPr>
      </w:pPr>
    </w:p>
    <w:p w14:paraId="5B97BDE6" w14:textId="4C183BD5" w:rsidR="008A5186" w:rsidRDefault="008A5186" w:rsidP="005B5A20">
      <w:pPr>
        <w:spacing w:before="240" w:line="360" w:lineRule="auto"/>
        <w:jc w:val="both"/>
        <w:rPr>
          <w:rFonts w:ascii="Arial" w:hAnsi="Arial" w:cs="Arial"/>
          <w:sz w:val="24"/>
          <w:szCs w:val="24"/>
          <w:lang w:val="en-GB" w:eastAsia="en-GB"/>
        </w:rPr>
      </w:pPr>
    </w:p>
    <w:p w14:paraId="5C5D0AC9" w14:textId="77777777" w:rsidR="008A5186" w:rsidRPr="00737EF2" w:rsidRDefault="008A5186" w:rsidP="00904AF2">
      <w:pPr>
        <w:pStyle w:val="Heading1"/>
        <w:jc w:val="center"/>
        <w:rPr>
          <w:rFonts w:eastAsia="Times New Roman"/>
          <w:lang w:val="en-GB" w:eastAsia="en-GB"/>
        </w:rPr>
      </w:pPr>
      <w:bookmarkStart w:id="130" w:name="_Toc240811484"/>
      <w:r w:rsidRPr="00737EF2">
        <w:rPr>
          <w:rFonts w:eastAsia="Times New Roman"/>
          <w:lang w:val="en-GB" w:eastAsia="en-GB"/>
        </w:rPr>
        <w:lastRenderedPageBreak/>
        <w:t>Chapter 14: Reflection</w:t>
      </w:r>
      <w:bookmarkEnd w:id="130"/>
    </w:p>
    <w:p w14:paraId="7873A6B2" w14:textId="77777777" w:rsidR="008A5186" w:rsidRPr="00737EF2" w:rsidRDefault="008A5186" w:rsidP="00904AF2">
      <w:pPr>
        <w:pStyle w:val="Heading2"/>
        <w:rPr>
          <w:rFonts w:eastAsia="Times New Roman"/>
          <w:lang w:val="en-GB" w:eastAsia="en-GB"/>
        </w:rPr>
      </w:pPr>
      <w:bookmarkStart w:id="131" w:name="_Toc240811485"/>
      <w:r w:rsidRPr="00737EF2">
        <w:rPr>
          <w:rFonts w:eastAsia="Times New Roman"/>
          <w:lang w:val="en-GB" w:eastAsia="en-GB"/>
        </w:rPr>
        <w:t>14.1 Reflection on the Business Development Experience</w:t>
      </w:r>
      <w:bookmarkEnd w:id="131"/>
    </w:p>
    <w:p w14:paraId="3F8FC248" w14:textId="6A54377F" w:rsidR="00CC4CCC" w:rsidRPr="00737EF2" w:rsidRDefault="00CC4CCC" w:rsidP="00737EF2">
      <w:pPr>
        <w:spacing w:before="240" w:line="360" w:lineRule="auto"/>
        <w:jc w:val="both"/>
        <w:rPr>
          <w:rFonts w:ascii="Arial" w:hAnsi="Arial" w:cs="Arial"/>
          <w:sz w:val="24"/>
          <w:szCs w:val="24"/>
          <w:lang w:val="en-GB" w:eastAsia="en-GB"/>
        </w:rPr>
      </w:pPr>
      <w:r w:rsidRPr="00737EF2">
        <w:rPr>
          <w:rFonts w:ascii="Arial" w:hAnsi="Arial" w:cs="Arial"/>
          <w:sz w:val="24"/>
          <w:szCs w:val="24"/>
          <w:lang w:val="en-GB" w:eastAsia="en-GB"/>
        </w:rPr>
        <w:t>This Business Development Proposal (BDP) provided a great learning experience as I had to go from reading about business theories to applying them to a real business-development scenario. The Ethical Bean Coffee House (TEBC) development necessitated the following considerations: UK coffee market, customer segments, competitors, ethical sourcing, sustainability, business strategy, financial requirements, human resources, operations, feasibility and implementation. This process taught me that in the formulation of a business proposal, the various functional areas need to be linked together</w:t>
      </w:r>
      <w:r w:rsidR="00904AF2">
        <w:rPr>
          <w:rFonts w:ascii="Arial" w:hAnsi="Arial" w:cs="Arial"/>
          <w:sz w:val="24"/>
          <w:szCs w:val="24"/>
          <w:lang w:val="en-GB" w:eastAsia="en-GB"/>
        </w:rPr>
        <w:t xml:space="preserve"> and not dealt with separately.</w:t>
      </w:r>
    </w:p>
    <w:p w14:paraId="2786EA56" w14:textId="46D8C663" w:rsidR="008A5186" w:rsidRPr="00737EF2" w:rsidRDefault="00CC4CCC" w:rsidP="00737EF2">
      <w:pPr>
        <w:spacing w:before="240" w:line="360" w:lineRule="auto"/>
        <w:jc w:val="both"/>
        <w:rPr>
          <w:rFonts w:ascii="Arial" w:hAnsi="Arial" w:cs="Arial"/>
          <w:sz w:val="24"/>
          <w:szCs w:val="24"/>
          <w:lang w:val="en-GB" w:eastAsia="en-GB"/>
        </w:rPr>
      </w:pPr>
      <w:r w:rsidRPr="00737EF2">
        <w:rPr>
          <w:rFonts w:ascii="Arial" w:hAnsi="Arial" w:cs="Arial"/>
          <w:sz w:val="24"/>
          <w:szCs w:val="24"/>
          <w:lang w:val="en-GB" w:eastAsia="en-GB"/>
        </w:rPr>
        <w:t>An important experience for me was my methodology. The approach was secondary data which comprised of academic literature, industry reports, government information and other documentary sources. This allowed me to gain an understanding of the market, consumer behaviour, sustainability and competitive issues without gathering my own primary data. But, I discovered that secondary research demands critical evaluation as there could be differences in purpose, methodology, date and assumptions in sources. As a result, I was more aware of evaluating the authenticity, authority and timeliness of information to make business decisions. This is one of the general principles of methodological consistency, critical appraisal in business research (Saunders et al., 2019)</w:t>
      </w:r>
      <w:r w:rsidR="008A5186" w:rsidRPr="00737EF2">
        <w:rPr>
          <w:rFonts w:ascii="Arial" w:hAnsi="Arial" w:cs="Arial"/>
          <w:sz w:val="24"/>
          <w:szCs w:val="24"/>
          <w:lang w:val="en-GB" w:eastAsia="en-GB"/>
        </w:rPr>
        <w:t>.</w:t>
      </w:r>
    </w:p>
    <w:p w14:paraId="7DD8A1EE" w14:textId="77777777" w:rsidR="008A5186" w:rsidRPr="00737EF2" w:rsidRDefault="008A5186" w:rsidP="00904AF2">
      <w:pPr>
        <w:pStyle w:val="Heading2"/>
        <w:rPr>
          <w:rFonts w:eastAsia="Times New Roman"/>
          <w:lang w:val="en-GB" w:eastAsia="en-GB"/>
        </w:rPr>
      </w:pPr>
      <w:bookmarkStart w:id="132" w:name="_Toc240811486"/>
      <w:r w:rsidRPr="00737EF2">
        <w:rPr>
          <w:rFonts w:eastAsia="Times New Roman"/>
          <w:lang w:val="en-GB" w:eastAsia="en-GB"/>
        </w:rPr>
        <w:t>14.2 What I Learned from the Experience</w:t>
      </w:r>
      <w:bookmarkEnd w:id="132"/>
    </w:p>
    <w:p w14:paraId="44DDC8F7" w14:textId="77777777" w:rsidR="003E3983" w:rsidRPr="00737EF2" w:rsidRDefault="003E3983" w:rsidP="00737EF2">
      <w:pPr>
        <w:spacing w:before="240" w:line="360" w:lineRule="auto"/>
        <w:jc w:val="both"/>
        <w:rPr>
          <w:rFonts w:ascii="Arial" w:hAnsi="Arial" w:cs="Arial"/>
          <w:sz w:val="24"/>
          <w:szCs w:val="24"/>
          <w:lang w:val="en-GB" w:eastAsia="en-GB"/>
        </w:rPr>
      </w:pPr>
      <w:r w:rsidRPr="00737EF2">
        <w:rPr>
          <w:rFonts w:ascii="Arial" w:hAnsi="Arial" w:cs="Arial"/>
          <w:sz w:val="24"/>
          <w:szCs w:val="24"/>
          <w:lang w:val="en-GB" w:eastAsia="en-GB"/>
        </w:rPr>
        <w:t>A vital lesson was that pretty good business idea is not enough for a sustainable competitive edge. At first it seemed as though specialty coffee with ethical sourcing was a good way to differentiate. With the help of Porter's Five Forces, SWOT and VRIO analysis, however, it was shown that other players can deliver quality coffee and sustainability propositions as well. VRIO, in particular, allowed me to see that ethical sourcing is not a rarity, but rather gaining greater advantage relies on building better relationships with suppliers and having the capability extend through the organization (Barney, 1991). Thus, I came up with a more realistic approach to focused differentiation as specialty quality, credible sourcing, traceability, sustainability, and personalised service.</w:t>
      </w:r>
    </w:p>
    <w:p w14:paraId="0B7377DC" w14:textId="77777777" w:rsidR="003E3983" w:rsidRPr="00737EF2" w:rsidRDefault="003E3983" w:rsidP="00737EF2">
      <w:pPr>
        <w:spacing w:before="240" w:line="360" w:lineRule="auto"/>
        <w:jc w:val="both"/>
        <w:rPr>
          <w:rFonts w:ascii="Arial" w:hAnsi="Arial" w:cs="Arial"/>
          <w:sz w:val="24"/>
          <w:szCs w:val="24"/>
          <w:lang w:val="en-GB" w:eastAsia="en-GB"/>
        </w:rPr>
      </w:pPr>
    </w:p>
    <w:p w14:paraId="4ABD8484" w14:textId="5968D8F7" w:rsidR="003E3983" w:rsidRPr="00737EF2" w:rsidRDefault="003E3983" w:rsidP="00737EF2">
      <w:pPr>
        <w:spacing w:before="240" w:line="360" w:lineRule="auto"/>
        <w:jc w:val="both"/>
        <w:rPr>
          <w:rFonts w:ascii="Arial" w:hAnsi="Arial" w:cs="Arial"/>
          <w:sz w:val="24"/>
          <w:szCs w:val="24"/>
          <w:lang w:val="en-GB" w:eastAsia="en-GB"/>
        </w:rPr>
      </w:pPr>
      <w:r w:rsidRPr="00737EF2">
        <w:rPr>
          <w:rFonts w:ascii="Arial" w:hAnsi="Arial" w:cs="Arial"/>
          <w:sz w:val="24"/>
          <w:szCs w:val="24"/>
          <w:lang w:val="en-GB" w:eastAsia="en-GB"/>
        </w:rPr>
        <w:t>I also gained an understanding of the need to integrate various business-planning tools. The Business Model Canvas does not look at customer segments, value proposition, channels, resources, activities or partnerships in isolation but allows to understand the interactions among them (Osterwalder and Pigneur, 2010). Likewise, the financial analysis revealed that the operational assumptions need to be consistent with strategic decisions. For instance, the forecast number of transactions has implications for revenue, employee needs, stock, service capa</w:t>
      </w:r>
      <w:r w:rsidR="00904AF2">
        <w:rPr>
          <w:rFonts w:ascii="Arial" w:hAnsi="Arial" w:cs="Arial"/>
          <w:sz w:val="24"/>
          <w:szCs w:val="24"/>
          <w:lang w:val="en-GB" w:eastAsia="en-GB"/>
        </w:rPr>
        <w:t>city and breakeven performance.</w:t>
      </w:r>
    </w:p>
    <w:p w14:paraId="180D6015" w14:textId="1880DC8A" w:rsidR="008A5186" w:rsidRPr="00737EF2" w:rsidRDefault="003E3983" w:rsidP="00737EF2">
      <w:pPr>
        <w:spacing w:before="240" w:line="360" w:lineRule="auto"/>
        <w:jc w:val="both"/>
        <w:rPr>
          <w:rFonts w:ascii="Arial" w:hAnsi="Arial" w:cs="Arial"/>
          <w:sz w:val="24"/>
          <w:szCs w:val="24"/>
          <w:lang w:val="en-GB" w:eastAsia="en-GB"/>
        </w:rPr>
      </w:pPr>
      <w:r w:rsidRPr="00737EF2">
        <w:rPr>
          <w:rFonts w:ascii="Arial" w:hAnsi="Arial" w:cs="Arial"/>
          <w:sz w:val="24"/>
          <w:szCs w:val="24"/>
          <w:lang w:val="en-GB" w:eastAsia="en-GB"/>
        </w:rPr>
        <w:t>A key lesson was the need to deal with uncertainty. The feasibility analysis indicated whether TEBC was potentially viable or not, but only if certain assumptions about demand, funding, supplier reliability, staffing and regulation and cost control were met. I learned that a viable business plan should not have fuzzy assumptions as a fact. Rather, assumption(s) should be recognized and validated through implementation and performance tracking. The knowledge helped to formulate the final conditional-go recommendation</w:t>
      </w:r>
      <w:r w:rsidR="008A5186" w:rsidRPr="00737EF2">
        <w:rPr>
          <w:rFonts w:ascii="Arial" w:hAnsi="Arial" w:cs="Arial"/>
          <w:sz w:val="24"/>
          <w:szCs w:val="24"/>
          <w:lang w:val="en-GB" w:eastAsia="en-GB"/>
        </w:rPr>
        <w:t>.</w:t>
      </w:r>
    </w:p>
    <w:p w14:paraId="542BC910" w14:textId="77777777" w:rsidR="008A5186" w:rsidRPr="00737EF2" w:rsidRDefault="008A5186" w:rsidP="00904AF2">
      <w:pPr>
        <w:pStyle w:val="Heading2"/>
        <w:rPr>
          <w:rFonts w:eastAsia="Times New Roman"/>
          <w:lang w:val="en-GB" w:eastAsia="en-GB"/>
        </w:rPr>
      </w:pPr>
      <w:bookmarkStart w:id="133" w:name="_Toc240811487"/>
      <w:r w:rsidRPr="00737EF2">
        <w:rPr>
          <w:rFonts w:eastAsia="Times New Roman"/>
          <w:lang w:val="en-GB" w:eastAsia="en-GB"/>
        </w:rPr>
        <w:t>14.3 What I Would Do Differently Next Time</w:t>
      </w:r>
      <w:bookmarkEnd w:id="133"/>
    </w:p>
    <w:p w14:paraId="2CE6DD2F" w14:textId="29DA6F60" w:rsidR="00737EF2" w:rsidRPr="00737EF2" w:rsidRDefault="00737EF2" w:rsidP="00737EF2">
      <w:pPr>
        <w:spacing w:before="240" w:line="360" w:lineRule="auto"/>
        <w:jc w:val="both"/>
        <w:rPr>
          <w:rFonts w:ascii="Arial" w:hAnsi="Arial" w:cs="Arial"/>
          <w:sz w:val="24"/>
          <w:szCs w:val="24"/>
          <w:lang w:val="en-GB" w:eastAsia="en-GB"/>
        </w:rPr>
      </w:pPr>
      <w:r w:rsidRPr="00737EF2">
        <w:rPr>
          <w:rFonts w:ascii="Arial" w:hAnsi="Arial" w:cs="Arial"/>
          <w:sz w:val="24"/>
          <w:szCs w:val="24"/>
          <w:lang w:val="en-GB" w:eastAsia="en-GB"/>
        </w:rPr>
        <w:t xml:space="preserve">I would create an evidence and assumption matrix at the start of the research process if I were to do the project again. This will clarify each of the major assumptions, supporting evidence, level of confidence and impact on the business. It would help to ensure consistency between market analysis, market strategy, financial forecasts </w:t>
      </w:r>
      <w:r w:rsidR="00904AF2">
        <w:rPr>
          <w:rFonts w:ascii="Arial" w:hAnsi="Arial" w:cs="Arial"/>
          <w:sz w:val="24"/>
          <w:szCs w:val="24"/>
          <w:lang w:val="en-GB" w:eastAsia="en-GB"/>
        </w:rPr>
        <w:t>and the feasibility assessment.</w:t>
      </w:r>
    </w:p>
    <w:p w14:paraId="7877F527" w14:textId="30C307F4" w:rsidR="00737EF2" w:rsidRPr="00737EF2" w:rsidRDefault="00737EF2" w:rsidP="00737EF2">
      <w:pPr>
        <w:spacing w:before="240" w:line="360" w:lineRule="auto"/>
        <w:jc w:val="both"/>
        <w:rPr>
          <w:rFonts w:ascii="Arial" w:hAnsi="Arial" w:cs="Arial"/>
          <w:sz w:val="24"/>
          <w:szCs w:val="24"/>
          <w:lang w:val="en-GB" w:eastAsia="en-GB"/>
        </w:rPr>
      </w:pPr>
      <w:r w:rsidRPr="00737EF2">
        <w:rPr>
          <w:rFonts w:ascii="Arial" w:hAnsi="Arial" w:cs="Arial"/>
          <w:sz w:val="24"/>
          <w:szCs w:val="24"/>
          <w:lang w:val="en-GB" w:eastAsia="en-GB"/>
        </w:rPr>
        <w:t>I would do more of a systematic search for secondary data from the start. The research process would be more efficient and repeated searching would be minimised if the research was in predefined research categories covering market demand, competition, ethical sourcing, sustainability, costs, regulation and consumer behaviour. A research process can be structured to help develop transparency and consistency in evidence-based decision making (Saunde</w:t>
      </w:r>
      <w:r w:rsidR="00904AF2">
        <w:rPr>
          <w:rFonts w:ascii="Arial" w:hAnsi="Arial" w:cs="Arial"/>
          <w:sz w:val="24"/>
          <w:szCs w:val="24"/>
          <w:lang w:val="en-GB" w:eastAsia="en-GB"/>
        </w:rPr>
        <w:t>rs, Lewis and Thornhill, 2019).</w:t>
      </w:r>
    </w:p>
    <w:p w14:paraId="2EF1393A" w14:textId="19912D0F" w:rsidR="00737EF2" w:rsidRPr="00737EF2" w:rsidRDefault="00737EF2" w:rsidP="00737EF2">
      <w:pPr>
        <w:spacing w:before="240" w:line="360" w:lineRule="auto"/>
        <w:jc w:val="both"/>
        <w:rPr>
          <w:rFonts w:ascii="Arial" w:hAnsi="Arial" w:cs="Arial"/>
          <w:sz w:val="24"/>
          <w:szCs w:val="24"/>
          <w:lang w:val="en-GB" w:eastAsia="en-GB"/>
        </w:rPr>
      </w:pPr>
      <w:r w:rsidRPr="00737EF2">
        <w:rPr>
          <w:rFonts w:ascii="Arial" w:hAnsi="Arial" w:cs="Arial"/>
          <w:sz w:val="24"/>
          <w:szCs w:val="24"/>
          <w:lang w:val="en-GB" w:eastAsia="en-GB"/>
        </w:rPr>
        <w:lastRenderedPageBreak/>
        <w:t>I would further develop the financial and operational assumptions earlier in the process. If transaction volume, average spend, variable costs and break-even points were tested in conjunction with the initial market analysis, it would be possible to find out more quickly if there were any problems with the proposal. For this BDP, secondary research was the right choice, however, the future development of TEBC could be improved with actual customer feedback and trading data as this would provide real world information to validate assumptions which second</w:t>
      </w:r>
      <w:r w:rsidR="00904AF2">
        <w:rPr>
          <w:rFonts w:ascii="Arial" w:hAnsi="Arial" w:cs="Arial"/>
          <w:sz w:val="24"/>
          <w:szCs w:val="24"/>
          <w:lang w:val="en-GB" w:eastAsia="en-GB"/>
        </w:rPr>
        <w:t>ary sources cannot fully prove.</w:t>
      </w:r>
    </w:p>
    <w:p w14:paraId="2C337C57" w14:textId="3D322C44" w:rsidR="008A5186" w:rsidRPr="00737EF2" w:rsidRDefault="00737EF2" w:rsidP="00737EF2">
      <w:pPr>
        <w:spacing w:before="240" w:line="360" w:lineRule="auto"/>
        <w:jc w:val="both"/>
        <w:rPr>
          <w:rFonts w:ascii="Arial" w:hAnsi="Arial" w:cs="Arial"/>
          <w:sz w:val="24"/>
          <w:szCs w:val="24"/>
          <w:lang w:val="en-GB" w:eastAsia="en-GB"/>
        </w:rPr>
      </w:pPr>
      <w:r w:rsidRPr="00737EF2">
        <w:rPr>
          <w:rFonts w:ascii="Arial" w:hAnsi="Arial" w:cs="Arial"/>
          <w:sz w:val="24"/>
          <w:szCs w:val="24"/>
          <w:lang w:val="en-GB" w:eastAsia="en-GB"/>
        </w:rPr>
        <w:t>In general, BDP boosted my theoretical links to practical decisions making. Effective business development involves evidence, integration and critical judgement and constant evaluation. The experience also demonstrated that uncertainty is not removed by a good business proposition, but rather is clearly identified and practical means are sought to manage and reduce it (Osterwalder and Pigneur, 2010)</w:t>
      </w:r>
      <w:r w:rsidR="008A5186" w:rsidRPr="00737EF2">
        <w:rPr>
          <w:rFonts w:ascii="Arial" w:hAnsi="Arial" w:cs="Arial"/>
          <w:sz w:val="24"/>
          <w:szCs w:val="24"/>
          <w:lang w:val="en-GB" w:eastAsia="en-GB"/>
        </w:rPr>
        <w:t>.</w:t>
      </w:r>
    </w:p>
    <w:p w14:paraId="58BC4A79" w14:textId="77777777" w:rsidR="008A5186" w:rsidRDefault="008A5186" w:rsidP="005B5A20">
      <w:pPr>
        <w:spacing w:before="240" w:line="360" w:lineRule="auto"/>
        <w:jc w:val="both"/>
        <w:rPr>
          <w:rFonts w:ascii="Arial" w:hAnsi="Arial" w:cs="Arial"/>
          <w:sz w:val="24"/>
          <w:szCs w:val="24"/>
          <w:lang w:val="en-GB" w:eastAsia="en-GB"/>
        </w:rPr>
      </w:pPr>
    </w:p>
    <w:p w14:paraId="0A33DCC7" w14:textId="098670F3" w:rsidR="0053125B" w:rsidRDefault="0053125B" w:rsidP="005B5A20">
      <w:pPr>
        <w:spacing w:before="240" w:line="360" w:lineRule="auto"/>
        <w:jc w:val="both"/>
        <w:rPr>
          <w:rFonts w:ascii="Arial" w:hAnsi="Arial" w:cs="Arial"/>
          <w:sz w:val="24"/>
          <w:szCs w:val="24"/>
          <w:lang w:val="en-GB" w:eastAsia="en-GB"/>
        </w:rPr>
      </w:pPr>
    </w:p>
    <w:p w14:paraId="05A7D71F" w14:textId="498931B7" w:rsidR="0053125B" w:rsidRDefault="0053125B" w:rsidP="005B5A20">
      <w:pPr>
        <w:spacing w:before="240" w:line="360" w:lineRule="auto"/>
        <w:jc w:val="both"/>
        <w:rPr>
          <w:rFonts w:ascii="Arial" w:hAnsi="Arial" w:cs="Arial"/>
          <w:sz w:val="24"/>
          <w:szCs w:val="24"/>
          <w:lang w:val="en-GB" w:eastAsia="en-GB"/>
        </w:rPr>
      </w:pPr>
    </w:p>
    <w:p w14:paraId="2F451964" w14:textId="05E3725B" w:rsidR="0053125B" w:rsidRDefault="0053125B" w:rsidP="005B5A20">
      <w:pPr>
        <w:spacing w:before="240" w:line="360" w:lineRule="auto"/>
        <w:jc w:val="both"/>
        <w:rPr>
          <w:rFonts w:ascii="Arial" w:hAnsi="Arial" w:cs="Arial"/>
          <w:sz w:val="24"/>
          <w:szCs w:val="24"/>
          <w:lang w:val="en-GB" w:eastAsia="en-GB"/>
        </w:rPr>
      </w:pPr>
    </w:p>
    <w:p w14:paraId="01A6B8F9" w14:textId="74A96D55" w:rsidR="0053125B" w:rsidRDefault="0053125B" w:rsidP="005B5A20">
      <w:pPr>
        <w:spacing w:before="240" w:line="360" w:lineRule="auto"/>
        <w:jc w:val="both"/>
        <w:rPr>
          <w:rFonts w:ascii="Arial" w:hAnsi="Arial" w:cs="Arial"/>
          <w:sz w:val="24"/>
          <w:szCs w:val="24"/>
          <w:lang w:val="en-GB" w:eastAsia="en-GB"/>
        </w:rPr>
      </w:pPr>
    </w:p>
    <w:p w14:paraId="22D4515D" w14:textId="4483B03B" w:rsidR="0053125B" w:rsidRDefault="0053125B" w:rsidP="005B5A20">
      <w:pPr>
        <w:spacing w:before="240" w:line="360" w:lineRule="auto"/>
        <w:jc w:val="both"/>
        <w:rPr>
          <w:rFonts w:ascii="Arial" w:hAnsi="Arial" w:cs="Arial"/>
          <w:sz w:val="24"/>
          <w:szCs w:val="24"/>
          <w:lang w:val="en-GB" w:eastAsia="en-GB"/>
        </w:rPr>
      </w:pPr>
    </w:p>
    <w:p w14:paraId="0B0CB056" w14:textId="16ACDD18" w:rsidR="0053125B" w:rsidRDefault="0053125B" w:rsidP="005B5A20">
      <w:pPr>
        <w:spacing w:before="240" w:line="360" w:lineRule="auto"/>
        <w:jc w:val="both"/>
        <w:rPr>
          <w:rFonts w:ascii="Arial" w:hAnsi="Arial" w:cs="Arial"/>
          <w:sz w:val="24"/>
          <w:szCs w:val="24"/>
          <w:lang w:val="en-GB" w:eastAsia="en-GB"/>
        </w:rPr>
      </w:pPr>
    </w:p>
    <w:p w14:paraId="00AAAE73" w14:textId="77777777" w:rsidR="0053125B" w:rsidRPr="005B5A20" w:rsidRDefault="0053125B" w:rsidP="005B5A20">
      <w:pPr>
        <w:spacing w:before="240" w:line="360" w:lineRule="auto"/>
        <w:jc w:val="both"/>
        <w:rPr>
          <w:rFonts w:ascii="Arial" w:hAnsi="Arial" w:cs="Arial"/>
          <w:sz w:val="24"/>
          <w:szCs w:val="24"/>
          <w:lang w:val="en-GB" w:eastAsia="en-GB"/>
        </w:rPr>
      </w:pPr>
    </w:p>
    <w:p w14:paraId="3204FCAB" w14:textId="64B66D74" w:rsidR="006826F6" w:rsidRDefault="006826F6" w:rsidP="00231238">
      <w:pPr>
        <w:spacing w:before="240" w:line="360" w:lineRule="auto"/>
        <w:jc w:val="both"/>
        <w:rPr>
          <w:rFonts w:ascii="Arial" w:hAnsi="Arial" w:cs="Arial"/>
          <w:sz w:val="24"/>
          <w:szCs w:val="24"/>
          <w:lang w:val="en-GB" w:eastAsia="en-GB"/>
        </w:rPr>
      </w:pPr>
    </w:p>
    <w:p w14:paraId="4591EBFC" w14:textId="77777777" w:rsidR="00904AF2" w:rsidRPr="00231238" w:rsidRDefault="00904AF2" w:rsidP="00231238">
      <w:pPr>
        <w:spacing w:before="240" w:line="360" w:lineRule="auto"/>
        <w:jc w:val="both"/>
        <w:rPr>
          <w:rFonts w:ascii="Arial" w:hAnsi="Arial" w:cs="Arial"/>
          <w:sz w:val="24"/>
          <w:szCs w:val="24"/>
          <w:lang w:val="en-GB" w:eastAsia="en-GB"/>
        </w:rPr>
      </w:pPr>
    </w:p>
    <w:p w14:paraId="75A1B2A5" w14:textId="77777777" w:rsidR="00CE5501" w:rsidRPr="0081009F" w:rsidRDefault="00CE5501" w:rsidP="0081009F">
      <w:pPr>
        <w:spacing w:before="240" w:line="360" w:lineRule="auto"/>
        <w:jc w:val="both"/>
        <w:rPr>
          <w:rFonts w:ascii="Arial" w:hAnsi="Arial" w:cs="Arial"/>
          <w:sz w:val="24"/>
          <w:szCs w:val="24"/>
          <w:lang w:val="en-GB" w:eastAsia="en-GB"/>
        </w:rPr>
      </w:pPr>
    </w:p>
    <w:p w14:paraId="1FA8BEAC" w14:textId="77777777" w:rsidR="00764905" w:rsidRPr="00764905" w:rsidRDefault="00764905" w:rsidP="00764905">
      <w:pPr>
        <w:keepNext/>
        <w:keepLines/>
        <w:spacing w:before="360" w:after="80"/>
        <w:outlineLvl w:val="0"/>
        <w:rPr>
          <w:rFonts w:ascii="Arial" w:eastAsia="Times New Roman" w:hAnsi="Arial" w:cstheme="majorBidi"/>
          <w:b/>
          <w:color w:val="000000" w:themeColor="text1"/>
          <w:sz w:val="32"/>
          <w:szCs w:val="40"/>
          <w:lang w:val="en-GB" w:eastAsia="en-GB"/>
        </w:rPr>
      </w:pPr>
      <w:bookmarkStart w:id="134" w:name="_Toc240811488"/>
      <w:r w:rsidRPr="00764905">
        <w:rPr>
          <w:rFonts w:ascii="Arial" w:eastAsia="Times New Roman" w:hAnsi="Arial" w:cstheme="majorBidi"/>
          <w:b/>
          <w:color w:val="000000" w:themeColor="text1"/>
          <w:sz w:val="32"/>
          <w:szCs w:val="40"/>
          <w:lang w:val="en-GB" w:eastAsia="en-GB"/>
        </w:rPr>
        <w:lastRenderedPageBreak/>
        <w:t>Reference</w:t>
      </w:r>
      <w:bookmarkEnd w:id="134"/>
      <w:r w:rsidRPr="00764905">
        <w:rPr>
          <w:rFonts w:ascii="Arial" w:eastAsia="Times New Roman" w:hAnsi="Arial" w:cstheme="majorBidi"/>
          <w:b/>
          <w:color w:val="000000" w:themeColor="text1"/>
          <w:sz w:val="32"/>
          <w:szCs w:val="40"/>
          <w:lang w:val="en-GB" w:eastAsia="en-GB"/>
        </w:rPr>
        <w:t xml:space="preserve"> </w:t>
      </w:r>
    </w:p>
    <w:p w14:paraId="27A79D8F" w14:textId="77777777" w:rsidR="00764905" w:rsidRPr="00764905" w:rsidRDefault="00764905" w:rsidP="00764905">
      <w:pPr>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Aaker, D.A. (1991)</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Managing Brand Equity: Capitalizing on the Value of a Brand Name</w:t>
      </w:r>
      <w:r w:rsidRPr="00764905">
        <w:rPr>
          <w:rFonts w:ascii="Arial" w:eastAsia="Times New Roman" w:hAnsi="Arial" w:cs="Arial"/>
          <w:sz w:val="24"/>
          <w:szCs w:val="24"/>
          <w:lang w:val="en-GB" w:eastAsia="en-GB"/>
        </w:rPr>
        <w:t xml:space="preserve">. New York: Free Press. </w:t>
      </w:r>
      <w:hyperlink r:id="rId13" w:history="1">
        <w:r w:rsidRPr="00764905">
          <w:rPr>
            <w:rFonts w:ascii="Arial" w:eastAsia="Times New Roman" w:hAnsi="Arial" w:cs="Arial"/>
            <w:color w:val="0563C1" w:themeColor="hyperlink"/>
            <w:sz w:val="24"/>
            <w:szCs w:val="24"/>
            <w:u w:val="single"/>
            <w:lang w:val="en-GB" w:eastAsia="en-GB"/>
          </w:rPr>
          <w:t>Aaker — book record/search</w:t>
        </w:r>
      </w:hyperlink>
      <w:r w:rsidRPr="00764905">
        <w:rPr>
          <w:rFonts w:ascii="Arial" w:eastAsia="Times New Roman" w:hAnsi="Arial" w:cs="Arial"/>
          <w:sz w:val="24"/>
          <w:szCs w:val="24"/>
          <w:lang w:val="en-GB" w:eastAsia="en-GB"/>
        </w:rPr>
        <w:t xml:space="preserve"> </w:t>
      </w:r>
    </w:p>
    <w:p w14:paraId="64543EF4" w14:textId="77777777" w:rsidR="00764905" w:rsidRPr="00764905" w:rsidRDefault="00764905" w:rsidP="00764905">
      <w:pPr>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Aaker, D.A. (1996)</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Building Strong Brands</w:t>
      </w:r>
      <w:r w:rsidRPr="00764905">
        <w:rPr>
          <w:rFonts w:ascii="Arial" w:eastAsia="Times New Roman" w:hAnsi="Arial" w:cs="Arial"/>
          <w:sz w:val="24"/>
          <w:szCs w:val="24"/>
          <w:lang w:val="en-GB" w:eastAsia="en-GB"/>
        </w:rPr>
        <w:t xml:space="preserve">. New York: Free Press. </w:t>
      </w:r>
      <w:hyperlink r:id="rId14" w:history="1">
        <w:r w:rsidRPr="00764905">
          <w:rPr>
            <w:rFonts w:ascii="Arial" w:eastAsia="Times New Roman" w:hAnsi="Arial" w:cs="Arial"/>
            <w:color w:val="0563C1" w:themeColor="hyperlink"/>
            <w:sz w:val="24"/>
            <w:szCs w:val="24"/>
            <w:u w:val="single"/>
            <w:lang w:val="en-GB" w:eastAsia="en-GB"/>
          </w:rPr>
          <w:t>Aaker — book record/search</w:t>
        </w:r>
      </w:hyperlink>
      <w:r w:rsidRPr="00764905">
        <w:rPr>
          <w:rFonts w:ascii="Arial" w:eastAsia="Times New Roman" w:hAnsi="Arial" w:cs="Arial"/>
          <w:sz w:val="24"/>
          <w:szCs w:val="24"/>
          <w:lang w:val="en-GB" w:eastAsia="en-GB"/>
        </w:rPr>
        <w:t xml:space="preserve"> </w:t>
      </w:r>
    </w:p>
    <w:p w14:paraId="0F0005D6" w14:textId="77777777" w:rsidR="00764905" w:rsidRPr="00764905" w:rsidRDefault="00764905" w:rsidP="00764905">
      <w:pPr>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Arenas-Gaitán, J., Rondán-Cataluña, F.J. and Ramírez-Correa, P.E. (2020)</w:t>
      </w:r>
      <w:r w:rsidRPr="00764905">
        <w:rPr>
          <w:rFonts w:ascii="Arial" w:eastAsia="Times New Roman" w:hAnsi="Arial" w:cs="Arial"/>
          <w:sz w:val="24"/>
          <w:szCs w:val="24"/>
          <w:lang w:val="en-GB" w:eastAsia="en-GB"/>
        </w:rPr>
        <w:t xml:space="preserve"> ‘Purchase intention of specialty coffee’, </w:t>
      </w:r>
      <w:r w:rsidRPr="00764905">
        <w:rPr>
          <w:rFonts w:ascii="Arial" w:eastAsia="Times New Roman" w:hAnsi="Arial" w:cs="Arial"/>
          <w:i/>
          <w:iCs/>
          <w:sz w:val="24"/>
          <w:szCs w:val="24"/>
          <w:lang w:val="en-GB" w:eastAsia="en-GB"/>
        </w:rPr>
        <w:t>Sustainability</w:t>
      </w:r>
      <w:r w:rsidRPr="00764905">
        <w:rPr>
          <w:rFonts w:ascii="Arial" w:eastAsia="Times New Roman" w:hAnsi="Arial" w:cs="Arial"/>
          <w:sz w:val="24"/>
          <w:szCs w:val="24"/>
          <w:lang w:val="en-GB" w:eastAsia="en-GB"/>
        </w:rPr>
        <w:t>, 12(4), 1329.</w:t>
      </w:r>
      <w:r w:rsidRPr="00764905">
        <w:rPr>
          <w:rFonts w:ascii="Arial" w:eastAsia="Times New Roman" w:hAnsi="Arial" w:cs="Arial"/>
          <w:sz w:val="24"/>
          <w:szCs w:val="24"/>
          <w:lang w:val="en-GB" w:eastAsia="en-GB"/>
        </w:rPr>
        <w:br/>
      </w:r>
      <w:hyperlink r:id="rId15"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0EECAB80" w14:textId="77777777" w:rsidR="00764905" w:rsidRPr="00764905" w:rsidRDefault="00764905" w:rsidP="00764905">
      <w:pPr>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Armstrong, G. and Kotler, P. (2022)</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Marketing: An Introduction</w:t>
      </w:r>
      <w:r w:rsidRPr="00764905">
        <w:rPr>
          <w:rFonts w:ascii="Arial" w:eastAsia="Times New Roman" w:hAnsi="Arial" w:cs="Arial"/>
          <w:sz w:val="24"/>
          <w:szCs w:val="24"/>
          <w:lang w:val="en-GB" w:eastAsia="en-GB"/>
        </w:rPr>
        <w:t xml:space="preserve">. 15th edn. Harlow: Pearson  </w:t>
      </w:r>
      <w:hyperlink r:id="rId16" w:history="1">
        <w:r w:rsidRPr="00764905">
          <w:rPr>
            <w:rFonts w:ascii="Arial" w:eastAsia="Times New Roman" w:hAnsi="Arial" w:cs="Arial"/>
            <w:color w:val="0563C1" w:themeColor="hyperlink"/>
            <w:sz w:val="24"/>
            <w:szCs w:val="24"/>
            <w:u w:val="single"/>
            <w:lang w:val="en-GB" w:eastAsia="en-GB"/>
          </w:rPr>
          <w:t>Publisher/search record</w:t>
        </w:r>
      </w:hyperlink>
      <w:r w:rsidRPr="00764905">
        <w:rPr>
          <w:rFonts w:ascii="Arial" w:eastAsia="Times New Roman" w:hAnsi="Arial" w:cs="Arial"/>
          <w:sz w:val="24"/>
          <w:szCs w:val="24"/>
          <w:lang w:val="en-GB" w:eastAsia="en-GB"/>
        </w:rPr>
        <w:t xml:space="preserve"> </w:t>
      </w:r>
    </w:p>
    <w:p w14:paraId="287C0F4A" w14:textId="77777777" w:rsidR="00764905" w:rsidRPr="00764905" w:rsidRDefault="00764905" w:rsidP="00764905">
      <w:pPr>
        <w:numPr>
          <w:ilvl w:val="0"/>
          <w:numId w:val="7"/>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Barney, J. (1991)</w:t>
      </w:r>
      <w:r w:rsidRPr="00764905">
        <w:rPr>
          <w:rFonts w:ascii="Arial" w:eastAsia="Times New Roman" w:hAnsi="Arial" w:cs="Arial"/>
          <w:sz w:val="24"/>
          <w:szCs w:val="24"/>
          <w:lang w:val="en-GB" w:eastAsia="en-GB"/>
        </w:rPr>
        <w:t xml:space="preserve"> ‘Firm resources and sustained competitive advantage’, </w:t>
      </w:r>
      <w:r w:rsidRPr="00764905">
        <w:rPr>
          <w:rFonts w:ascii="Arial" w:eastAsia="Times New Roman" w:hAnsi="Arial" w:cs="Arial"/>
          <w:i/>
          <w:iCs/>
          <w:sz w:val="24"/>
          <w:szCs w:val="24"/>
          <w:lang w:val="en-GB" w:eastAsia="en-GB"/>
        </w:rPr>
        <w:t>Journal of Management</w:t>
      </w:r>
      <w:r w:rsidRPr="00764905">
        <w:rPr>
          <w:rFonts w:ascii="Arial" w:eastAsia="Times New Roman" w:hAnsi="Arial" w:cs="Arial"/>
          <w:sz w:val="24"/>
          <w:szCs w:val="24"/>
          <w:lang w:val="en-GB" w:eastAsia="en-GB"/>
        </w:rPr>
        <w:t>, 17(1), pp. 99–120.</w:t>
      </w:r>
      <w:r w:rsidRPr="00764905">
        <w:rPr>
          <w:rFonts w:ascii="Arial" w:eastAsia="Times New Roman" w:hAnsi="Arial" w:cs="Arial"/>
          <w:sz w:val="24"/>
          <w:szCs w:val="24"/>
          <w:lang w:val="en-GB" w:eastAsia="en-GB"/>
        </w:rPr>
        <w:br/>
      </w:r>
      <w:hyperlink r:id="rId17"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3A634FCB" w14:textId="77777777" w:rsidR="00764905" w:rsidRPr="00764905" w:rsidRDefault="00764905" w:rsidP="00764905">
      <w:pPr>
        <w:numPr>
          <w:ilvl w:val="0"/>
          <w:numId w:val="7"/>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Barney, J.B., Wright, M. and Ketchen, D.J. (2001)</w:t>
      </w:r>
      <w:r w:rsidRPr="00764905">
        <w:rPr>
          <w:rFonts w:ascii="Arial" w:eastAsia="Times New Roman" w:hAnsi="Arial" w:cs="Arial"/>
          <w:sz w:val="24"/>
          <w:szCs w:val="24"/>
          <w:lang w:val="en-GB" w:eastAsia="en-GB"/>
        </w:rPr>
        <w:t xml:space="preserve"> ‘The resource-based view of the firm: Ten years after 1991’, </w:t>
      </w:r>
      <w:r w:rsidRPr="00764905">
        <w:rPr>
          <w:rFonts w:ascii="Arial" w:eastAsia="Times New Roman" w:hAnsi="Arial" w:cs="Arial"/>
          <w:i/>
          <w:iCs/>
          <w:sz w:val="24"/>
          <w:szCs w:val="24"/>
          <w:lang w:val="en-GB" w:eastAsia="en-GB"/>
        </w:rPr>
        <w:t>Journal of Management</w:t>
      </w:r>
      <w:r w:rsidRPr="00764905">
        <w:rPr>
          <w:rFonts w:ascii="Arial" w:eastAsia="Times New Roman" w:hAnsi="Arial" w:cs="Arial"/>
          <w:sz w:val="24"/>
          <w:szCs w:val="24"/>
          <w:lang w:val="en-GB" w:eastAsia="en-GB"/>
        </w:rPr>
        <w:t>, 27(6), pp. 625–641.</w:t>
      </w:r>
      <w:r w:rsidRPr="00764905">
        <w:rPr>
          <w:rFonts w:ascii="Arial" w:eastAsia="Times New Roman" w:hAnsi="Arial" w:cs="Arial"/>
          <w:sz w:val="24"/>
          <w:szCs w:val="24"/>
          <w:lang w:val="en-GB" w:eastAsia="en-GB"/>
        </w:rPr>
        <w:br/>
      </w:r>
      <w:hyperlink r:id="rId18"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0EF8E448" w14:textId="77777777" w:rsidR="00764905" w:rsidRPr="00764905" w:rsidRDefault="00764905" w:rsidP="00764905">
      <w:pPr>
        <w:numPr>
          <w:ilvl w:val="0"/>
          <w:numId w:val="7"/>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Berry, L.L., Carbone, L.P. and Haeckel, S.H. (2002)</w:t>
      </w:r>
      <w:r w:rsidRPr="00764905">
        <w:rPr>
          <w:rFonts w:ascii="Arial" w:eastAsia="Times New Roman" w:hAnsi="Arial" w:cs="Arial"/>
          <w:sz w:val="24"/>
          <w:szCs w:val="24"/>
          <w:lang w:val="en-GB" w:eastAsia="en-GB"/>
        </w:rPr>
        <w:t xml:space="preserve"> ‘Managing the total customer experience’, </w:t>
      </w:r>
      <w:r w:rsidRPr="00764905">
        <w:rPr>
          <w:rFonts w:ascii="Arial" w:eastAsia="Times New Roman" w:hAnsi="Arial" w:cs="Arial"/>
          <w:i/>
          <w:iCs/>
          <w:sz w:val="24"/>
          <w:szCs w:val="24"/>
          <w:lang w:val="en-GB" w:eastAsia="en-GB"/>
        </w:rPr>
        <w:t>MIT Sloan Management Review</w:t>
      </w:r>
      <w:r w:rsidRPr="00764905">
        <w:rPr>
          <w:rFonts w:ascii="Arial" w:eastAsia="Times New Roman" w:hAnsi="Arial" w:cs="Arial"/>
          <w:sz w:val="24"/>
          <w:szCs w:val="24"/>
          <w:lang w:val="en-GB" w:eastAsia="en-GB"/>
        </w:rPr>
        <w:t>, 43(3), pp. 85–89.</w:t>
      </w:r>
      <w:r w:rsidRPr="00764905">
        <w:rPr>
          <w:rFonts w:ascii="Arial" w:eastAsia="Times New Roman" w:hAnsi="Arial" w:cs="Arial"/>
          <w:sz w:val="24"/>
          <w:szCs w:val="24"/>
          <w:lang w:val="en-GB" w:eastAsia="en-GB"/>
        </w:rPr>
        <w:br/>
      </w:r>
      <w:hyperlink r:id="rId19" w:tgtFrame="_blank" w:history="1">
        <w:r w:rsidRPr="00764905">
          <w:rPr>
            <w:rFonts w:ascii="Arial" w:eastAsia="Times New Roman" w:hAnsi="Arial" w:cs="Arial"/>
            <w:color w:val="0000FF"/>
            <w:sz w:val="24"/>
            <w:szCs w:val="24"/>
            <w:u w:val="single"/>
            <w:lang w:val="en-GB" w:eastAsia="en-GB"/>
          </w:rPr>
          <w:t>Article/search record</w:t>
        </w:r>
      </w:hyperlink>
      <w:r w:rsidRPr="00764905">
        <w:rPr>
          <w:rFonts w:ascii="Arial" w:eastAsia="Times New Roman" w:hAnsi="Arial" w:cs="Arial"/>
          <w:sz w:val="24"/>
          <w:szCs w:val="24"/>
          <w:lang w:val="en-GB" w:eastAsia="en-GB"/>
        </w:rPr>
        <w:t xml:space="preserve"> </w:t>
      </w:r>
    </w:p>
    <w:p w14:paraId="7D5A6735" w14:textId="77777777" w:rsidR="00764905" w:rsidRPr="00764905" w:rsidRDefault="00764905" w:rsidP="00764905">
      <w:pPr>
        <w:numPr>
          <w:ilvl w:val="0"/>
          <w:numId w:val="7"/>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Bitner, M.J. (1992)</w:t>
      </w:r>
      <w:r w:rsidRPr="00764905">
        <w:rPr>
          <w:rFonts w:ascii="Arial" w:eastAsia="Times New Roman" w:hAnsi="Arial" w:cs="Arial"/>
          <w:sz w:val="24"/>
          <w:szCs w:val="24"/>
          <w:lang w:val="en-GB" w:eastAsia="en-GB"/>
        </w:rPr>
        <w:t xml:space="preserve"> ‘Servicescapes: The impact of physical surroundings on customers and employees’, </w:t>
      </w:r>
      <w:r w:rsidRPr="00764905">
        <w:rPr>
          <w:rFonts w:ascii="Arial" w:eastAsia="Times New Roman" w:hAnsi="Arial" w:cs="Arial"/>
          <w:i/>
          <w:iCs/>
          <w:sz w:val="24"/>
          <w:szCs w:val="24"/>
          <w:lang w:val="en-GB" w:eastAsia="en-GB"/>
        </w:rPr>
        <w:t>Journal of Marketing</w:t>
      </w:r>
      <w:r w:rsidRPr="00764905">
        <w:rPr>
          <w:rFonts w:ascii="Arial" w:eastAsia="Times New Roman" w:hAnsi="Arial" w:cs="Arial"/>
          <w:sz w:val="24"/>
          <w:szCs w:val="24"/>
          <w:lang w:val="en-GB" w:eastAsia="en-GB"/>
        </w:rPr>
        <w:t>, 56(2), pp. 57–71.</w:t>
      </w:r>
      <w:r w:rsidRPr="00764905">
        <w:rPr>
          <w:rFonts w:ascii="Arial" w:eastAsia="Times New Roman" w:hAnsi="Arial" w:cs="Arial"/>
          <w:sz w:val="24"/>
          <w:szCs w:val="24"/>
          <w:lang w:val="en-GB" w:eastAsia="en-GB"/>
        </w:rPr>
        <w:br/>
      </w:r>
      <w:hyperlink r:id="rId20"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10366048" w14:textId="77777777" w:rsidR="00764905" w:rsidRPr="00764905" w:rsidRDefault="00764905" w:rsidP="00764905">
      <w:pPr>
        <w:numPr>
          <w:ilvl w:val="0"/>
          <w:numId w:val="7"/>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Bocken, N.M.P., Short, S.W., Rana, P. and Evans, S. (2014)</w:t>
      </w:r>
      <w:r w:rsidRPr="00764905">
        <w:rPr>
          <w:rFonts w:ascii="Arial" w:eastAsia="Times New Roman" w:hAnsi="Arial" w:cs="Arial"/>
          <w:sz w:val="24"/>
          <w:szCs w:val="24"/>
          <w:lang w:val="en-GB" w:eastAsia="en-GB"/>
        </w:rPr>
        <w:t xml:space="preserve"> ‘A literature and practice review to develop sustainable business model archetypes’, </w:t>
      </w:r>
      <w:r w:rsidRPr="00764905">
        <w:rPr>
          <w:rFonts w:ascii="Arial" w:eastAsia="Times New Roman" w:hAnsi="Arial" w:cs="Arial"/>
          <w:i/>
          <w:iCs/>
          <w:sz w:val="24"/>
          <w:szCs w:val="24"/>
          <w:lang w:val="en-GB" w:eastAsia="en-GB"/>
        </w:rPr>
        <w:t>Journal of Cleaner Production</w:t>
      </w:r>
      <w:r w:rsidRPr="00764905">
        <w:rPr>
          <w:rFonts w:ascii="Arial" w:eastAsia="Times New Roman" w:hAnsi="Arial" w:cs="Arial"/>
          <w:sz w:val="24"/>
          <w:szCs w:val="24"/>
          <w:lang w:val="en-GB" w:eastAsia="en-GB"/>
        </w:rPr>
        <w:t>, 65, pp. 42–56.</w:t>
      </w:r>
      <w:r w:rsidRPr="00764905">
        <w:rPr>
          <w:rFonts w:ascii="Arial" w:eastAsia="Times New Roman" w:hAnsi="Arial" w:cs="Arial"/>
          <w:sz w:val="24"/>
          <w:szCs w:val="24"/>
          <w:lang w:val="en-GB" w:eastAsia="en-GB"/>
        </w:rPr>
        <w:br/>
      </w:r>
      <w:hyperlink r:id="rId21"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11185FBC" w14:textId="77777777" w:rsidR="00764905" w:rsidRPr="00764905" w:rsidRDefault="00764905" w:rsidP="00764905">
      <w:pPr>
        <w:numPr>
          <w:ilvl w:val="0"/>
          <w:numId w:val="8"/>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Carrigan, M. and Attalla, A. (2001)</w:t>
      </w:r>
      <w:r w:rsidRPr="00764905">
        <w:rPr>
          <w:rFonts w:ascii="Arial" w:eastAsia="Times New Roman" w:hAnsi="Arial" w:cs="Arial"/>
          <w:sz w:val="24"/>
          <w:szCs w:val="24"/>
          <w:lang w:val="en-GB" w:eastAsia="en-GB"/>
        </w:rPr>
        <w:t xml:space="preserve"> ‘The myth of the ethical consumer – do ethics matter in purchase behaviour?’, </w:t>
      </w:r>
      <w:r w:rsidRPr="00764905">
        <w:rPr>
          <w:rFonts w:ascii="Arial" w:eastAsia="Times New Roman" w:hAnsi="Arial" w:cs="Arial"/>
          <w:i/>
          <w:iCs/>
          <w:sz w:val="24"/>
          <w:szCs w:val="24"/>
          <w:lang w:val="en-GB" w:eastAsia="en-GB"/>
        </w:rPr>
        <w:t>Journal of Consumer Marketing</w:t>
      </w:r>
      <w:r w:rsidRPr="00764905">
        <w:rPr>
          <w:rFonts w:ascii="Arial" w:eastAsia="Times New Roman" w:hAnsi="Arial" w:cs="Arial"/>
          <w:sz w:val="24"/>
          <w:szCs w:val="24"/>
          <w:lang w:val="en-GB" w:eastAsia="en-GB"/>
        </w:rPr>
        <w:t>, 18(7), pp. 560–577.</w:t>
      </w:r>
      <w:r w:rsidRPr="00764905">
        <w:rPr>
          <w:rFonts w:ascii="Arial" w:eastAsia="Times New Roman" w:hAnsi="Arial" w:cs="Arial"/>
          <w:sz w:val="24"/>
          <w:szCs w:val="24"/>
          <w:lang w:val="en-GB" w:eastAsia="en-GB"/>
        </w:rPr>
        <w:br/>
      </w:r>
      <w:hyperlink r:id="rId22"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6F1D5DE6" w14:textId="77777777" w:rsidR="00764905" w:rsidRPr="00764905" w:rsidRDefault="00764905" w:rsidP="00764905">
      <w:pPr>
        <w:numPr>
          <w:ilvl w:val="0"/>
          <w:numId w:val="8"/>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Carroll, A.B. (1991)</w:t>
      </w:r>
      <w:r w:rsidRPr="00764905">
        <w:rPr>
          <w:rFonts w:ascii="Arial" w:eastAsia="Times New Roman" w:hAnsi="Arial" w:cs="Arial"/>
          <w:sz w:val="24"/>
          <w:szCs w:val="24"/>
          <w:lang w:val="en-GB" w:eastAsia="en-GB"/>
        </w:rPr>
        <w:t xml:space="preserve"> ‘The pyramid of corporate social responsibility: Toward the moral management of organizational stakeholders’, </w:t>
      </w:r>
      <w:r w:rsidRPr="00764905">
        <w:rPr>
          <w:rFonts w:ascii="Arial" w:eastAsia="Times New Roman" w:hAnsi="Arial" w:cs="Arial"/>
          <w:i/>
          <w:iCs/>
          <w:sz w:val="24"/>
          <w:szCs w:val="24"/>
          <w:lang w:val="en-GB" w:eastAsia="en-GB"/>
        </w:rPr>
        <w:t>Business Horizons</w:t>
      </w:r>
      <w:r w:rsidRPr="00764905">
        <w:rPr>
          <w:rFonts w:ascii="Arial" w:eastAsia="Times New Roman" w:hAnsi="Arial" w:cs="Arial"/>
          <w:sz w:val="24"/>
          <w:szCs w:val="24"/>
          <w:lang w:val="en-GB" w:eastAsia="en-GB"/>
        </w:rPr>
        <w:t xml:space="preserve">, 34(4), </w:t>
      </w:r>
      <w:r w:rsidRPr="00764905">
        <w:rPr>
          <w:rFonts w:ascii="Arial" w:eastAsia="Times New Roman" w:hAnsi="Arial" w:cs="Arial"/>
          <w:sz w:val="24"/>
          <w:szCs w:val="24"/>
          <w:lang w:val="en-GB" w:eastAsia="en-GB"/>
        </w:rPr>
        <w:lastRenderedPageBreak/>
        <w:t>pp. 39–48.</w:t>
      </w:r>
      <w:r w:rsidRPr="00764905">
        <w:rPr>
          <w:rFonts w:ascii="Arial" w:eastAsia="Times New Roman" w:hAnsi="Arial" w:cs="Arial"/>
          <w:sz w:val="24"/>
          <w:szCs w:val="24"/>
          <w:lang w:val="en-GB" w:eastAsia="en-GB"/>
        </w:rPr>
        <w:br/>
        <w:t xml:space="preserve">DOI </w:t>
      </w:r>
    </w:p>
    <w:p w14:paraId="54A84002" w14:textId="77777777" w:rsidR="00764905" w:rsidRPr="00764905" w:rsidRDefault="00764905" w:rsidP="00764905">
      <w:pPr>
        <w:numPr>
          <w:ilvl w:val="0"/>
          <w:numId w:val="8"/>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Christopher, M. (2016)</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Logistics &amp; Supply Chain Management</w:t>
      </w:r>
      <w:r w:rsidRPr="00764905">
        <w:rPr>
          <w:rFonts w:ascii="Arial" w:eastAsia="Times New Roman" w:hAnsi="Arial" w:cs="Arial"/>
          <w:sz w:val="24"/>
          <w:szCs w:val="24"/>
          <w:lang w:val="en-GB" w:eastAsia="en-GB"/>
        </w:rPr>
        <w:t>. 5th edn. Harlow: Pearson.</w:t>
      </w:r>
      <w:r w:rsidRPr="00764905">
        <w:rPr>
          <w:rFonts w:ascii="Arial" w:eastAsia="Times New Roman" w:hAnsi="Arial" w:cs="Arial"/>
          <w:sz w:val="24"/>
          <w:szCs w:val="24"/>
          <w:lang w:val="en-GB" w:eastAsia="en-GB"/>
        </w:rPr>
        <w:br/>
        <w:t xml:space="preserve">Book/search record </w:t>
      </w:r>
    </w:p>
    <w:p w14:paraId="55AC6584" w14:textId="77777777" w:rsidR="00764905" w:rsidRPr="00764905" w:rsidRDefault="00764905" w:rsidP="00764905">
      <w:pPr>
        <w:numPr>
          <w:ilvl w:val="0"/>
          <w:numId w:val="8"/>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Churchill, G.A. and Iacobucci, D. (2010)</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Marketing Research: Methodological Foundations</w:t>
      </w:r>
      <w:r w:rsidRPr="00764905">
        <w:rPr>
          <w:rFonts w:ascii="Arial" w:eastAsia="Times New Roman" w:hAnsi="Arial" w:cs="Arial"/>
          <w:sz w:val="24"/>
          <w:szCs w:val="24"/>
          <w:lang w:val="en-GB" w:eastAsia="en-GB"/>
        </w:rPr>
        <w:t>. 10th edn. Mason, OH: South-Western.</w:t>
      </w:r>
      <w:r w:rsidRPr="00764905">
        <w:rPr>
          <w:rFonts w:ascii="Arial" w:eastAsia="Times New Roman" w:hAnsi="Arial" w:cs="Arial"/>
          <w:sz w:val="24"/>
          <w:szCs w:val="24"/>
          <w:lang w:val="en-GB" w:eastAsia="en-GB"/>
        </w:rPr>
        <w:br/>
        <w:t xml:space="preserve">Book/search record </w:t>
      </w:r>
    </w:p>
    <w:p w14:paraId="51BF5C28" w14:textId="77777777" w:rsidR="00764905" w:rsidRPr="00764905" w:rsidRDefault="00764905" w:rsidP="00764905">
      <w:pPr>
        <w:numPr>
          <w:ilvl w:val="0"/>
          <w:numId w:val="9"/>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Dahan, S., et al. (2026)</w:t>
      </w:r>
      <w:r w:rsidRPr="00764905">
        <w:rPr>
          <w:rFonts w:ascii="Arial" w:eastAsia="Times New Roman" w:hAnsi="Arial" w:cs="Arial"/>
          <w:sz w:val="24"/>
          <w:szCs w:val="24"/>
          <w:lang w:val="en-GB" w:eastAsia="en-GB"/>
        </w:rPr>
        <w:t xml:space="preserve"> ‘Green marketing: The relationships between marketing strategy, supply chain, and firms' environmental performance’, </w:t>
      </w:r>
      <w:r w:rsidRPr="00764905">
        <w:rPr>
          <w:rFonts w:ascii="Arial" w:eastAsia="Times New Roman" w:hAnsi="Arial" w:cs="Arial"/>
          <w:i/>
          <w:iCs/>
          <w:sz w:val="24"/>
          <w:szCs w:val="24"/>
          <w:lang w:val="en-GB" w:eastAsia="en-GB"/>
        </w:rPr>
        <w:t>Business Strategy and the Environment</w:t>
      </w:r>
      <w:r w:rsidRPr="00764905">
        <w:rPr>
          <w:rFonts w:ascii="Arial" w:eastAsia="Times New Roman" w:hAnsi="Arial" w:cs="Arial"/>
          <w:sz w:val="24"/>
          <w:szCs w:val="24"/>
          <w:lang w:val="en-GB" w:eastAsia="en-GB"/>
        </w:rPr>
        <w:t>.</w:t>
      </w:r>
      <w:r w:rsidRPr="00764905">
        <w:rPr>
          <w:rFonts w:ascii="Arial" w:eastAsia="Times New Roman" w:hAnsi="Arial" w:cs="Arial"/>
          <w:sz w:val="24"/>
          <w:szCs w:val="24"/>
          <w:lang w:val="en-GB" w:eastAsia="en-GB"/>
        </w:rPr>
        <w:br/>
      </w:r>
      <w:hyperlink r:id="rId23"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353F5741" w14:textId="77777777" w:rsidR="00764905" w:rsidRPr="00764905" w:rsidRDefault="00764905" w:rsidP="00764905">
      <w:pPr>
        <w:numPr>
          <w:ilvl w:val="0"/>
          <w:numId w:val="9"/>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Day, G.S. (1994)</w:t>
      </w:r>
      <w:r w:rsidRPr="00764905">
        <w:rPr>
          <w:rFonts w:ascii="Arial" w:eastAsia="Times New Roman" w:hAnsi="Arial" w:cs="Arial"/>
          <w:sz w:val="24"/>
          <w:szCs w:val="24"/>
          <w:lang w:val="en-GB" w:eastAsia="en-GB"/>
        </w:rPr>
        <w:t xml:space="preserve"> ‘The capabilities of market-driven organizations’, </w:t>
      </w:r>
      <w:r w:rsidRPr="00764905">
        <w:rPr>
          <w:rFonts w:ascii="Arial" w:eastAsia="Times New Roman" w:hAnsi="Arial" w:cs="Arial"/>
          <w:i/>
          <w:iCs/>
          <w:sz w:val="24"/>
          <w:szCs w:val="24"/>
          <w:lang w:val="en-GB" w:eastAsia="en-GB"/>
        </w:rPr>
        <w:t>Journal of Marketing</w:t>
      </w:r>
      <w:r w:rsidRPr="00764905">
        <w:rPr>
          <w:rFonts w:ascii="Arial" w:eastAsia="Times New Roman" w:hAnsi="Arial" w:cs="Arial"/>
          <w:sz w:val="24"/>
          <w:szCs w:val="24"/>
          <w:lang w:val="en-GB" w:eastAsia="en-GB"/>
        </w:rPr>
        <w:t>, 58(4), pp. 37–52.</w:t>
      </w:r>
      <w:r w:rsidRPr="00764905">
        <w:rPr>
          <w:rFonts w:ascii="Arial" w:eastAsia="Times New Roman" w:hAnsi="Arial" w:cs="Arial"/>
          <w:sz w:val="24"/>
          <w:szCs w:val="24"/>
          <w:lang w:val="en-GB" w:eastAsia="en-GB"/>
        </w:rPr>
        <w:br/>
      </w:r>
      <w:hyperlink r:id="rId24"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5A032198" w14:textId="77777777" w:rsidR="00764905" w:rsidRPr="00764905" w:rsidRDefault="00764905" w:rsidP="00764905">
      <w:pPr>
        <w:numPr>
          <w:ilvl w:val="0"/>
          <w:numId w:val="9"/>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De Pelsmacker, P., Driesen, L. and Rayp, G. (2005)</w:t>
      </w:r>
      <w:r w:rsidRPr="00764905">
        <w:rPr>
          <w:rFonts w:ascii="Arial" w:eastAsia="Times New Roman" w:hAnsi="Arial" w:cs="Arial"/>
          <w:sz w:val="24"/>
          <w:szCs w:val="24"/>
          <w:lang w:val="en-GB" w:eastAsia="en-GB"/>
        </w:rPr>
        <w:t xml:space="preserve"> ‘Do consumers care about ethics? Willingness to pay for fair-trade coffee’, </w:t>
      </w:r>
      <w:r w:rsidRPr="00764905">
        <w:rPr>
          <w:rFonts w:ascii="Arial" w:eastAsia="Times New Roman" w:hAnsi="Arial" w:cs="Arial"/>
          <w:i/>
          <w:iCs/>
          <w:sz w:val="24"/>
          <w:szCs w:val="24"/>
          <w:lang w:val="en-GB" w:eastAsia="en-GB"/>
        </w:rPr>
        <w:t>Journal of Consumer Affairs</w:t>
      </w:r>
      <w:r w:rsidRPr="00764905">
        <w:rPr>
          <w:rFonts w:ascii="Arial" w:eastAsia="Times New Roman" w:hAnsi="Arial" w:cs="Arial"/>
          <w:sz w:val="24"/>
          <w:szCs w:val="24"/>
          <w:lang w:val="en-GB" w:eastAsia="en-GB"/>
        </w:rPr>
        <w:t>, 39(2), pp. 363–385.</w:t>
      </w:r>
      <w:r w:rsidRPr="00764905">
        <w:rPr>
          <w:rFonts w:ascii="Arial" w:eastAsia="Times New Roman" w:hAnsi="Arial" w:cs="Arial"/>
          <w:sz w:val="24"/>
          <w:szCs w:val="24"/>
          <w:lang w:val="en-GB" w:eastAsia="en-GB"/>
        </w:rPr>
        <w:br/>
      </w:r>
      <w:hyperlink r:id="rId25"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452C9AE9" w14:textId="77777777" w:rsidR="00764905" w:rsidRPr="00764905" w:rsidRDefault="00764905" w:rsidP="00764905">
      <w:pPr>
        <w:numPr>
          <w:ilvl w:val="0"/>
          <w:numId w:val="9"/>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Dibb, S. and Simkin, L. (2013)</w:t>
      </w:r>
      <w:r w:rsidRPr="00764905">
        <w:rPr>
          <w:rFonts w:ascii="Arial" w:eastAsia="Times New Roman" w:hAnsi="Arial" w:cs="Arial"/>
          <w:sz w:val="24"/>
          <w:szCs w:val="24"/>
          <w:lang w:val="en-GB" w:eastAsia="en-GB"/>
        </w:rPr>
        <w:t xml:space="preserve"> ‘Market segmentation success: Making it happen!’, </w:t>
      </w:r>
      <w:r w:rsidRPr="00764905">
        <w:rPr>
          <w:rFonts w:ascii="Arial" w:eastAsia="Times New Roman" w:hAnsi="Arial" w:cs="Arial"/>
          <w:i/>
          <w:iCs/>
          <w:sz w:val="24"/>
          <w:szCs w:val="24"/>
          <w:lang w:val="en-GB" w:eastAsia="en-GB"/>
        </w:rPr>
        <w:t>Marketing Intelligence &amp; Planning</w:t>
      </w:r>
      <w:r w:rsidRPr="00764905">
        <w:rPr>
          <w:rFonts w:ascii="Arial" w:eastAsia="Times New Roman" w:hAnsi="Arial" w:cs="Arial"/>
          <w:sz w:val="24"/>
          <w:szCs w:val="24"/>
          <w:lang w:val="en-GB" w:eastAsia="en-GB"/>
        </w:rPr>
        <w:t>, 31(2), pp. 202–221.</w:t>
      </w:r>
      <w:r w:rsidRPr="00764905">
        <w:rPr>
          <w:rFonts w:ascii="Arial" w:eastAsia="Times New Roman" w:hAnsi="Arial" w:cs="Arial"/>
          <w:sz w:val="24"/>
          <w:szCs w:val="24"/>
          <w:lang w:val="en-GB" w:eastAsia="en-GB"/>
        </w:rPr>
        <w:br/>
        <w:t xml:space="preserve">DOI/search </w:t>
      </w:r>
    </w:p>
    <w:p w14:paraId="5B3FBC8D" w14:textId="77777777" w:rsidR="00764905" w:rsidRPr="00764905" w:rsidRDefault="00764905" w:rsidP="00764905">
      <w:pPr>
        <w:numPr>
          <w:ilvl w:val="0"/>
          <w:numId w:val="10"/>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Elkington, J. (1998)</w:t>
      </w:r>
      <w:r w:rsidRPr="00764905">
        <w:rPr>
          <w:rFonts w:ascii="Arial" w:eastAsia="Times New Roman" w:hAnsi="Arial" w:cs="Arial"/>
          <w:sz w:val="24"/>
          <w:szCs w:val="24"/>
          <w:lang w:val="en-GB" w:eastAsia="en-GB"/>
        </w:rPr>
        <w:t xml:space="preserve"> ‘Partnerships from cannibals with forks: The triple bottom line of 21st-century business’, </w:t>
      </w:r>
      <w:r w:rsidRPr="00764905">
        <w:rPr>
          <w:rFonts w:ascii="Arial" w:eastAsia="Times New Roman" w:hAnsi="Arial" w:cs="Arial"/>
          <w:i/>
          <w:iCs/>
          <w:sz w:val="24"/>
          <w:szCs w:val="24"/>
          <w:lang w:val="en-GB" w:eastAsia="en-GB"/>
        </w:rPr>
        <w:t>Environmental Quality Management</w:t>
      </w:r>
      <w:r w:rsidRPr="00764905">
        <w:rPr>
          <w:rFonts w:ascii="Arial" w:eastAsia="Times New Roman" w:hAnsi="Arial" w:cs="Arial"/>
          <w:sz w:val="24"/>
          <w:szCs w:val="24"/>
          <w:lang w:val="en-GB" w:eastAsia="en-GB"/>
        </w:rPr>
        <w:t>, 8(1), pp. 37–51.</w:t>
      </w:r>
      <w:r w:rsidRPr="00764905">
        <w:rPr>
          <w:rFonts w:ascii="Arial" w:eastAsia="Times New Roman" w:hAnsi="Arial" w:cs="Arial"/>
          <w:sz w:val="24"/>
          <w:szCs w:val="24"/>
          <w:lang w:val="en-GB" w:eastAsia="en-GB"/>
        </w:rPr>
        <w:br/>
      </w:r>
      <w:hyperlink r:id="rId26"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37315A3F" w14:textId="77777777" w:rsidR="00764905" w:rsidRPr="00764905" w:rsidRDefault="00764905" w:rsidP="00764905">
      <w:pPr>
        <w:numPr>
          <w:ilvl w:val="0"/>
          <w:numId w:val="10"/>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Ellen, P.S., Webb, D.J. and Mohr, L.A. (2006)</w:t>
      </w:r>
      <w:r w:rsidRPr="00764905">
        <w:rPr>
          <w:rFonts w:ascii="Arial" w:eastAsia="Times New Roman" w:hAnsi="Arial" w:cs="Arial"/>
          <w:sz w:val="24"/>
          <w:szCs w:val="24"/>
          <w:lang w:val="en-GB" w:eastAsia="en-GB"/>
        </w:rPr>
        <w:t xml:space="preserve"> ‘Building corporate associations: Consumer attributions for corporate socially responsible programs’, </w:t>
      </w:r>
      <w:r w:rsidRPr="00764905">
        <w:rPr>
          <w:rFonts w:ascii="Arial" w:eastAsia="Times New Roman" w:hAnsi="Arial" w:cs="Arial"/>
          <w:i/>
          <w:iCs/>
          <w:sz w:val="24"/>
          <w:szCs w:val="24"/>
          <w:lang w:val="en-GB" w:eastAsia="en-GB"/>
        </w:rPr>
        <w:t>Journal of the Academy of Marketing Science</w:t>
      </w:r>
      <w:r w:rsidRPr="00764905">
        <w:rPr>
          <w:rFonts w:ascii="Arial" w:eastAsia="Times New Roman" w:hAnsi="Arial" w:cs="Arial"/>
          <w:sz w:val="24"/>
          <w:szCs w:val="24"/>
          <w:lang w:val="en-GB" w:eastAsia="en-GB"/>
        </w:rPr>
        <w:t>, 34, pp. 147–157.</w:t>
      </w:r>
      <w:r w:rsidRPr="00764905">
        <w:rPr>
          <w:rFonts w:ascii="Arial" w:eastAsia="Times New Roman" w:hAnsi="Arial" w:cs="Arial"/>
          <w:sz w:val="24"/>
          <w:szCs w:val="24"/>
          <w:lang w:val="en-GB" w:eastAsia="en-GB"/>
        </w:rPr>
        <w:br/>
      </w:r>
      <w:hyperlink r:id="rId27"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7B5FE160" w14:textId="77777777" w:rsidR="00764905" w:rsidRPr="00764905" w:rsidRDefault="00764905" w:rsidP="00764905">
      <w:pPr>
        <w:numPr>
          <w:ilvl w:val="0"/>
          <w:numId w:val="11"/>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lastRenderedPageBreak/>
        <w:t>Fuller, H. and Grebitus, C. (2023)</w:t>
      </w:r>
      <w:r w:rsidRPr="00764905">
        <w:rPr>
          <w:rFonts w:ascii="Arial" w:eastAsia="Times New Roman" w:hAnsi="Arial" w:cs="Arial"/>
          <w:sz w:val="24"/>
          <w:szCs w:val="24"/>
          <w:lang w:val="en-GB" w:eastAsia="en-GB"/>
        </w:rPr>
        <w:t xml:space="preserve"> ‘Consumer preferences and willingness to pay for ethical and sustainable coffee attributes’, </w:t>
      </w:r>
      <w:r w:rsidRPr="00764905">
        <w:rPr>
          <w:rFonts w:ascii="Arial" w:eastAsia="Times New Roman" w:hAnsi="Arial" w:cs="Arial"/>
          <w:i/>
          <w:iCs/>
          <w:sz w:val="24"/>
          <w:szCs w:val="24"/>
          <w:lang w:val="en-GB" w:eastAsia="en-GB"/>
        </w:rPr>
        <w:t>Sustainability</w:t>
      </w:r>
      <w:r w:rsidRPr="00764905">
        <w:rPr>
          <w:rFonts w:ascii="Arial" w:eastAsia="Times New Roman" w:hAnsi="Arial" w:cs="Arial"/>
          <w:sz w:val="24"/>
          <w:szCs w:val="24"/>
          <w:lang w:val="en-GB" w:eastAsia="en-GB"/>
        </w:rPr>
        <w:t>.</w:t>
      </w:r>
      <w:r w:rsidRPr="00764905">
        <w:rPr>
          <w:rFonts w:ascii="Arial" w:eastAsia="Times New Roman" w:hAnsi="Arial" w:cs="Arial"/>
          <w:sz w:val="24"/>
          <w:szCs w:val="24"/>
          <w:lang w:val="en-GB" w:eastAsia="en-GB"/>
        </w:rPr>
        <w:br/>
        <w:t xml:space="preserve">Academic search record </w:t>
      </w:r>
    </w:p>
    <w:p w14:paraId="28560C73" w14:textId="77777777" w:rsidR="00764905" w:rsidRPr="00764905" w:rsidRDefault="00764905" w:rsidP="00764905">
      <w:pPr>
        <w:numPr>
          <w:ilvl w:val="0"/>
          <w:numId w:val="11"/>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Fuller, H., Grebitus, C. and Schmitz, C. (2022)</w:t>
      </w:r>
      <w:r w:rsidRPr="00764905">
        <w:rPr>
          <w:rFonts w:ascii="Arial" w:eastAsia="Times New Roman" w:hAnsi="Arial" w:cs="Arial"/>
          <w:sz w:val="24"/>
          <w:szCs w:val="24"/>
          <w:lang w:val="en-GB" w:eastAsia="en-GB"/>
        </w:rPr>
        <w:t xml:space="preserve"> ‘Consumer preferences for ethical coffee attributes’, </w:t>
      </w:r>
      <w:r w:rsidRPr="00764905">
        <w:rPr>
          <w:rFonts w:ascii="Arial" w:eastAsia="Times New Roman" w:hAnsi="Arial" w:cs="Arial"/>
          <w:i/>
          <w:iCs/>
          <w:sz w:val="24"/>
          <w:szCs w:val="24"/>
          <w:lang w:val="en-GB" w:eastAsia="en-GB"/>
        </w:rPr>
        <w:t>Food Quality and Preference</w:t>
      </w:r>
      <w:r w:rsidRPr="00764905">
        <w:rPr>
          <w:rFonts w:ascii="Arial" w:eastAsia="Times New Roman" w:hAnsi="Arial" w:cs="Arial"/>
          <w:sz w:val="24"/>
          <w:szCs w:val="24"/>
          <w:lang w:val="en-GB" w:eastAsia="en-GB"/>
        </w:rPr>
        <w:t>.</w:t>
      </w:r>
      <w:r w:rsidRPr="00764905">
        <w:rPr>
          <w:rFonts w:ascii="Arial" w:eastAsia="Times New Roman" w:hAnsi="Arial" w:cs="Arial"/>
          <w:sz w:val="24"/>
          <w:szCs w:val="24"/>
          <w:lang w:val="en-GB" w:eastAsia="en-GB"/>
        </w:rPr>
        <w:br/>
        <w:t xml:space="preserve">Academic search record </w:t>
      </w:r>
    </w:p>
    <w:p w14:paraId="082852E6" w14:textId="77777777" w:rsidR="00764905" w:rsidRPr="00764905" w:rsidRDefault="00764905" w:rsidP="00764905">
      <w:pPr>
        <w:numPr>
          <w:ilvl w:val="0"/>
          <w:numId w:val="12"/>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Grönroos, C. (1984)</w:t>
      </w:r>
      <w:r w:rsidRPr="00764905">
        <w:rPr>
          <w:rFonts w:ascii="Arial" w:eastAsia="Times New Roman" w:hAnsi="Arial" w:cs="Arial"/>
          <w:sz w:val="24"/>
          <w:szCs w:val="24"/>
          <w:lang w:val="en-GB" w:eastAsia="en-GB"/>
        </w:rPr>
        <w:t xml:space="preserve"> ‘A service quality model and its marketing implications’, </w:t>
      </w:r>
      <w:r w:rsidRPr="00764905">
        <w:rPr>
          <w:rFonts w:ascii="Arial" w:eastAsia="Times New Roman" w:hAnsi="Arial" w:cs="Arial"/>
          <w:i/>
          <w:iCs/>
          <w:sz w:val="24"/>
          <w:szCs w:val="24"/>
          <w:lang w:val="en-GB" w:eastAsia="en-GB"/>
        </w:rPr>
        <w:t>European Journal of Marketing</w:t>
      </w:r>
      <w:r w:rsidRPr="00764905">
        <w:rPr>
          <w:rFonts w:ascii="Arial" w:eastAsia="Times New Roman" w:hAnsi="Arial" w:cs="Arial"/>
          <w:sz w:val="24"/>
          <w:szCs w:val="24"/>
          <w:lang w:val="en-GB" w:eastAsia="en-GB"/>
        </w:rPr>
        <w:t>, 18(4), pp. 36–44.</w:t>
      </w:r>
      <w:r w:rsidRPr="00764905">
        <w:rPr>
          <w:rFonts w:ascii="Arial" w:eastAsia="Times New Roman" w:hAnsi="Arial" w:cs="Arial"/>
          <w:sz w:val="24"/>
          <w:szCs w:val="24"/>
          <w:lang w:val="en-GB" w:eastAsia="en-GB"/>
        </w:rPr>
        <w:br/>
        <w:t xml:space="preserve">DOI </w:t>
      </w:r>
    </w:p>
    <w:p w14:paraId="0E010119" w14:textId="77777777" w:rsidR="00764905" w:rsidRPr="00764905" w:rsidRDefault="00764905" w:rsidP="00764905">
      <w:pPr>
        <w:numPr>
          <w:ilvl w:val="0"/>
          <w:numId w:val="12"/>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Grönroos, C. (2007)</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Service Management and Marketing: Customer Management in Service Competition</w:t>
      </w:r>
      <w:r w:rsidRPr="00764905">
        <w:rPr>
          <w:rFonts w:ascii="Arial" w:eastAsia="Times New Roman" w:hAnsi="Arial" w:cs="Arial"/>
          <w:sz w:val="24"/>
          <w:szCs w:val="24"/>
          <w:lang w:val="en-GB" w:eastAsia="en-GB"/>
        </w:rPr>
        <w:t>. 3rd edn. Chichester: Wiley.</w:t>
      </w:r>
      <w:r w:rsidRPr="00764905">
        <w:rPr>
          <w:rFonts w:ascii="Arial" w:eastAsia="Times New Roman" w:hAnsi="Arial" w:cs="Arial"/>
          <w:sz w:val="24"/>
          <w:szCs w:val="24"/>
          <w:lang w:val="en-GB" w:eastAsia="en-GB"/>
        </w:rPr>
        <w:br/>
        <w:t xml:space="preserve">Book/search record </w:t>
      </w:r>
    </w:p>
    <w:p w14:paraId="5793D0C1" w14:textId="77777777" w:rsidR="00764905" w:rsidRPr="00764905" w:rsidRDefault="00764905" w:rsidP="00764905">
      <w:pPr>
        <w:numPr>
          <w:ilvl w:val="0"/>
          <w:numId w:val="13"/>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Hofstede, G. (1980)</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Culture's Consequences: International Differences in Work-Related Values</w:t>
      </w:r>
      <w:r w:rsidRPr="00764905">
        <w:rPr>
          <w:rFonts w:ascii="Arial" w:eastAsia="Times New Roman" w:hAnsi="Arial" w:cs="Arial"/>
          <w:sz w:val="24"/>
          <w:szCs w:val="24"/>
          <w:lang w:val="en-GB" w:eastAsia="en-GB"/>
        </w:rPr>
        <w:t>. Beverly Hills, CA: Sage.</w:t>
      </w:r>
      <w:r w:rsidRPr="00764905">
        <w:rPr>
          <w:rFonts w:ascii="Arial" w:eastAsia="Times New Roman" w:hAnsi="Arial" w:cs="Arial"/>
          <w:sz w:val="24"/>
          <w:szCs w:val="24"/>
          <w:lang w:val="en-GB" w:eastAsia="en-GB"/>
        </w:rPr>
        <w:br/>
        <w:t xml:space="preserve">Book/search record </w:t>
      </w:r>
    </w:p>
    <w:p w14:paraId="5CBC708D" w14:textId="77777777" w:rsidR="00764905" w:rsidRPr="00764905" w:rsidRDefault="00764905" w:rsidP="00764905">
      <w:pPr>
        <w:numPr>
          <w:ilvl w:val="0"/>
          <w:numId w:val="13"/>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Hofstede, G. (2001)</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Culture's Consequences: Comparing Values, Behaviors, Institutions and Organizations Across Nations</w:t>
      </w:r>
      <w:r w:rsidRPr="00764905">
        <w:rPr>
          <w:rFonts w:ascii="Arial" w:eastAsia="Times New Roman" w:hAnsi="Arial" w:cs="Arial"/>
          <w:sz w:val="24"/>
          <w:szCs w:val="24"/>
          <w:lang w:val="en-GB" w:eastAsia="en-GB"/>
        </w:rPr>
        <w:t>. 2nd edn. Thousand Oaks, CA: Sage.</w:t>
      </w:r>
      <w:r w:rsidRPr="00764905">
        <w:rPr>
          <w:rFonts w:ascii="Arial" w:eastAsia="Times New Roman" w:hAnsi="Arial" w:cs="Arial"/>
          <w:sz w:val="24"/>
          <w:szCs w:val="24"/>
          <w:lang w:val="en-GB" w:eastAsia="en-GB"/>
        </w:rPr>
        <w:br/>
        <w:t xml:space="preserve">Book/search record </w:t>
      </w:r>
    </w:p>
    <w:p w14:paraId="4436B567" w14:textId="77777777" w:rsidR="00764905" w:rsidRPr="00764905" w:rsidRDefault="00764905" w:rsidP="00764905">
      <w:pPr>
        <w:numPr>
          <w:ilvl w:val="0"/>
          <w:numId w:val="13"/>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Hofstede, G., Hofstede, G.J. and Minkov, M. (2010)</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Cultures and Organizations: Software of the Mind</w:t>
      </w:r>
      <w:r w:rsidRPr="00764905">
        <w:rPr>
          <w:rFonts w:ascii="Arial" w:eastAsia="Times New Roman" w:hAnsi="Arial" w:cs="Arial"/>
          <w:sz w:val="24"/>
          <w:szCs w:val="24"/>
          <w:lang w:val="en-GB" w:eastAsia="en-GB"/>
        </w:rPr>
        <w:t>. 3rd edn. New York: McGraw-Hill.</w:t>
      </w:r>
      <w:r w:rsidRPr="00764905">
        <w:rPr>
          <w:rFonts w:ascii="Arial" w:eastAsia="Times New Roman" w:hAnsi="Arial" w:cs="Arial"/>
          <w:sz w:val="24"/>
          <w:szCs w:val="24"/>
          <w:lang w:val="en-GB" w:eastAsia="en-GB"/>
        </w:rPr>
        <w:br/>
        <w:t>Book/search record</w:t>
      </w:r>
    </w:p>
    <w:p w14:paraId="01DA04A4" w14:textId="77777777" w:rsidR="00764905" w:rsidRPr="00764905" w:rsidRDefault="00764905" w:rsidP="00764905">
      <w:pPr>
        <w:numPr>
          <w:ilvl w:val="0"/>
          <w:numId w:val="14"/>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Jaworski, B.J. and Kohli, A.K. (1993)</w:t>
      </w:r>
      <w:r w:rsidRPr="00764905">
        <w:rPr>
          <w:rFonts w:ascii="Arial" w:eastAsia="Times New Roman" w:hAnsi="Arial" w:cs="Arial"/>
          <w:sz w:val="24"/>
          <w:szCs w:val="24"/>
          <w:lang w:val="en-GB" w:eastAsia="en-GB"/>
        </w:rPr>
        <w:t xml:space="preserve"> ‘Market orientation: Antecedents and consequences’, </w:t>
      </w:r>
      <w:r w:rsidRPr="00764905">
        <w:rPr>
          <w:rFonts w:ascii="Arial" w:eastAsia="Times New Roman" w:hAnsi="Arial" w:cs="Arial"/>
          <w:i/>
          <w:iCs/>
          <w:sz w:val="24"/>
          <w:szCs w:val="24"/>
          <w:lang w:val="en-GB" w:eastAsia="en-GB"/>
        </w:rPr>
        <w:t>Journal of Marketing</w:t>
      </w:r>
      <w:r w:rsidRPr="00764905">
        <w:rPr>
          <w:rFonts w:ascii="Arial" w:eastAsia="Times New Roman" w:hAnsi="Arial" w:cs="Arial"/>
          <w:sz w:val="24"/>
          <w:szCs w:val="24"/>
          <w:lang w:val="en-GB" w:eastAsia="en-GB"/>
        </w:rPr>
        <w:t>, 57(3), pp. 53–70.</w:t>
      </w:r>
      <w:r w:rsidRPr="00764905">
        <w:rPr>
          <w:rFonts w:ascii="Arial" w:eastAsia="Times New Roman" w:hAnsi="Arial" w:cs="Arial"/>
          <w:sz w:val="24"/>
          <w:szCs w:val="24"/>
          <w:lang w:val="en-GB" w:eastAsia="en-GB"/>
        </w:rPr>
        <w:br/>
      </w:r>
      <w:hyperlink r:id="rId28"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23F0C15A" w14:textId="77777777" w:rsidR="00764905" w:rsidRPr="00764905" w:rsidRDefault="00764905" w:rsidP="00764905">
      <w:pPr>
        <w:numPr>
          <w:ilvl w:val="0"/>
          <w:numId w:val="14"/>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Jiang, Y., Klein, G. and Saunders, C. (2004)</w:t>
      </w:r>
      <w:r w:rsidRPr="00764905">
        <w:rPr>
          <w:rFonts w:ascii="Arial" w:eastAsia="Times New Roman" w:hAnsi="Arial" w:cs="Arial"/>
          <w:sz w:val="24"/>
          <w:szCs w:val="24"/>
          <w:lang w:val="en-GB" w:eastAsia="en-GB"/>
        </w:rPr>
        <w:t xml:space="preserve"> ‘Clustering the diffusion of electronic commerce’, </w:t>
      </w:r>
      <w:r w:rsidRPr="00764905">
        <w:rPr>
          <w:rFonts w:ascii="Arial" w:eastAsia="Times New Roman" w:hAnsi="Arial" w:cs="Arial"/>
          <w:i/>
          <w:iCs/>
          <w:sz w:val="24"/>
          <w:szCs w:val="24"/>
          <w:lang w:val="en-GB" w:eastAsia="en-GB"/>
        </w:rPr>
        <w:t>Communications of the ACM</w:t>
      </w:r>
      <w:r w:rsidRPr="00764905">
        <w:rPr>
          <w:rFonts w:ascii="Arial" w:eastAsia="Times New Roman" w:hAnsi="Arial" w:cs="Arial"/>
          <w:sz w:val="24"/>
          <w:szCs w:val="24"/>
          <w:lang w:val="en-GB" w:eastAsia="en-GB"/>
        </w:rPr>
        <w:t>.</w:t>
      </w:r>
      <w:r w:rsidRPr="00764905">
        <w:rPr>
          <w:rFonts w:ascii="Arial" w:eastAsia="Times New Roman" w:hAnsi="Arial" w:cs="Arial"/>
          <w:sz w:val="24"/>
          <w:szCs w:val="24"/>
          <w:lang w:val="en-GB" w:eastAsia="en-GB"/>
        </w:rPr>
        <w:br/>
        <w:t xml:space="preserve">Academic search record </w:t>
      </w:r>
    </w:p>
    <w:p w14:paraId="66364EE5" w14:textId="77777777" w:rsidR="00764905" w:rsidRPr="00764905" w:rsidRDefault="00764905" w:rsidP="00764905">
      <w:pPr>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Kato, T., Hayami, K., Kasahara, K., Morino, M., Ikuma, Y. and Ikeda, R. (2023)</w:t>
      </w:r>
      <w:r w:rsidRPr="00764905">
        <w:rPr>
          <w:rFonts w:ascii="Arial" w:eastAsia="Times New Roman" w:hAnsi="Arial" w:cs="Arial"/>
          <w:sz w:val="24"/>
          <w:szCs w:val="24"/>
          <w:lang w:val="en-GB" w:eastAsia="en-GB"/>
        </w:rPr>
        <w:t xml:space="preserve"> ‘Environmental vs. labor issues: Evidence of influence on intention to purchase ethical coffee in Japan’, </w:t>
      </w:r>
      <w:r w:rsidRPr="00764905">
        <w:rPr>
          <w:rFonts w:ascii="Arial" w:eastAsia="Times New Roman" w:hAnsi="Arial" w:cs="Arial"/>
          <w:i/>
          <w:iCs/>
          <w:sz w:val="24"/>
          <w:szCs w:val="24"/>
          <w:lang w:val="en-GB" w:eastAsia="en-GB"/>
        </w:rPr>
        <w:t xml:space="preserve">Humanities and Social Sciences </w:t>
      </w:r>
      <w:r w:rsidRPr="00764905">
        <w:rPr>
          <w:rFonts w:ascii="Arial" w:eastAsia="Times New Roman" w:hAnsi="Arial" w:cs="Arial"/>
          <w:i/>
          <w:iCs/>
          <w:sz w:val="24"/>
          <w:szCs w:val="24"/>
          <w:lang w:val="en-GB" w:eastAsia="en-GB"/>
        </w:rPr>
        <w:lastRenderedPageBreak/>
        <w:t>Communications</w:t>
      </w:r>
      <w:r w:rsidRPr="00764905">
        <w:rPr>
          <w:rFonts w:ascii="Arial" w:eastAsia="Times New Roman" w:hAnsi="Arial" w:cs="Arial"/>
          <w:sz w:val="24"/>
          <w:szCs w:val="24"/>
          <w:lang w:val="en-GB" w:eastAsia="en-GB"/>
        </w:rPr>
        <w:t>, 10, 714.</w:t>
      </w:r>
      <w:r w:rsidRPr="00764905">
        <w:rPr>
          <w:rFonts w:ascii="Arial" w:eastAsia="Times New Roman" w:hAnsi="Arial" w:cs="Arial"/>
          <w:sz w:val="24"/>
          <w:szCs w:val="24"/>
          <w:lang w:val="en-GB" w:eastAsia="en-GB"/>
        </w:rPr>
        <w:br/>
      </w:r>
      <w:hyperlink r:id="rId29"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4C7D96AF" w14:textId="77777777" w:rsidR="00764905" w:rsidRPr="00764905" w:rsidRDefault="00764905" w:rsidP="00764905">
      <w:pPr>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Keller, K.L. (1993)</w:t>
      </w:r>
      <w:r w:rsidRPr="00764905">
        <w:rPr>
          <w:rFonts w:ascii="Arial" w:eastAsia="Times New Roman" w:hAnsi="Arial" w:cs="Arial"/>
          <w:sz w:val="24"/>
          <w:szCs w:val="24"/>
          <w:lang w:val="en-GB" w:eastAsia="en-GB"/>
        </w:rPr>
        <w:t xml:space="preserve"> ‘Conceptualizing, measuring, and managing customer-based brand equity’, </w:t>
      </w:r>
      <w:r w:rsidRPr="00764905">
        <w:rPr>
          <w:rFonts w:ascii="Arial" w:eastAsia="Times New Roman" w:hAnsi="Arial" w:cs="Arial"/>
          <w:i/>
          <w:iCs/>
          <w:sz w:val="24"/>
          <w:szCs w:val="24"/>
          <w:lang w:val="en-GB" w:eastAsia="en-GB"/>
        </w:rPr>
        <w:t>Journal of Marketing</w:t>
      </w:r>
      <w:r w:rsidRPr="00764905">
        <w:rPr>
          <w:rFonts w:ascii="Arial" w:eastAsia="Times New Roman" w:hAnsi="Arial" w:cs="Arial"/>
          <w:sz w:val="24"/>
          <w:szCs w:val="24"/>
          <w:lang w:val="en-GB" w:eastAsia="en-GB"/>
        </w:rPr>
        <w:t>, 57(1), pp. 1–22.</w:t>
      </w:r>
      <w:r w:rsidRPr="00764905">
        <w:rPr>
          <w:rFonts w:ascii="Arial" w:eastAsia="Times New Roman" w:hAnsi="Arial" w:cs="Arial"/>
          <w:sz w:val="24"/>
          <w:szCs w:val="24"/>
          <w:lang w:val="en-GB" w:eastAsia="en-GB"/>
        </w:rPr>
        <w:br/>
      </w:r>
      <w:hyperlink r:id="rId30"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090A9C35" w14:textId="77777777" w:rsidR="00764905" w:rsidRPr="00764905" w:rsidRDefault="00764905" w:rsidP="00764905">
      <w:pPr>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Keller, K.L. (2013)</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Strategic Brand Management</w:t>
      </w:r>
      <w:r w:rsidRPr="00764905">
        <w:rPr>
          <w:rFonts w:ascii="Arial" w:eastAsia="Times New Roman" w:hAnsi="Arial" w:cs="Arial"/>
          <w:sz w:val="24"/>
          <w:szCs w:val="24"/>
          <w:lang w:val="en-GB" w:eastAsia="en-GB"/>
        </w:rPr>
        <w:t>. 4th edn. Harlow: Pearson.</w:t>
      </w:r>
      <w:r w:rsidRPr="00764905">
        <w:rPr>
          <w:rFonts w:ascii="Arial" w:eastAsia="Times New Roman" w:hAnsi="Arial" w:cs="Arial"/>
          <w:sz w:val="24"/>
          <w:szCs w:val="24"/>
          <w:lang w:val="en-GB" w:eastAsia="en-GB"/>
        </w:rPr>
        <w:br/>
        <w:t xml:space="preserve">Book/search record </w:t>
      </w:r>
    </w:p>
    <w:p w14:paraId="77174E8E" w14:textId="77777777" w:rsidR="00764905" w:rsidRPr="00764905" w:rsidRDefault="00764905" w:rsidP="00764905">
      <w:pPr>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Kohli, A.K. and Jaworski, B.J. (1990)</w:t>
      </w:r>
      <w:r w:rsidRPr="00764905">
        <w:rPr>
          <w:rFonts w:ascii="Arial" w:eastAsia="Times New Roman" w:hAnsi="Arial" w:cs="Arial"/>
          <w:sz w:val="24"/>
          <w:szCs w:val="24"/>
          <w:lang w:val="en-GB" w:eastAsia="en-GB"/>
        </w:rPr>
        <w:t xml:space="preserve"> ‘Market orientation: The construct, research propositions, and managerial implications’, </w:t>
      </w:r>
      <w:r w:rsidRPr="00764905">
        <w:rPr>
          <w:rFonts w:ascii="Arial" w:eastAsia="Times New Roman" w:hAnsi="Arial" w:cs="Arial"/>
          <w:i/>
          <w:iCs/>
          <w:sz w:val="24"/>
          <w:szCs w:val="24"/>
          <w:lang w:val="en-GB" w:eastAsia="en-GB"/>
        </w:rPr>
        <w:t>Journal of Marketing</w:t>
      </w:r>
      <w:r w:rsidRPr="00764905">
        <w:rPr>
          <w:rFonts w:ascii="Arial" w:eastAsia="Times New Roman" w:hAnsi="Arial" w:cs="Arial"/>
          <w:sz w:val="24"/>
          <w:szCs w:val="24"/>
          <w:lang w:val="en-GB" w:eastAsia="en-GB"/>
        </w:rPr>
        <w:t>, 54(2), pp. 1–18.</w:t>
      </w:r>
      <w:r w:rsidRPr="00764905">
        <w:rPr>
          <w:rFonts w:ascii="Arial" w:eastAsia="Times New Roman" w:hAnsi="Arial" w:cs="Arial"/>
          <w:sz w:val="24"/>
          <w:szCs w:val="24"/>
          <w:lang w:val="en-GB" w:eastAsia="en-GB"/>
        </w:rPr>
        <w:br/>
      </w:r>
      <w:hyperlink r:id="rId31"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542D8B5B" w14:textId="77777777" w:rsidR="00764905" w:rsidRPr="00764905" w:rsidRDefault="00764905" w:rsidP="00764905">
      <w:pPr>
        <w:numPr>
          <w:ilvl w:val="0"/>
          <w:numId w:val="16"/>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Levitt, T. (1960)</w:t>
      </w:r>
      <w:r w:rsidRPr="00764905">
        <w:rPr>
          <w:rFonts w:ascii="Arial" w:eastAsia="Times New Roman" w:hAnsi="Arial" w:cs="Arial"/>
          <w:sz w:val="24"/>
          <w:szCs w:val="24"/>
          <w:lang w:val="en-GB" w:eastAsia="en-GB"/>
        </w:rPr>
        <w:t xml:space="preserve"> ‘Marketing myopia’, </w:t>
      </w:r>
      <w:r w:rsidRPr="00764905">
        <w:rPr>
          <w:rFonts w:ascii="Arial" w:eastAsia="Times New Roman" w:hAnsi="Arial" w:cs="Arial"/>
          <w:i/>
          <w:iCs/>
          <w:sz w:val="24"/>
          <w:szCs w:val="24"/>
          <w:lang w:val="en-GB" w:eastAsia="en-GB"/>
        </w:rPr>
        <w:t>Harvard Business Review</w:t>
      </w:r>
      <w:r w:rsidRPr="00764905">
        <w:rPr>
          <w:rFonts w:ascii="Arial" w:eastAsia="Times New Roman" w:hAnsi="Arial" w:cs="Arial"/>
          <w:sz w:val="24"/>
          <w:szCs w:val="24"/>
          <w:lang w:val="en-GB" w:eastAsia="en-GB"/>
        </w:rPr>
        <w:t>, 38(4), pp. 45–56.</w:t>
      </w:r>
      <w:r w:rsidRPr="00764905">
        <w:rPr>
          <w:rFonts w:ascii="Arial" w:eastAsia="Times New Roman" w:hAnsi="Arial" w:cs="Arial"/>
          <w:sz w:val="24"/>
          <w:szCs w:val="24"/>
          <w:lang w:val="en-GB" w:eastAsia="en-GB"/>
        </w:rPr>
        <w:br/>
        <w:t xml:space="preserve">Harvard Business Review search </w:t>
      </w:r>
    </w:p>
    <w:p w14:paraId="7247FFF1" w14:textId="77777777" w:rsidR="00764905" w:rsidRPr="00764905" w:rsidRDefault="00764905" w:rsidP="00764905">
      <w:pPr>
        <w:numPr>
          <w:ilvl w:val="0"/>
          <w:numId w:val="16"/>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Lovelock, C. and Wirtz, J. (2016)</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Services Marketing: People, Technology, Strategy</w:t>
      </w:r>
      <w:r w:rsidRPr="00764905">
        <w:rPr>
          <w:rFonts w:ascii="Arial" w:eastAsia="Times New Roman" w:hAnsi="Arial" w:cs="Arial"/>
          <w:sz w:val="24"/>
          <w:szCs w:val="24"/>
          <w:lang w:val="en-GB" w:eastAsia="en-GB"/>
        </w:rPr>
        <w:t>. 8th edn. Singapore: World Scientific.</w:t>
      </w:r>
      <w:r w:rsidRPr="00764905">
        <w:rPr>
          <w:rFonts w:ascii="Arial" w:eastAsia="Times New Roman" w:hAnsi="Arial" w:cs="Arial"/>
          <w:sz w:val="24"/>
          <w:szCs w:val="24"/>
          <w:lang w:val="en-GB" w:eastAsia="en-GB"/>
        </w:rPr>
        <w:br/>
        <w:t xml:space="preserve">Book/search record </w:t>
      </w:r>
    </w:p>
    <w:p w14:paraId="4F32B13E" w14:textId="77777777" w:rsidR="00764905" w:rsidRPr="00764905" w:rsidRDefault="00764905" w:rsidP="00764905">
      <w:pPr>
        <w:numPr>
          <w:ilvl w:val="0"/>
          <w:numId w:val="17"/>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MacInnis, D.J., Park, C.W. and Priester, J. (eds) (2009)</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Handbook of Brand Relationships</w:t>
      </w:r>
      <w:r w:rsidRPr="00764905">
        <w:rPr>
          <w:rFonts w:ascii="Arial" w:eastAsia="Times New Roman" w:hAnsi="Arial" w:cs="Arial"/>
          <w:sz w:val="24"/>
          <w:szCs w:val="24"/>
          <w:lang w:val="en-GB" w:eastAsia="en-GB"/>
        </w:rPr>
        <w:t>. Armonk, NY: M.E. Sharpe.</w:t>
      </w:r>
      <w:r w:rsidRPr="00764905">
        <w:rPr>
          <w:rFonts w:ascii="Arial" w:eastAsia="Times New Roman" w:hAnsi="Arial" w:cs="Arial"/>
          <w:sz w:val="24"/>
          <w:szCs w:val="24"/>
          <w:lang w:val="en-GB" w:eastAsia="en-GB"/>
        </w:rPr>
        <w:br/>
        <w:t xml:space="preserve">Book/search record </w:t>
      </w:r>
    </w:p>
    <w:p w14:paraId="66C6788E" w14:textId="77777777" w:rsidR="00764905" w:rsidRPr="00764905" w:rsidRDefault="00764905" w:rsidP="00764905">
      <w:pPr>
        <w:numPr>
          <w:ilvl w:val="0"/>
          <w:numId w:val="17"/>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Magretta, J. (2002)</w:t>
      </w:r>
      <w:r w:rsidRPr="00764905">
        <w:rPr>
          <w:rFonts w:ascii="Arial" w:eastAsia="Times New Roman" w:hAnsi="Arial" w:cs="Arial"/>
          <w:sz w:val="24"/>
          <w:szCs w:val="24"/>
          <w:lang w:val="en-GB" w:eastAsia="en-GB"/>
        </w:rPr>
        <w:t xml:space="preserve"> ‘Why business models matter’, </w:t>
      </w:r>
      <w:r w:rsidRPr="00764905">
        <w:rPr>
          <w:rFonts w:ascii="Arial" w:eastAsia="Times New Roman" w:hAnsi="Arial" w:cs="Arial"/>
          <w:i/>
          <w:iCs/>
          <w:sz w:val="24"/>
          <w:szCs w:val="24"/>
          <w:lang w:val="en-GB" w:eastAsia="en-GB"/>
        </w:rPr>
        <w:t>Harvard Business Review</w:t>
      </w:r>
      <w:r w:rsidRPr="00764905">
        <w:rPr>
          <w:rFonts w:ascii="Arial" w:eastAsia="Times New Roman" w:hAnsi="Arial" w:cs="Arial"/>
          <w:sz w:val="24"/>
          <w:szCs w:val="24"/>
          <w:lang w:val="en-GB" w:eastAsia="en-GB"/>
        </w:rPr>
        <w:t>, 80(5), pp. 86–92.</w:t>
      </w:r>
      <w:r w:rsidRPr="00764905">
        <w:rPr>
          <w:rFonts w:ascii="Arial" w:eastAsia="Times New Roman" w:hAnsi="Arial" w:cs="Arial"/>
          <w:sz w:val="24"/>
          <w:szCs w:val="24"/>
          <w:lang w:val="en-GB" w:eastAsia="en-GB"/>
        </w:rPr>
        <w:br/>
        <w:t xml:space="preserve">Harvard Business Review search </w:t>
      </w:r>
    </w:p>
    <w:p w14:paraId="670BC20A" w14:textId="77777777" w:rsidR="00764905" w:rsidRPr="00764905" w:rsidRDefault="00764905" w:rsidP="00764905">
      <w:pPr>
        <w:numPr>
          <w:ilvl w:val="0"/>
          <w:numId w:val="17"/>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McCarthy, E.J. (1960)</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Basic Marketing: A Managerial Approach</w:t>
      </w:r>
      <w:r w:rsidRPr="00764905">
        <w:rPr>
          <w:rFonts w:ascii="Arial" w:eastAsia="Times New Roman" w:hAnsi="Arial" w:cs="Arial"/>
          <w:sz w:val="24"/>
          <w:szCs w:val="24"/>
          <w:lang w:val="en-GB" w:eastAsia="en-GB"/>
        </w:rPr>
        <w:t>. Homewood, IL: Richard D. Irwin.</w:t>
      </w:r>
      <w:r w:rsidRPr="00764905">
        <w:rPr>
          <w:rFonts w:ascii="Arial" w:eastAsia="Times New Roman" w:hAnsi="Arial" w:cs="Arial"/>
          <w:sz w:val="24"/>
          <w:szCs w:val="24"/>
          <w:lang w:val="en-GB" w:eastAsia="en-GB"/>
        </w:rPr>
        <w:br/>
        <w:t xml:space="preserve">Book/search record </w:t>
      </w:r>
    </w:p>
    <w:p w14:paraId="491FED66" w14:textId="77777777" w:rsidR="00764905" w:rsidRPr="00764905" w:rsidRDefault="00764905" w:rsidP="00764905">
      <w:pPr>
        <w:numPr>
          <w:ilvl w:val="0"/>
          <w:numId w:val="17"/>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Morgan, R.M. and Hunt, S.D. (1994)</w:t>
      </w:r>
      <w:r w:rsidRPr="00764905">
        <w:rPr>
          <w:rFonts w:ascii="Arial" w:eastAsia="Times New Roman" w:hAnsi="Arial" w:cs="Arial"/>
          <w:sz w:val="24"/>
          <w:szCs w:val="24"/>
          <w:lang w:val="en-GB" w:eastAsia="en-GB"/>
        </w:rPr>
        <w:t xml:space="preserve"> ‘The commitment-trust theory of relationship marketing’, </w:t>
      </w:r>
      <w:r w:rsidRPr="00764905">
        <w:rPr>
          <w:rFonts w:ascii="Arial" w:eastAsia="Times New Roman" w:hAnsi="Arial" w:cs="Arial"/>
          <w:i/>
          <w:iCs/>
          <w:sz w:val="24"/>
          <w:szCs w:val="24"/>
          <w:lang w:val="en-GB" w:eastAsia="en-GB"/>
        </w:rPr>
        <w:t>Journal of Marketing</w:t>
      </w:r>
      <w:r w:rsidRPr="00764905">
        <w:rPr>
          <w:rFonts w:ascii="Arial" w:eastAsia="Times New Roman" w:hAnsi="Arial" w:cs="Arial"/>
          <w:sz w:val="24"/>
          <w:szCs w:val="24"/>
          <w:lang w:val="en-GB" w:eastAsia="en-GB"/>
        </w:rPr>
        <w:t>, 58(3), pp. 20–38.</w:t>
      </w:r>
      <w:r w:rsidRPr="00764905">
        <w:rPr>
          <w:rFonts w:ascii="Arial" w:eastAsia="Times New Roman" w:hAnsi="Arial" w:cs="Arial"/>
          <w:sz w:val="24"/>
          <w:szCs w:val="24"/>
          <w:lang w:val="en-GB" w:eastAsia="en-GB"/>
        </w:rPr>
        <w:br/>
      </w:r>
      <w:hyperlink r:id="rId32"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68E32DE1" w14:textId="77777777" w:rsidR="00764905" w:rsidRPr="00764905" w:rsidRDefault="00764905" w:rsidP="00764905">
      <w:pPr>
        <w:numPr>
          <w:ilvl w:val="0"/>
          <w:numId w:val="18"/>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Narver, J.C. and Slater, S.F. (1990)</w:t>
      </w:r>
      <w:r w:rsidRPr="00764905">
        <w:rPr>
          <w:rFonts w:ascii="Arial" w:eastAsia="Times New Roman" w:hAnsi="Arial" w:cs="Arial"/>
          <w:sz w:val="24"/>
          <w:szCs w:val="24"/>
          <w:lang w:val="en-GB" w:eastAsia="en-GB"/>
        </w:rPr>
        <w:t xml:space="preserve"> ‘The effect of a market orientation on business profitability’, </w:t>
      </w:r>
      <w:r w:rsidRPr="00764905">
        <w:rPr>
          <w:rFonts w:ascii="Arial" w:eastAsia="Times New Roman" w:hAnsi="Arial" w:cs="Arial"/>
          <w:i/>
          <w:iCs/>
          <w:sz w:val="24"/>
          <w:szCs w:val="24"/>
          <w:lang w:val="en-GB" w:eastAsia="en-GB"/>
        </w:rPr>
        <w:t>Journal of Marketing</w:t>
      </w:r>
      <w:r w:rsidRPr="00764905">
        <w:rPr>
          <w:rFonts w:ascii="Arial" w:eastAsia="Times New Roman" w:hAnsi="Arial" w:cs="Arial"/>
          <w:sz w:val="24"/>
          <w:szCs w:val="24"/>
          <w:lang w:val="en-GB" w:eastAsia="en-GB"/>
        </w:rPr>
        <w:t>, 54(4), pp. 20–35.</w:t>
      </w:r>
      <w:r w:rsidRPr="00764905">
        <w:rPr>
          <w:rFonts w:ascii="Arial" w:eastAsia="Times New Roman" w:hAnsi="Arial" w:cs="Arial"/>
          <w:sz w:val="24"/>
          <w:szCs w:val="24"/>
          <w:lang w:val="en-GB" w:eastAsia="en-GB"/>
        </w:rPr>
        <w:br/>
      </w:r>
      <w:hyperlink r:id="rId33"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6E640A0B" w14:textId="77777777" w:rsidR="00764905" w:rsidRPr="00764905" w:rsidRDefault="00764905" w:rsidP="00764905">
      <w:pPr>
        <w:numPr>
          <w:ilvl w:val="0"/>
          <w:numId w:val="18"/>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lastRenderedPageBreak/>
        <w:t>Nidumolu, R., Prahalad, C.K. and Rangaswami, M.R. (2009)</w:t>
      </w:r>
      <w:r w:rsidRPr="00764905">
        <w:rPr>
          <w:rFonts w:ascii="Arial" w:eastAsia="Times New Roman" w:hAnsi="Arial" w:cs="Arial"/>
          <w:sz w:val="24"/>
          <w:szCs w:val="24"/>
          <w:lang w:val="en-GB" w:eastAsia="en-GB"/>
        </w:rPr>
        <w:t xml:space="preserve"> ‘Why sustainability is now the key driver of innovation’, </w:t>
      </w:r>
      <w:r w:rsidRPr="00764905">
        <w:rPr>
          <w:rFonts w:ascii="Arial" w:eastAsia="Times New Roman" w:hAnsi="Arial" w:cs="Arial"/>
          <w:i/>
          <w:iCs/>
          <w:sz w:val="24"/>
          <w:szCs w:val="24"/>
          <w:lang w:val="en-GB" w:eastAsia="en-GB"/>
        </w:rPr>
        <w:t>Harvard Business Review</w:t>
      </w:r>
      <w:r w:rsidRPr="00764905">
        <w:rPr>
          <w:rFonts w:ascii="Arial" w:eastAsia="Times New Roman" w:hAnsi="Arial" w:cs="Arial"/>
          <w:sz w:val="24"/>
          <w:szCs w:val="24"/>
          <w:lang w:val="en-GB" w:eastAsia="en-GB"/>
        </w:rPr>
        <w:t>, 87(9), pp. 56–64.</w:t>
      </w:r>
      <w:r w:rsidRPr="00764905">
        <w:rPr>
          <w:rFonts w:ascii="Arial" w:eastAsia="Times New Roman" w:hAnsi="Arial" w:cs="Arial"/>
          <w:sz w:val="24"/>
          <w:szCs w:val="24"/>
          <w:lang w:val="en-GB" w:eastAsia="en-GB"/>
        </w:rPr>
        <w:br/>
        <w:t xml:space="preserve">Harvard Business Review search </w:t>
      </w:r>
    </w:p>
    <w:p w14:paraId="0EE24B20" w14:textId="77777777" w:rsidR="00764905" w:rsidRPr="00764905" w:rsidRDefault="00764905" w:rsidP="00764905">
      <w:pPr>
        <w:numPr>
          <w:ilvl w:val="0"/>
          <w:numId w:val="19"/>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Osterwalder, A., Pigneur, Y. and Tucci, C.L. (2005)</w:t>
      </w:r>
      <w:r w:rsidRPr="00764905">
        <w:rPr>
          <w:rFonts w:ascii="Arial" w:eastAsia="Times New Roman" w:hAnsi="Arial" w:cs="Arial"/>
          <w:sz w:val="24"/>
          <w:szCs w:val="24"/>
          <w:lang w:val="en-GB" w:eastAsia="en-GB"/>
        </w:rPr>
        <w:t xml:space="preserve"> ‘Clarifying business models: Origins, present, and future of the concept’, </w:t>
      </w:r>
      <w:r w:rsidRPr="00764905">
        <w:rPr>
          <w:rFonts w:ascii="Arial" w:eastAsia="Times New Roman" w:hAnsi="Arial" w:cs="Arial"/>
          <w:i/>
          <w:iCs/>
          <w:sz w:val="24"/>
          <w:szCs w:val="24"/>
          <w:lang w:val="en-GB" w:eastAsia="en-GB"/>
        </w:rPr>
        <w:t>Communications of the Association for Information Systems</w:t>
      </w:r>
      <w:r w:rsidRPr="00764905">
        <w:rPr>
          <w:rFonts w:ascii="Arial" w:eastAsia="Times New Roman" w:hAnsi="Arial" w:cs="Arial"/>
          <w:sz w:val="24"/>
          <w:szCs w:val="24"/>
          <w:lang w:val="en-GB" w:eastAsia="en-GB"/>
        </w:rPr>
        <w:t>, 16, pp. 1–25.</w:t>
      </w:r>
      <w:r w:rsidRPr="00764905">
        <w:rPr>
          <w:rFonts w:ascii="Arial" w:eastAsia="Times New Roman" w:hAnsi="Arial" w:cs="Arial"/>
          <w:sz w:val="24"/>
          <w:szCs w:val="24"/>
          <w:lang w:val="en-GB" w:eastAsia="en-GB"/>
        </w:rPr>
        <w:br/>
        <w:t xml:space="preserve">DOI </w:t>
      </w:r>
    </w:p>
    <w:p w14:paraId="1A68B94F" w14:textId="77777777" w:rsidR="00764905" w:rsidRPr="00764905" w:rsidRDefault="00764905" w:rsidP="00764905">
      <w:pPr>
        <w:numPr>
          <w:ilvl w:val="0"/>
          <w:numId w:val="19"/>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Osterwalder, A. and Pigneur, Y. (2010)</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Business Model Generation</w:t>
      </w:r>
      <w:r w:rsidRPr="00764905">
        <w:rPr>
          <w:rFonts w:ascii="Arial" w:eastAsia="Times New Roman" w:hAnsi="Arial" w:cs="Arial"/>
          <w:sz w:val="24"/>
          <w:szCs w:val="24"/>
          <w:lang w:val="en-GB" w:eastAsia="en-GB"/>
        </w:rPr>
        <w:t>. Hoboken, NJ: Wiley.</w:t>
      </w:r>
      <w:r w:rsidRPr="00764905">
        <w:rPr>
          <w:rFonts w:ascii="Arial" w:eastAsia="Times New Roman" w:hAnsi="Arial" w:cs="Arial"/>
          <w:sz w:val="24"/>
          <w:szCs w:val="24"/>
          <w:lang w:val="en-GB" w:eastAsia="en-GB"/>
        </w:rPr>
        <w:br/>
        <w:t xml:space="preserve">Book/search record </w:t>
      </w:r>
    </w:p>
    <w:p w14:paraId="3E99C565" w14:textId="77777777" w:rsidR="00764905" w:rsidRPr="00764905" w:rsidRDefault="00764905" w:rsidP="00764905">
      <w:pPr>
        <w:numPr>
          <w:ilvl w:val="0"/>
          <w:numId w:val="19"/>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Osterwalder, A., Pigneur, Y., Bernarda, G. and Smith, A. (2014)</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Value Proposition Design</w:t>
      </w:r>
      <w:r w:rsidRPr="00764905">
        <w:rPr>
          <w:rFonts w:ascii="Arial" w:eastAsia="Times New Roman" w:hAnsi="Arial" w:cs="Arial"/>
          <w:sz w:val="24"/>
          <w:szCs w:val="24"/>
          <w:lang w:val="en-GB" w:eastAsia="en-GB"/>
        </w:rPr>
        <w:t>. Hoboken, NJ: Wiley.</w:t>
      </w:r>
      <w:r w:rsidRPr="00764905">
        <w:rPr>
          <w:rFonts w:ascii="Arial" w:eastAsia="Times New Roman" w:hAnsi="Arial" w:cs="Arial"/>
          <w:sz w:val="24"/>
          <w:szCs w:val="24"/>
          <w:lang w:val="en-GB" w:eastAsia="en-GB"/>
        </w:rPr>
        <w:br/>
        <w:t xml:space="preserve">Book/search record </w:t>
      </w:r>
    </w:p>
    <w:p w14:paraId="2C368849" w14:textId="77777777" w:rsidR="00764905" w:rsidRPr="00764905" w:rsidRDefault="00764905" w:rsidP="00764905">
      <w:pPr>
        <w:numPr>
          <w:ilvl w:val="0"/>
          <w:numId w:val="19"/>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Ottman, J.A., Stafford, E.R. and Hartman, C.L. (2006)</w:t>
      </w:r>
      <w:r w:rsidRPr="00764905">
        <w:rPr>
          <w:rFonts w:ascii="Arial" w:eastAsia="Times New Roman" w:hAnsi="Arial" w:cs="Arial"/>
          <w:sz w:val="24"/>
          <w:szCs w:val="24"/>
          <w:lang w:val="en-GB" w:eastAsia="en-GB"/>
        </w:rPr>
        <w:t xml:space="preserve"> ‘Avoiding green marketing myopia’, </w:t>
      </w:r>
      <w:r w:rsidRPr="00764905">
        <w:rPr>
          <w:rFonts w:ascii="Arial" w:eastAsia="Times New Roman" w:hAnsi="Arial" w:cs="Arial"/>
          <w:i/>
          <w:iCs/>
          <w:sz w:val="24"/>
          <w:szCs w:val="24"/>
          <w:lang w:val="en-GB" w:eastAsia="en-GB"/>
        </w:rPr>
        <w:t>Environment</w:t>
      </w:r>
      <w:r w:rsidRPr="00764905">
        <w:rPr>
          <w:rFonts w:ascii="Arial" w:eastAsia="Times New Roman" w:hAnsi="Arial" w:cs="Arial"/>
          <w:sz w:val="24"/>
          <w:szCs w:val="24"/>
          <w:lang w:val="en-GB" w:eastAsia="en-GB"/>
        </w:rPr>
        <w:t>, 48(5), pp. 22–36.</w:t>
      </w:r>
      <w:r w:rsidRPr="00764905">
        <w:rPr>
          <w:rFonts w:ascii="Arial" w:eastAsia="Times New Roman" w:hAnsi="Arial" w:cs="Arial"/>
          <w:sz w:val="24"/>
          <w:szCs w:val="24"/>
          <w:lang w:val="en-GB" w:eastAsia="en-GB"/>
        </w:rPr>
        <w:br/>
      </w:r>
      <w:hyperlink r:id="rId34"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43173522" w14:textId="77777777" w:rsidR="00764905" w:rsidRPr="00764905" w:rsidRDefault="00764905" w:rsidP="00764905">
      <w:pPr>
        <w:numPr>
          <w:ilvl w:val="0"/>
          <w:numId w:val="20"/>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Parasuraman, A., Zeithaml, V.A. and Berry, L.L. (1988)</w:t>
      </w:r>
      <w:r w:rsidRPr="00764905">
        <w:rPr>
          <w:rFonts w:ascii="Arial" w:eastAsia="Times New Roman" w:hAnsi="Arial" w:cs="Arial"/>
          <w:sz w:val="24"/>
          <w:szCs w:val="24"/>
          <w:lang w:val="en-GB" w:eastAsia="en-GB"/>
        </w:rPr>
        <w:t xml:space="preserve"> ‘SERVQUAL: A multiple-item scale for measuring consumer perceptions of service quality’, </w:t>
      </w:r>
      <w:r w:rsidRPr="00764905">
        <w:rPr>
          <w:rFonts w:ascii="Arial" w:eastAsia="Times New Roman" w:hAnsi="Arial" w:cs="Arial"/>
          <w:i/>
          <w:iCs/>
          <w:sz w:val="24"/>
          <w:szCs w:val="24"/>
          <w:lang w:val="en-GB" w:eastAsia="en-GB"/>
        </w:rPr>
        <w:t>Journal of Retailing</w:t>
      </w:r>
      <w:r w:rsidRPr="00764905">
        <w:rPr>
          <w:rFonts w:ascii="Arial" w:eastAsia="Times New Roman" w:hAnsi="Arial" w:cs="Arial"/>
          <w:sz w:val="24"/>
          <w:szCs w:val="24"/>
          <w:lang w:val="en-GB" w:eastAsia="en-GB"/>
        </w:rPr>
        <w:t>, 64(1), pp. 12–40.</w:t>
      </w:r>
      <w:r w:rsidRPr="00764905">
        <w:rPr>
          <w:rFonts w:ascii="Arial" w:eastAsia="Times New Roman" w:hAnsi="Arial" w:cs="Arial"/>
          <w:sz w:val="24"/>
          <w:szCs w:val="24"/>
          <w:lang w:val="en-GB" w:eastAsia="en-GB"/>
        </w:rPr>
        <w:br/>
        <w:t xml:space="preserve">Academic search record </w:t>
      </w:r>
    </w:p>
    <w:p w14:paraId="6C5E204E" w14:textId="77777777" w:rsidR="00764905" w:rsidRPr="00764905" w:rsidRDefault="00764905" w:rsidP="00764905">
      <w:pPr>
        <w:numPr>
          <w:ilvl w:val="0"/>
          <w:numId w:val="20"/>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Payne, A., Frow, P. and Eggert, A. (2017)</w:t>
      </w:r>
      <w:r w:rsidRPr="00764905">
        <w:rPr>
          <w:rFonts w:ascii="Arial" w:eastAsia="Times New Roman" w:hAnsi="Arial" w:cs="Arial"/>
          <w:sz w:val="24"/>
          <w:szCs w:val="24"/>
          <w:lang w:val="en-GB" w:eastAsia="en-GB"/>
        </w:rPr>
        <w:t xml:space="preserve"> ‘The customer value proposition: Evolution, development, and application in marketing’, </w:t>
      </w:r>
      <w:r w:rsidRPr="00764905">
        <w:rPr>
          <w:rFonts w:ascii="Arial" w:eastAsia="Times New Roman" w:hAnsi="Arial" w:cs="Arial"/>
          <w:i/>
          <w:iCs/>
          <w:sz w:val="24"/>
          <w:szCs w:val="24"/>
          <w:lang w:val="en-GB" w:eastAsia="en-GB"/>
        </w:rPr>
        <w:t>Journal of the Academy of Marketing Science</w:t>
      </w:r>
      <w:r w:rsidRPr="00764905">
        <w:rPr>
          <w:rFonts w:ascii="Arial" w:eastAsia="Times New Roman" w:hAnsi="Arial" w:cs="Arial"/>
          <w:sz w:val="24"/>
          <w:szCs w:val="24"/>
          <w:lang w:val="en-GB" w:eastAsia="en-GB"/>
        </w:rPr>
        <w:t>, 45, pp. 467–489.</w:t>
      </w:r>
      <w:r w:rsidRPr="00764905">
        <w:rPr>
          <w:rFonts w:ascii="Arial" w:eastAsia="Times New Roman" w:hAnsi="Arial" w:cs="Arial"/>
          <w:sz w:val="24"/>
          <w:szCs w:val="24"/>
          <w:lang w:val="en-GB" w:eastAsia="en-GB"/>
        </w:rPr>
        <w:br/>
      </w:r>
      <w:hyperlink r:id="rId35"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720A510F" w14:textId="77777777" w:rsidR="00764905" w:rsidRPr="00764905" w:rsidRDefault="00764905" w:rsidP="00764905">
      <w:pPr>
        <w:numPr>
          <w:ilvl w:val="0"/>
          <w:numId w:val="20"/>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Peattie, K. and Crane, A. (2005)</w:t>
      </w:r>
      <w:r w:rsidRPr="00764905">
        <w:rPr>
          <w:rFonts w:ascii="Arial" w:eastAsia="Times New Roman" w:hAnsi="Arial" w:cs="Arial"/>
          <w:sz w:val="24"/>
          <w:szCs w:val="24"/>
          <w:lang w:val="en-GB" w:eastAsia="en-GB"/>
        </w:rPr>
        <w:t xml:space="preserve"> ‘Green marketing: Legend, myth, farce or prophesy?’, </w:t>
      </w:r>
      <w:r w:rsidRPr="00764905">
        <w:rPr>
          <w:rFonts w:ascii="Arial" w:eastAsia="Times New Roman" w:hAnsi="Arial" w:cs="Arial"/>
          <w:i/>
          <w:iCs/>
          <w:sz w:val="24"/>
          <w:szCs w:val="24"/>
          <w:lang w:val="en-GB" w:eastAsia="en-GB"/>
        </w:rPr>
        <w:t>Qualitative Market Research</w:t>
      </w:r>
      <w:r w:rsidRPr="00764905">
        <w:rPr>
          <w:rFonts w:ascii="Arial" w:eastAsia="Times New Roman" w:hAnsi="Arial" w:cs="Arial"/>
          <w:sz w:val="24"/>
          <w:szCs w:val="24"/>
          <w:lang w:val="en-GB" w:eastAsia="en-GB"/>
        </w:rPr>
        <w:t>, 8(4), pp. 357–370.</w:t>
      </w:r>
      <w:r w:rsidRPr="00764905">
        <w:rPr>
          <w:rFonts w:ascii="Arial" w:eastAsia="Times New Roman" w:hAnsi="Arial" w:cs="Arial"/>
          <w:sz w:val="24"/>
          <w:szCs w:val="24"/>
          <w:lang w:val="en-GB" w:eastAsia="en-GB"/>
        </w:rPr>
        <w:br/>
      </w:r>
      <w:hyperlink r:id="rId36"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10D4AF0D" w14:textId="77777777" w:rsidR="00764905" w:rsidRPr="00764905" w:rsidRDefault="00764905" w:rsidP="00764905">
      <w:pPr>
        <w:numPr>
          <w:ilvl w:val="0"/>
          <w:numId w:val="20"/>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Penrose, E.T. (1959)</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The Theory of the Growth of the Firm</w:t>
      </w:r>
      <w:r w:rsidRPr="00764905">
        <w:rPr>
          <w:rFonts w:ascii="Arial" w:eastAsia="Times New Roman" w:hAnsi="Arial" w:cs="Arial"/>
          <w:sz w:val="24"/>
          <w:szCs w:val="24"/>
          <w:lang w:val="en-GB" w:eastAsia="en-GB"/>
        </w:rPr>
        <w:t>. Oxford: Basil Blackwell.</w:t>
      </w:r>
      <w:r w:rsidRPr="00764905">
        <w:rPr>
          <w:rFonts w:ascii="Arial" w:eastAsia="Times New Roman" w:hAnsi="Arial" w:cs="Arial"/>
          <w:sz w:val="24"/>
          <w:szCs w:val="24"/>
          <w:lang w:val="en-GB" w:eastAsia="en-GB"/>
        </w:rPr>
        <w:br/>
        <w:t xml:space="preserve">Book/search record </w:t>
      </w:r>
    </w:p>
    <w:p w14:paraId="4A4C5047" w14:textId="77777777" w:rsidR="00764905" w:rsidRPr="00764905" w:rsidRDefault="00764905" w:rsidP="00764905">
      <w:pPr>
        <w:numPr>
          <w:ilvl w:val="0"/>
          <w:numId w:val="20"/>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lastRenderedPageBreak/>
        <w:t>Pine, B.J. and Gilmore, J.H. (1998)</w:t>
      </w:r>
      <w:r w:rsidRPr="00764905">
        <w:rPr>
          <w:rFonts w:ascii="Arial" w:eastAsia="Times New Roman" w:hAnsi="Arial" w:cs="Arial"/>
          <w:sz w:val="24"/>
          <w:szCs w:val="24"/>
          <w:lang w:val="en-GB" w:eastAsia="en-GB"/>
        </w:rPr>
        <w:t xml:space="preserve"> ‘Welcome to the experience economy’, </w:t>
      </w:r>
      <w:r w:rsidRPr="00764905">
        <w:rPr>
          <w:rFonts w:ascii="Arial" w:eastAsia="Times New Roman" w:hAnsi="Arial" w:cs="Arial"/>
          <w:i/>
          <w:iCs/>
          <w:sz w:val="24"/>
          <w:szCs w:val="24"/>
          <w:lang w:val="en-GB" w:eastAsia="en-GB"/>
        </w:rPr>
        <w:t>Harvard Business Review</w:t>
      </w:r>
      <w:r w:rsidRPr="00764905">
        <w:rPr>
          <w:rFonts w:ascii="Arial" w:eastAsia="Times New Roman" w:hAnsi="Arial" w:cs="Arial"/>
          <w:sz w:val="24"/>
          <w:szCs w:val="24"/>
          <w:lang w:val="en-GB" w:eastAsia="en-GB"/>
        </w:rPr>
        <w:t>, 76(4), pp. 97–105.</w:t>
      </w:r>
      <w:r w:rsidRPr="00764905">
        <w:rPr>
          <w:rFonts w:ascii="Arial" w:eastAsia="Times New Roman" w:hAnsi="Arial" w:cs="Arial"/>
          <w:sz w:val="24"/>
          <w:szCs w:val="24"/>
          <w:lang w:val="en-GB" w:eastAsia="en-GB"/>
        </w:rPr>
        <w:br/>
        <w:t xml:space="preserve">Harvard Business Review search </w:t>
      </w:r>
    </w:p>
    <w:p w14:paraId="6CB0835D" w14:textId="77777777" w:rsidR="00764905" w:rsidRPr="00764905" w:rsidRDefault="00764905" w:rsidP="00764905">
      <w:pPr>
        <w:numPr>
          <w:ilvl w:val="0"/>
          <w:numId w:val="20"/>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Polonsky, M.J. (1995)</w:t>
      </w:r>
      <w:r w:rsidRPr="00764905">
        <w:rPr>
          <w:rFonts w:ascii="Arial" w:eastAsia="Times New Roman" w:hAnsi="Arial" w:cs="Arial"/>
          <w:sz w:val="24"/>
          <w:szCs w:val="24"/>
          <w:lang w:val="en-GB" w:eastAsia="en-GB"/>
        </w:rPr>
        <w:t xml:space="preserve"> ‘A stakeholder theory approach to designing environmental marketing strategy’, </w:t>
      </w:r>
      <w:r w:rsidRPr="00764905">
        <w:rPr>
          <w:rFonts w:ascii="Arial" w:eastAsia="Times New Roman" w:hAnsi="Arial" w:cs="Arial"/>
          <w:i/>
          <w:iCs/>
          <w:sz w:val="24"/>
          <w:szCs w:val="24"/>
          <w:lang w:val="en-GB" w:eastAsia="en-GB"/>
        </w:rPr>
        <w:t>Journal of Business &amp; Industrial Marketing</w:t>
      </w:r>
      <w:r w:rsidRPr="00764905">
        <w:rPr>
          <w:rFonts w:ascii="Arial" w:eastAsia="Times New Roman" w:hAnsi="Arial" w:cs="Arial"/>
          <w:sz w:val="24"/>
          <w:szCs w:val="24"/>
          <w:lang w:val="en-GB" w:eastAsia="en-GB"/>
        </w:rPr>
        <w:t>, 10(3), pp. 29–46.</w:t>
      </w:r>
      <w:r w:rsidRPr="00764905">
        <w:rPr>
          <w:rFonts w:ascii="Arial" w:eastAsia="Times New Roman" w:hAnsi="Arial" w:cs="Arial"/>
          <w:sz w:val="24"/>
          <w:szCs w:val="24"/>
          <w:lang w:val="en-GB" w:eastAsia="en-GB"/>
        </w:rPr>
        <w:br/>
        <w:t xml:space="preserve">DOI </w:t>
      </w:r>
    </w:p>
    <w:p w14:paraId="4AAC833E" w14:textId="77777777" w:rsidR="00764905" w:rsidRPr="00764905" w:rsidRDefault="00764905" w:rsidP="00764905">
      <w:pPr>
        <w:numPr>
          <w:ilvl w:val="0"/>
          <w:numId w:val="20"/>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Porter, M.E. (1980)</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Competitive Strategy: Techniques for Analysing Industries and Competitors</w:t>
      </w:r>
      <w:r w:rsidRPr="00764905">
        <w:rPr>
          <w:rFonts w:ascii="Arial" w:eastAsia="Times New Roman" w:hAnsi="Arial" w:cs="Arial"/>
          <w:sz w:val="24"/>
          <w:szCs w:val="24"/>
          <w:lang w:val="en-GB" w:eastAsia="en-GB"/>
        </w:rPr>
        <w:t>. New York: Free Press.</w:t>
      </w:r>
      <w:r w:rsidRPr="00764905">
        <w:rPr>
          <w:rFonts w:ascii="Arial" w:eastAsia="Times New Roman" w:hAnsi="Arial" w:cs="Arial"/>
          <w:sz w:val="24"/>
          <w:szCs w:val="24"/>
          <w:lang w:val="en-GB" w:eastAsia="en-GB"/>
        </w:rPr>
        <w:br/>
        <w:t xml:space="preserve">Book/search record </w:t>
      </w:r>
    </w:p>
    <w:p w14:paraId="5733B01F" w14:textId="77777777" w:rsidR="00764905" w:rsidRPr="00764905" w:rsidRDefault="00764905" w:rsidP="00764905">
      <w:pPr>
        <w:numPr>
          <w:ilvl w:val="0"/>
          <w:numId w:val="20"/>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Porter, M.E. (1985)</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Competitive Advantage: Creating and Sustaining Superior Performance</w:t>
      </w:r>
      <w:r w:rsidRPr="00764905">
        <w:rPr>
          <w:rFonts w:ascii="Arial" w:eastAsia="Times New Roman" w:hAnsi="Arial" w:cs="Arial"/>
          <w:sz w:val="24"/>
          <w:szCs w:val="24"/>
          <w:lang w:val="en-GB" w:eastAsia="en-GB"/>
        </w:rPr>
        <w:t>. New York: Free Press.</w:t>
      </w:r>
      <w:r w:rsidRPr="00764905">
        <w:rPr>
          <w:rFonts w:ascii="Arial" w:eastAsia="Times New Roman" w:hAnsi="Arial" w:cs="Arial"/>
          <w:sz w:val="24"/>
          <w:szCs w:val="24"/>
          <w:lang w:val="en-GB" w:eastAsia="en-GB"/>
        </w:rPr>
        <w:br/>
        <w:t xml:space="preserve">Book/search record </w:t>
      </w:r>
    </w:p>
    <w:p w14:paraId="74F883DA" w14:textId="77777777" w:rsidR="00764905" w:rsidRPr="00764905" w:rsidRDefault="00764905" w:rsidP="00764905">
      <w:pPr>
        <w:numPr>
          <w:ilvl w:val="0"/>
          <w:numId w:val="20"/>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Porter, M.E. (1996)</w:t>
      </w:r>
      <w:r w:rsidRPr="00764905">
        <w:rPr>
          <w:rFonts w:ascii="Arial" w:eastAsia="Times New Roman" w:hAnsi="Arial" w:cs="Arial"/>
          <w:sz w:val="24"/>
          <w:szCs w:val="24"/>
          <w:lang w:val="en-GB" w:eastAsia="en-GB"/>
        </w:rPr>
        <w:t xml:space="preserve"> ‘What is strategy?’, </w:t>
      </w:r>
      <w:r w:rsidRPr="00764905">
        <w:rPr>
          <w:rFonts w:ascii="Arial" w:eastAsia="Times New Roman" w:hAnsi="Arial" w:cs="Arial"/>
          <w:i/>
          <w:iCs/>
          <w:sz w:val="24"/>
          <w:szCs w:val="24"/>
          <w:lang w:val="en-GB" w:eastAsia="en-GB"/>
        </w:rPr>
        <w:t>Harvard Business Review</w:t>
      </w:r>
      <w:r w:rsidRPr="00764905">
        <w:rPr>
          <w:rFonts w:ascii="Arial" w:eastAsia="Times New Roman" w:hAnsi="Arial" w:cs="Arial"/>
          <w:sz w:val="24"/>
          <w:szCs w:val="24"/>
          <w:lang w:val="en-GB" w:eastAsia="en-GB"/>
        </w:rPr>
        <w:t>, 74(6), pp. 61–78.</w:t>
      </w:r>
      <w:r w:rsidRPr="00764905">
        <w:rPr>
          <w:rFonts w:ascii="Arial" w:eastAsia="Times New Roman" w:hAnsi="Arial" w:cs="Arial"/>
          <w:sz w:val="24"/>
          <w:szCs w:val="24"/>
          <w:lang w:val="en-GB" w:eastAsia="en-GB"/>
        </w:rPr>
        <w:br/>
        <w:t xml:space="preserve">Harvard Business Review search </w:t>
      </w:r>
    </w:p>
    <w:p w14:paraId="7CE7464A" w14:textId="77777777" w:rsidR="00764905" w:rsidRPr="00764905" w:rsidRDefault="00764905" w:rsidP="00764905">
      <w:pPr>
        <w:numPr>
          <w:ilvl w:val="0"/>
          <w:numId w:val="20"/>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Porter, M.E. (2008)</w:t>
      </w:r>
      <w:r w:rsidRPr="00764905">
        <w:rPr>
          <w:rFonts w:ascii="Arial" w:eastAsia="Times New Roman" w:hAnsi="Arial" w:cs="Arial"/>
          <w:sz w:val="24"/>
          <w:szCs w:val="24"/>
          <w:lang w:val="en-GB" w:eastAsia="en-GB"/>
        </w:rPr>
        <w:t xml:space="preserve"> ‘The five competitive forces that shape strategy’, </w:t>
      </w:r>
      <w:r w:rsidRPr="00764905">
        <w:rPr>
          <w:rFonts w:ascii="Arial" w:eastAsia="Times New Roman" w:hAnsi="Arial" w:cs="Arial"/>
          <w:i/>
          <w:iCs/>
          <w:sz w:val="24"/>
          <w:szCs w:val="24"/>
          <w:lang w:val="en-GB" w:eastAsia="en-GB"/>
        </w:rPr>
        <w:t>Harvard Business Review</w:t>
      </w:r>
      <w:r w:rsidRPr="00764905">
        <w:rPr>
          <w:rFonts w:ascii="Arial" w:eastAsia="Times New Roman" w:hAnsi="Arial" w:cs="Arial"/>
          <w:sz w:val="24"/>
          <w:szCs w:val="24"/>
          <w:lang w:val="en-GB" w:eastAsia="en-GB"/>
        </w:rPr>
        <w:t>, 86(1), pp. 78–93.</w:t>
      </w:r>
      <w:r w:rsidRPr="00764905">
        <w:rPr>
          <w:rFonts w:ascii="Arial" w:eastAsia="Times New Roman" w:hAnsi="Arial" w:cs="Arial"/>
          <w:sz w:val="24"/>
          <w:szCs w:val="24"/>
          <w:lang w:val="en-GB" w:eastAsia="en-GB"/>
        </w:rPr>
        <w:br/>
      </w:r>
      <w:hyperlink r:id="rId37" w:tgtFrame="_blank" w:history="1">
        <w:r w:rsidRPr="00764905">
          <w:rPr>
            <w:rFonts w:ascii="Arial" w:eastAsia="Times New Roman" w:hAnsi="Arial" w:cs="Arial"/>
            <w:color w:val="0000FF"/>
            <w:sz w:val="24"/>
            <w:szCs w:val="24"/>
            <w:u w:val="single"/>
            <w:lang w:val="en-GB" w:eastAsia="en-GB"/>
          </w:rPr>
          <w:t>Harvard Business Review</w:t>
        </w:r>
      </w:hyperlink>
      <w:r w:rsidRPr="00764905">
        <w:rPr>
          <w:rFonts w:ascii="Arial" w:eastAsia="Times New Roman" w:hAnsi="Arial" w:cs="Arial"/>
          <w:sz w:val="24"/>
          <w:szCs w:val="24"/>
          <w:lang w:val="en-GB" w:eastAsia="en-GB"/>
        </w:rPr>
        <w:t xml:space="preserve"> </w:t>
      </w:r>
    </w:p>
    <w:p w14:paraId="4F808E13" w14:textId="77777777" w:rsidR="00764905" w:rsidRPr="00764905" w:rsidRDefault="00764905" w:rsidP="00764905">
      <w:pPr>
        <w:numPr>
          <w:ilvl w:val="0"/>
          <w:numId w:val="20"/>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Porter, M.E. and Kramer, M.R. (2011)</w:t>
      </w:r>
      <w:r w:rsidRPr="00764905">
        <w:rPr>
          <w:rFonts w:ascii="Arial" w:eastAsia="Times New Roman" w:hAnsi="Arial" w:cs="Arial"/>
          <w:sz w:val="24"/>
          <w:szCs w:val="24"/>
          <w:lang w:val="en-GB" w:eastAsia="en-GB"/>
        </w:rPr>
        <w:t xml:space="preserve"> ‘Creating shared value’, </w:t>
      </w:r>
      <w:r w:rsidRPr="00764905">
        <w:rPr>
          <w:rFonts w:ascii="Arial" w:eastAsia="Times New Roman" w:hAnsi="Arial" w:cs="Arial"/>
          <w:i/>
          <w:iCs/>
          <w:sz w:val="24"/>
          <w:szCs w:val="24"/>
          <w:lang w:val="en-GB" w:eastAsia="en-GB"/>
        </w:rPr>
        <w:t>Harvard Business Review</w:t>
      </w:r>
      <w:r w:rsidRPr="00764905">
        <w:rPr>
          <w:rFonts w:ascii="Arial" w:eastAsia="Times New Roman" w:hAnsi="Arial" w:cs="Arial"/>
          <w:sz w:val="24"/>
          <w:szCs w:val="24"/>
          <w:lang w:val="en-GB" w:eastAsia="en-GB"/>
        </w:rPr>
        <w:t>, 89(1–2), pp. 62–77.</w:t>
      </w:r>
      <w:r w:rsidRPr="00764905">
        <w:rPr>
          <w:rFonts w:ascii="Arial" w:eastAsia="Times New Roman" w:hAnsi="Arial" w:cs="Arial"/>
          <w:sz w:val="24"/>
          <w:szCs w:val="24"/>
          <w:lang w:val="en-GB" w:eastAsia="en-GB"/>
        </w:rPr>
        <w:br/>
        <w:t xml:space="preserve">Harvard Business Review search </w:t>
      </w:r>
    </w:p>
    <w:p w14:paraId="11D75F39" w14:textId="77777777" w:rsidR="00764905" w:rsidRPr="00764905" w:rsidRDefault="00764905" w:rsidP="00764905">
      <w:pPr>
        <w:numPr>
          <w:ilvl w:val="0"/>
          <w:numId w:val="20"/>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Porter, M.E. and van der Linde, C. (1995)</w:t>
      </w:r>
      <w:r w:rsidRPr="00764905">
        <w:rPr>
          <w:rFonts w:ascii="Arial" w:eastAsia="Times New Roman" w:hAnsi="Arial" w:cs="Arial"/>
          <w:sz w:val="24"/>
          <w:szCs w:val="24"/>
          <w:lang w:val="en-GB" w:eastAsia="en-GB"/>
        </w:rPr>
        <w:t xml:space="preserve"> ‘Green and competitive: Ending the stalemate’, </w:t>
      </w:r>
      <w:r w:rsidRPr="00764905">
        <w:rPr>
          <w:rFonts w:ascii="Arial" w:eastAsia="Times New Roman" w:hAnsi="Arial" w:cs="Arial"/>
          <w:i/>
          <w:iCs/>
          <w:sz w:val="24"/>
          <w:szCs w:val="24"/>
          <w:lang w:val="en-GB" w:eastAsia="en-GB"/>
        </w:rPr>
        <w:t>Harvard Business Review</w:t>
      </w:r>
      <w:r w:rsidRPr="00764905">
        <w:rPr>
          <w:rFonts w:ascii="Arial" w:eastAsia="Times New Roman" w:hAnsi="Arial" w:cs="Arial"/>
          <w:sz w:val="24"/>
          <w:szCs w:val="24"/>
          <w:lang w:val="en-GB" w:eastAsia="en-GB"/>
        </w:rPr>
        <w:t>, 73(5), pp. 120–134.</w:t>
      </w:r>
      <w:r w:rsidRPr="00764905">
        <w:rPr>
          <w:rFonts w:ascii="Arial" w:eastAsia="Times New Roman" w:hAnsi="Arial" w:cs="Arial"/>
          <w:sz w:val="24"/>
          <w:szCs w:val="24"/>
          <w:lang w:val="en-GB" w:eastAsia="en-GB"/>
        </w:rPr>
        <w:br/>
        <w:t xml:space="preserve">Harvard Business Review search </w:t>
      </w:r>
    </w:p>
    <w:p w14:paraId="0E6CCBE7" w14:textId="77777777" w:rsidR="00764905" w:rsidRPr="00764905" w:rsidRDefault="00764905" w:rsidP="00764905">
      <w:pPr>
        <w:numPr>
          <w:ilvl w:val="0"/>
          <w:numId w:val="21"/>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Razzak, M.R. (2023)</w:t>
      </w:r>
      <w:r w:rsidRPr="00764905">
        <w:rPr>
          <w:rFonts w:ascii="Arial" w:eastAsia="Times New Roman" w:hAnsi="Arial" w:cs="Arial"/>
          <w:sz w:val="24"/>
          <w:szCs w:val="24"/>
          <w:lang w:val="en-GB" w:eastAsia="en-GB"/>
        </w:rPr>
        <w:t xml:space="preserve"> ‘Mediating effect of productivity between sustainable supply chain management practices and competitive advantage’, </w:t>
      </w:r>
      <w:r w:rsidRPr="00764905">
        <w:rPr>
          <w:rFonts w:ascii="Arial" w:eastAsia="Times New Roman" w:hAnsi="Arial" w:cs="Arial"/>
          <w:i/>
          <w:iCs/>
          <w:sz w:val="24"/>
          <w:szCs w:val="24"/>
          <w:lang w:val="en-GB" w:eastAsia="en-GB"/>
        </w:rPr>
        <w:t>Management of Environmental Quality</w:t>
      </w:r>
      <w:r w:rsidRPr="00764905">
        <w:rPr>
          <w:rFonts w:ascii="Arial" w:eastAsia="Times New Roman" w:hAnsi="Arial" w:cs="Arial"/>
          <w:sz w:val="24"/>
          <w:szCs w:val="24"/>
          <w:lang w:val="en-GB" w:eastAsia="en-GB"/>
        </w:rPr>
        <w:t>, 34(2), pp. 428–445.</w:t>
      </w:r>
      <w:r w:rsidRPr="00764905">
        <w:rPr>
          <w:rFonts w:ascii="Arial" w:eastAsia="Times New Roman" w:hAnsi="Arial" w:cs="Arial"/>
          <w:sz w:val="24"/>
          <w:szCs w:val="24"/>
          <w:lang w:val="en-GB" w:eastAsia="en-GB"/>
        </w:rPr>
        <w:br/>
      </w:r>
      <w:hyperlink r:id="rId38"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7ED70740" w14:textId="77777777" w:rsidR="00764905" w:rsidRPr="00764905" w:rsidRDefault="00764905" w:rsidP="00764905">
      <w:pPr>
        <w:numPr>
          <w:ilvl w:val="0"/>
          <w:numId w:val="21"/>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Reichheld, F.F. and Sasser, W.E. (1990)</w:t>
      </w:r>
      <w:r w:rsidRPr="00764905">
        <w:rPr>
          <w:rFonts w:ascii="Arial" w:eastAsia="Times New Roman" w:hAnsi="Arial" w:cs="Arial"/>
          <w:sz w:val="24"/>
          <w:szCs w:val="24"/>
          <w:lang w:val="en-GB" w:eastAsia="en-GB"/>
        </w:rPr>
        <w:t xml:space="preserve"> ‘Zero defections: Quality comes to services’, </w:t>
      </w:r>
      <w:r w:rsidRPr="00764905">
        <w:rPr>
          <w:rFonts w:ascii="Arial" w:eastAsia="Times New Roman" w:hAnsi="Arial" w:cs="Arial"/>
          <w:i/>
          <w:iCs/>
          <w:sz w:val="24"/>
          <w:szCs w:val="24"/>
          <w:lang w:val="en-GB" w:eastAsia="en-GB"/>
        </w:rPr>
        <w:t>Harvard Business Review</w:t>
      </w:r>
      <w:r w:rsidRPr="00764905">
        <w:rPr>
          <w:rFonts w:ascii="Arial" w:eastAsia="Times New Roman" w:hAnsi="Arial" w:cs="Arial"/>
          <w:sz w:val="24"/>
          <w:szCs w:val="24"/>
          <w:lang w:val="en-GB" w:eastAsia="en-GB"/>
        </w:rPr>
        <w:t>, 68(5), pp. 105–111.</w:t>
      </w:r>
      <w:r w:rsidRPr="00764905">
        <w:rPr>
          <w:rFonts w:ascii="Arial" w:eastAsia="Times New Roman" w:hAnsi="Arial" w:cs="Arial"/>
          <w:sz w:val="24"/>
          <w:szCs w:val="24"/>
          <w:lang w:val="en-GB" w:eastAsia="en-GB"/>
        </w:rPr>
        <w:br/>
        <w:t xml:space="preserve">Harvard Business Review search </w:t>
      </w:r>
    </w:p>
    <w:p w14:paraId="1A3E1425" w14:textId="77777777" w:rsidR="00764905" w:rsidRPr="00764905" w:rsidRDefault="00764905" w:rsidP="00764905">
      <w:pPr>
        <w:numPr>
          <w:ilvl w:val="0"/>
          <w:numId w:val="22"/>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lastRenderedPageBreak/>
        <w:t>Saunders, M.N.K., Lewis, P. and Thornhill, A. (2023)</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Research Methods for Business Students</w:t>
      </w:r>
      <w:r w:rsidRPr="00764905">
        <w:rPr>
          <w:rFonts w:ascii="Arial" w:eastAsia="Times New Roman" w:hAnsi="Arial" w:cs="Arial"/>
          <w:sz w:val="24"/>
          <w:szCs w:val="24"/>
          <w:lang w:val="en-GB" w:eastAsia="en-GB"/>
        </w:rPr>
        <w:t>. 9th edn. Harlow: Pearson.</w:t>
      </w:r>
      <w:r w:rsidRPr="00764905">
        <w:rPr>
          <w:rFonts w:ascii="Arial" w:eastAsia="Times New Roman" w:hAnsi="Arial" w:cs="Arial"/>
          <w:sz w:val="24"/>
          <w:szCs w:val="24"/>
          <w:lang w:val="en-GB" w:eastAsia="en-GB"/>
        </w:rPr>
        <w:br/>
        <w:t xml:space="preserve">Book/search record </w:t>
      </w:r>
    </w:p>
    <w:p w14:paraId="5A978683" w14:textId="77777777" w:rsidR="00764905" w:rsidRPr="00764905" w:rsidRDefault="00764905" w:rsidP="00764905">
      <w:pPr>
        <w:numPr>
          <w:ilvl w:val="0"/>
          <w:numId w:val="22"/>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Schaltegger, S., Burritt, R. and Petersen, H. (2003)</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An Introduction to Corporate Environmental Management: Striving for Sustainability</w:t>
      </w:r>
      <w:r w:rsidRPr="00764905">
        <w:rPr>
          <w:rFonts w:ascii="Arial" w:eastAsia="Times New Roman" w:hAnsi="Arial" w:cs="Arial"/>
          <w:sz w:val="24"/>
          <w:szCs w:val="24"/>
          <w:lang w:val="en-GB" w:eastAsia="en-GB"/>
        </w:rPr>
        <w:t>. Sheffield: Greenleaf.</w:t>
      </w:r>
      <w:r w:rsidRPr="00764905">
        <w:rPr>
          <w:rFonts w:ascii="Arial" w:eastAsia="Times New Roman" w:hAnsi="Arial" w:cs="Arial"/>
          <w:sz w:val="24"/>
          <w:szCs w:val="24"/>
          <w:lang w:val="en-GB" w:eastAsia="en-GB"/>
        </w:rPr>
        <w:br/>
        <w:t xml:space="preserve">Book/search record </w:t>
      </w:r>
    </w:p>
    <w:p w14:paraId="02103CD7" w14:textId="77777777" w:rsidR="00764905" w:rsidRPr="00764905" w:rsidRDefault="00764905" w:rsidP="00764905">
      <w:pPr>
        <w:numPr>
          <w:ilvl w:val="0"/>
          <w:numId w:val="22"/>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Seuring, S. and Müller, M. (2008a)</w:t>
      </w:r>
      <w:r w:rsidRPr="00764905">
        <w:rPr>
          <w:rFonts w:ascii="Arial" w:eastAsia="Times New Roman" w:hAnsi="Arial" w:cs="Arial"/>
          <w:sz w:val="24"/>
          <w:szCs w:val="24"/>
          <w:lang w:val="en-GB" w:eastAsia="en-GB"/>
        </w:rPr>
        <w:t xml:space="preserve"> ‘From a literature review to a conceptual framework for sustainable supply chain management’, </w:t>
      </w:r>
      <w:r w:rsidRPr="00764905">
        <w:rPr>
          <w:rFonts w:ascii="Arial" w:eastAsia="Times New Roman" w:hAnsi="Arial" w:cs="Arial"/>
          <w:i/>
          <w:iCs/>
          <w:sz w:val="24"/>
          <w:szCs w:val="24"/>
          <w:lang w:val="en-GB" w:eastAsia="en-GB"/>
        </w:rPr>
        <w:t>Journal of Cleaner Production</w:t>
      </w:r>
      <w:r w:rsidRPr="00764905">
        <w:rPr>
          <w:rFonts w:ascii="Arial" w:eastAsia="Times New Roman" w:hAnsi="Arial" w:cs="Arial"/>
          <w:sz w:val="24"/>
          <w:szCs w:val="24"/>
          <w:lang w:val="en-GB" w:eastAsia="en-GB"/>
        </w:rPr>
        <w:t>, 16(15), pp. 1699–1710.</w:t>
      </w:r>
      <w:r w:rsidRPr="00764905">
        <w:rPr>
          <w:rFonts w:ascii="Arial" w:eastAsia="Times New Roman" w:hAnsi="Arial" w:cs="Arial"/>
          <w:sz w:val="24"/>
          <w:szCs w:val="24"/>
          <w:lang w:val="en-GB" w:eastAsia="en-GB"/>
        </w:rPr>
        <w:br/>
      </w:r>
      <w:hyperlink r:id="rId39"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43FAB123" w14:textId="77777777" w:rsidR="00764905" w:rsidRPr="00764905" w:rsidRDefault="00764905" w:rsidP="00764905">
      <w:pPr>
        <w:numPr>
          <w:ilvl w:val="0"/>
          <w:numId w:val="22"/>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Seuring, S. and Müller, M. (2008b)</w:t>
      </w:r>
      <w:r w:rsidRPr="00764905">
        <w:rPr>
          <w:rFonts w:ascii="Arial" w:eastAsia="Times New Roman" w:hAnsi="Arial" w:cs="Arial"/>
          <w:sz w:val="24"/>
          <w:szCs w:val="24"/>
          <w:lang w:val="en-GB" w:eastAsia="en-GB"/>
        </w:rPr>
        <w:t xml:space="preserve"> ‘Core issues in sustainable supply chain management – a Delphi study’, </w:t>
      </w:r>
      <w:r w:rsidRPr="00764905">
        <w:rPr>
          <w:rFonts w:ascii="Arial" w:eastAsia="Times New Roman" w:hAnsi="Arial" w:cs="Arial"/>
          <w:i/>
          <w:iCs/>
          <w:sz w:val="24"/>
          <w:szCs w:val="24"/>
          <w:lang w:val="en-GB" w:eastAsia="en-GB"/>
        </w:rPr>
        <w:t>Business Strategy and the Environment</w:t>
      </w:r>
      <w:r w:rsidRPr="00764905">
        <w:rPr>
          <w:rFonts w:ascii="Arial" w:eastAsia="Times New Roman" w:hAnsi="Arial" w:cs="Arial"/>
          <w:sz w:val="24"/>
          <w:szCs w:val="24"/>
          <w:lang w:val="en-GB" w:eastAsia="en-GB"/>
        </w:rPr>
        <w:t>, 17(8), pp. 455–466.</w:t>
      </w:r>
      <w:r w:rsidRPr="00764905">
        <w:rPr>
          <w:rFonts w:ascii="Arial" w:eastAsia="Times New Roman" w:hAnsi="Arial" w:cs="Arial"/>
          <w:sz w:val="24"/>
          <w:szCs w:val="24"/>
          <w:lang w:val="en-GB" w:eastAsia="en-GB"/>
        </w:rPr>
        <w:br/>
      </w:r>
      <w:hyperlink r:id="rId40"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036A6BEE" w14:textId="77777777" w:rsidR="00764905" w:rsidRPr="00764905" w:rsidRDefault="00764905" w:rsidP="00764905">
      <w:pPr>
        <w:numPr>
          <w:ilvl w:val="0"/>
          <w:numId w:val="22"/>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Shaw, D. and Clarke, I. (1999)</w:t>
      </w:r>
      <w:r w:rsidRPr="00764905">
        <w:rPr>
          <w:rFonts w:ascii="Arial" w:eastAsia="Times New Roman" w:hAnsi="Arial" w:cs="Arial"/>
          <w:sz w:val="24"/>
          <w:szCs w:val="24"/>
          <w:lang w:val="en-GB" w:eastAsia="en-GB"/>
        </w:rPr>
        <w:t xml:space="preserve"> ‘Belief formation in ethical consumer groups: An exploratory study’, </w:t>
      </w:r>
      <w:r w:rsidRPr="00764905">
        <w:rPr>
          <w:rFonts w:ascii="Arial" w:eastAsia="Times New Roman" w:hAnsi="Arial" w:cs="Arial"/>
          <w:i/>
          <w:iCs/>
          <w:sz w:val="24"/>
          <w:szCs w:val="24"/>
          <w:lang w:val="en-GB" w:eastAsia="en-GB"/>
        </w:rPr>
        <w:t>Marketing Intelligence &amp; Planning</w:t>
      </w:r>
      <w:r w:rsidRPr="00764905">
        <w:rPr>
          <w:rFonts w:ascii="Arial" w:eastAsia="Times New Roman" w:hAnsi="Arial" w:cs="Arial"/>
          <w:sz w:val="24"/>
          <w:szCs w:val="24"/>
          <w:lang w:val="en-GB" w:eastAsia="en-GB"/>
        </w:rPr>
        <w:t>, 17(2), pp. 109–119.</w:t>
      </w:r>
      <w:r w:rsidRPr="00764905">
        <w:rPr>
          <w:rFonts w:ascii="Arial" w:eastAsia="Times New Roman" w:hAnsi="Arial" w:cs="Arial"/>
          <w:sz w:val="24"/>
          <w:szCs w:val="24"/>
          <w:lang w:val="en-GB" w:eastAsia="en-GB"/>
        </w:rPr>
        <w:br/>
        <w:t xml:space="preserve">DOI/search </w:t>
      </w:r>
    </w:p>
    <w:p w14:paraId="24BB3645" w14:textId="77777777" w:rsidR="00764905" w:rsidRPr="00764905" w:rsidRDefault="00764905" w:rsidP="00764905">
      <w:pPr>
        <w:numPr>
          <w:ilvl w:val="0"/>
          <w:numId w:val="22"/>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Slater, S.F. and Narver, J.C. (1994)</w:t>
      </w:r>
      <w:r w:rsidRPr="00764905">
        <w:rPr>
          <w:rFonts w:ascii="Arial" w:eastAsia="Times New Roman" w:hAnsi="Arial" w:cs="Arial"/>
          <w:sz w:val="24"/>
          <w:szCs w:val="24"/>
          <w:lang w:val="en-GB" w:eastAsia="en-GB"/>
        </w:rPr>
        <w:t xml:space="preserve"> ‘Does competitive environment moderate the market orientation-performance relationship?’, </w:t>
      </w:r>
      <w:r w:rsidRPr="00764905">
        <w:rPr>
          <w:rFonts w:ascii="Arial" w:eastAsia="Times New Roman" w:hAnsi="Arial" w:cs="Arial"/>
          <w:i/>
          <w:iCs/>
          <w:sz w:val="24"/>
          <w:szCs w:val="24"/>
          <w:lang w:val="en-GB" w:eastAsia="en-GB"/>
        </w:rPr>
        <w:t>Journal of Marketing</w:t>
      </w:r>
      <w:r w:rsidRPr="00764905">
        <w:rPr>
          <w:rFonts w:ascii="Arial" w:eastAsia="Times New Roman" w:hAnsi="Arial" w:cs="Arial"/>
          <w:sz w:val="24"/>
          <w:szCs w:val="24"/>
          <w:lang w:val="en-GB" w:eastAsia="en-GB"/>
        </w:rPr>
        <w:t>, 58(1), pp. 46–55.</w:t>
      </w:r>
      <w:r w:rsidRPr="00764905">
        <w:rPr>
          <w:rFonts w:ascii="Arial" w:eastAsia="Times New Roman" w:hAnsi="Arial" w:cs="Arial"/>
          <w:sz w:val="24"/>
          <w:szCs w:val="24"/>
          <w:lang w:val="en-GB" w:eastAsia="en-GB"/>
        </w:rPr>
        <w:br/>
        <w:t xml:space="preserve">DOI </w:t>
      </w:r>
    </w:p>
    <w:p w14:paraId="3D1DC05F" w14:textId="77777777" w:rsidR="00764905" w:rsidRPr="00764905" w:rsidRDefault="00764905" w:rsidP="00764905">
      <w:pPr>
        <w:numPr>
          <w:ilvl w:val="0"/>
          <w:numId w:val="22"/>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Smith, A.M. and Colgate, M. (2007)</w:t>
      </w:r>
      <w:r w:rsidRPr="00764905">
        <w:rPr>
          <w:rFonts w:ascii="Arial" w:eastAsia="Times New Roman" w:hAnsi="Arial" w:cs="Arial"/>
          <w:sz w:val="24"/>
          <w:szCs w:val="24"/>
          <w:lang w:val="en-GB" w:eastAsia="en-GB"/>
        </w:rPr>
        <w:t xml:space="preserve"> ‘Customer value creation: A practical framework’, </w:t>
      </w:r>
      <w:r w:rsidRPr="00764905">
        <w:rPr>
          <w:rFonts w:ascii="Arial" w:eastAsia="Times New Roman" w:hAnsi="Arial" w:cs="Arial"/>
          <w:i/>
          <w:iCs/>
          <w:sz w:val="24"/>
          <w:szCs w:val="24"/>
          <w:lang w:val="en-GB" w:eastAsia="en-GB"/>
        </w:rPr>
        <w:t>Journal of Marketing Theory and Practice</w:t>
      </w:r>
      <w:r w:rsidRPr="00764905">
        <w:rPr>
          <w:rFonts w:ascii="Arial" w:eastAsia="Times New Roman" w:hAnsi="Arial" w:cs="Arial"/>
          <w:sz w:val="24"/>
          <w:szCs w:val="24"/>
          <w:lang w:val="en-GB" w:eastAsia="en-GB"/>
        </w:rPr>
        <w:t>, 15(1), pp. 7–23.</w:t>
      </w:r>
      <w:r w:rsidRPr="00764905">
        <w:rPr>
          <w:rFonts w:ascii="Arial" w:eastAsia="Times New Roman" w:hAnsi="Arial" w:cs="Arial"/>
          <w:sz w:val="24"/>
          <w:szCs w:val="24"/>
          <w:lang w:val="en-GB" w:eastAsia="en-GB"/>
        </w:rPr>
        <w:br/>
        <w:t xml:space="preserve">Academic search record </w:t>
      </w:r>
    </w:p>
    <w:p w14:paraId="3969C50B" w14:textId="77777777" w:rsidR="00764905" w:rsidRPr="00764905" w:rsidRDefault="00764905" w:rsidP="00764905">
      <w:pPr>
        <w:numPr>
          <w:ilvl w:val="0"/>
          <w:numId w:val="23"/>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Teece, D.J. (2010)</w:t>
      </w:r>
      <w:r w:rsidRPr="00764905">
        <w:rPr>
          <w:rFonts w:ascii="Arial" w:eastAsia="Times New Roman" w:hAnsi="Arial" w:cs="Arial"/>
          <w:sz w:val="24"/>
          <w:szCs w:val="24"/>
          <w:lang w:val="en-GB" w:eastAsia="en-GB"/>
        </w:rPr>
        <w:t xml:space="preserve"> ‘Business models, business strategy and innovation’, </w:t>
      </w:r>
      <w:r w:rsidRPr="00764905">
        <w:rPr>
          <w:rFonts w:ascii="Arial" w:eastAsia="Times New Roman" w:hAnsi="Arial" w:cs="Arial"/>
          <w:i/>
          <w:iCs/>
          <w:sz w:val="24"/>
          <w:szCs w:val="24"/>
          <w:lang w:val="en-GB" w:eastAsia="en-GB"/>
        </w:rPr>
        <w:t>Long Range Planning</w:t>
      </w:r>
      <w:r w:rsidRPr="00764905">
        <w:rPr>
          <w:rFonts w:ascii="Arial" w:eastAsia="Times New Roman" w:hAnsi="Arial" w:cs="Arial"/>
          <w:sz w:val="24"/>
          <w:szCs w:val="24"/>
          <w:lang w:val="en-GB" w:eastAsia="en-GB"/>
        </w:rPr>
        <w:t>, 43(2–3), pp. 172–194.</w:t>
      </w:r>
      <w:r w:rsidRPr="00764905">
        <w:rPr>
          <w:rFonts w:ascii="Arial" w:eastAsia="Times New Roman" w:hAnsi="Arial" w:cs="Arial"/>
          <w:sz w:val="24"/>
          <w:szCs w:val="24"/>
          <w:lang w:val="en-GB" w:eastAsia="en-GB"/>
        </w:rPr>
        <w:br/>
      </w:r>
      <w:hyperlink r:id="rId41"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29B90A3E" w14:textId="77777777" w:rsidR="00764905" w:rsidRPr="00764905" w:rsidRDefault="00764905" w:rsidP="00764905">
      <w:pPr>
        <w:numPr>
          <w:ilvl w:val="0"/>
          <w:numId w:val="23"/>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Teece, D.J., Pisano, G. and Shuen, A. (1997)</w:t>
      </w:r>
      <w:r w:rsidRPr="00764905">
        <w:rPr>
          <w:rFonts w:ascii="Arial" w:eastAsia="Times New Roman" w:hAnsi="Arial" w:cs="Arial"/>
          <w:sz w:val="24"/>
          <w:szCs w:val="24"/>
          <w:lang w:val="en-GB" w:eastAsia="en-GB"/>
        </w:rPr>
        <w:t xml:space="preserve"> ‘Dynamic capabilities and strategic management’, </w:t>
      </w:r>
      <w:r w:rsidRPr="00764905">
        <w:rPr>
          <w:rFonts w:ascii="Arial" w:eastAsia="Times New Roman" w:hAnsi="Arial" w:cs="Arial"/>
          <w:i/>
          <w:iCs/>
          <w:sz w:val="24"/>
          <w:szCs w:val="24"/>
          <w:lang w:val="en-GB" w:eastAsia="en-GB"/>
        </w:rPr>
        <w:t>Strategic Management Journal</w:t>
      </w:r>
      <w:r w:rsidRPr="00764905">
        <w:rPr>
          <w:rFonts w:ascii="Arial" w:eastAsia="Times New Roman" w:hAnsi="Arial" w:cs="Arial"/>
          <w:sz w:val="24"/>
          <w:szCs w:val="24"/>
          <w:lang w:val="en-GB" w:eastAsia="en-GB"/>
        </w:rPr>
        <w:t>, 18(7), pp. 509–533.</w:t>
      </w:r>
      <w:r w:rsidRPr="00764905">
        <w:rPr>
          <w:rFonts w:ascii="Arial" w:eastAsia="Times New Roman" w:hAnsi="Arial" w:cs="Arial"/>
          <w:sz w:val="24"/>
          <w:szCs w:val="24"/>
          <w:lang w:val="en-GB" w:eastAsia="en-GB"/>
        </w:rPr>
        <w:br/>
        <w:t xml:space="preserve">DOI </w:t>
      </w:r>
    </w:p>
    <w:p w14:paraId="3ACABECC" w14:textId="77777777" w:rsidR="00764905" w:rsidRPr="00764905" w:rsidRDefault="00764905" w:rsidP="00764905">
      <w:pPr>
        <w:numPr>
          <w:ilvl w:val="0"/>
          <w:numId w:val="24"/>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lastRenderedPageBreak/>
        <w:t>Vargo, S.L. and Lusch, R.F. (2004)</w:t>
      </w:r>
      <w:r w:rsidRPr="00764905">
        <w:rPr>
          <w:rFonts w:ascii="Arial" w:eastAsia="Times New Roman" w:hAnsi="Arial" w:cs="Arial"/>
          <w:sz w:val="24"/>
          <w:szCs w:val="24"/>
          <w:lang w:val="en-GB" w:eastAsia="en-GB"/>
        </w:rPr>
        <w:t xml:space="preserve"> ‘Evolving to a new dominant logic for marketing’, </w:t>
      </w:r>
      <w:r w:rsidRPr="00764905">
        <w:rPr>
          <w:rFonts w:ascii="Arial" w:eastAsia="Times New Roman" w:hAnsi="Arial" w:cs="Arial"/>
          <w:i/>
          <w:iCs/>
          <w:sz w:val="24"/>
          <w:szCs w:val="24"/>
          <w:lang w:val="en-GB" w:eastAsia="en-GB"/>
        </w:rPr>
        <w:t>Journal of Marketing</w:t>
      </w:r>
      <w:r w:rsidRPr="00764905">
        <w:rPr>
          <w:rFonts w:ascii="Arial" w:eastAsia="Times New Roman" w:hAnsi="Arial" w:cs="Arial"/>
          <w:sz w:val="24"/>
          <w:szCs w:val="24"/>
          <w:lang w:val="en-GB" w:eastAsia="en-GB"/>
        </w:rPr>
        <w:t>, 68(1), pp. 1–17.</w:t>
      </w:r>
      <w:r w:rsidRPr="00764905">
        <w:rPr>
          <w:rFonts w:ascii="Arial" w:eastAsia="Times New Roman" w:hAnsi="Arial" w:cs="Arial"/>
          <w:sz w:val="24"/>
          <w:szCs w:val="24"/>
          <w:lang w:val="en-GB" w:eastAsia="en-GB"/>
        </w:rPr>
        <w:br/>
      </w:r>
      <w:hyperlink r:id="rId42"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0F065C86" w14:textId="77777777" w:rsidR="00764905" w:rsidRPr="00764905" w:rsidRDefault="00764905" w:rsidP="00764905">
      <w:pPr>
        <w:numPr>
          <w:ilvl w:val="0"/>
          <w:numId w:val="24"/>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Vargo, S.L. and Lusch, R.F. (2008)</w:t>
      </w:r>
      <w:r w:rsidRPr="00764905">
        <w:rPr>
          <w:rFonts w:ascii="Arial" w:eastAsia="Times New Roman" w:hAnsi="Arial" w:cs="Arial"/>
          <w:sz w:val="24"/>
          <w:szCs w:val="24"/>
          <w:lang w:val="en-GB" w:eastAsia="en-GB"/>
        </w:rPr>
        <w:t xml:space="preserve"> ‘Service-dominant logic: Continuing the evolution’, </w:t>
      </w:r>
      <w:r w:rsidRPr="00764905">
        <w:rPr>
          <w:rFonts w:ascii="Arial" w:eastAsia="Times New Roman" w:hAnsi="Arial" w:cs="Arial"/>
          <w:i/>
          <w:iCs/>
          <w:sz w:val="24"/>
          <w:szCs w:val="24"/>
          <w:lang w:val="en-GB" w:eastAsia="en-GB"/>
        </w:rPr>
        <w:t>Journal of the Academy of Marketing Science</w:t>
      </w:r>
      <w:r w:rsidRPr="00764905">
        <w:rPr>
          <w:rFonts w:ascii="Arial" w:eastAsia="Times New Roman" w:hAnsi="Arial" w:cs="Arial"/>
          <w:sz w:val="24"/>
          <w:szCs w:val="24"/>
          <w:lang w:val="en-GB" w:eastAsia="en-GB"/>
        </w:rPr>
        <w:t>, 36, pp. 1–10.</w:t>
      </w:r>
      <w:r w:rsidRPr="00764905">
        <w:rPr>
          <w:rFonts w:ascii="Arial" w:eastAsia="Times New Roman" w:hAnsi="Arial" w:cs="Arial"/>
          <w:sz w:val="24"/>
          <w:szCs w:val="24"/>
          <w:lang w:val="en-GB" w:eastAsia="en-GB"/>
        </w:rPr>
        <w:br/>
      </w:r>
      <w:hyperlink r:id="rId43" w:tgtFrame="_blank" w:history="1">
        <w:r w:rsidRPr="00764905">
          <w:rPr>
            <w:rFonts w:ascii="Arial" w:eastAsia="Times New Roman" w:hAnsi="Arial" w:cs="Arial"/>
            <w:color w:val="0000FF"/>
            <w:sz w:val="24"/>
            <w:szCs w:val="24"/>
            <w:u w:val="single"/>
            <w:lang w:val="en-GB" w:eastAsia="en-GB"/>
          </w:rPr>
          <w:t>DOI</w:t>
        </w:r>
      </w:hyperlink>
    </w:p>
    <w:p w14:paraId="02182DF1" w14:textId="77777777" w:rsidR="00764905" w:rsidRPr="00764905" w:rsidRDefault="00764905" w:rsidP="00764905">
      <w:pPr>
        <w:numPr>
          <w:ilvl w:val="0"/>
          <w:numId w:val="25"/>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Wernerfelt, B. (1984)</w:t>
      </w:r>
      <w:r w:rsidRPr="00764905">
        <w:rPr>
          <w:rFonts w:ascii="Arial" w:eastAsia="Times New Roman" w:hAnsi="Arial" w:cs="Arial"/>
          <w:sz w:val="24"/>
          <w:szCs w:val="24"/>
          <w:lang w:val="en-GB" w:eastAsia="en-GB"/>
        </w:rPr>
        <w:t xml:space="preserve"> ‘A resource-based view of the firm’, </w:t>
      </w:r>
      <w:r w:rsidRPr="00764905">
        <w:rPr>
          <w:rFonts w:ascii="Arial" w:eastAsia="Times New Roman" w:hAnsi="Arial" w:cs="Arial"/>
          <w:i/>
          <w:iCs/>
          <w:sz w:val="24"/>
          <w:szCs w:val="24"/>
          <w:lang w:val="en-GB" w:eastAsia="en-GB"/>
        </w:rPr>
        <w:t>Strategic Management Journal</w:t>
      </w:r>
      <w:r w:rsidRPr="00764905">
        <w:rPr>
          <w:rFonts w:ascii="Arial" w:eastAsia="Times New Roman" w:hAnsi="Arial" w:cs="Arial"/>
          <w:sz w:val="24"/>
          <w:szCs w:val="24"/>
          <w:lang w:val="en-GB" w:eastAsia="en-GB"/>
        </w:rPr>
        <w:t>, 5(2), pp. 171–180.</w:t>
      </w:r>
      <w:r w:rsidRPr="00764905">
        <w:rPr>
          <w:rFonts w:ascii="Arial" w:eastAsia="Times New Roman" w:hAnsi="Arial" w:cs="Arial"/>
          <w:sz w:val="24"/>
          <w:szCs w:val="24"/>
          <w:lang w:val="en-GB" w:eastAsia="en-GB"/>
        </w:rPr>
        <w:br/>
      </w:r>
      <w:hyperlink r:id="rId44"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74A71EEF" w14:textId="77777777" w:rsidR="00764905" w:rsidRPr="00764905" w:rsidRDefault="00764905" w:rsidP="00764905">
      <w:pPr>
        <w:numPr>
          <w:ilvl w:val="0"/>
          <w:numId w:val="25"/>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World Coffee Portal (2024)</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UK independent coffee shops trading strongly on quality and authenticity</w:t>
      </w:r>
      <w:r w:rsidRPr="00764905">
        <w:rPr>
          <w:rFonts w:ascii="Arial" w:eastAsia="Times New Roman" w:hAnsi="Arial" w:cs="Arial"/>
          <w:sz w:val="24"/>
          <w:szCs w:val="24"/>
          <w:lang w:val="en-GB" w:eastAsia="en-GB"/>
        </w:rPr>
        <w:t>.</w:t>
      </w:r>
      <w:r w:rsidRPr="00764905">
        <w:rPr>
          <w:rFonts w:ascii="Arial" w:eastAsia="Times New Roman" w:hAnsi="Arial" w:cs="Arial"/>
          <w:sz w:val="24"/>
          <w:szCs w:val="24"/>
          <w:lang w:val="en-GB" w:eastAsia="en-GB"/>
        </w:rPr>
        <w:br/>
      </w:r>
      <w:hyperlink r:id="rId45" w:tgtFrame="_blank" w:history="1">
        <w:r w:rsidRPr="00764905">
          <w:rPr>
            <w:rFonts w:ascii="Arial" w:eastAsia="Times New Roman" w:hAnsi="Arial" w:cs="Arial"/>
            <w:color w:val="0000FF"/>
            <w:sz w:val="24"/>
            <w:szCs w:val="24"/>
            <w:u w:val="single"/>
            <w:lang w:val="en-GB" w:eastAsia="en-GB"/>
          </w:rPr>
          <w:t>World Coffee Portal</w:t>
        </w:r>
      </w:hyperlink>
      <w:r w:rsidRPr="00764905">
        <w:rPr>
          <w:rFonts w:ascii="Arial" w:eastAsia="Times New Roman" w:hAnsi="Arial" w:cs="Arial"/>
          <w:sz w:val="24"/>
          <w:szCs w:val="24"/>
          <w:lang w:val="en-GB" w:eastAsia="en-GB"/>
        </w:rPr>
        <w:t xml:space="preserve"> </w:t>
      </w:r>
    </w:p>
    <w:p w14:paraId="4A5AB35B" w14:textId="77777777" w:rsidR="00764905" w:rsidRPr="00764905" w:rsidRDefault="00764905" w:rsidP="00764905">
      <w:pPr>
        <w:numPr>
          <w:ilvl w:val="0"/>
          <w:numId w:val="25"/>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World Coffee Portal (2025)</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The UK Coffee Shop Market / UK coffee-shop consumer trends</w:t>
      </w:r>
      <w:r w:rsidRPr="00764905">
        <w:rPr>
          <w:rFonts w:ascii="Arial" w:eastAsia="Times New Roman" w:hAnsi="Arial" w:cs="Arial"/>
          <w:sz w:val="24"/>
          <w:szCs w:val="24"/>
          <w:lang w:val="en-GB" w:eastAsia="en-GB"/>
        </w:rPr>
        <w:t>.</w:t>
      </w:r>
      <w:r w:rsidRPr="00764905">
        <w:rPr>
          <w:rFonts w:ascii="Arial" w:eastAsia="Times New Roman" w:hAnsi="Arial" w:cs="Arial"/>
          <w:sz w:val="24"/>
          <w:szCs w:val="24"/>
          <w:lang w:val="en-GB" w:eastAsia="en-GB"/>
        </w:rPr>
        <w:br/>
      </w:r>
      <w:hyperlink r:id="rId46" w:tgtFrame="_blank" w:history="1">
        <w:r w:rsidRPr="00764905">
          <w:rPr>
            <w:rFonts w:ascii="Arial" w:eastAsia="Times New Roman" w:hAnsi="Arial" w:cs="Arial"/>
            <w:color w:val="0000FF"/>
            <w:sz w:val="24"/>
            <w:szCs w:val="24"/>
            <w:u w:val="single"/>
            <w:lang w:val="en-GB" w:eastAsia="en-GB"/>
          </w:rPr>
          <w:t>World Coffee Portal</w:t>
        </w:r>
      </w:hyperlink>
      <w:r w:rsidRPr="00764905">
        <w:rPr>
          <w:rFonts w:ascii="Arial" w:eastAsia="Times New Roman" w:hAnsi="Arial" w:cs="Arial"/>
          <w:sz w:val="24"/>
          <w:szCs w:val="24"/>
          <w:lang w:val="en-GB" w:eastAsia="en-GB"/>
        </w:rPr>
        <w:t xml:space="preserve"> </w:t>
      </w:r>
    </w:p>
    <w:p w14:paraId="149F96A2" w14:textId="77777777" w:rsidR="00764905" w:rsidRPr="00764905" w:rsidRDefault="00764905" w:rsidP="00764905">
      <w:pPr>
        <w:numPr>
          <w:ilvl w:val="0"/>
          <w:numId w:val="25"/>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World Coffee Portal (2026)</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UK branded coffee shop market</w:t>
      </w:r>
      <w:r w:rsidRPr="00764905">
        <w:rPr>
          <w:rFonts w:ascii="Arial" w:eastAsia="Times New Roman" w:hAnsi="Arial" w:cs="Arial"/>
          <w:sz w:val="24"/>
          <w:szCs w:val="24"/>
          <w:lang w:val="en-GB" w:eastAsia="en-GB"/>
        </w:rPr>
        <w:t>.</w:t>
      </w:r>
      <w:r w:rsidRPr="00764905">
        <w:rPr>
          <w:rFonts w:ascii="Arial" w:eastAsia="Times New Roman" w:hAnsi="Arial" w:cs="Arial"/>
          <w:sz w:val="24"/>
          <w:szCs w:val="24"/>
          <w:lang w:val="en-GB" w:eastAsia="en-GB"/>
        </w:rPr>
        <w:br/>
      </w:r>
      <w:hyperlink r:id="rId47" w:tgtFrame="_blank" w:history="1">
        <w:r w:rsidRPr="00764905">
          <w:rPr>
            <w:rFonts w:ascii="Arial" w:eastAsia="Times New Roman" w:hAnsi="Arial" w:cs="Arial"/>
            <w:color w:val="0000FF"/>
            <w:sz w:val="24"/>
            <w:szCs w:val="24"/>
            <w:u w:val="single"/>
            <w:lang w:val="en-GB" w:eastAsia="en-GB"/>
          </w:rPr>
          <w:t>World Coffee Portal</w:t>
        </w:r>
      </w:hyperlink>
      <w:r w:rsidRPr="00764905">
        <w:rPr>
          <w:rFonts w:ascii="Arial" w:eastAsia="Times New Roman" w:hAnsi="Arial" w:cs="Arial"/>
          <w:sz w:val="24"/>
          <w:szCs w:val="24"/>
          <w:lang w:val="en-GB" w:eastAsia="en-GB"/>
        </w:rPr>
        <w:t xml:space="preserve"> </w:t>
      </w:r>
    </w:p>
    <w:p w14:paraId="49627FE5" w14:textId="77777777" w:rsidR="00764905" w:rsidRPr="00764905" w:rsidRDefault="00764905" w:rsidP="00764905">
      <w:pPr>
        <w:numPr>
          <w:ilvl w:val="0"/>
          <w:numId w:val="26"/>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Zeithaml, V.A. (1988)</w:t>
      </w:r>
      <w:r w:rsidRPr="00764905">
        <w:rPr>
          <w:rFonts w:ascii="Arial" w:eastAsia="Times New Roman" w:hAnsi="Arial" w:cs="Arial"/>
          <w:sz w:val="24"/>
          <w:szCs w:val="24"/>
          <w:lang w:val="en-GB" w:eastAsia="en-GB"/>
        </w:rPr>
        <w:t xml:space="preserve"> ‘Consumer perceptions of price, quality, and value: A means-end model and synthesis of evidence’, </w:t>
      </w:r>
      <w:r w:rsidRPr="00764905">
        <w:rPr>
          <w:rFonts w:ascii="Arial" w:eastAsia="Times New Roman" w:hAnsi="Arial" w:cs="Arial"/>
          <w:i/>
          <w:iCs/>
          <w:sz w:val="24"/>
          <w:szCs w:val="24"/>
          <w:lang w:val="en-GB" w:eastAsia="en-GB"/>
        </w:rPr>
        <w:t>Journal of Marketing</w:t>
      </w:r>
      <w:r w:rsidRPr="00764905">
        <w:rPr>
          <w:rFonts w:ascii="Arial" w:eastAsia="Times New Roman" w:hAnsi="Arial" w:cs="Arial"/>
          <w:sz w:val="24"/>
          <w:szCs w:val="24"/>
          <w:lang w:val="en-GB" w:eastAsia="en-GB"/>
        </w:rPr>
        <w:t>, 52(3), pp. 2–22.</w:t>
      </w:r>
      <w:r w:rsidRPr="00764905">
        <w:rPr>
          <w:rFonts w:ascii="Arial" w:eastAsia="Times New Roman" w:hAnsi="Arial" w:cs="Arial"/>
          <w:sz w:val="24"/>
          <w:szCs w:val="24"/>
          <w:lang w:val="en-GB" w:eastAsia="en-GB"/>
        </w:rPr>
        <w:br/>
      </w:r>
      <w:hyperlink r:id="rId48"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62D15320" w14:textId="77777777" w:rsidR="00764905" w:rsidRPr="00764905" w:rsidRDefault="00764905" w:rsidP="00764905">
      <w:pPr>
        <w:numPr>
          <w:ilvl w:val="0"/>
          <w:numId w:val="26"/>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Zeithaml, V.A., Berry, L.L. and Parasuraman, A. (1996)</w:t>
      </w:r>
      <w:r w:rsidRPr="00764905">
        <w:rPr>
          <w:rFonts w:ascii="Arial" w:eastAsia="Times New Roman" w:hAnsi="Arial" w:cs="Arial"/>
          <w:sz w:val="24"/>
          <w:szCs w:val="24"/>
          <w:lang w:val="en-GB" w:eastAsia="en-GB"/>
        </w:rPr>
        <w:t xml:space="preserve"> ‘The behavioral consequences of service quality’, </w:t>
      </w:r>
      <w:r w:rsidRPr="00764905">
        <w:rPr>
          <w:rFonts w:ascii="Arial" w:eastAsia="Times New Roman" w:hAnsi="Arial" w:cs="Arial"/>
          <w:i/>
          <w:iCs/>
          <w:sz w:val="24"/>
          <w:szCs w:val="24"/>
          <w:lang w:val="en-GB" w:eastAsia="en-GB"/>
        </w:rPr>
        <w:t>Journal of Marketing</w:t>
      </w:r>
      <w:r w:rsidRPr="00764905">
        <w:rPr>
          <w:rFonts w:ascii="Arial" w:eastAsia="Times New Roman" w:hAnsi="Arial" w:cs="Arial"/>
          <w:sz w:val="24"/>
          <w:szCs w:val="24"/>
          <w:lang w:val="en-GB" w:eastAsia="en-GB"/>
        </w:rPr>
        <w:t>, 60(2), pp. 31–46.</w:t>
      </w:r>
      <w:r w:rsidRPr="00764905">
        <w:rPr>
          <w:rFonts w:ascii="Arial" w:eastAsia="Times New Roman" w:hAnsi="Arial" w:cs="Arial"/>
          <w:sz w:val="24"/>
          <w:szCs w:val="24"/>
          <w:lang w:val="en-GB" w:eastAsia="en-GB"/>
        </w:rPr>
        <w:br/>
      </w:r>
      <w:hyperlink r:id="rId49" w:tgtFrame="_blank" w:history="1">
        <w:r w:rsidRPr="00764905">
          <w:rPr>
            <w:rFonts w:ascii="Arial" w:eastAsia="Times New Roman" w:hAnsi="Arial" w:cs="Arial"/>
            <w:color w:val="0000FF"/>
            <w:sz w:val="24"/>
            <w:szCs w:val="24"/>
            <w:u w:val="single"/>
            <w:lang w:val="en-GB" w:eastAsia="en-GB"/>
          </w:rPr>
          <w:t>DOI</w:t>
        </w:r>
      </w:hyperlink>
    </w:p>
    <w:p w14:paraId="136ED1C9" w14:textId="77777777" w:rsidR="00764905" w:rsidRPr="00764905" w:rsidRDefault="00764905" w:rsidP="00764905">
      <w:pPr>
        <w:spacing w:line="360" w:lineRule="auto"/>
        <w:jc w:val="both"/>
        <w:rPr>
          <w:rFonts w:ascii="Arial" w:hAnsi="Arial" w:cs="Arial"/>
          <w:sz w:val="24"/>
          <w:szCs w:val="24"/>
          <w:lang w:val="en-GB"/>
        </w:rPr>
      </w:pPr>
    </w:p>
    <w:p w14:paraId="068B2324" w14:textId="46C2DB88" w:rsidR="00B00717" w:rsidRDefault="00B00717" w:rsidP="00296B61">
      <w:pPr>
        <w:spacing w:before="240" w:line="360" w:lineRule="auto"/>
        <w:jc w:val="both"/>
        <w:rPr>
          <w:rFonts w:ascii="Arial" w:hAnsi="Arial" w:cs="Arial"/>
          <w:sz w:val="24"/>
          <w:szCs w:val="24"/>
          <w:lang w:val="en-GB" w:eastAsia="en-GB"/>
        </w:rPr>
      </w:pPr>
    </w:p>
    <w:p w14:paraId="3C6CD0B1" w14:textId="4F0A4D09" w:rsidR="007C7435" w:rsidRDefault="007C7435" w:rsidP="00296B61">
      <w:pPr>
        <w:spacing w:before="240" w:line="360" w:lineRule="auto"/>
        <w:jc w:val="both"/>
        <w:rPr>
          <w:rFonts w:ascii="Arial" w:hAnsi="Arial" w:cs="Arial"/>
          <w:sz w:val="24"/>
          <w:szCs w:val="24"/>
          <w:lang w:val="en-GB" w:eastAsia="en-GB"/>
        </w:rPr>
      </w:pPr>
    </w:p>
    <w:p w14:paraId="593A3087" w14:textId="527C1E19" w:rsidR="007C7435" w:rsidRDefault="007C7435" w:rsidP="00296B61">
      <w:pPr>
        <w:spacing w:before="240" w:line="360" w:lineRule="auto"/>
        <w:jc w:val="both"/>
        <w:rPr>
          <w:rFonts w:ascii="Arial" w:hAnsi="Arial" w:cs="Arial"/>
          <w:sz w:val="24"/>
          <w:szCs w:val="24"/>
          <w:lang w:val="en-GB" w:eastAsia="en-GB"/>
        </w:rPr>
      </w:pPr>
    </w:p>
    <w:p w14:paraId="7E9B7840" w14:textId="69408BF2" w:rsidR="007C7435" w:rsidRDefault="007C7435" w:rsidP="00296B61">
      <w:pPr>
        <w:spacing w:before="240" w:line="360" w:lineRule="auto"/>
        <w:jc w:val="both"/>
        <w:rPr>
          <w:rFonts w:ascii="Arial" w:hAnsi="Arial" w:cs="Arial"/>
          <w:sz w:val="24"/>
          <w:szCs w:val="24"/>
          <w:lang w:val="en-GB" w:eastAsia="en-GB"/>
        </w:rPr>
      </w:pPr>
    </w:p>
    <w:p w14:paraId="2DAE1C3E" w14:textId="77777777" w:rsidR="008D65F1" w:rsidRPr="008D65F1" w:rsidRDefault="008D65F1" w:rsidP="008D65F1">
      <w:pPr>
        <w:pStyle w:val="Heading1"/>
        <w:rPr>
          <w:rFonts w:eastAsia="Times New Roman"/>
          <w:lang w:val="en-GB" w:eastAsia="en-GB"/>
        </w:rPr>
      </w:pPr>
      <w:bookmarkStart w:id="135" w:name="_Toc240811489"/>
      <w:r w:rsidRPr="008D65F1">
        <w:rPr>
          <w:rFonts w:eastAsia="Times New Roman"/>
          <w:lang w:val="en-GB" w:eastAsia="en-GB"/>
        </w:rPr>
        <w:lastRenderedPageBreak/>
        <w:t>Appendix 8</w:t>
      </w:r>
      <w:bookmarkEnd w:id="135"/>
    </w:p>
    <w:p w14:paraId="0B7E4A99" w14:textId="47A0699A" w:rsidR="008D65F1" w:rsidRDefault="008D65F1" w:rsidP="008D65F1">
      <w:pPr>
        <w:jc w:val="both"/>
        <w:rPr>
          <w:rFonts w:ascii="Arial" w:hAnsi="Arial" w:cs="Arial"/>
          <w:b/>
          <w:sz w:val="24"/>
          <w:lang w:val="en-GB" w:eastAsia="en-GB"/>
        </w:rPr>
      </w:pPr>
      <w:r w:rsidRPr="008D65F1">
        <w:rPr>
          <w:rFonts w:ascii="Arial" w:hAnsi="Arial" w:cs="Arial"/>
          <w:b/>
          <w:sz w:val="24"/>
          <w:lang w:val="en-GB" w:eastAsia="en-GB"/>
        </w:rPr>
        <w:t>Completed Visual Business Model Canvas</w:t>
      </w:r>
    </w:p>
    <w:p w14:paraId="70001FF8" w14:textId="79C992E8" w:rsidR="008D65F1" w:rsidRDefault="00154FCD" w:rsidP="008D65F1">
      <w:pPr>
        <w:jc w:val="both"/>
        <w:rPr>
          <w:rFonts w:ascii="Arial" w:hAnsi="Arial" w:cs="Arial"/>
          <w:b/>
          <w:sz w:val="24"/>
          <w:lang w:val="en-GB" w:eastAsia="en-GB"/>
        </w:rPr>
      </w:pPr>
      <w:r>
        <w:rPr>
          <w:rFonts w:ascii="Arial" w:hAnsi="Arial" w:cs="Arial"/>
          <w:b/>
          <w:noProof/>
          <w:sz w:val="24"/>
          <w:lang w:val="en-GB" w:eastAsia="en-GB"/>
          <w14:ligatures w14:val="standardContextual"/>
        </w:rPr>
        <w:drawing>
          <wp:inline distT="0" distB="0" distL="0" distR="0" wp14:anchorId="7C292FCE" wp14:editId="5D84C56D">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pilot_20260910_114251.png"/>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515CFFB" w14:textId="77777777" w:rsidR="00154FCD" w:rsidRPr="008D65F1" w:rsidRDefault="00154FCD" w:rsidP="008D65F1">
      <w:pPr>
        <w:jc w:val="both"/>
        <w:rPr>
          <w:rFonts w:ascii="Arial" w:hAnsi="Arial" w:cs="Arial"/>
          <w:b/>
          <w:sz w:val="24"/>
          <w:lang w:val="en-GB" w:eastAsia="en-GB"/>
        </w:rPr>
      </w:pPr>
    </w:p>
    <w:p w14:paraId="6C45C13E" w14:textId="3CF43519" w:rsidR="007C7435" w:rsidRDefault="007C7435" w:rsidP="00296B61">
      <w:pPr>
        <w:spacing w:before="240" w:line="360" w:lineRule="auto"/>
        <w:jc w:val="both"/>
        <w:rPr>
          <w:rFonts w:ascii="Arial" w:hAnsi="Arial" w:cs="Arial"/>
          <w:sz w:val="24"/>
          <w:szCs w:val="24"/>
          <w:lang w:val="en-GB" w:eastAsia="en-GB"/>
        </w:rPr>
      </w:pPr>
    </w:p>
    <w:p w14:paraId="7FA5C649" w14:textId="70BFE7E9" w:rsidR="007C7435" w:rsidRDefault="007C7435" w:rsidP="00296B61">
      <w:pPr>
        <w:spacing w:before="240" w:line="360" w:lineRule="auto"/>
        <w:jc w:val="both"/>
        <w:rPr>
          <w:rFonts w:ascii="Arial" w:hAnsi="Arial" w:cs="Arial"/>
          <w:sz w:val="24"/>
          <w:szCs w:val="24"/>
          <w:lang w:val="en-GB" w:eastAsia="en-GB"/>
        </w:rPr>
      </w:pPr>
    </w:p>
    <w:p w14:paraId="0D30C2D2" w14:textId="2FF9BCC4" w:rsidR="007C7435" w:rsidRDefault="007C7435" w:rsidP="00296B61">
      <w:pPr>
        <w:spacing w:before="240" w:line="360" w:lineRule="auto"/>
        <w:jc w:val="both"/>
        <w:rPr>
          <w:rFonts w:ascii="Arial" w:hAnsi="Arial" w:cs="Arial"/>
          <w:sz w:val="24"/>
          <w:szCs w:val="24"/>
          <w:lang w:val="en-GB" w:eastAsia="en-GB"/>
        </w:rPr>
      </w:pPr>
    </w:p>
    <w:p w14:paraId="1ACB7011" w14:textId="7851C3BA" w:rsidR="007C7435" w:rsidRDefault="007C7435" w:rsidP="00296B61">
      <w:pPr>
        <w:spacing w:before="240" w:line="360" w:lineRule="auto"/>
        <w:jc w:val="both"/>
        <w:rPr>
          <w:rFonts w:ascii="Arial" w:hAnsi="Arial" w:cs="Arial"/>
          <w:sz w:val="24"/>
          <w:szCs w:val="24"/>
          <w:lang w:val="en-GB" w:eastAsia="en-GB"/>
        </w:rPr>
      </w:pPr>
    </w:p>
    <w:p w14:paraId="73CEB126" w14:textId="081ADF53" w:rsidR="007C7435" w:rsidRDefault="007C7435" w:rsidP="00296B61">
      <w:pPr>
        <w:spacing w:before="240" w:line="360" w:lineRule="auto"/>
        <w:jc w:val="both"/>
        <w:rPr>
          <w:rFonts w:ascii="Arial" w:hAnsi="Arial" w:cs="Arial"/>
          <w:sz w:val="24"/>
          <w:szCs w:val="24"/>
          <w:lang w:val="en-GB" w:eastAsia="en-GB"/>
        </w:rPr>
      </w:pPr>
    </w:p>
    <w:p w14:paraId="09F63445" w14:textId="1F0B6F2B" w:rsidR="007C7435" w:rsidRDefault="007C7435" w:rsidP="00296B61">
      <w:pPr>
        <w:spacing w:before="240" w:line="360" w:lineRule="auto"/>
        <w:jc w:val="both"/>
        <w:rPr>
          <w:rFonts w:ascii="Arial" w:hAnsi="Arial" w:cs="Arial"/>
          <w:sz w:val="24"/>
          <w:szCs w:val="24"/>
          <w:lang w:val="en-GB" w:eastAsia="en-GB"/>
        </w:rPr>
      </w:pPr>
    </w:p>
    <w:p w14:paraId="14B48789" w14:textId="388BBBFC" w:rsidR="007C7435" w:rsidRDefault="007C7435" w:rsidP="00296B61">
      <w:pPr>
        <w:spacing w:before="240" w:line="360" w:lineRule="auto"/>
        <w:jc w:val="both"/>
        <w:rPr>
          <w:rFonts w:ascii="Arial" w:hAnsi="Arial" w:cs="Arial"/>
          <w:sz w:val="24"/>
          <w:szCs w:val="24"/>
          <w:lang w:val="en-GB" w:eastAsia="en-GB"/>
        </w:rPr>
      </w:pPr>
    </w:p>
    <w:p w14:paraId="63B79167" w14:textId="013CB7A5" w:rsidR="007C7435" w:rsidRDefault="007C7435" w:rsidP="00296B61">
      <w:pPr>
        <w:spacing w:before="240" w:line="360" w:lineRule="auto"/>
        <w:jc w:val="both"/>
        <w:rPr>
          <w:rFonts w:ascii="Arial" w:hAnsi="Arial" w:cs="Arial"/>
          <w:sz w:val="24"/>
          <w:szCs w:val="24"/>
          <w:lang w:val="en-GB" w:eastAsia="en-GB"/>
        </w:rPr>
      </w:pPr>
    </w:p>
    <w:p w14:paraId="115DD444" w14:textId="29505342" w:rsidR="007C7435" w:rsidRDefault="007C7435" w:rsidP="00296B61">
      <w:pPr>
        <w:spacing w:before="240" w:line="360" w:lineRule="auto"/>
        <w:jc w:val="both"/>
        <w:rPr>
          <w:rFonts w:ascii="Arial" w:hAnsi="Arial" w:cs="Arial"/>
          <w:sz w:val="24"/>
          <w:szCs w:val="24"/>
          <w:lang w:val="en-GB" w:eastAsia="en-GB"/>
        </w:rPr>
      </w:pPr>
    </w:p>
    <w:p w14:paraId="0996DB3A" w14:textId="26FDE1CE" w:rsidR="007C7435" w:rsidRDefault="007C7435" w:rsidP="00296B61">
      <w:pPr>
        <w:spacing w:before="240" w:line="360" w:lineRule="auto"/>
        <w:jc w:val="both"/>
        <w:rPr>
          <w:rFonts w:ascii="Arial" w:hAnsi="Arial" w:cs="Arial"/>
          <w:sz w:val="24"/>
          <w:szCs w:val="24"/>
          <w:lang w:val="en-GB" w:eastAsia="en-GB"/>
        </w:rPr>
      </w:pPr>
    </w:p>
    <w:p w14:paraId="773E2DE7" w14:textId="3280C93B" w:rsidR="007C7435" w:rsidRDefault="007C7435" w:rsidP="00296B61">
      <w:pPr>
        <w:spacing w:before="240" w:line="360" w:lineRule="auto"/>
        <w:jc w:val="both"/>
        <w:rPr>
          <w:rFonts w:ascii="Arial" w:hAnsi="Arial" w:cs="Arial"/>
          <w:sz w:val="24"/>
          <w:szCs w:val="24"/>
          <w:lang w:val="en-GB" w:eastAsia="en-GB"/>
        </w:rPr>
      </w:pPr>
    </w:p>
    <w:sectPr w:rsidR="007C7435" w:rsidSect="00B50C6B">
      <w:headerReference w:type="default" r:id="rId51"/>
      <w:footerReference w:type="default" r:id="rId5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75D1CC0" w14:textId="77777777" w:rsidR="009058BE" w:rsidRDefault="009058BE" w:rsidP="00226B65">
      <w:pPr>
        <w:spacing w:after="0" w:line="240" w:lineRule="auto"/>
      </w:pPr>
      <w:r>
        <w:separator/>
      </w:r>
    </w:p>
  </w:endnote>
  <w:endnote w:type="continuationSeparator" w:id="0">
    <w:p w14:paraId="4F83BE76" w14:textId="77777777" w:rsidR="009058BE" w:rsidRDefault="009058BE" w:rsidP="00226B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64435508"/>
      <w:docPartObj>
        <w:docPartGallery w:val="Page Numbers (Bottom of Page)"/>
        <w:docPartUnique/>
      </w:docPartObj>
    </w:sdtPr>
    <w:sdtEndPr>
      <w:rPr>
        <w:noProof/>
      </w:rPr>
    </w:sdtEndPr>
    <w:sdtContent>
      <w:p w14:paraId="11FBF282" w14:textId="66102272" w:rsidR="0038379F" w:rsidRDefault="0038379F">
        <w:pPr>
          <w:pStyle w:val="Footer"/>
          <w:jc w:val="center"/>
        </w:pPr>
        <w:r>
          <w:fldChar w:fldCharType="begin"/>
        </w:r>
        <w:r>
          <w:instrText xml:space="preserve"> PAGE   \* MERGEFORMAT </w:instrText>
        </w:r>
        <w:r>
          <w:fldChar w:fldCharType="separate"/>
        </w:r>
        <w:r w:rsidR="002D09B1">
          <w:rPr>
            <w:noProof/>
          </w:rPr>
          <w:t>vii</w:t>
        </w:r>
        <w:r>
          <w:rPr>
            <w:noProof/>
          </w:rPr>
          <w:fldChar w:fldCharType="end"/>
        </w:r>
      </w:p>
    </w:sdtContent>
  </w:sdt>
  <w:p w14:paraId="09932598" w14:textId="77777777" w:rsidR="0038379F" w:rsidRDefault="0038379F">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11161675"/>
      <w:docPartObj>
        <w:docPartGallery w:val="Page Numbers (Bottom of Page)"/>
        <w:docPartUnique/>
      </w:docPartObj>
    </w:sdtPr>
    <w:sdtEndPr>
      <w:rPr>
        <w:noProof/>
      </w:rPr>
    </w:sdtEndPr>
    <w:sdtContent>
      <w:p w14:paraId="3135B97B" w14:textId="174E2904" w:rsidR="0038379F" w:rsidRDefault="0038379F">
        <w:pPr>
          <w:pStyle w:val="Footer"/>
          <w:jc w:val="center"/>
        </w:pPr>
        <w:r>
          <w:fldChar w:fldCharType="begin"/>
        </w:r>
        <w:r>
          <w:instrText xml:space="preserve"> PAGE   \* MERGEFORMAT </w:instrText>
        </w:r>
        <w:r>
          <w:fldChar w:fldCharType="separate"/>
        </w:r>
        <w:r w:rsidR="002D09B1">
          <w:rPr>
            <w:noProof/>
          </w:rPr>
          <w:t>79</w:t>
        </w:r>
        <w:r>
          <w:rPr>
            <w:noProof/>
          </w:rPr>
          <w:fldChar w:fldCharType="end"/>
        </w:r>
      </w:p>
    </w:sdtContent>
  </w:sdt>
  <w:p w14:paraId="751981B7" w14:textId="77777777" w:rsidR="0038379F" w:rsidRPr="00F706E3" w:rsidRDefault="0038379F">
    <w:pPr>
      <w:pStyle w:val="Footer"/>
      <w:rPr>
        <w:lang w:val="en-GB"/>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FB39A78" w14:textId="77777777" w:rsidR="009058BE" w:rsidRDefault="009058BE" w:rsidP="00226B65">
      <w:pPr>
        <w:spacing w:after="0" w:line="240" w:lineRule="auto"/>
      </w:pPr>
      <w:r>
        <w:separator/>
      </w:r>
    </w:p>
  </w:footnote>
  <w:footnote w:type="continuationSeparator" w:id="0">
    <w:p w14:paraId="0851E548" w14:textId="77777777" w:rsidR="009058BE" w:rsidRDefault="009058BE" w:rsidP="00226B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E804CB" w14:textId="77777777" w:rsidR="0038379F" w:rsidRDefault="0038379F">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CE7D89"/>
    <w:multiLevelType w:val="multilevel"/>
    <w:tmpl w:val="A1908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D73141"/>
    <w:multiLevelType w:val="hybridMultilevel"/>
    <w:tmpl w:val="80523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EB3613"/>
    <w:multiLevelType w:val="multilevel"/>
    <w:tmpl w:val="69C88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582967"/>
    <w:multiLevelType w:val="multilevel"/>
    <w:tmpl w:val="16B44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1F395F"/>
    <w:multiLevelType w:val="hybridMultilevel"/>
    <w:tmpl w:val="4606B7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3337CA"/>
    <w:multiLevelType w:val="multilevel"/>
    <w:tmpl w:val="FA66E73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31A0D06"/>
    <w:multiLevelType w:val="multilevel"/>
    <w:tmpl w:val="A2A64B74"/>
    <w:lvl w:ilvl="0">
      <w:start w:val="3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38045EC"/>
    <w:multiLevelType w:val="multilevel"/>
    <w:tmpl w:val="3E70C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007E1F"/>
    <w:multiLevelType w:val="multilevel"/>
    <w:tmpl w:val="6C904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C900039"/>
    <w:multiLevelType w:val="multilevel"/>
    <w:tmpl w:val="83666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FA52865"/>
    <w:multiLevelType w:val="multilevel"/>
    <w:tmpl w:val="D7D24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ED2DF4"/>
    <w:multiLevelType w:val="multilevel"/>
    <w:tmpl w:val="46440108"/>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5944A39"/>
    <w:multiLevelType w:val="hybridMultilevel"/>
    <w:tmpl w:val="62389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90C757D"/>
    <w:multiLevelType w:val="multilevel"/>
    <w:tmpl w:val="16D08C76"/>
    <w:lvl w:ilvl="0">
      <w:start w:val="2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ED43FED"/>
    <w:multiLevelType w:val="multilevel"/>
    <w:tmpl w:val="61C401D2"/>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09F77E7"/>
    <w:multiLevelType w:val="multilevel"/>
    <w:tmpl w:val="5DD8A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0AB5A9B"/>
    <w:multiLevelType w:val="multilevel"/>
    <w:tmpl w:val="4BBE2FA2"/>
    <w:lvl w:ilvl="0">
      <w:start w:val="5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56C21AE"/>
    <w:multiLevelType w:val="multilevel"/>
    <w:tmpl w:val="A52E55A2"/>
    <w:lvl w:ilvl="0">
      <w:start w:val="7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6C1434A"/>
    <w:multiLevelType w:val="multilevel"/>
    <w:tmpl w:val="801E8BD2"/>
    <w:lvl w:ilvl="0">
      <w:start w:val="4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7C0639A"/>
    <w:multiLevelType w:val="multilevel"/>
    <w:tmpl w:val="C0D2C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CED5A4B"/>
    <w:multiLevelType w:val="multilevel"/>
    <w:tmpl w:val="5EE61CF8"/>
    <w:lvl w:ilvl="0">
      <w:start w:val="4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3727DF8"/>
    <w:multiLevelType w:val="multilevel"/>
    <w:tmpl w:val="CBAAE954"/>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53E7CAB"/>
    <w:multiLevelType w:val="multilevel"/>
    <w:tmpl w:val="0B6EB806"/>
    <w:lvl w:ilvl="0">
      <w:start w:val="7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5E04CAA"/>
    <w:multiLevelType w:val="multilevel"/>
    <w:tmpl w:val="BEDEBA6E"/>
    <w:lvl w:ilvl="0">
      <w:start w:val="6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7A35FC0"/>
    <w:multiLevelType w:val="multilevel"/>
    <w:tmpl w:val="40FA05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89C30E2"/>
    <w:multiLevelType w:val="multilevel"/>
    <w:tmpl w:val="FA8433C0"/>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A2042BE"/>
    <w:multiLevelType w:val="multilevel"/>
    <w:tmpl w:val="58ECCF1E"/>
    <w:lvl w:ilvl="0">
      <w:start w:val="5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A44298A"/>
    <w:multiLevelType w:val="hybridMultilevel"/>
    <w:tmpl w:val="931E6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6C7BBA"/>
    <w:multiLevelType w:val="multilevel"/>
    <w:tmpl w:val="DFD0E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0014A1D"/>
    <w:multiLevelType w:val="multilevel"/>
    <w:tmpl w:val="19AC2CF6"/>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80E3608"/>
    <w:multiLevelType w:val="multilevel"/>
    <w:tmpl w:val="3CE0B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A1A44EC"/>
    <w:multiLevelType w:val="multilevel"/>
    <w:tmpl w:val="86002C10"/>
    <w:lvl w:ilvl="0">
      <w:start w:val="6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AF036D1"/>
    <w:multiLevelType w:val="multilevel"/>
    <w:tmpl w:val="5A4A5A52"/>
    <w:lvl w:ilvl="0">
      <w:start w:val="3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B170DC5"/>
    <w:multiLevelType w:val="multilevel"/>
    <w:tmpl w:val="C33E93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C165586"/>
    <w:multiLevelType w:val="multilevel"/>
    <w:tmpl w:val="58703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D553623"/>
    <w:multiLevelType w:val="multilevel"/>
    <w:tmpl w:val="1DCC6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1A77473"/>
    <w:multiLevelType w:val="multilevel"/>
    <w:tmpl w:val="71AE7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9405741"/>
    <w:multiLevelType w:val="multilevel"/>
    <w:tmpl w:val="3A6251F0"/>
    <w:lvl w:ilvl="0">
      <w:start w:val="3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DB56047"/>
    <w:multiLevelType w:val="hybridMultilevel"/>
    <w:tmpl w:val="9E1ADC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E560D82"/>
    <w:multiLevelType w:val="multilevel"/>
    <w:tmpl w:val="D708E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E930FA2"/>
    <w:multiLevelType w:val="multilevel"/>
    <w:tmpl w:val="CC3A5800"/>
    <w:lvl w:ilvl="0">
      <w:start w:val="2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FBA5CDA"/>
    <w:multiLevelType w:val="multilevel"/>
    <w:tmpl w:val="DE3A0D5A"/>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38"/>
  </w:num>
  <w:num w:numId="3">
    <w:abstractNumId w:val="27"/>
  </w:num>
  <w:num w:numId="4">
    <w:abstractNumId w:val="12"/>
  </w:num>
  <w:num w:numId="5">
    <w:abstractNumId w:val="1"/>
  </w:num>
  <w:num w:numId="6">
    <w:abstractNumId w:val="24"/>
  </w:num>
  <w:num w:numId="7">
    <w:abstractNumId w:val="5"/>
  </w:num>
  <w:num w:numId="8">
    <w:abstractNumId w:val="25"/>
  </w:num>
  <w:num w:numId="9">
    <w:abstractNumId w:val="29"/>
  </w:num>
  <w:num w:numId="10">
    <w:abstractNumId w:val="14"/>
  </w:num>
  <w:num w:numId="11">
    <w:abstractNumId w:val="11"/>
  </w:num>
  <w:num w:numId="12">
    <w:abstractNumId w:val="41"/>
  </w:num>
  <w:num w:numId="13">
    <w:abstractNumId w:val="21"/>
  </w:num>
  <w:num w:numId="14">
    <w:abstractNumId w:val="40"/>
  </w:num>
  <w:num w:numId="15">
    <w:abstractNumId w:val="13"/>
  </w:num>
  <w:num w:numId="16">
    <w:abstractNumId w:val="6"/>
  </w:num>
  <w:num w:numId="17">
    <w:abstractNumId w:val="37"/>
  </w:num>
  <w:num w:numId="18">
    <w:abstractNumId w:val="32"/>
  </w:num>
  <w:num w:numId="19">
    <w:abstractNumId w:val="18"/>
  </w:num>
  <w:num w:numId="20">
    <w:abstractNumId w:val="20"/>
  </w:num>
  <w:num w:numId="21">
    <w:abstractNumId w:val="26"/>
  </w:num>
  <w:num w:numId="22">
    <w:abstractNumId w:val="16"/>
  </w:num>
  <w:num w:numId="23">
    <w:abstractNumId w:val="31"/>
  </w:num>
  <w:num w:numId="24">
    <w:abstractNumId w:val="23"/>
  </w:num>
  <w:num w:numId="25">
    <w:abstractNumId w:val="22"/>
  </w:num>
  <w:num w:numId="26">
    <w:abstractNumId w:val="17"/>
  </w:num>
  <w:num w:numId="27">
    <w:abstractNumId w:val="19"/>
  </w:num>
  <w:num w:numId="28">
    <w:abstractNumId w:val="7"/>
  </w:num>
  <w:num w:numId="29">
    <w:abstractNumId w:val="36"/>
  </w:num>
  <w:num w:numId="30">
    <w:abstractNumId w:val="3"/>
  </w:num>
  <w:num w:numId="31">
    <w:abstractNumId w:val="8"/>
  </w:num>
  <w:num w:numId="32">
    <w:abstractNumId w:val="33"/>
  </w:num>
  <w:num w:numId="33">
    <w:abstractNumId w:val="34"/>
  </w:num>
  <w:num w:numId="34">
    <w:abstractNumId w:val="39"/>
  </w:num>
  <w:num w:numId="35">
    <w:abstractNumId w:val="0"/>
  </w:num>
  <w:num w:numId="36">
    <w:abstractNumId w:val="2"/>
  </w:num>
  <w:num w:numId="37">
    <w:abstractNumId w:val="15"/>
  </w:num>
  <w:num w:numId="38">
    <w:abstractNumId w:val="35"/>
  </w:num>
  <w:num w:numId="39">
    <w:abstractNumId w:val="9"/>
  </w:num>
  <w:num w:numId="40">
    <w:abstractNumId w:val="28"/>
  </w:num>
  <w:num w:numId="41">
    <w:abstractNumId w:val="10"/>
  </w:num>
  <w:num w:numId="42">
    <w:abstractNumId w:val="30"/>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7F30"/>
    <w:rsid w:val="00004D04"/>
    <w:rsid w:val="00004D6C"/>
    <w:rsid w:val="000117E4"/>
    <w:rsid w:val="00013335"/>
    <w:rsid w:val="0001370B"/>
    <w:rsid w:val="00014A2F"/>
    <w:rsid w:val="00020A7C"/>
    <w:rsid w:val="0002406A"/>
    <w:rsid w:val="000314AE"/>
    <w:rsid w:val="00036E37"/>
    <w:rsid w:val="0003742F"/>
    <w:rsid w:val="00043172"/>
    <w:rsid w:val="000438AB"/>
    <w:rsid w:val="00044370"/>
    <w:rsid w:val="000447C7"/>
    <w:rsid w:val="00046CE1"/>
    <w:rsid w:val="000573C7"/>
    <w:rsid w:val="0006073E"/>
    <w:rsid w:val="000621B1"/>
    <w:rsid w:val="00062B3E"/>
    <w:rsid w:val="00064403"/>
    <w:rsid w:val="00066DDC"/>
    <w:rsid w:val="00067740"/>
    <w:rsid w:val="00067EB2"/>
    <w:rsid w:val="000720BB"/>
    <w:rsid w:val="00072CF9"/>
    <w:rsid w:val="00073190"/>
    <w:rsid w:val="000755AF"/>
    <w:rsid w:val="00076333"/>
    <w:rsid w:val="00082254"/>
    <w:rsid w:val="000866B5"/>
    <w:rsid w:val="0009016E"/>
    <w:rsid w:val="00094C6A"/>
    <w:rsid w:val="00095B12"/>
    <w:rsid w:val="00097FF4"/>
    <w:rsid w:val="000A0440"/>
    <w:rsid w:val="000A297B"/>
    <w:rsid w:val="000A2CAF"/>
    <w:rsid w:val="000A3049"/>
    <w:rsid w:val="000A65E5"/>
    <w:rsid w:val="000A7D86"/>
    <w:rsid w:val="000A7E8F"/>
    <w:rsid w:val="000B2756"/>
    <w:rsid w:val="000B3E28"/>
    <w:rsid w:val="000B4733"/>
    <w:rsid w:val="000C4DA0"/>
    <w:rsid w:val="000C6B7F"/>
    <w:rsid w:val="000C7D8E"/>
    <w:rsid w:val="000C7FAD"/>
    <w:rsid w:val="000D1721"/>
    <w:rsid w:val="000D57BD"/>
    <w:rsid w:val="000D5F4B"/>
    <w:rsid w:val="000E1B28"/>
    <w:rsid w:val="000E76ED"/>
    <w:rsid w:val="000F0747"/>
    <w:rsid w:val="000F1E62"/>
    <w:rsid w:val="000F5846"/>
    <w:rsid w:val="000F5EA9"/>
    <w:rsid w:val="00100F99"/>
    <w:rsid w:val="0010342D"/>
    <w:rsid w:val="00104C38"/>
    <w:rsid w:val="00105DB6"/>
    <w:rsid w:val="0010663A"/>
    <w:rsid w:val="00106CC9"/>
    <w:rsid w:val="00114D7F"/>
    <w:rsid w:val="00120896"/>
    <w:rsid w:val="00122C26"/>
    <w:rsid w:val="00124FA6"/>
    <w:rsid w:val="001254F4"/>
    <w:rsid w:val="001269B6"/>
    <w:rsid w:val="001335F2"/>
    <w:rsid w:val="001346AE"/>
    <w:rsid w:val="00134C55"/>
    <w:rsid w:val="0014628F"/>
    <w:rsid w:val="0014739F"/>
    <w:rsid w:val="00154BCB"/>
    <w:rsid w:val="00154FCD"/>
    <w:rsid w:val="00155F79"/>
    <w:rsid w:val="001560A9"/>
    <w:rsid w:val="00160C1C"/>
    <w:rsid w:val="001640E8"/>
    <w:rsid w:val="00167C72"/>
    <w:rsid w:val="001801FE"/>
    <w:rsid w:val="00183A1B"/>
    <w:rsid w:val="00187F30"/>
    <w:rsid w:val="001906A4"/>
    <w:rsid w:val="001929B4"/>
    <w:rsid w:val="00194468"/>
    <w:rsid w:val="001962E4"/>
    <w:rsid w:val="001A08AB"/>
    <w:rsid w:val="001A0C2E"/>
    <w:rsid w:val="001A2504"/>
    <w:rsid w:val="001A70A9"/>
    <w:rsid w:val="001B41A5"/>
    <w:rsid w:val="001B5058"/>
    <w:rsid w:val="001C26FD"/>
    <w:rsid w:val="001D1268"/>
    <w:rsid w:val="001D3EBB"/>
    <w:rsid w:val="001D5EF2"/>
    <w:rsid w:val="001E0746"/>
    <w:rsid w:val="001F27A2"/>
    <w:rsid w:val="001F2E2C"/>
    <w:rsid w:val="001F60C6"/>
    <w:rsid w:val="002003D0"/>
    <w:rsid w:val="00201851"/>
    <w:rsid w:val="002049FF"/>
    <w:rsid w:val="002068A4"/>
    <w:rsid w:val="00211196"/>
    <w:rsid w:val="002119EB"/>
    <w:rsid w:val="002129FD"/>
    <w:rsid w:val="00212ED5"/>
    <w:rsid w:val="002154D2"/>
    <w:rsid w:val="00217C41"/>
    <w:rsid w:val="00220A5E"/>
    <w:rsid w:val="00221E59"/>
    <w:rsid w:val="00226B65"/>
    <w:rsid w:val="00227CB2"/>
    <w:rsid w:val="00231238"/>
    <w:rsid w:val="00235395"/>
    <w:rsid w:val="00235792"/>
    <w:rsid w:val="00236100"/>
    <w:rsid w:val="0024004B"/>
    <w:rsid w:val="00241AE4"/>
    <w:rsid w:val="00244702"/>
    <w:rsid w:val="00244CCB"/>
    <w:rsid w:val="00245424"/>
    <w:rsid w:val="00250651"/>
    <w:rsid w:val="002612D9"/>
    <w:rsid w:val="00262AF0"/>
    <w:rsid w:val="00265497"/>
    <w:rsid w:val="00272CF0"/>
    <w:rsid w:val="002757F5"/>
    <w:rsid w:val="00281166"/>
    <w:rsid w:val="00282863"/>
    <w:rsid w:val="00284522"/>
    <w:rsid w:val="00284693"/>
    <w:rsid w:val="00287FB7"/>
    <w:rsid w:val="002920E6"/>
    <w:rsid w:val="002930B6"/>
    <w:rsid w:val="00293DE1"/>
    <w:rsid w:val="00294FF8"/>
    <w:rsid w:val="00295019"/>
    <w:rsid w:val="00296B61"/>
    <w:rsid w:val="002A1E74"/>
    <w:rsid w:val="002A72BC"/>
    <w:rsid w:val="002B3460"/>
    <w:rsid w:val="002B719C"/>
    <w:rsid w:val="002B7538"/>
    <w:rsid w:val="002C23A0"/>
    <w:rsid w:val="002C2417"/>
    <w:rsid w:val="002C6544"/>
    <w:rsid w:val="002D09B1"/>
    <w:rsid w:val="002D1910"/>
    <w:rsid w:val="002D3C6B"/>
    <w:rsid w:val="002D4A25"/>
    <w:rsid w:val="002D6462"/>
    <w:rsid w:val="002D7021"/>
    <w:rsid w:val="002E019E"/>
    <w:rsid w:val="002E2D64"/>
    <w:rsid w:val="002E4CF4"/>
    <w:rsid w:val="002E4D5A"/>
    <w:rsid w:val="002E4DF0"/>
    <w:rsid w:val="002E5287"/>
    <w:rsid w:val="002F13B3"/>
    <w:rsid w:val="002F2E2F"/>
    <w:rsid w:val="002F54CA"/>
    <w:rsid w:val="002F6A3D"/>
    <w:rsid w:val="002F7B54"/>
    <w:rsid w:val="00302170"/>
    <w:rsid w:val="00302559"/>
    <w:rsid w:val="00304029"/>
    <w:rsid w:val="00304B5F"/>
    <w:rsid w:val="00306545"/>
    <w:rsid w:val="00310DA3"/>
    <w:rsid w:val="00312AF4"/>
    <w:rsid w:val="003145AB"/>
    <w:rsid w:val="0031596D"/>
    <w:rsid w:val="00325211"/>
    <w:rsid w:val="00326EBB"/>
    <w:rsid w:val="0032756A"/>
    <w:rsid w:val="00332C7B"/>
    <w:rsid w:val="00335E27"/>
    <w:rsid w:val="0034076E"/>
    <w:rsid w:val="00340969"/>
    <w:rsid w:val="00345B65"/>
    <w:rsid w:val="00354F2D"/>
    <w:rsid w:val="003554EF"/>
    <w:rsid w:val="00361E3B"/>
    <w:rsid w:val="0037334C"/>
    <w:rsid w:val="00376A06"/>
    <w:rsid w:val="00376D86"/>
    <w:rsid w:val="0038198C"/>
    <w:rsid w:val="00383247"/>
    <w:rsid w:val="0038379F"/>
    <w:rsid w:val="003916FE"/>
    <w:rsid w:val="0039798E"/>
    <w:rsid w:val="003A5A93"/>
    <w:rsid w:val="003B280D"/>
    <w:rsid w:val="003B6F9C"/>
    <w:rsid w:val="003C1271"/>
    <w:rsid w:val="003C26CE"/>
    <w:rsid w:val="003C45F7"/>
    <w:rsid w:val="003C550C"/>
    <w:rsid w:val="003C7318"/>
    <w:rsid w:val="003D071E"/>
    <w:rsid w:val="003D7187"/>
    <w:rsid w:val="003D7356"/>
    <w:rsid w:val="003E3983"/>
    <w:rsid w:val="003E554F"/>
    <w:rsid w:val="003F047C"/>
    <w:rsid w:val="003F0BC2"/>
    <w:rsid w:val="004005C8"/>
    <w:rsid w:val="00403881"/>
    <w:rsid w:val="004071F9"/>
    <w:rsid w:val="00410EE2"/>
    <w:rsid w:val="00412244"/>
    <w:rsid w:val="00415A7C"/>
    <w:rsid w:val="00416524"/>
    <w:rsid w:val="004229B7"/>
    <w:rsid w:val="00422ACC"/>
    <w:rsid w:val="00426935"/>
    <w:rsid w:val="00433D54"/>
    <w:rsid w:val="004439A2"/>
    <w:rsid w:val="00450098"/>
    <w:rsid w:val="004537D1"/>
    <w:rsid w:val="00453801"/>
    <w:rsid w:val="004618F7"/>
    <w:rsid w:val="00464637"/>
    <w:rsid w:val="004664C0"/>
    <w:rsid w:val="00475CF8"/>
    <w:rsid w:val="00477077"/>
    <w:rsid w:val="004774F6"/>
    <w:rsid w:val="004809C8"/>
    <w:rsid w:val="00482C55"/>
    <w:rsid w:val="00486CBA"/>
    <w:rsid w:val="0048704A"/>
    <w:rsid w:val="00493CD3"/>
    <w:rsid w:val="00494567"/>
    <w:rsid w:val="00495D09"/>
    <w:rsid w:val="00497383"/>
    <w:rsid w:val="004A3190"/>
    <w:rsid w:val="004A3ACD"/>
    <w:rsid w:val="004A4D7C"/>
    <w:rsid w:val="004B2D5C"/>
    <w:rsid w:val="004B4887"/>
    <w:rsid w:val="004B56A6"/>
    <w:rsid w:val="004C0434"/>
    <w:rsid w:val="004C0444"/>
    <w:rsid w:val="004C1558"/>
    <w:rsid w:val="004C3838"/>
    <w:rsid w:val="004C5F1B"/>
    <w:rsid w:val="004C6A98"/>
    <w:rsid w:val="004C6BDB"/>
    <w:rsid w:val="004D0A7B"/>
    <w:rsid w:val="004E1559"/>
    <w:rsid w:val="004E1586"/>
    <w:rsid w:val="004E25D5"/>
    <w:rsid w:val="004E5561"/>
    <w:rsid w:val="004F1B8C"/>
    <w:rsid w:val="005007A7"/>
    <w:rsid w:val="0050370C"/>
    <w:rsid w:val="0050713D"/>
    <w:rsid w:val="0051277B"/>
    <w:rsid w:val="00512825"/>
    <w:rsid w:val="0051296B"/>
    <w:rsid w:val="00517427"/>
    <w:rsid w:val="005174E7"/>
    <w:rsid w:val="00520D8F"/>
    <w:rsid w:val="00523927"/>
    <w:rsid w:val="00526E02"/>
    <w:rsid w:val="00527C4D"/>
    <w:rsid w:val="0053125B"/>
    <w:rsid w:val="005317CE"/>
    <w:rsid w:val="00532B48"/>
    <w:rsid w:val="00534005"/>
    <w:rsid w:val="005356A2"/>
    <w:rsid w:val="00537C9D"/>
    <w:rsid w:val="005410CD"/>
    <w:rsid w:val="005438A3"/>
    <w:rsid w:val="00547219"/>
    <w:rsid w:val="005508A7"/>
    <w:rsid w:val="005572AB"/>
    <w:rsid w:val="00562A0A"/>
    <w:rsid w:val="005663BE"/>
    <w:rsid w:val="00566FE1"/>
    <w:rsid w:val="00572CAA"/>
    <w:rsid w:val="00573E08"/>
    <w:rsid w:val="00573EAA"/>
    <w:rsid w:val="0057579E"/>
    <w:rsid w:val="00583BA8"/>
    <w:rsid w:val="005846CF"/>
    <w:rsid w:val="005859A6"/>
    <w:rsid w:val="005862EB"/>
    <w:rsid w:val="0059125D"/>
    <w:rsid w:val="005935D1"/>
    <w:rsid w:val="00596E37"/>
    <w:rsid w:val="005A3143"/>
    <w:rsid w:val="005A40ED"/>
    <w:rsid w:val="005A4E1A"/>
    <w:rsid w:val="005A5A78"/>
    <w:rsid w:val="005A6570"/>
    <w:rsid w:val="005B01FD"/>
    <w:rsid w:val="005B1786"/>
    <w:rsid w:val="005B203B"/>
    <w:rsid w:val="005B4BC5"/>
    <w:rsid w:val="005B5A20"/>
    <w:rsid w:val="005C08FE"/>
    <w:rsid w:val="005C5A1B"/>
    <w:rsid w:val="005D5DFF"/>
    <w:rsid w:val="005D7E96"/>
    <w:rsid w:val="005E651E"/>
    <w:rsid w:val="005F32BF"/>
    <w:rsid w:val="005F43F5"/>
    <w:rsid w:val="00604954"/>
    <w:rsid w:val="006119A3"/>
    <w:rsid w:val="006130A6"/>
    <w:rsid w:val="00622191"/>
    <w:rsid w:val="00624EC2"/>
    <w:rsid w:val="006255E9"/>
    <w:rsid w:val="00627208"/>
    <w:rsid w:val="0063171D"/>
    <w:rsid w:val="00637CBC"/>
    <w:rsid w:val="00641A51"/>
    <w:rsid w:val="00642665"/>
    <w:rsid w:val="006447AA"/>
    <w:rsid w:val="006524E6"/>
    <w:rsid w:val="0065437D"/>
    <w:rsid w:val="006562F7"/>
    <w:rsid w:val="00656CC7"/>
    <w:rsid w:val="00657903"/>
    <w:rsid w:val="00661BE0"/>
    <w:rsid w:val="006657D1"/>
    <w:rsid w:val="00665C21"/>
    <w:rsid w:val="00666BD6"/>
    <w:rsid w:val="0066772B"/>
    <w:rsid w:val="0067434B"/>
    <w:rsid w:val="006748BB"/>
    <w:rsid w:val="006759BF"/>
    <w:rsid w:val="00680BC4"/>
    <w:rsid w:val="00681A46"/>
    <w:rsid w:val="00682321"/>
    <w:rsid w:val="006826F6"/>
    <w:rsid w:val="006828AF"/>
    <w:rsid w:val="00683B26"/>
    <w:rsid w:val="00685B04"/>
    <w:rsid w:val="00685E78"/>
    <w:rsid w:val="0069026C"/>
    <w:rsid w:val="00691DE2"/>
    <w:rsid w:val="0069736A"/>
    <w:rsid w:val="006A5392"/>
    <w:rsid w:val="006A67AF"/>
    <w:rsid w:val="006B0B70"/>
    <w:rsid w:val="006B10AA"/>
    <w:rsid w:val="006B2BF5"/>
    <w:rsid w:val="006B2C43"/>
    <w:rsid w:val="006B2F97"/>
    <w:rsid w:val="006B37AD"/>
    <w:rsid w:val="006B4CFC"/>
    <w:rsid w:val="006B68BD"/>
    <w:rsid w:val="006C1E78"/>
    <w:rsid w:val="006C2520"/>
    <w:rsid w:val="006C7061"/>
    <w:rsid w:val="006D021F"/>
    <w:rsid w:val="006D0F86"/>
    <w:rsid w:val="006D1ABF"/>
    <w:rsid w:val="006D3621"/>
    <w:rsid w:val="006D4429"/>
    <w:rsid w:val="006D527A"/>
    <w:rsid w:val="006D7D71"/>
    <w:rsid w:val="006E19FF"/>
    <w:rsid w:val="006E29E7"/>
    <w:rsid w:val="006E45FD"/>
    <w:rsid w:val="006E4CEC"/>
    <w:rsid w:val="006E6B3E"/>
    <w:rsid w:val="006F1D89"/>
    <w:rsid w:val="006F5AA8"/>
    <w:rsid w:val="006F62D4"/>
    <w:rsid w:val="00706755"/>
    <w:rsid w:val="00710133"/>
    <w:rsid w:val="0071138A"/>
    <w:rsid w:val="007122FC"/>
    <w:rsid w:val="00714606"/>
    <w:rsid w:val="00717230"/>
    <w:rsid w:val="007238C4"/>
    <w:rsid w:val="0072483D"/>
    <w:rsid w:val="007277BC"/>
    <w:rsid w:val="0073066F"/>
    <w:rsid w:val="007313BE"/>
    <w:rsid w:val="00737EF2"/>
    <w:rsid w:val="00741047"/>
    <w:rsid w:val="00741A4B"/>
    <w:rsid w:val="00741EE0"/>
    <w:rsid w:val="00747973"/>
    <w:rsid w:val="007510F2"/>
    <w:rsid w:val="007534E4"/>
    <w:rsid w:val="007544AD"/>
    <w:rsid w:val="00756C75"/>
    <w:rsid w:val="007632BF"/>
    <w:rsid w:val="007645A0"/>
    <w:rsid w:val="00764905"/>
    <w:rsid w:val="007650F8"/>
    <w:rsid w:val="0076720A"/>
    <w:rsid w:val="00767602"/>
    <w:rsid w:val="007732CB"/>
    <w:rsid w:val="00773DB6"/>
    <w:rsid w:val="0077435E"/>
    <w:rsid w:val="00776EF3"/>
    <w:rsid w:val="00783B82"/>
    <w:rsid w:val="00783E97"/>
    <w:rsid w:val="00786C09"/>
    <w:rsid w:val="00787832"/>
    <w:rsid w:val="00787ACA"/>
    <w:rsid w:val="007958E5"/>
    <w:rsid w:val="00796EBD"/>
    <w:rsid w:val="007A2F5B"/>
    <w:rsid w:val="007A7768"/>
    <w:rsid w:val="007B0227"/>
    <w:rsid w:val="007B0C7A"/>
    <w:rsid w:val="007B159C"/>
    <w:rsid w:val="007B17AF"/>
    <w:rsid w:val="007B2D07"/>
    <w:rsid w:val="007B5032"/>
    <w:rsid w:val="007B585F"/>
    <w:rsid w:val="007B5990"/>
    <w:rsid w:val="007B7149"/>
    <w:rsid w:val="007C175A"/>
    <w:rsid w:val="007C50AF"/>
    <w:rsid w:val="007C5C09"/>
    <w:rsid w:val="007C7435"/>
    <w:rsid w:val="007D20A3"/>
    <w:rsid w:val="007D6B38"/>
    <w:rsid w:val="007D762A"/>
    <w:rsid w:val="007E1958"/>
    <w:rsid w:val="007E238F"/>
    <w:rsid w:val="007E3FEA"/>
    <w:rsid w:val="007E55AA"/>
    <w:rsid w:val="007F44DE"/>
    <w:rsid w:val="007F46AC"/>
    <w:rsid w:val="00801A51"/>
    <w:rsid w:val="008058A4"/>
    <w:rsid w:val="0081009F"/>
    <w:rsid w:val="00830A28"/>
    <w:rsid w:val="00835E9A"/>
    <w:rsid w:val="00842053"/>
    <w:rsid w:val="0084379F"/>
    <w:rsid w:val="00846ED2"/>
    <w:rsid w:val="008505D3"/>
    <w:rsid w:val="00856BBB"/>
    <w:rsid w:val="00864625"/>
    <w:rsid w:val="0086473A"/>
    <w:rsid w:val="00873C00"/>
    <w:rsid w:val="008740F8"/>
    <w:rsid w:val="00874FBB"/>
    <w:rsid w:val="00877D14"/>
    <w:rsid w:val="0088501A"/>
    <w:rsid w:val="00886549"/>
    <w:rsid w:val="00886A83"/>
    <w:rsid w:val="00887DE5"/>
    <w:rsid w:val="00892027"/>
    <w:rsid w:val="00893394"/>
    <w:rsid w:val="008A0DD0"/>
    <w:rsid w:val="008A240B"/>
    <w:rsid w:val="008A35A3"/>
    <w:rsid w:val="008A5186"/>
    <w:rsid w:val="008B0B6B"/>
    <w:rsid w:val="008B2414"/>
    <w:rsid w:val="008B519F"/>
    <w:rsid w:val="008B52D5"/>
    <w:rsid w:val="008C346C"/>
    <w:rsid w:val="008D295A"/>
    <w:rsid w:val="008D61E6"/>
    <w:rsid w:val="008D65F1"/>
    <w:rsid w:val="008E50C2"/>
    <w:rsid w:val="008F5256"/>
    <w:rsid w:val="008F64A8"/>
    <w:rsid w:val="00901795"/>
    <w:rsid w:val="009037D0"/>
    <w:rsid w:val="00903846"/>
    <w:rsid w:val="00904AF2"/>
    <w:rsid w:val="009058BE"/>
    <w:rsid w:val="00906685"/>
    <w:rsid w:val="009130C1"/>
    <w:rsid w:val="009132F1"/>
    <w:rsid w:val="00913951"/>
    <w:rsid w:val="00915D41"/>
    <w:rsid w:val="0092313B"/>
    <w:rsid w:val="0092558D"/>
    <w:rsid w:val="00941029"/>
    <w:rsid w:val="00942173"/>
    <w:rsid w:val="009437F7"/>
    <w:rsid w:val="00943A03"/>
    <w:rsid w:val="009478CB"/>
    <w:rsid w:val="00954966"/>
    <w:rsid w:val="009658A9"/>
    <w:rsid w:val="00974088"/>
    <w:rsid w:val="009764C4"/>
    <w:rsid w:val="00976909"/>
    <w:rsid w:val="00981890"/>
    <w:rsid w:val="0098403E"/>
    <w:rsid w:val="009860C8"/>
    <w:rsid w:val="00993C8B"/>
    <w:rsid w:val="00996042"/>
    <w:rsid w:val="009A4E85"/>
    <w:rsid w:val="009A6ADF"/>
    <w:rsid w:val="009A710A"/>
    <w:rsid w:val="009B2B4A"/>
    <w:rsid w:val="009B5010"/>
    <w:rsid w:val="009B5F1A"/>
    <w:rsid w:val="009C31FA"/>
    <w:rsid w:val="009C4671"/>
    <w:rsid w:val="009C66FC"/>
    <w:rsid w:val="009C7909"/>
    <w:rsid w:val="009C79DE"/>
    <w:rsid w:val="009D12BC"/>
    <w:rsid w:val="009D48DB"/>
    <w:rsid w:val="009E4370"/>
    <w:rsid w:val="009E77E0"/>
    <w:rsid w:val="009F083A"/>
    <w:rsid w:val="009F613F"/>
    <w:rsid w:val="00A02DC5"/>
    <w:rsid w:val="00A11C56"/>
    <w:rsid w:val="00A14AD2"/>
    <w:rsid w:val="00A1593B"/>
    <w:rsid w:val="00A15DC3"/>
    <w:rsid w:val="00A161D9"/>
    <w:rsid w:val="00A31DCA"/>
    <w:rsid w:val="00A32809"/>
    <w:rsid w:val="00A359D9"/>
    <w:rsid w:val="00A403D9"/>
    <w:rsid w:val="00A40A61"/>
    <w:rsid w:val="00A41950"/>
    <w:rsid w:val="00A46CDF"/>
    <w:rsid w:val="00A553F3"/>
    <w:rsid w:val="00A6148D"/>
    <w:rsid w:val="00A61981"/>
    <w:rsid w:val="00A61A46"/>
    <w:rsid w:val="00A629F8"/>
    <w:rsid w:val="00A64FC6"/>
    <w:rsid w:val="00A6667F"/>
    <w:rsid w:val="00A7047A"/>
    <w:rsid w:val="00A819B9"/>
    <w:rsid w:val="00A8578D"/>
    <w:rsid w:val="00A85AAC"/>
    <w:rsid w:val="00A86D90"/>
    <w:rsid w:val="00A96708"/>
    <w:rsid w:val="00A9718C"/>
    <w:rsid w:val="00AA315B"/>
    <w:rsid w:val="00AA4C37"/>
    <w:rsid w:val="00AA5615"/>
    <w:rsid w:val="00AB2619"/>
    <w:rsid w:val="00AB2863"/>
    <w:rsid w:val="00AB400A"/>
    <w:rsid w:val="00AB5361"/>
    <w:rsid w:val="00AB5E8C"/>
    <w:rsid w:val="00AC02D7"/>
    <w:rsid w:val="00AC1E2D"/>
    <w:rsid w:val="00AC24F6"/>
    <w:rsid w:val="00AC6AF5"/>
    <w:rsid w:val="00AD0545"/>
    <w:rsid w:val="00AD06AC"/>
    <w:rsid w:val="00AD507F"/>
    <w:rsid w:val="00AD5653"/>
    <w:rsid w:val="00AD5FB7"/>
    <w:rsid w:val="00AD7940"/>
    <w:rsid w:val="00AE0597"/>
    <w:rsid w:val="00AF137C"/>
    <w:rsid w:val="00AF152B"/>
    <w:rsid w:val="00AF1DB0"/>
    <w:rsid w:val="00AF39EE"/>
    <w:rsid w:val="00B00717"/>
    <w:rsid w:val="00B01263"/>
    <w:rsid w:val="00B01EDF"/>
    <w:rsid w:val="00B0462B"/>
    <w:rsid w:val="00B121DB"/>
    <w:rsid w:val="00B12DD9"/>
    <w:rsid w:val="00B13A0C"/>
    <w:rsid w:val="00B1495C"/>
    <w:rsid w:val="00B16A7A"/>
    <w:rsid w:val="00B16CDD"/>
    <w:rsid w:val="00B205B6"/>
    <w:rsid w:val="00B213BD"/>
    <w:rsid w:val="00B226A4"/>
    <w:rsid w:val="00B2409B"/>
    <w:rsid w:val="00B261B1"/>
    <w:rsid w:val="00B30498"/>
    <w:rsid w:val="00B31988"/>
    <w:rsid w:val="00B37F80"/>
    <w:rsid w:val="00B41158"/>
    <w:rsid w:val="00B413F3"/>
    <w:rsid w:val="00B44053"/>
    <w:rsid w:val="00B46763"/>
    <w:rsid w:val="00B4723C"/>
    <w:rsid w:val="00B50C6B"/>
    <w:rsid w:val="00B534C1"/>
    <w:rsid w:val="00B60E67"/>
    <w:rsid w:val="00B6513D"/>
    <w:rsid w:val="00B652C6"/>
    <w:rsid w:val="00B72AA4"/>
    <w:rsid w:val="00B7405D"/>
    <w:rsid w:val="00B753F2"/>
    <w:rsid w:val="00B76827"/>
    <w:rsid w:val="00B76C33"/>
    <w:rsid w:val="00B82C18"/>
    <w:rsid w:val="00B84A59"/>
    <w:rsid w:val="00B92C9F"/>
    <w:rsid w:val="00B93C09"/>
    <w:rsid w:val="00B978B6"/>
    <w:rsid w:val="00BA160D"/>
    <w:rsid w:val="00BA765C"/>
    <w:rsid w:val="00BB0967"/>
    <w:rsid w:val="00BC30E7"/>
    <w:rsid w:val="00BC3E68"/>
    <w:rsid w:val="00BD2270"/>
    <w:rsid w:val="00BD377A"/>
    <w:rsid w:val="00BD74DA"/>
    <w:rsid w:val="00BE121A"/>
    <w:rsid w:val="00BE3014"/>
    <w:rsid w:val="00BE37DF"/>
    <w:rsid w:val="00BE751F"/>
    <w:rsid w:val="00BF0DEC"/>
    <w:rsid w:val="00BF7FC6"/>
    <w:rsid w:val="00C01F59"/>
    <w:rsid w:val="00C0389B"/>
    <w:rsid w:val="00C04AA0"/>
    <w:rsid w:val="00C0563D"/>
    <w:rsid w:val="00C056A3"/>
    <w:rsid w:val="00C13F03"/>
    <w:rsid w:val="00C14FFA"/>
    <w:rsid w:val="00C25348"/>
    <w:rsid w:val="00C26FE0"/>
    <w:rsid w:val="00C33D12"/>
    <w:rsid w:val="00C34222"/>
    <w:rsid w:val="00C34763"/>
    <w:rsid w:val="00C35696"/>
    <w:rsid w:val="00C36142"/>
    <w:rsid w:val="00C36711"/>
    <w:rsid w:val="00C370CE"/>
    <w:rsid w:val="00C37F76"/>
    <w:rsid w:val="00C41F83"/>
    <w:rsid w:val="00C5065E"/>
    <w:rsid w:val="00C5161A"/>
    <w:rsid w:val="00C53B43"/>
    <w:rsid w:val="00C65345"/>
    <w:rsid w:val="00C666C9"/>
    <w:rsid w:val="00C7150E"/>
    <w:rsid w:val="00C7359C"/>
    <w:rsid w:val="00C75AE8"/>
    <w:rsid w:val="00C810A4"/>
    <w:rsid w:val="00C9147D"/>
    <w:rsid w:val="00C9473E"/>
    <w:rsid w:val="00C95F86"/>
    <w:rsid w:val="00C963C3"/>
    <w:rsid w:val="00CA31B4"/>
    <w:rsid w:val="00CA4146"/>
    <w:rsid w:val="00CA5379"/>
    <w:rsid w:val="00CA6CF2"/>
    <w:rsid w:val="00CB058D"/>
    <w:rsid w:val="00CB6282"/>
    <w:rsid w:val="00CC1A9A"/>
    <w:rsid w:val="00CC4CCC"/>
    <w:rsid w:val="00CC6916"/>
    <w:rsid w:val="00CC7EF2"/>
    <w:rsid w:val="00CD0909"/>
    <w:rsid w:val="00CD1582"/>
    <w:rsid w:val="00CD28A4"/>
    <w:rsid w:val="00CD442F"/>
    <w:rsid w:val="00CD5640"/>
    <w:rsid w:val="00CE5501"/>
    <w:rsid w:val="00CF1B54"/>
    <w:rsid w:val="00CF4B19"/>
    <w:rsid w:val="00CF5763"/>
    <w:rsid w:val="00D00841"/>
    <w:rsid w:val="00D02F0E"/>
    <w:rsid w:val="00D049AE"/>
    <w:rsid w:val="00D11636"/>
    <w:rsid w:val="00D124C6"/>
    <w:rsid w:val="00D15B0A"/>
    <w:rsid w:val="00D26AC0"/>
    <w:rsid w:val="00D441EA"/>
    <w:rsid w:val="00D44498"/>
    <w:rsid w:val="00D44CCC"/>
    <w:rsid w:val="00D45A22"/>
    <w:rsid w:val="00D47C5A"/>
    <w:rsid w:val="00D67855"/>
    <w:rsid w:val="00D71118"/>
    <w:rsid w:val="00D77754"/>
    <w:rsid w:val="00D814EC"/>
    <w:rsid w:val="00D859A2"/>
    <w:rsid w:val="00D90E1F"/>
    <w:rsid w:val="00D935CC"/>
    <w:rsid w:val="00D938DF"/>
    <w:rsid w:val="00D9693D"/>
    <w:rsid w:val="00DA3BA9"/>
    <w:rsid w:val="00DA3D95"/>
    <w:rsid w:val="00DA59A3"/>
    <w:rsid w:val="00DB4F88"/>
    <w:rsid w:val="00DC0322"/>
    <w:rsid w:val="00DC2C68"/>
    <w:rsid w:val="00DC2FBB"/>
    <w:rsid w:val="00DC4E73"/>
    <w:rsid w:val="00DD3D48"/>
    <w:rsid w:val="00DE2DBB"/>
    <w:rsid w:val="00DE5877"/>
    <w:rsid w:val="00DE6ADF"/>
    <w:rsid w:val="00DE7AA6"/>
    <w:rsid w:val="00DF0DAA"/>
    <w:rsid w:val="00DF1267"/>
    <w:rsid w:val="00DF1613"/>
    <w:rsid w:val="00DF51D0"/>
    <w:rsid w:val="00DF6E27"/>
    <w:rsid w:val="00DF6F73"/>
    <w:rsid w:val="00DF7256"/>
    <w:rsid w:val="00E005EF"/>
    <w:rsid w:val="00E00DD9"/>
    <w:rsid w:val="00E010BA"/>
    <w:rsid w:val="00E036D0"/>
    <w:rsid w:val="00E04D4C"/>
    <w:rsid w:val="00E05FD2"/>
    <w:rsid w:val="00E0797A"/>
    <w:rsid w:val="00E10813"/>
    <w:rsid w:val="00E10BC4"/>
    <w:rsid w:val="00E122C3"/>
    <w:rsid w:val="00E1314E"/>
    <w:rsid w:val="00E16034"/>
    <w:rsid w:val="00E23192"/>
    <w:rsid w:val="00E2542F"/>
    <w:rsid w:val="00E2725F"/>
    <w:rsid w:val="00E27471"/>
    <w:rsid w:val="00E277A8"/>
    <w:rsid w:val="00E358F4"/>
    <w:rsid w:val="00E37815"/>
    <w:rsid w:val="00E43989"/>
    <w:rsid w:val="00E46B80"/>
    <w:rsid w:val="00E50839"/>
    <w:rsid w:val="00E53AA4"/>
    <w:rsid w:val="00E554F1"/>
    <w:rsid w:val="00E61039"/>
    <w:rsid w:val="00E614A3"/>
    <w:rsid w:val="00E6469B"/>
    <w:rsid w:val="00E72ADD"/>
    <w:rsid w:val="00E76418"/>
    <w:rsid w:val="00E82CB1"/>
    <w:rsid w:val="00E857CE"/>
    <w:rsid w:val="00E86635"/>
    <w:rsid w:val="00E91C72"/>
    <w:rsid w:val="00E929E3"/>
    <w:rsid w:val="00E9427E"/>
    <w:rsid w:val="00E95158"/>
    <w:rsid w:val="00E9640E"/>
    <w:rsid w:val="00E97712"/>
    <w:rsid w:val="00EB0DF1"/>
    <w:rsid w:val="00EB2DD2"/>
    <w:rsid w:val="00EB36E3"/>
    <w:rsid w:val="00EB59AF"/>
    <w:rsid w:val="00EC0791"/>
    <w:rsid w:val="00EC3740"/>
    <w:rsid w:val="00EC390E"/>
    <w:rsid w:val="00EC5206"/>
    <w:rsid w:val="00ED0921"/>
    <w:rsid w:val="00ED2724"/>
    <w:rsid w:val="00ED2EA7"/>
    <w:rsid w:val="00ED60A8"/>
    <w:rsid w:val="00ED6E75"/>
    <w:rsid w:val="00EE27B8"/>
    <w:rsid w:val="00EE305D"/>
    <w:rsid w:val="00EF1C26"/>
    <w:rsid w:val="00EF430A"/>
    <w:rsid w:val="00F0627D"/>
    <w:rsid w:val="00F10817"/>
    <w:rsid w:val="00F10F8D"/>
    <w:rsid w:val="00F12DAD"/>
    <w:rsid w:val="00F132E8"/>
    <w:rsid w:val="00F179A0"/>
    <w:rsid w:val="00F21C9E"/>
    <w:rsid w:val="00F22236"/>
    <w:rsid w:val="00F252C2"/>
    <w:rsid w:val="00F25E76"/>
    <w:rsid w:val="00F331CA"/>
    <w:rsid w:val="00F356CD"/>
    <w:rsid w:val="00F35AF2"/>
    <w:rsid w:val="00F44C9E"/>
    <w:rsid w:val="00F4746D"/>
    <w:rsid w:val="00F5170D"/>
    <w:rsid w:val="00F521F8"/>
    <w:rsid w:val="00F5577F"/>
    <w:rsid w:val="00F5794C"/>
    <w:rsid w:val="00F57D71"/>
    <w:rsid w:val="00F634F3"/>
    <w:rsid w:val="00F660EC"/>
    <w:rsid w:val="00F706E3"/>
    <w:rsid w:val="00F72EAF"/>
    <w:rsid w:val="00F74612"/>
    <w:rsid w:val="00F75133"/>
    <w:rsid w:val="00F76BAB"/>
    <w:rsid w:val="00F833B7"/>
    <w:rsid w:val="00F84131"/>
    <w:rsid w:val="00F856DC"/>
    <w:rsid w:val="00FA1545"/>
    <w:rsid w:val="00FA67F3"/>
    <w:rsid w:val="00FB7982"/>
    <w:rsid w:val="00FB7E3E"/>
    <w:rsid w:val="00FC12C2"/>
    <w:rsid w:val="00FC239A"/>
    <w:rsid w:val="00FC2848"/>
    <w:rsid w:val="00FC44BA"/>
    <w:rsid w:val="00FD07B4"/>
    <w:rsid w:val="00FD2C9A"/>
    <w:rsid w:val="00FD72A6"/>
    <w:rsid w:val="00FD748D"/>
    <w:rsid w:val="00FE0FC3"/>
    <w:rsid w:val="00FE27F9"/>
    <w:rsid w:val="00FE5731"/>
    <w:rsid w:val="00FE6FF5"/>
    <w:rsid w:val="00FE7477"/>
    <w:rsid w:val="00FF313A"/>
    <w:rsid w:val="00FF4E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FF80EB"/>
  <w15:chartTrackingRefBased/>
  <w15:docId w15:val="{4724AF2D-6F3E-4101-B8CB-AD6A053038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358F4"/>
    <w:pPr>
      <w:spacing w:line="259" w:lineRule="auto"/>
    </w:pPr>
    <w:rPr>
      <w:kern w:val="0"/>
      <w:sz w:val="22"/>
      <w:szCs w:val="22"/>
      <w14:ligatures w14:val="none"/>
    </w:rPr>
  </w:style>
  <w:style w:type="paragraph" w:styleId="Heading1">
    <w:name w:val="heading 1"/>
    <w:basedOn w:val="Normal"/>
    <w:next w:val="Normal"/>
    <w:link w:val="Heading1Char"/>
    <w:uiPriority w:val="9"/>
    <w:qFormat/>
    <w:rsid w:val="00BF0DEC"/>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BF0DEC"/>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547219"/>
    <w:pPr>
      <w:keepNext/>
      <w:keepLines/>
      <w:spacing w:before="160" w:after="80"/>
      <w:outlineLvl w:val="2"/>
    </w:pPr>
    <w:rPr>
      <w:rFonts w:ascii="Arial" w:eastAsiaTheme="majorEastAsia" w:hAnsi="Arial" w:cstheme="majorBidi"/>
      <w:b/>
      <w:color w:val="000000" w:themeColor="text1"/>
      <w:sz w:val="24"/>
      <w:szCs w:val="28"/>
    </w:rPr>
  </w:style>
  <w:style w:type="paragraph" w:styleId="Heading4">
    <w:name w:val="heading 4"/>
    <w:basedOn w:val="Normal"/>
    <w:next w:val="Normal"/>
    <w:link w:val="Heading4Char"/>
    <w:uiPriority w:val="9"/>
    <w:semiHidden/>
    <w:unhideWhenUsed/>
    <w:qFormat/>
    <w:rsid w:val="00187F3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87F3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87F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7F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7F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7F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0DEC"/>
    <w:rPr>
      <w:rFonts w:ascii="Arial" w:eastAsiaTheme="majorEastAsia" w:hAnsi="Arial" w:cstheme="majorBidi"/>
      <w:b/>
      <w:color w:val="000000" w:themeColor="text1"/>
      <w:kern w:val="0"/>
      <w:sz w:val="32"/>
      <w:szCs w:val="40"/>
      <w14:ligatures w14:val="none"/>
    </w:rPr>
  </w:style>
  <w:style w:type="character" w:customStyle="1" w:styleId="Heading2Char">
    <w:name w:val="Heading 2 Char"/>
    <w:basedOn w:val="DefaultParagraphFont"/>
    <w:link w:val="Heading2"/>
    <w:uiPriority w:val="9"/>
    <w:rsid w:val="00BF0DEC"/>
    <w:rPr>
      <w:rFonts w:ascii="Arial" w:eastAsiaTheme="majorEastAsia" w:hAnsi="Arial" w:cstheme="majorBidi"/>
      <w:b/>
      <w:color w:val="000000" w:themeColor="text1"/>
      <w:kern w:val="0"/>
      <w:sz w:val="28"/>
      <w:szCs w:val="32"/>
      <w14:ligatures w14:val="none"/>
    </w:rPr>
  </w:style>
  <w:style w:type="character" w:customStyle="1" w:styleId="Heading3Char">
    <w:name w:val="Heading 3 Char"/>
    <w:basedOn w:val="DefaultParagraphFont"/>
    <w:link w:val="Heading3"/>
    <w:uiPriority w:val="9"/>
    <w:rsid w:val="00547219"/>
    <w:rPr>
      <w:rFonts w:ascii="Arial" w:eastAsiaTheme="majorEastAsia" w:hAnsi="Arial" w:cstheme="majorBidi"/>
      <w:b/>
      <w:color w:val="000000" w:themeColor="text1"/>
      <w:kern w:val="0"/>
      <w:szCs w:val="28"/>
      <w14:ligatures w14:val="none"/>
    </w:rPr>
  </w:style>
  <w:style w:type="character" w:customStyle="1" w:styleId="Heading4Char">
    <w:name w:val="Heading 4 Char"/>
    <w:basedOn w:val="DefaultParagraphFont"/>
    <w:link w:val="Heading4"/>
    <w:uiPriority w:val="9"/>
    <w:semiHidden/>
    <w:rsid w:val="00187F3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87F3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87F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7F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7F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7F30"/>
    <w:rPr>
      <w:rFonts w:eastAsiaTheme="majorEastAsia" w:cstheme="majorBidi"/>
      <w:color w:val="272727" w:themeColor="text1" w:themeTint="D8"/>
    </w:rPr>
  </w:style>
  <w:style w:type="paragraph" w:styleId="Title">
    <w:name w:val="Title"/>
    <w:basedOn w:val="Normal"/>
    <w:next w:val="Normal"/>
    <w:link w:val="TitleChar"/>
    <w:uiPriority w:val="10"/>
    <w:qFormat/>
    <w:rsid w:val="00187F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7F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7F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7F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7F30"/>
    <w:pPr>
      <w:spacing w:before="160"/>
      <w:jc w:val="center"/>
    </w:pPr>
    <w:rPr>
      <w:i/>
      <w:iCs/>
      <w:color w:val="404040" w:themeColor="text1" w:themeTint="BF"/>
    </w:rPr>
  </w:style>
  <w:style w:type="character" w:customStyle="1" w:styleId="QuoteChar">
    <w:name w:val="Quote Char"/>
    <w:basedOn w:val="DefaultParagraphFont"/>
    <w:link w:val="Quote"/>
    <w:uiPriority w:val="29"/>
    <w:rsid w:val="00187F30"/>
    <w:rPr>
      <w:i/>
      <w:iCs/>
      <w:color w:val="404040" w:themeColor="text1" w:themeTint="BF"/>
    </w:rPr>
  </w:style>
  <w:style w:type="paragraph" w:styleId="ListParagraph">
    <w:name w:val="List Paragraph"/>
    <w:basedOn w:val="Normal"/>
    <w:uiPriority w:val="34"/>
    <w:qFormat/>
    <w:rsid w:val="00187F30"/>
    <w:pPr>
      <w:ind w:left="720"/>
      <w:contextualSpacing/>
    </w:pPr>
  </w:style>
  <w:style w:type="character" w:styleId="IntenseEmphasis">
    <w:name w:val="Intense Emphasis"/>
    <w:basedOn w:val="DefaultParagraphFont"/>
    <w:uiPriority w:val="21"/>
    <w:qFormat/>
    <w:rsid w:val="00187F30"/>
    <w:rPr>
      <w:i/>
      <w:iCs/>
      <w:color w:val="2F5496" w:themeColor="accent1" w:themeShade="BF"/>
    </w:rPr>
  </w:style>
  <w:style w:type="paragraph" w:styleId="IntenseQuote">
    <w:name w:val="Intense Quote"/>
    <w:basedOn w:val="Normal"/>
    <w:next w:val="Normal"/>
    <w:link w:val="IntenseQuoteChar"/>
    <w:uiPriority w:val="30"/>
    <w:qFormat/>
    <w:rsid w:val="00187F3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87F30"/>
    <w:rPr>
      <w:i/>
      <w:iCs/>
      <w:color w:val="2F5496" w:themeColor="accent1" w:themeShade="BF"/>
    </w:rPr>
  </w:style>
  <w:style w:type="character" w:styleId="IntenseReference">
    <w:name w:val="Intense Reference"/>
    <w:basedOn w:val="DefaultParagraphFont"/>
    <w:uiPriority w:val="32"/>
    <w:qFormat/>
    <w:rsid w:val="00187F30"/>
    <w:rPr>
      <w:b/>
      <w:bCs/>
      <w:smallCaps/>
      <w:color w:val="2F5496" w:themeColor="accent1" w:themeShade="BF"/>
      <w:spacing w:val="5"/>
    </w:rPr>
  </w:style>
  <w:style w:type="character" w:styleId="Hyperlink">
    <w:name w:val="Hyperlink"/>
    <w:basedOn w:val="DefaultParagraphFont"/>
    <w:uiPriority w:val="99"/>
    <w:unhideWhenUsed/>
    <w:rsid w:val="00A31DCA"/>
    <w:rPr>
      <w:color w:val="0563C1" w:themeColor="hyperlink"/>
      <w:u w:val="single"/>
    </w:rPr>
  </w:style>
  <w:style w:type="paragraph" w:styleId="Footer">
    <w:name w:val="footer"/>
    <w:basedOn w:val="Normal"/>
    <w:link w:val="FooterChar"/>
    <w:uiPriority w:val="99"/>
    <w:unhideWhenUsed/>
    <w:rsid w:val="00A31D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1DCA"/>
    <w:rPr>
      <w:kern w:val="0"/>
      <w:sz w:val="22"/>
      <w:szCs w:val="22"/>
      <w14:ligatures w14:val="none"/>
    </w:rPr>
  </w:style>
  <w:style w:type="paragraph" w:styleId="TOCHeading">
    <w:name w:val="TOC Heading"/>
    <w:basedOn w:val="Heading1"/>
    <w:next w:val="Normal"/>
    <w:uiPriority w:val="39"/>
    <w:unhideWhenUsed/>
    <w:qFormat/>
    <w:rsid w:val="00A31DCA"/>
    <w:pPr>
      <w:spacing w:before="240" w:after="0"/>
      <w:outlineLvl w:val="9"/>
    </w:pPr>
    <w:rPr>
      <w:b w:val="0"/>
      <w:szCs w:val="32"/>
    </w:rPr>
  </w:style>
  <w:style w:type="paragraph" w:styleId="TOC1">
    <w:name w:val="toc 1"/>
    <w:basedOn w:val="Normal"/>
    <w:next w:val="Normal"/>
    <w:autoRedefine/>
    <w:uiPriority w:val="39"/>
    <w:unhideWhenUsed/>
    <w:rsid w:val="00A31DCA"/>
    <w:pPr>
      <w:spacing w:after="100"/>
    </w:pPr>
  </w:style>
  <w:style w:type="paragraph" w:styleId="TOC2">
    <w:name w:val="toc 2"/>
    <w:basedOn w:val="Normal"/>
    <w:next w:val="Normal"/>
    <w:autoRedefine/>
    <w:uiPriority w:val="39"/>
    <w:unhideWhenUsed/>
    <w:rsid w:val="00A31DCA"/>
    <w:pPr>
      <w:spacing w:after="100"/>
      <w:ind w:left="220"/>
    </w:pPr>
  </w:style>
  <w:style w:type="table" w:styleId="TableGrid">
    <w:name w:val="Table Grid"/>
    <w:basedOn w:val="TableNormal"/>
    <w:uiPriority w:val="39"/>
    <w:rsid w:val="00CA41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
    <w:name w:val="Grid Table 2"/>
    <w:basedOn w:val="TableNormal"/>
    <w:uiPriority w:val="47"/>
    <w:rsid w:val="00CA4146"/>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Caption">
    <w:name w:val="caption"/>
    <w:basedOn w:val="Normal"/>
    <w:next w:val="Normal"/>
    <w:uiPriority w:val="35"/>
    <w:unhideWhenUsed/>
    <w:qFormat/>
    <w:rsid w:val="00CA4146"/>
    <w:pPr>
      <w:spacing w:after="200" w:line="240" w:lineRule="auto"/>
    </w:pPr>
    <w:rPr>
      <w:i/>
      <w:iCs/>
      <w:color w:val="44546A" w:themeColor="text2"/>
      <w:kern w:val="2"/>
      <w:sz w:val="18"/>
      <w:szCs w:val="18"/>
      <w14:ligatures w14:val="standardContextual"/>
    </w:rPr>
  </w:style>
  <w:style w:type="character" w:customStyle="1" w:styleId="UnresolvedMention1">
    <w:name w:val="Unresolved Mention1"/>
    <w:basedOn w:val="DefaultParagraphFont"/>
    <w:uiPriority w:val="99"/>
    <w:semiHidden/>
    <w:unhideWhenUsed/>
    <w:rsid w:val="00A161D9"/>
    <w:rPr>
      <w:color w:val="605E5C"/>
      <w:shd w:val="clear" w:color="auto" w:fill="E1DFDD"/>
    </w:rPr>
  </w:style>
  <w:style w:type="paragraph" w:styleId="Header">
    <w:name w:val="header"/>
    <w:basedOn w:val="Normal"/>
    <w:link w:val="HeaderChar"/>
    <w:uiPriority w:val="99"/>
    <w:unhideWhenUsed/>
    <w:rsid w:val="00226B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6B65"/>
    <w:rPr>
      <w:kern w:val="0"/>
      <w:sz w:val="22"/>
      <w:szCs w:val="22"/>
      <w14:ligatures w14:val="none"/>
    </w:rPr>
  </w:style>
  <w:style w:type="paragraph" w:styleId="TOC3">
    <w:name w:val="toc 3"/>
    <w:basedOn w:val="Normal"/>
    <w:next w:val="Normal"/>
    <w:autoRedefine/>
    <w:uiPriority w:val="39"/>
    <w:unhideWhenUsed/>
    <w:rsid w:val="00D77754"/>
    <w:pPr>
      <w:spacing w:after="100"/>
      <w:ind w:left="440"/>
    </w:pPr>
  </w:style>
  <w:style w:type="table" w:styleId="PlainTable1">
    <w:name w:val="Plain Table 1"/>
    <w:basedOn w:val="TableNormal"/>
    <w:uiPriority w:val="41"/>
    <w:rsid w:val="003B280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ableofFigures">
    <w:name w:val="table of figures"/>
    <w:basedOn w:val="Normal"/>
    <w:next w:val="Normal"/>
    <w:uiPriority w:val="99"/>
    <w:unhideWhenUsed/>
    <w:rsid w:val="005572AB"/>
    <w:pPr>
      <w:spacing w:after="0"/>
    </w:pPr>
  </w:style>
  <w:style w:type="paragraph" w:styleId="NormalWeb">
    <w:name w:val="Normal (Web)"/>
    <w:basedOn w:val="Normal"/>
    <w:uiPriority w:val="99"/>
    <w:semiHidden/>
    <w:unhideWhenUsed/>
    <w:rsid w:val="00EF1C26"/>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4E5561"/>
    <w:rPr>
      <w:color w:val="954F72" w:themeColor="followedHyperlink"/>
      <w:u w:val="single"/>
    </w:rPr>
  </w:style>
  <w:style w:type="character" w:customStyle="1" w:styleId="UnresolvedMention">
    <w:name w:val="Unresolved Mention"/>
    <w:basedOn w:val="DefaultParagraphFont"/>
    <w:uiPriority w:val="99"/>
    <w:semiHidden/>
    <w:unhideWhenUsed/>
    <w:rsid w:val="00302559"/>
    <w:rPr>
      <w:color w:val="605E5C"/>
      <w:shd w:val="clear" w:color="auto" w:fill="E1DFDD"/>
    </w:rPr>
  </w:style>
  <w:style w:type="character" w:customStyle="1" w:styleId="apple-style-span">
    <w:name w:val="apple-style-span"/>
    <w:rsid w:val="00F12DAD"/>
  </w:style>
  <w:style w:type="character" w:customStyle="1" w:styleId="nw1">
    <w:name w:val="nw1"/>
    <w:uiPriority w:val="99"/>
    <w:rsid w:val="00F12DAD"/>
  </w:style>
  <w:style w:type="paragraph" w:customStyle="1" w:styleId="NormalWeb1">
    <w:name w:val="Normal (Web)1"/>
    <w:basedOn w:val="Normal"/>
    <w:uiPriority w:val="99"/>
    <w:rsid w:val="00403881"/>
    <w:pPr>
      <w:spacing w:after="0" w:line="240" w:lineRule="auto"/>
    </w:pPr>
    <w:rPr>
      <w:rFonts w:ascii="Times New Roman" w:eastAsia="Calibri" w:hAnsi="Times New Roman" w:cs="Times New Roman"/>
      <w:sz w:val="24"/>
      <w:szCs w:val="24"/>
      <w:lang w:val="en-GB" w:eastAsia="en-GB"/>
    </w:rPr>
  </w:style>
  <w:style w:type="paragraph" w:customStyle="1" w:styleId="pdq2pgselectionanchorcontainer">
    <w:name w:val="pdq2pg_selectionanchorcontainer"/>
    <w:basedOn w:val="Normal"/>
    <w:rsid w:val="0004317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OC4">
    <w:name w:val="toc 4"/>
    <w:basedOn w:val="Normal"/>
    <w:next w:val="Normal"/>
    <w:autoRedefine/>
    <w:uiPriority w:val="39"/>
    <w:unhideWhenUsed/>
    <w:rsid w:val="00416524"/>
    <w:pPr>
      <w:spacing w:after="100"/>
      <w:ind w:left="660"/>
    </w:pPr>
    <w:rPr>
      <w:rFonts w:eastAsiaTheme="minorEastAsia"/>
      <w:lang w:val="en-GB" w:eastAsia="en-GB"/>
    </w:rPr>
  </w:style>
  <w:style w:type="paragraph" w:styleId="TOC5">
    <w:name w:val="toc 5"/>
    <w:basedOn w:val="Normal"/>
    <w:next w:val="Normal"/>
    <w:autoRedefine/>
    <w:uiPriority w:val="39"/>
    <w:unhideWhenUsed/>
    <w:rsid w:val="00416524"/>
    <w:pPr>
      <w:spacing w:after="100"/>
      <w:ind w:left="880"/>
    </w:pPr>
    <w:rPr>
      <w:rFonts w:eastAsiaTheme="minorEastAsia"/>
      <w:lang w:val="en-GB" w:eastAsia="en-GB"/>
    </w:rPr>
  </w:style>
  <w:style w:type="paragraph" w:styleId="TOC6">
    <w:name w:val="toc 6"/>
    <w:basedOn w:val="Normal"/>
    <w:next w:val="Normal"/>
    <w:autoRedefine/>
    <w:uiPriority w:val="39"/>
    <w:unhideWhenUsed/>
    <w:rsid w:val="00416524"/>
    <w:pPr>
      <w:spacing w:after="100"/>
      <w:ind w:left="1100"/>
    </w:pPr>
    <w:rPr>
      <w:rFonts w:eastAsiaTheme="minorEastAsia"/>
      <w:lang w:val="en-GB" w:eastAsia="en-GB"/>
    </w:rPr>
  </w:style>
  <w:style w:type="paragraph" w:styleId="TOC7">
    <w:name w:val="toc 7"/>
    <w:basedOn w:val="Normal"/>
    <w:next w:val="Normal"/>
    <w:autoRedefine/>
    <w:uiPriority w:val="39"/>
    <w:unhideWhenUsed/>
    <w:rsid w:val="00416524"/>
    <w:pPr>
      <w:spacing w:after="100"/>
      <w:ind w:left="1320"/>
    </w:pPr>
    <w:rPr>
      <w:rFonts w:eastAsiaTheme="minorEastAsia"/>
      <w:lang w:val="en-GB" w:eastAsia="en-GB"/>
    </w:rPr>
  </w:style>
  <w:style w:type="paragraph" w:styleId="TOC8">
    <w:name w:val="toc 8"/>
    <w:basedOn w:val="Normal"/>
    <w:next w:val="Normal"/>
    <w:autoRedefine/>
    <w:uiPriority w:val="39"/>
    <w:unhideWhenUsed/>
    <w:rsid w:val="00416524"/>
    <w:pPr>
      <w:spacing w:after="100"/>
      <w:ind w:left="1540"/>
    </w:pPr>
    <w:rPr>
      <w:rFonts w:eastAsiaTheme="minorEastAsia"/>
      <w:lang w:val="en-GB" w:eastAsia="en-GB"/>
    </w:rPr>
  </w:style>
  <w:style w:type="paragraph" w:styleId="TOC9">
    <w:name w:val="toc 9"/>
    <w:basedOn w:val="Normal"/>
    <w:next w:val="Normal"/>
    <w:autoRedefine/>
    <w:uiPriority w:val="39"/>
    <w:unhideWhenUsed/>
    <w:rsid w:val="00416524"/>
    <w:pPr>
      <w:spacing w:after="100"/>
      <w:ind w:left="1760"/>
    </w:pPr>
    <w:rPr>
      <w:rFonts w:eastAsiaTheme="minorEastAsia"/>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3328942">
      <w:bodyDiv w:val="1"/>
      <w:marLeft w:val="0"/>
      <w:marRight w:val="0"/>
      <w:marTop w:val="0"/>
      <w:marBottom w:val="0"/>
      <w:divBdr>
        <w:top w:val="none" w:sz="0" w:space="0" w:color="auto"/>
        <w:left w:val="none" w:sz="0" w:space="0" w:color="auto"/>
        <w:bottom w:val="none" w:sz="0" w:space="0" w:color="auto"/>
        <w:right w:val="none" w:sz="0" w:space="0" w:color="auto"/>
      </w:divBdr>
    </w:div>
    <w:div w:id="246771693">
      <w:bodyDiv w:val="1"/>
      <w:marLeft w:val="0"/>
      <w:marRight w:val="0"/>
      <w:marTop w:val="0"/>
      <w:marBottom w:val="0"/>
      <w:divBdr>
        <w:top w:val="none" w:sz="0" w:space="0" w:color="auto"/>
        <w:left w:val="none" w:sz="0" w:space="0" w:color="auto"/>
        <w:bottom w:val="none" w:sz="0" w:space="0" w:color="auto"/>
        <w:right w:val="none" w:sz="0" w:space="0" w:color="auto"/>
      </w:divBdr>
    </w:div>
    <w:div w:id="280918208">
      <w:bodyDiv w:val="1"/>
      <w:marLeft w:val="0"/>
      <w:marRight w:val="0"/>
      <w:marTop w:val="0"/>
      <w:marBottom w:val="0"/>
      <w:divBdr>
        <w:top w:val="none" w:sz="0" w:space="0" w:color="auto"/>
        <w:left w:val="none" w:sz="0" w:space="0" w:color="auto"/>
        <w:bottom w:val="none" w:sz="0" w:space="0" w:color="auto"/>
        <w:right w:val="none" w:sz="0" w:space="0" w:color="auto"/>
      </w:divBdr>
    </w:div>
    <w:div w:id="371152770">
      <w:bodyDiv w:val="1"/>
      <w:marLeft w:val="0"/>
      <w:marRight w:val="0"/>
      <w:marTop w:val="0"/>
      <w:marBottom w:val="0"/>
      <w:divBdr>
        <w:top w:val="none" w:sz="0" w:space="0" w:color="auto"/>
        <w:left w:val="none" w:sz="0" w:space="0" w:color="auto"/>
        <w:bottom w:val="none" w:sz="0" w:space="0" w:color="auto"/>
        <w:right w:val="none" w:sz="0" w:space="0" w:color="auto"/>
      </w:divBdr>
    </w:div>
    <w:div w:id="393697766">
      <w:bodyDiv w:val="1"/>
      <w:marLeft w:val="0"/>
      <w:marRight w:val="0"/>
      <w:marTop w:val="0"/>
      <w:marBottom w:val="0"/>
      <w:divBdr>
        <w:top w:val="none" w:sz="0" w:space="0" w:color="auto"/>
        <w:left w:val="none" w:sz="0" w:space="0" w:color="auto"/>
        <w:bottom w:val="none" w:sz="0" w:space="0" w:color="auto"/>
        <w:right w:val="none" w:sz="0" w:space="0" w:color="auto"/>
      </w:divBdr>
    </w:div>
    <w:div w:id="453333512">
      <w:bodyDiv w:val="1"/>
      <w:marLeft w:val="0"/>
      <w:marRight w:val="0"/>
      <w:marTop w:val="0"/>
      <w:marBottom w:val="0"/>
      <w:divBdr>
        <w:top w:val="none" w:sz="0" w:space="0" w:color="auto"/>
        <w:left w:val="none" w:sz="0" w:space="0" w:color="auto"/>
        <w:bottom w:val="none" w:sz="0" w:space="0" w:color="auto"/>
        <w:right w:val="none" w:sz="0" w:space="0" w:color="auto"/>
      </w:divBdr>
    </w:div>
    <w:div w:id="486828178">
      <w:bodyDiv w:val="1"/>
      <w:marLeft w:val="0"/>
      <w:marRight w:val="0"/>
      <w:marTop w:val="0"/>
      <w:marBottom w:val="0"/>
      <w:divBdr>
        <w:top w:val="none" w:sz="0" w:space="0" w:color="auto"/>
        <w:left w:val="none" w:sz="0" w:space="0" w:color="auto"/>
        <w:bottom w:val="none" w:sz="0" w:space="0" w:color="auto"/>
        <w:right w:val="none" w:sz="0" w:space="0" w:color="auto"/>
      </w:divBdr>
      <w:divsChild>
        <w:div w:id="1299336956">
          <w:marLeft w:val="0"/>
          <w:marRight w:val="0"/>
          <w:marTop w:val="0"/>
          <w:marBottom w:val="0"/>
          <w:divBdr>
            <w:top w:val="none" w:sz="0" w:space="0" w:color="auto"/>
            <w:left w:val="none" w:sz="0" w:space="0" w:color="auto"/>
            <w:bottom w:val="none" w:sz="0" w:space="0" w:color="auto"/>
            <w:right w:val="none" w:sz="0" w:space="0" w:color="auto"/>
          </w:divBdr>
          <w:divsChild>
            <w:div w:id="2097091561">
              <w:marLeft w:val="0"/>
              <w:marRight w:val="0"/>
              <w:marTop w:val="0"/>
              <w:marBottom w:val="0"/>
              <w:divBdr>
                <w:top w:val="none" w:sz="0" w:space="0" w:color="auto"/>
                <w:left w:val="none" w:sz="0" w:space="0" w:color="auto"/>
                <w:bottom w:val="none" w:sz="0" w:space="0" w:color="auto"/>
                <w:right w:val="none" w:sz="0" w:space="0" w:color="auto"/>
              </w:divBdr>
            </w:div>
          </w:divsChild>
        </w:div>
        <w:div w:id="1882397218">
          <w:marLeft w:val="0"/>
          <w:marRight w:val="0"/>
          <w:marTop w:val="0"/>
          <w:marBottom w:val="0"/>
          <w:divBdr>
            <w:top w:val="none" w:sz="0" w:space="0" w:color="auto"/>
            <w:left w:val="none" w:sz="0" w:space="0" w:color="auto"/>
            <w:bottom w:val="none" w:sz="0" w:space="0" w:color="auto"/>
            <w:right w:val="none" w:sz="0" w:space="0" w:color="auto"/>
          </w:divBdr>
          <w:divsChild>
            <w:div w:id="1829978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6794610">
      <w:bodyDiv w:val="1"/>
      <w:marLeft w:val="0"/>
      <w:marRight w:val="0"/>
      <w:marTop w:val="0"/>
      <w:marBottom w:val="0"/>
      <w:divBdr>
        <w:top w:val="none" w:sz="0" w:space="0" w:color="auto"/>
        <w:left w:val="none" w:sz="0" w:space="0" w:color="auto"/>
        <w:bottom w:val="none" w:sz="0" w:space="0" w:color="auto"/>
        <w:right w:val="none" w:sz="0" w:space="0" w:color="auto"/>
      </w:divBdr>
    </w:div>
    <w:div w:id="693966831">
      <w:bodyDiv w:val="1"/>
      <w:marLeft w:val="0"/>
      <w:marRight w:val="0"/>
      <w:marTop w:val="0"/>
      <w:marBottom w:val="0"/>
      <w:divBdr>
        <w:top w:val="none" w:sz="0" w:space="0" w:color="auto"/>
        <w:left w:val="none" w:sz="0" w:space="0" w:color="auto"/>
        <w:bottom w:val="none" w:sz="0" w:space="0" w:color="auto"/>
        <w:right w:val="none" w:sz="0" w:space="0" w:color="auto"/>
      </w:divBdr>
    </w:div>
    <w:div w:id="750737638">
      <w:bodyDiv w:val="1"/>
      <w:marLeft w:val="0"/>
      <w:marRight w:val="0"/>
      <w:marTop w:val="0"/>
      <w:marBottom w:val="0"/>
      <w:divBdr>
        <w:top w:val="none" w:sz="0" w:space="0" w:color="auto"/>
        <w:left w:val="none" w:sz="0" w:space="0" w:color="auto"/>
        <w:bottom w:val="none" w:sz="0" w:space="0" w:color="auto"/>
        <w:right w:val="none" w:sz="0" w:space="0" w:color="auto"/>
      </w:divBdr>
    </w:div>
    <w:div w:id="754210904">
      <w:bodyDiv w:val="1"/>
      <w:marLeft w:val="0"/>
      <w:marRight w:val="0"/>
      <w:marTop w:val="0"/>
      <w:marBottom w:val="0"/>
      <w:divBdr>
        <w:top w:val="none" w:sz="0" w:space="0" w:color="auto"/>
        <w:left w:val="none" w:sz="0" w:space="0" w:color="auto"/>
        <w:bottom w:val="none" w:sz="0" w:space="0" w:color="auto"/>
        <w:right w:val="none" w:sz="0" w:space="0" w:color="auto"/>
      </w:divBdr>
      <w:divsChild>
        <w:div w:id="1862545515">
          <w:marLeft w:val="0"/>
          <w:marRight w:val="0"/>
          <w:marTop w:val="0"/>
          <w:marBottom w:val="0"/>
          <w:divBdr>
            <w:top w:val="none" w:sz="0" w:space="0" w:color="auto"/>
            <w:left w:val="none" w:sz="0" w:space="0" w:color="auto"/>
            <w:bottom w:val="none" w:sz="0" w:space="0" w:color="auto"/>
            <w:right w:val="none" w:sz="0" w:space="0" w:color="auto"/>
          </w:divBdr>
          <w:divsChild>
            <w:div w:id="1513883071">
              <w:marLeft w:val="0"/>
              <w:marRight w:val="0"/>
              <w:marTop w:val="0"/>
              <w:marBottom w:val="0"/>
              <w:divBdr>
                <w:top w:val="none" w:sz="0" w:space="0" w:color="auto"/>
                <w:left w:val="none" w:sz="0" w:space="0" w:color="auto"/>
                <w:bottom w:val="none" w:sz="0" w:space="0" w:color="auto"/>
                <w:right w:val="none" w:sz="0" w:space="0" w:color="auto"/>
              </w:divBdr>
            </w:div>
          </w:divsChild>
        </w:div>
        <w:div w:id="834078810">
          <w:blockQuote w:val="1"/>
          <w:marLeft w:val="720"/>
          <w:marRight w:val="720"/>
          <w:marTop w:val="100"/>
          <w:marBottom w:val="100"/>
          <w:divBdr>
            <w:top w:val="none" w:sz="0" w:space="0" w:color="auto"/>
            <w:left w:val="none" w:sz="0" w:space="0" w:color="auto"/>
            <w:bottom w:val="none" w:sz="0" w:space="0" w:color="auto"/>
            <w:right w:val="none" w:sz="0" w:space="0" w:color="auto"/>
          </w:divBdr>
        </w:div>
        <w:div w:id="2132622615">
          <w:blockQuote w:val="1"/>
          <w:marLeft w:val="720"/>
          <w:marRight w:val="720"/>
          <w:marTop w:val="100"/>
          <w:marBottom w:val="100"/>
          <w:divBdr>
            <w:top w:val="none" w:sz="0" w:space="0" w:color="auto"/>
            <w:left w:val="none" w:sz="0" w:space="0" w:color="auto"/>
            <w:bottom w:val="none" w:sz="0" w:space="0" w:color="auto"/>
            <w:right w:val="none" w:sz="0" w:space="0" w:color="auto"/>
          </w:divBdr>
        </w:div>
        <w:div w:id="739252079">
          <w:blockQuote w:val="1"/>
          <w:marLeft w:val="720"/>
          <w:marRight w:val="720"/>
          <w:marTop w:val="100"/>
          <w:marBottom w:val="100"/>
          <w:divBdr>
            <w:top w:val="none" w:sz="0" w:space="0" w:color="auto"/>
            <w:left w:val="none" w:sz="0" w:space="0" w:color="auto"/>
            <w:bottom w:val="none" w:sz="0" w:space="0" w:color="auto"/>
            <w:right w:val="none" w:sz="0" w:space="0" w:color="auto"/>
          </w:divBdr>
        </w:div>
        <w:div w:id="970548802">
          <w:marLeft w:val="0"/>
          <w:marRight w:val="0"/>
          <w:marTop w:val="0"/>
          <w:marBottom w:val="0"/>
          <w:divBdr>
            <w:top w:val="none" w:sz="0" w:space="0" w:color="auto"/>
            <w:left w:val="none" w:sz="0" w:space="0" w:color="auto"/>
            <w:bottom w:val="none" w:sz="0" w:space="0" w:color="auto"/>
            <w:right w:val="none" w:sz="0" w:space="0" w:color="auto"/>
          </w:divBdr>
          <w:divsChild>
            <w:div w:id="1205555060">
              <w:marLeft w:val="0"/>
              <w:marRight w:val="0"/>
              <w:marTop w:val="0"/>
              <w:marBottom w:val="0"/>
              <w:divBdr>
                <w:top w:val="none" w:sz="0" w:space="0" w:color="auto"/>
                <w:left w:val="none" w:sz="0" w:space="0" w:color="auto"/>
                <w:bottom w:val="none" w:sz="0" w:space="0" w:color="auto"/>
                <w:right w:val="none" w:sz="0" w:space="0" w:color="auto"/>
              </w:divBdr>
            </w:div>
          </w:divsChild>
        </w:div>
        <w:div w:id="569733956">
          <w:blockQuote w:val="1"/>
          <w:marLeft w:val="720"/>
          <w:marRight w:val="720"/>
          <w:marTop w:val="100"/>
          <w:marBottom w:val="100"/>
          <w:divBdr>
            <w:top w:val="none" w:sz="0" w:space="0" w:color="auto"/>
            <w:left w:val="none" w:sz="0" w:space="0" w:color="auto"/>
            <w:bottom w:val="none" w:sz="0" w:space="0" w:color="auto"/>
            <w:right w:val="none" w:sz="0" w:space="0" w:color="auto"/>
          </w:divBdr>
        </w:div>
        <w:div w:id="847871728">
          <w:marLeft w:val="0"/>
          <w:marRight w:val="0"/>
          <w:marTop w:val="0"/>
          <w:marBottom w:val="0"/>
          <w:divBdr>
            <w:top w:val="none" w:sz="0" w:space="0" w:color="auto"/>
            <w:left w:val="none" w:sz="0" w:space="0" w:color="auto"/>
            <w:bottom w:val="none" w:sz="0" w:space="0" w:color="auto"/>
            <w:right w:val="none" w:sz="0" w:space="0" w:color="auto"/>
          </w:divBdr>
          <w:divsChild>
            <w:div w:id="551306519">
              <w:marLeft w:val="0"/>
              <w:marRight w:val="0"/>
              <w:marTop w:val="0"/>
              <w:marBottom w:val="0"/>
              <w:divBdr>
                <w:top w:val="none" w:sz="0" w:space="0" w:color="auto"/>
                <w:left w:val="none" w:sz="0" w:space="0" w:color="auto"/>
                <w:bottom w:val="none" w:sz="0" w:space="0" w:color="auto"/>
                <w:right w:val="none" w:sz="0" w:space="0" w:color="auto"/>
              </w:divBdr>
            </w:div>
          </w:divsChild>
        </w:div>
        <w:div w:id="1593776244">
          <w:blockQuote w:val="1"/>
          <w:marLeft w:val="720"/>
          <w:marRight w:val="720"/>
          <w:marTop w:val="100"/>
          <w:marBottom w:val="100"/>
          <w:divBdr>
            <w:top w:val="none" w:sz="0" w:space="0" w:color="auto"/>
            <w:left w:val="none" w:sz="0" w:space="0" w:color="auto"/>
            <w:bottom w:val="none" w:sz="0" w:space="0" w:color="auto"/>
            <w:right w:val="none" w:sz="0" w:space="0" w:color="auto"/>
          </w:divBdr>
        </w:div>
        <w:div w:id="549850531">
          <w:blockQuote w:val="1"/>
          <w:marLeft w:val="720"/>
          <w:marRight w:val="720"/>
          <w:marTop w:val="100"/>
          <w:marBottom w:val="100"/>
          <w:divBdr>
            <w:top w:val="none" w:sz="0" w:space="0" w:color="auto"/>
            <w:left w:val="none" w:sz="0" w:space="0" w:color="auto"/>
            <w:bottom w:val="none" w:sz="0" w:space="0" w:color="auto"/>
            <w:right w:val="none" w:sz="0" w:space="0" w:color="auto"/>
          </w:divBdr>
        </w:div>
        <w:div w:id="1523007053">
          <w:marLeft w:val="0"/>
          <w:marRight w:val="0"/>
          <w:marTop w:val="0"/>
          <w:marBottom w:val="0"/>
          <w:divBdr>
            <w:top w:val="none" w:sz="0" w:space="0" w:color="auto"/>
            <w:left w:val="none" w:sz="0" w:space="0" w:color="auto"/>
            <w:bottom w:val="none" w:sz="0" w:space="0" w:color="auto"/>
            <w:right w:val="none" w:sz="0" w:space="0" w:color="auto"/>
          </w:divBdr>
          <w:divsChild>
            <w:div w:id="2006593645">
              <w:marLeft w:val="0"/>
              <w:marRight w:val="0"/>
              <w:marTop w:val="0"/>
              <w:marBottom w:val="0"/>
              <w:divBdr>
                <w:top w:val="none" w:sz="0" w:space="0" w:color="auto"/>
                <w:left w:val="none" w:sz="0" w:space="0" w:color="auto"/>
                <w:bottom w:val="none" w:sz="0" w:space="0" w:color="auto"/>
                <w:right w:val="none" w:sz="0" w:space="0" w:color="auto"/>
              </w:divBdr>
            </w:div>
          </w:divsChild>
        </w:div>
        <w:div w:id="651712349">
          <w:blockQuote w:val="1"/>
          <w:marLeft w:val="720"/>
          <w:marRight w:val="720"/>
          <w:marTop w:val="100"/>
          <w:marBottom w:val="100"/>
          <w:divBdr>
            <w:top w:val="none" w:sz="0" w:space="0" w:color="auto"/>
            <w:left w:val="none" w:sz="0" w:space="0" w:color="auto"/>
            <w:bottom w:val="none" w:sz="0" w:space="0" w:color="auto"/>
            <w:right w:val="none" w:sz="0" w:space="0" w:color="auto"/>
          </w:divBdr>
        </w:div>
        <w:div w:id="1462504004">
          <w:marLeft w:val="0"/>
          <w:marRight w:val="0"/>
          <w:marTop w:val="0"/>
          <w:marBottom w:val="0"/>
          <w:divBdr>
            <w:top w:val="none" w:sz="0" w:space="0" w:color="auto"/>
            <w:left w:val="none" w:sz="0" w:space="0" w:color="auto"/>
            <w:bottom w:val="none" w:sz="0" w:space="0" w:color="auto"/>
            <w:right w:val="none" w:sz="0" w:space="0" w:color="auto"/>
          </w:divBdr>
          <w:divsChild>
            <w:div w:id="335498818">
              <w:marLeft w:val="0"/>
              <w:marRight w:val="0"/>
              <w:marTop w:val="0"/>
              <w:marBottom w:val="0"/>
              <w:divBdr>
                <w:top w:val="none" w:sz="0" w:space="0" w:color="auto"/>
                <w:left w:val="none" w:sz="0" w:space="0" w:color="auto"/>
                <w:bottom w:val="none" w:sz="0" w:space="0" w:color="auto"/>
                <w:right w:val="none" w:sz="0" w:space="0" w:color="auto"/>
              </w:divBdr>
            </w:div>
          </w:divsChild>
        </w:div>
        <w:div w:id="1727072026">
          <w:blockQuote w:val="1"/>
          <w:marLeft w:val="720"/>
          <w:marRight w:val="720"/>
          <w:marTop w:val="100"/>
          <w:marBottom w:val="100"/>
          <w:divBdr>
            <w:top w:val="none" w:sz="0" w:space="0" w:color="auto"/>
            <w:left w:val="none" w:sz="0" w:space="0" w:color="auto"/>
            <w:bottom w:val="none" w:sz="0" w:space="0" w:color="auto"/>
            <w:right w:val="none" w:sz="0" w:space="0" w:color="auto"/>
          </w:divBdr>
        </w:div>
        <w:div w:id="87905584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10171020">
      <w:bodyDiv w:val="1"/>
      <w:marLeft w:val="0"/>
      <w:marRight w:val="0"/>
      <w:marTop w:val="0"/>
      <w:marBottom w:val="0"/>
      <w:divBdr>
        <w:top w:val="none" w:sz="0" w:space="0" w:color="auto"/>
        <w:left w:val="none" w:sz="0" w:space="0" w:color="auto"/>
        <w:bottom w:val="none" w:sz="0" w:space="0" w:color="auto"/>
        <w:right w:val="none" w:sz="0" w:space="0" w:color="auto"/>
      </w:divBdr>
    </w:div>
    <w:div w:id="839930390">
      <w:bodyDiv w:val="1"/>
      <w:marLeft w:val="0"/>
      <w:marRight w:val="0"/>
      <w:marTop w:val="0"/>
      <w:marBottom w:val="0"/>
      <w:divBdr>
        <w:top w:val="none" w:sz="0" w:space="0" w:color="auto"/>
        <w:left w:val="none" w:sz="0" w:space="0" w:color="auto"/>
        <w:bottom w:val="none" w:sz="0" w:space="0" w:color="auto"/>
        <w:right w:val="none" w:sz="0" w:space="0" w:color="auto"/>
      </w:divBdr>
    </w:div>
    <w:div w:id="853611727">
      <w:bodyDiv w:val="1"/>
      <w:marLeft w:val="0"/>
      <w:marRight w:val="0"/>
      <w:marTop w:val="0"/>
      <w:marBottom w:val="0"/>
      <w:divBdr>
        <w:top w:val="none" w:sz="0" w:space="0" w:color="auto"/>
        <w:left w:val="none" w:sz="0" w:space="0" w:color="auto"/>
        <w:bottom w:val="none" w:sz="0" w:space="0" w:color="auto"/>
        <w:right w:val="none" w:sz="0" w:space="0" w:color="auto"/>
      </w:divBdr>
    </w:div>
    <w:div w:id="876430354">
      <w:bodyDiv w:val="1"/>
      <w:marLeft w:val="0"/>
      <w:marRight w:val="0"/>
      <w:marTop w:val="0"/>
      <w:marBottom w:val="0"/>
      <w:divBdr>
        <w:top w:val="none" w:sz="0" w:space="0" w:color="auto"/>
        <w:left w:val="none" w:sz="0" w:space="0" w:color="auto"/>
        <w:bottom w:val="none" w:sz="0" w:space="0" w:color="auto"/>
        <w:right w:val="none" w:sz="0" w:space="0" w:color="auto"/>
      </w:divBdr>
      <w:divsChild>
        <w:div w:id="1652634669">
          <w:marLeft w:val="0"/>
          <w:marRight w:val="0"/>
          <w:marTop w:val="0"/>
          <w:marBottom w:val="0"/>
          <w:divBdr>
            <w:top w:val="none" w:sz="0" w:space="0" w:color="auto"/>
            <w:left w:val="none" w:sz="0" w:space="0" w:color="auto"/>
            <w:bottom w:val="none" w:sz="0" w:space="0" w:color="auto"/>
            <w:right w:val="none" w:sz="0" w:space="0" w:color="auto"/>
          </w:divBdr>
          <w:divsChild>
            <w:div w:id="1469318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2932013">
      <w:bodyDiv w:val="1"/>
      <w:marLeft w:val="0"/>
      <w:marRight w:val="0"/>
      <w:marTop w:val="0"/>
      <w:marBottom w:val="0"/>
      <w:divBdr>
        <w:top w:val="none" w:sz="0" w:space="0" w:color="auto"/>
        <w:left w:val="none" w:sz="0" w:space="0" w:color="auto"/>
        <w:bottom w:val="none" w:sz="0" w:space="0" w:color="auto"/>
        <w:right w:val="none" w:sz="0" w:space="0" w:color="auto"/>
      </w:divBdr>
    </w:div>
    <w:div w:id="937326862">
      <w:bodyDiv w:val="1"/>
      <w:marLeft w:val="0"/>
      <w:marRight w:val="0"/>
      <w:marTop w:val="0"/>
      <w:marBottom w:val="0"/>
      <w:divBdr>
        <w:top w:val="none" w:sz="0" w:space="0" w:color="auto"/>
        <w:left w:val="none" w:sz="0" w:space="0" w:color="auto"/>
        <w:bottom w:val="none" w:sz="0" w:space="0" w:color="auto"/>
        <w:right w:val="none" w:sz="0" w:space="0" w:color="auto"/>
      </w:divBdr>
    </w:div>
    <w:div w:id="992566435">
      <w:bodyDiv w:val="1"/>
      <w:marLeft w:val="0"/>
      <w:marRight w:val="0"/>
      <w:marTop w:val="0"/>
      <w:marBottom w:val="0"/>
      <w:divBdr>
        <w:top w:val="none" w:sz="0" w:space="0" w:color="auto"/>
        <w:left w:val="none" w:sz="0" w:space="0" w:color="auto"/>
        <w:bottom w:val="none" w:sz="0" w:space="0" w:color="auto"/>
        <w:right w:val="none" w:sz="0" w:space="0" w:color="auto"/>
      </w:divBdr>
      <w:divsChild>
        <w:div w:id="89654957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64646070">
      <w:bodyDiv w:val="1"/>
      <w:marLeft w:val="0"/>
      <w:marRight w:val="0"/>
      <w:marTop w:val="0"/>
      <w:marBottom w:val="0"/>
      <w:divBdr>
        <w:top w:val="none" w:sz="0" w:space="0" w:color="auto"/>
        <w:left w:val="none" w:sz="0" w:space="0" w:color="auto"/>
        <w:bottom w:val="none" w:sz="0" w:space="0" w:color="auto"/>
        <w:right w:val="none" w:sz="0" w:space="0" w:color="auto"/>
      </w:divBdr>
    </w:div>
    <w:div w:id="1106197401">
      <w:bodyDiv w:val="1"/>
      <w:marLeft w:val="0"/>
      <w:marRight w:val="0"/>
      <w:marTop w:val="0"/>
      <w:marBottom w:val="0"/>
      <w:divBdr>
        <w:top w:val="none" w:sz="0" w:space="0" w:color="auto"/>
        <w:left w:val="none" w:sz="0" w:space="0" w:color="auto"/>
        <w:bottom w:val="none" w:sz="0" w:space="0" w:color="auto"/>
        <w:right w:val="none" w:sz="0" w:space="0" w:color="auto"/>
      </w:divBdr>
    </w:div>
    <w:div w:id="1114012966">
      <w:bodyDiv w:val="1"/>
      <w:marLeft w:val="0"/>
      <w:marRight w:val="0"/>
      <w:marTop w:val="0"/>
      <w:marBottom w:val="0"/>
      <w:divBdr>
        <w:top w:val="none" w:sz="0" w:space="0" w:color="auto"/>
        <w:left w:val="none" w:sz="0" w:space="0" w:color="auto"/>
        <w:bottom w:val="none" w:sz="0" w:space="0" w:color="auto"/>
        <w:right w:val="none" w:sz="0" w:space="0" w:color="auto"/>
      </w:divBdr>
    </w:div>
    <w:div w:id="1247693429">
      <w:bodyDiv w:val="1"/>
      <w:marLeft w:val="0"/>
      <w:marRight w:val="0"/>
      <w:marTop w:val="0"/>
      <w:marBottom w:val="0"/>
      <w:divBdr>
        <w:top w:val="none" w:sz="0" w:space="0" w:color="auto"/>
        <w:left w:val="none" w:sz="0" w:space="0" w:color="auto"/>
        <w:bottom w:val="none" w:sz="0" w:space="0" w:color="auto"/>
        <w:right w:val="none" w:sz="0" w:space="0" w:color="auto"/>
      </w:divBdr>
      <w:divsChild>
        <w:div w:id="509836774">
          <w:marLeft w:val="0"/>
          <w:marRight w:val="0"/>
          <w:marTop w:val="0"/>
          <w:marBottom w:val="0"/>
          <w:divBdr>
            <w:top w:val="none" w:sz="0" w:space="0" w:color="auto"/>
            <w:left w:val="none" w:sz="0" w:space="0" w:color="auto"/>
            <w:bottom w:val="none" w:sz="0" w:space="0" w:color="auto"/>
            <w:right w:val="none" w:sz="0" w:space="0" w:color="auto"/>
          </w:divBdr>
          <w:divsChild>
            <w:div w:id="1457944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5189649">
      <w:bodyDiv w:val="1"/>
      <w:marLeft w:val="0"/>
      <w:marRight w:val="0"/>
      <w:marTop w:val="0"/>
      <w:marBottom w:val="0"/>
      <w:divBdr>
        <w:top w:val="none" w:sz="0" w:space="0" w:color="auto"/>
        <w:left w:val="none" w:sz="0" w:space="0" w:color="auto"/>
        <w:bottom w:val="none" w:sz="0" w:space="0" w:color="auto"/>
        <w:right w:val="none" w:sz="0" w:space="0" w:color="auto"/>
      </w:divBdr>
    </w:div>
    <w:div w:id="1333148151">
      <w:bodyDiv w:val="1"/>
      <w:marLeft w:val="0"/>
      <w:marRight w:val="0"/>
      <w:marTop w:val="0"/>
      <w:marBottom w:val="0"/>
      <w:divBdr>
        <w:top w:val="none" w:sz="0" w:space="0" w:color="auto"/>
        <w:left w:val="none" w:sz="0" w:space="0" w:color="auto"/>
        <w:bottom w:val="none" w:sz="0" w:space="0" w:color="auto"/>
        <w:right w:val="none" w:sz="0" w:space="0" w:color="auto"/>
      </w:divBdr>
    </w:div>
    <w:div w:id="1435127673">
      <w:bodyDiv w:val="1"/>
      <w:marLeft w:val="0"/>
      <w:marRight w:val="0"/>
      <w:marTop w:val="0"/>
      <w:marBottom w:val="0"/>
      <w:divBdr>
        <w:top w:val="none" w:sz="0" w:space="0" w:color="auto"/>
        <w:left w:val="none" w:sz="0" w:space="0" w:color="auto"/>
        <w:bottom w:val="none" w:sz="0" w:space="0" w:color="auto"/>
        <w:right w:val="none" w:sz="0" w:space="0" w:color="auto"/>
      </w:divBdr>
    </w:div>
    <w:div w:id="1468402507">
      <w:bodyDiv w:val="1"/>
      <w:marLeft w:val="0"/>
      <w:marRight w:val="0"/>
      <w:marTop w:val="0"/>
      <w:marBottom w:val="0"/>
      <w:divBdr>
        <w:top w:val="none" w:sz="0" w:space="0" w:color="auto"/>
        <w:left w:val="none" w:sz="0" w:space="0" w:color="auto"/>
        <w:bottom w:val="none" w:sz="0" w:space="0" w:color="auto"/>
        <w:right w:val="none" w:sz="0" w:space="0" w:color="auto"/>
      </w:divBdr>
    </w:div>
    <w:div w:id="1529489807">
      <w:bodyDiv w:val="1"/>
      <w:marLeft w:val="0"/>
      <w:marRight w:val="0"/>
      <w:marTop w:val="0"/>
      <w:marBottom w:val="0"/>
      <w:divBdr>
        <w:top w:val="none" w:sz="0" w:space="0" w:color="auto"/>
        <w:left w:val="none" w:sz="0" w:space="0" w:color="auto"/>
        <w:bottom w:val="none" w:sz="0" w:space="0" w:color="auto"/>
        <w:right w:val="none" w:sz="0" w:space="0" w:color="auto"/>
      </w:divBdr>
    </w:div>
    <w:div w:id="1549681869">
      <w:bodyDiv w:val="1"/>
      <w:marLeft w:val="0"/>
      <w:marRight w:val="0"/>
      <w:marTop w:val="0"/>
      <w:marBottom w:val="0"/>
      <w:divBdr>
        <w:top w:val="none" w:sz="0" w:space="0" w:color="auto"/>
        <w:left w:val="none" w:sz="0" w:space="0" w:color="auto"/>
        <w:bottom w:val="none" w:sz="0" w:space="0" w:color="auto"/>
        <w:right w:val="none" w:sz="0" w:space="0" w:color="auto"/>
      </w:divBdr>
    </w:div>
    <w:div w:id="1598752126">
      <w:bodyDiv w:val="1"/>
      <w:marLeft w:val="0"/>
      <w:marRight w:val="0"/>
      <w:marTop w:val="0"/>
      <w:marBottom w:val="0"/>
      <w:divBdr>
        <w:top w:val="none" w:sz="0" w:space="0" w:color="auto"/>
        <w:left w:val="none" w:sz="0" w:space="0" w:color="auto"/>
        <w:bottom w:val="none" w:sz="0" w:space="0" w:color="auto"/>
        <w:right w:val="none" w:sz="0" w:space="0" w:color="auto"/>
      </w:divBdr>
      <w:divsChild>
        <w:div w:id="857499096">
          <w:marLeft w:val="0"/>
          <w:marRight w:val="0"/>
          <w:marTop w:val="0"/>
          <w:marBottom w:val="0"/>
          <w:divBdr>
            <w:top w:val="none" w:sz="0" w:space="0" w:color="auto"/>
            <w:left w:val="none" w:sz="0" w:space="0" w:color="auto"/>
            <w:bottom w:val="none" w:sz="0" w:space="0" w:color="auto"/>
            <w:right w:val="none" w:sz="0" w:space="0" w:color="auto"/>
          </w:divBdr>
          <w:divsChild>
            <w:div w:id="727343042">
              <w:marLeft w:val="0"/>
              <w:marRight w:val="0"/>
              <w:marTop w:val="0"/>
              <w:marBottom w:val="0"/>
              <w:divBdr>
                <w:top w:val="none" w:sz="0" w:space="0" w:color="auto"/>
                <w:left w:val="none" w:sz="0" w:space="0" w:color="auto"/>
                <w:bottom w:val="none" w:sz="0" w:space="0" w:color="auto"/>
                <w:right w:val="none" w:sz="0" w:space="0" w:color="auto"/>
              </w:divBdr>
            </w:div>
          </w:divsChild>
        </w:div>
        <w:div w:id="1522360019">
          <w:marLeft w:val="0"/>
          <w:marRight w:val="0"/>
          <w:marTop w:val="0"/>
          <w:marBottom w:val="0"/>
          <w:divBdr>
            <w:top w:val="none" w:sz="0" w:space="0" w:color="auto"/>
            <w:left w:val="none" w:sz="0" w:space="0" w:color="auto"/>
            <w:bottom w:val="none" w:sz="0" w:space="0" w:color="auto"/>
            <w:right w:val="none" w:sz="0" w:space="0" w:color="auto"/>
          </w:divBdr>
          <w:divsChild>
            <w:div w:id="1511723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5468839">
      <w:bodyDiv w:val="1"/>
      <w:marLeft w:val="0"/>
      <w:marRight w:val="0"/>
      <w:marTop w:val="0"/>
      <w:marBottom w:val="0"/>
      <w:divBdr>
        <w:top w:val="none" w:sz="0" w:space="0" w:color="auto"/>
        <w:left w:val="none" w:sz="0" w:space="0" w:color="auto"/>
        <w:bottom w:val="none" w:sz="0" w:space="0" w:color="auto"/>
        <w:right w:val="none" w:sz="0" w:space="0" w:color="auto"/>
      </w:divBdr>
    </w:div>
    <w:div w:id="1806316896">
      <w:bodyDiv w:val="1"/>
      <w:marLeft w:val="0"/>
      <w:marRight w:val="0"/>
      <w:marTop w:val="0"/>
      <w:marBottom w:val="0"/>
      <w:divBdr>
        <w:top w:val="none" w:sz="0" w:space="0" w:color="auto"/>
        <w:left w:val="none" w:sz="0" w:space="0" w:color="auto"/>
        <w:bottom w:val="none" w:sz="0" w:space="0" w:color="auto"/>
        <w:right w:val="none" w:sz="0" w:space="0" w:color="auto"/>
      </w:divBdr>
    </w:div>
    <w:div w:id="1856847694">
      <w:bodyDiv w:val="1"/>
      <w:marLeft w:val="0"/>
      <w:marRight w:val="0"/>
      <w:marTop w:val="0"/>
      <w:marBottom w:val="0"/>
      <w:divBdr>
        <w:top w:val="none" w:sz="0" w:space="0" w:color="auto"/>
        <w:left w:val="none" w:sz="0" w:space="0" w:color="auto"/>
        <w:bottom w:val="none" w:sz="0" w:space="0" w:color="auto"/>
        <w:right w:val="none" w:sz="0" w:space="0" w:color="auto"/>
      </w:divBdr>
    </w:div>
    <w:div w:id="1868594843">
      <w:bodyDiv w:val="1"/>
      <w:marLeft w:val="0"/>
      <w:marRight w:val="0"/>
      <w:marTop w:val="0"/>
      <w:marBottom w:val="0"/>
      <w:divBdr>
        <w:top w:val="none" w:sz="0" w:space="0" w:color="auto"/>
        <w:left w:val="none" w:sz="0" w:space="0" w:color="auto"/>
        <w:bottom w:val="none" w:sz="0" w:space="0" w:color="auto"/>
        <w:right w:val="none" w:sz="0" w:space="0" w:color="auto"/>
      </w:divBdr>
    </w:div>
    <w:div w:id="1874346627">
      <w:bodyDiv w:val="1"/>
      <w:marLeft w:val="0"/>
      <w:marRight w:val="0"/>
      <w:marTop w:val="0"/>
      <w:marBottom w:val="0"/>
      <w:divBdr>
        <w:top w:val="none" w:sz="0" w:space="0" w:color="auto"/>
        <w:left w:val="none" w:sz="0" w:space="0" w:color="auto"/>
        <w:bottom w:val="none" w:sz="0" w:space="0" w:color="auto"/>
        <w:right w:val="none" w:sz="0" w:space="0" w:color="auto"/>
      </w:divBdr>
      <w:divsChild>
        <w:div w:id="180703371">
          <w:marLeft w:val="0"/>
          <w:marRight w:val="0"/>
          <w:marTop w:val="0"/>
          <w:marBottom w:val="0"/>
          <w:divBdr>
            <w:top w:val="none" w:sz="0" w:space="0" w:color="auto"/>
            <w:left w:val="none" w:sz="0" w:space="0" w:color="auto"/>
            <w:bottom w:val="none" w:sz="0" w:space="0" w:color="auto"/>
            <w:right w:val="none" w:sz="0" w:space="0" w:color="auto"/>
          </w:divBdr>
          <w:divsChild>
            <w:div w:id="914171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9076178">
      <w:bodyDiv w:val="1"/>
      <w:marLeft w:val="0"/>
      <w:marRight w:val="0"/>
      <w:marTop w:val="0"/>
      <w:marBottom w:val="0"/>
      <w:divBdr>
        <w:top w:val="none" w:sz="0" w:space="0" w:color="auto"/>
        <w:left w:val="none" w:sz="0" w:space="0" w:color="auto"/>
        <w:bottom w:val="none" w:sz="0" w:space="0" w:color="auto"/>
        <w:right w:val="none" w:sz="0" w:space="0" w:color="auto"/>
      </w:divBdr>
    </w:div>
    <w:div w:id="1933053721">
      <w:bodyDiv w:val="1"/>
      <w:marLeft w:val="0"/>
      <w:marRight w:val="0"/>
      <w:marTop w:val="0"/>
      <w:marBottom w:val="0"/>
      <w:divBdr>
        <w:top w:val="none" w:sz="0" w:space="0" w:color="auto"/>
        <w:left w:val="none" w:sz="0" w:space="0" w:color="auto"/>
        <w:bottom w:val="none" w:sz="0" w:space="0" w:color="auto"/>
        <w:right w:val="none" w:sz="0" w:space="0" w:color="auto"/>
      </w:divBdr>
    </w:div>
    <w:div w:id="1966540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ooks.google.com/books?q=David+Aaker+Managing+Brand+Equity+1991&amp;utm_source=chatgpt.com" TargetMode="External"/><Relationship Id="rId18" Type="http://schemas.openxmlformats.org/officeDocument/2006/relationships/hyperlink" Target="https://doi.org/10.1177/014920630102700601?utm_source=chatgpt.com" TargetMode="External"/><Relationship Id="rId26" Type="http://schemas.openxmlformats.org/officeDocument/2006/relationships/hyperlink" Target="https://doi.org/10.1002/tqem.3310080106?utm_source=chatgpt.com" TargetMode="External"/><Relationship Id="rId39" Type="http://schemas.openxmlformats.org/officeDocument/2006/relationships/hyperlink" Target="https://doi.org/10.1016/j.jclepro.2008.04.020?utm_source=chatgpt.com" TargetMode="External"/><Relationship Id="rId3" Type="http://schemas.openxmlformats.org/officeDocument/2006/relationships/styles" Target="styles.xml"/><Relationship Id="rId21" Type="http://schemas.openxmlformats.org/officeDocument/2006/relationships/hyperlink" Target="https://doi.org/10.1016/j.jclepro.2013.11.039?utm_source=chatgpt.com" TargetMode="External"/><Relationship Id="rId34" Type="http://schemas.openxmlformats.org/officeDocument/2006/relationships/hyperlink" Target="https://doi.org/10.3200/ENVT.48.5.22-36?utm_source=chatgpt.com" TargetMode="External"/><Relationship Id="rId42" Type="http://schemas.openxmlformats.org/officeDocument/2006/relationships/hyperlink" Target="https://doi.org/10.1509/jmkg.68.1.1.24036?utm_source=chatgpt.com" TargetMode="External"/><Relationship Id="rId47" Type="http://schemas.openxmlformats.org/officeDocument/2006/relationships/hyperlink" Target="https://www.worldcoffeeportal.com/?utm_source=chatgpt.com" TargetMode="External"/><Relationship Id="rId50"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doi.org/10.1177/014920639101700108?utm_source=chatgpt.com" TargetMode="External"/><Relationship Id="rId25" Type="http://schemas.openxmlformats.org/officeDocument/2006/relationships/hyperlink" Target="https://doi.org/10.1111/j.1745-6606.2005.00019.x?utm_source=chatgpt.com" TargetMode="External"/><Relationship Id="rId33" Type="http://schemas.openxmlformats.org/officeDocument/2006/relationships/hyperlink" Target="https://doi.org/10.1177/002224299005400403?utm_source=chatgpt.com" TargetMode="External"/><Relationship Id="rId38" Type="http://schemas.openxmlformats.org/officeDocument/2006/relationships/hyperlink" Target="https://doi.org/10.1108/MEQ-01-2022-0022?utm_source=chatgpt.com" TargetMode="External"/><Relationship Id="rId46" Type="http://schemas.openxmlformats.org/officeDocument/2006/relationships/hyperlink" Target="https://www.worldcoffeeportal.com/?utm_source=chatgpt.com" TargetMode="External"/><Relationship Id="rId2" Type="http://schemas.openxmlformats.org/officeDocument/2006/relationships/numbering" Target="numbering.xml"/><Relationship Id="rId16" Type="http://schemas.openxmlformats.org/officeDocument/2006/relationships/hyperlink" Target="https://books.google.com/books?q=Armstrong+Kotler+Marketing+An+Introduction+15th+2022&amp;utm_source=chatgpt.com" TargetMode="External"/><Relationship Id="rId20" Type="http://schemas.openxmlformats.org/officeDocument/2006/relationships/hyperlink" Target="https://doi.org/10.1177/002224299205600205?utm_source=chatgpt.com" TargetMode="External"/><Relationship Id="rId29" Type="http://schemas.openxmlformats.org/officeDocument/2006/relationships/hyperlink" Target="https://doi.org/10.1057/s41599-023-02229-1?utm_source=chatgpt.com" TargetMode="External"/><Relationship Id="rId41" Type="http://schemas.openxmlformats.org/officeDocument/2006/relationships/hyperlink" Target="https://doi.org/10.1016/j.lrp.2009.07.003?utm_source=chatgpt.com"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doi.org/10.1177/002224299405800404?utm_source=chatgpt.com" TargetMode="External"/><Relationship Id="rId32" Type="http://schemas.openxmlformats.org/officeDocument/2006/relationships/hyperlink" Target="https://doi.org/10.1177/002224299405800302?utm_source=chatgpt.com" TargetMode="External"/><Relationship Id="rId37" Type="http://schemas.openxmlformats.org/officeDocument/2006/relationships/hyperlink" Target="https://hbr.org/2008/01/the-five-competitive-forces-that-shape-strategy?utm_source=chatgpt.com" TargetMode="External"/><Relationship Id="rId40" Type="http://schemas.openxmlformats.org/officeDocument/2006/relationships/hyperlink" Target="https://doi.org/10.1002/bse.607?utm_source=chatgpt.com" TargetMode="External"/><Relationship Id="rId45" Type="http://schemas.openxmlformats.org/officeDocument/2006/relationships/hyperlink" Target="https://www.worldcoffeeportal.com/?utm_source=chatgpt.com" TargetMode="External"/><Relationship Id="rId53"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3390/su12041329?utm_source=chatgpt.com" TargetMode="External"/><Relationship Id="rId23" Type="http://schemas.openxmlformats.org/officeDocument/2006/relationships/hyperlink" Target="https://doi.org/10.1002/bse.70804?utm_source=chatgpt.com" TargetMode="External"/><Relationship Id="rId28" Type="http://schemas.openxmlformats.org/officeDocument/2006/relationships/hyperlink" Target="https://doi.org/10.1177/002224299305700304?utm_source=chatgpt.com" TargetMode="External"/><Relationship Id="rId36" Type="http://schemas.openxmlformats.org/officeDocument/2006/relationships/hyperlink" Target="https://doi.org/10.1108/13522750510619733?utm_source=chatgpt.com" TargetMode="External"/><Relationship Id="rId49" Type="http://schemas.openxmlformats.org/officeDocument/2006/relationships/hyperlink" Target="https://doi.org/10.1177/002224299606000203?utm_source=chatgpt.com" TargetMode="External"/><Relationship Id="rId10" Type="http://schemas.openxmlformats.org/officeDocument/2006/relationships/image" Target="media/image2.png"/><Relationship Id="rId19" Type="http://schemas.openxmlformats.org/officeDocument/2006/relationships/hyperlink" Target="https://sloanreview.mit.edu/article/managing-the-total-customer-experience/?utm_source=chatgpt.com" TargetMode="External"/><Relationship Id="rId31" Type="http://schemas.openxmlformats.org/officeDocument/2006/relationships/hyperlink" Target="https://doi.org/10.1177/002224299005400201?utm_source=chatgpt.com" TargetMode="External"/><Relationship Id="rId44" Type="http://schemas.openxmlformats.org/officeDocument/2006/relationships/hyperlink" Target="https://doi.org/10.1002/smj.4250050207?utm_source=chatgpt.com" TargetMode="External"/><Relationship Id="rId52" Type="http://schemas.openxmlformats.org/officeDocument/2006/relationships/footer" Target="footer2.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yperlink" Target="https://books.google.com/books?q=David+Aaker+Building+Strong+Brands+1996&amp;utm_source=chatgpt.com" TargetMode="External"/><Relationship Id="rId22" Type="http://schemas.openxmlformats.org/officeDocument/2006/relationships/hyperlink" Target="https://doi.org/10.1108/07363760110410263?utm_source=chatgpt.com" TargetMode="External"/><Relationship Id="rId27" Type="http://schemas.openxmlformats.org/officeDocument/2006/relationships/hyperlink" Target="https://doi.org/10.1177/0092070305284976?utm_source=chatgpt.com" TargetMode="External"/><Relationship Id="rId30" Type="http://schemas.openxmlformats.org/officeDocument/2006/relationships/hyperlink" Target="https://doi.org/10.1177/002224299305700101?utm_source=chatgpt.com" TargetMode="External"/><Relationship Id="rId35" Type="http://schemas.openxmlformats.org/officeDocument/2006/relationships/hyperlink" Target="https://doi.org/10.1007/s11747-017-0523-z?utm_source=chatgpt.com" TargetMode="External"/><Relationship Id="rId43" Type="http://schemas.openxmlformats.org/officeDocument/2006/relationships/hyperlink" Target="https://doi.org/10.1007/s11747-007-0069-6?utm_source=chatgpt.com" TargetMode="External"/><Relationship Id="rId48" Type="http://schemas.openxmlformats.org/officeDocument/2006/relationships/hyperlink" Target="https://doi.org/10.1177/002224298805200302?utm_source=chatgpt.com" TargetMode="External"/><Relationship Id="rId8" Type="http://schemas.openxmlformats.org/officeDocument/2006/relationships/image" Target="media/image1.png"/><Relationship Id="rId5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E12384-F5DB-4A5E-9279-9F04CEE94A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381</TotalTime>
  <Pages>88</Pages>
  <Words>23502</Words>
  <Characters>133966</Characters>
  <Application>Microsoft Office Word</Application>
  <DocSecurity>0</DocSecurity>
  <Lines>1116</Lines>
  <Paragraphs>314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Sonet Islam</dc:creator>
  <cp:keywords/>
  <dc:description/>
  <cp:lastModifiedBy>MLC</cp:lastModifiedBy>
  <cp:revision>307</cp:revision>
  <cp:lastPrinted>2025-09-29T07:23:00Z</cp:lastPrinted>
  <dcterms:created xsi:type="dcterms:W3CDTF">2026-07-06T07:10:00Z</dcterms:created>
  <dcterms:modified xsi:type="dcterms:W3CDTF">2026-09-20T09:42:00Z</dcterms:modified>
</cp:coreProperties>
</file>