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1A60C" w14:textId="77777777" w:rsidR="003105FF" w:rsidRDefault="00000000">
      <w:pPr>
        <w:pStyle w:val="Standard"/>
        <w:spacing w:line="360" w:lineRule="auto"/>
        <w:jc w:val="center"/>
        <w:rPr>
          <w:rFonts w:ascii="Arial Black" w:hAnsi="Arial Black" w:cs="Times New Roman"/>
          <w:sz w:val="32"/>
          <w:szCs w:val="32"/>
          <w:shd w:val="clear" w:color="auto" w:fill="004586"/>
        </w:rPr>
      </w:pPr>
      <w:proofErr w:type="gramStart"/>
      <w:r>
        <w:rPr>
          <w:rFonts w:ascii="Arial Black" w:hAnsi="Arial Black" w:cs="Times New Roman"/>
          <w:b/>
          <w:sz w:val="32"/>
          <w:szCs w:val="32"/>
          <w:shd w:val="clear" w:color="auto" w:fill="004586"/>
        </w:rPr>
        <w:t>MASTERS OF BUSINESS ADMINISTRATION</w:t>
      </w:r>
      <w:proofErr w:type="gramEnd"/>
      <w:r>
        <w:rPr>
          <w:rFonts w:ascii="Arial Black" w:hAnsi="Arial Black" w:cs="Times New Roman"/>
          <w:b/>
          <w:sz w:val="32"/>
          <w:szCs w:val="32"/>
          <w:shd w:val="clear" w:color="auto" w:fill="004586"/>
        </w:rPr>
        <w:t xml:space="preserve"> (MBA)</w:t>
      </w:r>
    </w:p>
    <w:p w14:paraId="532BDB79" w14:textId="77777777" w:rsidR="003105FF" w:rsidRDefault="003105FF">
      <w:pPr>
        <w:pStyle w:val="Textbody"/>
        <w:jc w:val="center"/>
        <w:rPr>
          <w:rFonts w:ascii="Arial Black" w:hAnsi="Arial Black"/>
          <w:sz w:val="28"/>
          <w:szCs w:val="28"/>
        </w:rPr>
      </w:pPr>
    </w:p>
    <w:p w14:paraId="548F84E0" w14:textId="77777777" w:rsidR="003105FF" w:rsidRDefault="00000000">
      <w:pPr>
        <w:pStyle w:val="Textbody"/>
        <w:jc w:val="center"/>
        <w:rPr>
          <w:rFonts w:ascii="Arial Black" w:hAnsi="Arial Black"/>
          <w:sz w:val="28"/>
          <w:szCs w:val="28"/>
        </w:rPr>
      </w:pPr>
      <w:proofErr w:type="gramStart"/>
      <w:r>
        <w:rPr>
          <w:rFonts w:ascii="Arial Black" w:hAnsi="Arial Black"/>
          <w:sz w:val="28"/>
          <w:szCs w:val="28"/>
        </w:rPr>
        <w:t>MODULE:-</w:t>
      </w:r>
      <w:proofErr w:type="gramEnd"/>
      <w:r>
        <w:rPr>
          <w:rFonts w:ascii="Arial Black" w:hAnsi="Arial Black"/>
          <w:sz w:val="28"/>
          <w:szCs w:val="28"/>
        </w:rPr>
        <w:t xml:space="preserve"> Human Capital </w:t>
      </w:r>
      <w:proofErr w:type="gramStart"/>
      <w:r>
        <w:rPr>
          <w:rFonts w:ascii="Arial Black" w:hAnsi="Arial Black"/>
          <w:sz w:val="28"/>
          <w:szCs w:val="28"/>
        </w:rPr>
        <w:t>Management  (</w:t>
      </w:r>
      <w:proofErr w:type="gramEnd"/>
      <w:r>
        <w:rPr>
          <w:rFonts w:ascii="Arial Black" w:hAnsi="Arial Black"/>
          <w:sz w:val="28"/>
          <w:szCs w:val="28"/>
        </w:rPr>
        <w:t>LCMB7023)</w:t>
      </w:r>
    </w:p>
    <w:p w14:paraId="20E97000" w14:textId="77777777" w:rsidR="003105FF" w:rsidRDefault="003105FF">
      <w:pPr>
        <w:pStyle w:val="Standard"/>
        <w:spacing w:line="360" w:lineRule="auto"/>
        <w:jc w:val="center"/>
        <w:rPr>
          <w:b/>
          <w:sz w:val="28"/>
          <w:szCs w:val="28"/>
        </w:rPr>
      </w:pPr>
    </w:p>
    <w:p w14:paraId="367A75AF" w14:textId="77777777" w:rsidR="003105FF" w:rsidRDefault="00000000">
      <w:pPr>
        <w:pStyle w:val="Standard"/>
        <w:spacing w:line="360" w:lineRule="auto"/>
        <w:jc w:val="center"/>
        <w:rPr>
          <w:b/>
          <w:sz w:val="28"/>
          <w:szCs w:val="28"/>
        </w:rPr>
      </w:pPr>
      <w:r>
        <w:rPr>
          <w:rFonts w:ascii="Arial Black" w:hAnsi="Arial Black"/>
          <w:b/>
          <w:sz w:val="28"/>
          <w:szCs w:val="28"/>
        </w:rPr>
        <w:t>Assessment</w:t>
      </w:r>
      <w:r>
        <w:rPr>
          <w:b/>
          <w:sz w:val="28"/>
          <w:szCs w:val="28"/>
        </w:rPr>
        <w:t xml:space="preserve"> </w:t>
      </w:r>
      <w:r>
        <w:rPr>
          <w:rFonts w:ascii="Arial Black" w:hAnsi="Arial Black"/>
          <w:b/>
          <w:sz w:val="28"/>
          <w:szCs w:val="28"/>
        </w:rPr>
        <w:t xml:space="preserve">Component </w:t>
      </w:r>
      <w:proofErr w:type="gramStart"/>
      <w:r>
        <w:rPr>
          <w:rFonts w:ascii="Arial Black" w:hAnsi="Arial Black"/>
          <w:b/>
          <w:sz w:val="28"/>
          <w:szCs w:val="28"/>
        </w:rPr>
        <w:t>1:-</w:t>
      </w:r>
      <w:proofErr w:type="gramEnd"/>
      <w:r>
        <w:rPr>
          <w:rFonts w:ascii="Arial Black" w:hAnsi="Arial Black"/>
          <w:b/>
          <w:sz w:val="28"/>
          <w:szCs w:val="28"/>
        </w:rPr>
        <w:t xml:space="preserve"> Individual report</w:t>
      </w:r>
    </w:p>
    <w:p w14:paraId="13019192" w14:textId="77777777" w:rsidR="003105FF" w:rsidRDefault="003105FF">
      <w:pPr>
        <w:pStyle w:val="Standard"/>
        <w:spacing w:line="360" w:lineRule="auto"/>
        <w:jc w:val="center"/>
        <w:rPr>
          <w:b/>
          <w:sz w:val="28"/>
          <w:szCs w:val="28"/>
        </w:rPr>
      </w:pPr>
    </w:p>
    <w:p w14:paraId="3E3A3D18" w14:textId="77777777" w:rsidR="003105FF" w:rsidRDefault="003105FF">
      <w:pPr>
        <w:pStyle w:val="Standard"/>
        <w:spacing w:line="276" w:lineRule="auto"/>
        <w:jc w:val="center"/>
        <w:rPr>
          <w:b/>
          <w:sz w:val="28"/>
          <w:szCs w:val="28"/>
        </w:rPr>
      </w:pPr>
    </w:p>
    <w:p w14:paraId="5B469E41" w14:textId="77777777" w:rsidR="003105FF" w:rsidRDefault="00000000">
      <w:pPr>
        <w:pStyle w:val="Standard"/>
        <w:spacing w:line="276" w:lineRule="auto"/>
        <w:jc w:val="center"/>
        <w:rPr>
          <w:b/>
          <w:sz w:val="28"/>
          <w:szCs w:val="28"/>
        </w:rPr>
      </w:pPr>
      <w:r>
        <w:rPr>
          <w:b/>
          <w:noProof/>
          <w:sz w:val="28"/>
          <w:szCs w:val="28"/>
        </w:rPr>
        <w:drawing>
          <wp:anchor distT="0" distB="0" distL="114300" distR="114300" simplePos="0" relativeHeight="251658240" behindDoc="0" locked="0" layoutInCell="1" allowOverlap="1" wp14:anchorId="335FD4A0" wp14:editId="7E6CDDF4">
            <wp:simplePos x="0" y="0"/>
            <wp:positionH relativeFrom="column">
              <wp:posOffset>1483156</wp:posOffset>
            </wp:positionH>
            <wp:positionV relativeFrom="paragraph">
              <wp:posOffset>-11521</wp:posOffset>
            </wp:positionV>
            <wp:extent cx="2964210" cy="980968"/>
            <wp:effectExtent l="0" t="0" r="0" b="0"/>
            <wp:wrapSquare wrapText="bothSides"/>
            <wp:docPr id="1287899316" name="Picture 12878993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lum/>
                      <a:alphaModFix/>
                    </a:blip>
                    <a:srcRect/>
                    <a:stretch>
                      <a:fillRect/>
                    </a:stretch>
                  </pic:blipFill>
                  <pic:spPr>
                    <a:xfrm>
                      <a:off x="0" y="0"/>
                      <a:ext cx="2964210" cy="980968"/>
                    </a:xfrm>
                    <a:prstGeom prst="rect">
                      <a:avLst/>
                    </a:prstGeom>
                    <a:noFill/>
                    <a:ln>
                      <a:noFill/>
                      <a:prstDash/>
                    </a:ln>
                  </pic:spPr>
                </pic:pic>
              </a:graphicData>
            </a:graphic>
          </wp:anchor>
        </w:drawing>
      </w:r>
    </w:p>
    <w:p w14:paraId="3F3209F7" w14:textId="77777777" w:rsidR="003105FF" w:rsidRDefault="003105FF">
      <w:pPr>
        <w:pStyle w:val="Standard"/>
        <w:spacing w:line="276" w:lineRule="auto"/>
        <w:jc w:val="center"/>
        <w:rPr>
          <w:b/>
          <w:sz w:val="28"/>
          <w:szCs w:val="28"/>
        </w:rPr>
      </w:pPr>
    </w:p>
    <w:p w14:paraId="7DB52736" w14:textId="77777777" w:rsidR="003105FF" w:rsidRDefault="003105FF">
      <w:pPr>
        <w:pStyle w:val="Standard"/>
        <w:spacing w:line="276" w:lineRule="auto"/>
        <w:jc w:val="center"/>
        <w:rPr>
          <w:b/>
          <w:sz w:val="28"/>
          <w:szCs w:val="28"/>
        </w:rPr>
      </w:pPr>
    </w:p>
    <w:p w14:paraId="29AE44B2" w14:textId="77777777" w:rsidR="003105FF" w:rsidRDefault="003105FF">
      <w:pPr>
        <w:pStyle w:val="Standard"/>
        <w:spacing w:line="360" w:lineRule="auto"/>
        <w:jc w:val="center"/>
        <w:rPr>
          <w:b/>
          <w:sz w:val="28"/>
          <w:szCs w:val="28"/>
        </w:rPr>
      </w:pPr>
    </w:p>
    <w:p w14:paraId="1D8E20BB" w14:textId="77777777" w:rsidR="003105FF" w:rsidRDefault="003105FF">
      <w:pPr>
        <w:pStyle w:val="Standard"/>
        <w:spacing w:line="360" w:lineRule="auto"/>
        <w:jc w:val="center"/>
        <w:rPr>
          <w:rFonts w:ascii="Arial Black" w:hAnsi="Arial Black"/>
          <w:sz w:val="28"/>
          <w:szCs w:val="28"/>
        </w:rPr>
      </w:pPr>
    </w:p>
    <w:p w14:paraId="708A6505" w14:textId="77777777" w:rsidR="003105FF" w:rsidRDefault="00000000">
      <w:pPr>
        <w:pStyle w:val="Standard"/>
        <w:spacing w:line="360" w:lineRule="auto"/>
        <w:jc w:val="center"/>
        <w:rPr>
          <w:sz w:val="28"/>
          <w:szCs w:val="28"/>
        </w:rPr>
      </w:pPr>
      <w:r>
        <w:rPr>
          <w:b/>
          <w:sz w:val="28"/>
          <w:szCs w:val="28"/>
        </w:rPr>
        <w:t xml:space="preserve"> </w:t>
      </w:r>
    </w:p>
    <w:p w14:paraId="08526EC6" w14:textId="77777777" w:rsidR="003105FF" w:rsidRDefault="00000000">
      <w:pPr>
        <w:pStyle w:val="Standard"/>
        <w:spacing w:line="360" w:lineRule="auto"/>
        <w:jc w:val="center"/>
        <w:rPr>
          <w:sz w:val="28"/>
          <w:szCs w:val="28"/>
        </w:rPr>
      </w:pPr>
      <w:proofErr w:type="gramStart"/>
      <w:r>
        <w:rPr>
          <w:rFonts w:ascii="Arial Black" w:hAnsi="Arial Black"/>
          <w:b/>
          <w:sz w:val="28"/>
          <w:szCs w:val="28"/>
        </w:rPr>
        <w:t>LECTURER :</w:t>
      </w:r>
      <w:proofErr w:type="gramEnd"/>
      <w:r>
        <w:rPr>
          <w:rFonts w:ascii="Arial Black" w:hAnsi="Arial Black"/>
          <w:b/>
          <w:sz w:val="28"/>
          <w:szCs w:val="28"/>
        </w:rPr>
        <w:t>- GLADIUS KULOTHUGNGAN AND ENOMAYCOCK</w:t>
      </w:r>
    </w:p>
    <w:p w14:paraId="5D706271" w14:textId="77777777" w:rsidR="003105FF" w:rsidRDefault="003105FF">
      <w:pPr>
        <w:pStyle w:val="Standard"/>
        <w:spacing w:line="480" w:lineRule="auto"/>
        <w:jc w:val="center"/>
        <w:rPr>
          <w:rFonts w:ascii="Arial Black" w:hAnsi="Arial Black"/>
          <w:sz w:val="28"/>
          <w:szCs w:val="28"/>
        </w:rPr>
      </w:pPr>
    </w:p>
    <w:p w14:paraId="3B7D71F3" w14:textId="77777777" w:rsidR="003105FF" w:rsidRDefault="00000000">
      <w:pPr>
        <w:pStyle w:val="Standard"/>
        <w:spacing w:line="480" w:lineRule="auto"/>
        <w:jc w:val="center"/>
        <w:rPr>
          <w:rFonts w:ascii="Arial Black" w:hAnsi="Arial Black"/>
          <w:sz w:val="28"/>
          <w:szCs w:val="28"/>
        </w:rPr>
      </w:pPr>
      <w:proofErr w:type="gramStart"/>
      <w:r>
        <w:rPr>
          <w:rFonts w:ascii="Arial Black" w:hAnsi="Arial Black"/>
          <w:b/>
          <w:sz w:val="28"/>
          <w:szCs w:val="28"/>
        </w:rPr>
        <w:t>TITLE :</w:t>
      </w:r>
      <w:proofErr w:type="gramEnd"/>
      <w:r>
        <w:rPr>
          <w:rFonts w:ascii="Arial Black" w:hAnsi="Arial Black"/>
          <w:b/>
          <w:sz w:val="28"/>
          <w:szCs w:val="28"/>
        </w:rPr>
        <w:t xml:space="preserve">- </w:t>
      </w:r>
      <w:r>
        <w:rPr>
          <w:rFonts w:ascii="Arial Black" w:hAnsi="Arial Black"/>
          <w:b/>
          <w:bCs/>
          <w:sz w:val="28"/>
          <w:szCs w:val="28"/>
        </w:rPr>
        <w:t>DESIGNING A HUMAN CAPITAL ARCHITECTURE FOR STRATEGIC RENEWAL</w:t>
      </w:r>
    </w:p>
    <w:p w14:paraId="56895C81" w14:textId="77777777" w:rsidR="003105FF" w:rsidRDefault="00000000">
      <w:pPr>
        <w:pStyle w:val="Standard"/>
        <w:widowControl/>
        <w:tabs>
          <w:tab w:val="left" w:pos="1856"/>
        </w:tabs>
        <w:spacing w:line="480" w:lineRule="auto"/>
        <w:ind w:left="450" w:right="1013"/>
        <w:jc w:val="center"/>
        <w:rPr>
          <w:rFonts w:ascii="Arial Black" w:hAnsi="Arial Black"/>
          <w:sz w:val="28"/>
          <w:szCs w:val="28"/>
        </w:rPr>
      </w:pPr>
      <w:r>
        <w:rPr>
          <w:rFonts w:ascii="Arial Black" w:hAnsi="Arial Black"/>
          <w:b/>
          <w:bCs/>
          <w:sz w:val="28"/>
          <w:szCs w:val="28"/>
        </w:rPr>
        <w:t xml:space="preserve">Helios Urban </w:t>
      </w:r>
      <w:proofErr w:type="gramStart"/>
      <w:r>
        <w:rPr>
          <w:rFonts w:ascii="Arial Black" w:hAnsi="Arial Black"/>
          <w:b/>
          <w:bCs/>
          <w:sz w:val="28"/>
          <w:szCs w:val="28"/>
        </w:rPr>
        <w:t>Mobility  (</w:t>
      </w:r>
      <w:proofErr w:type="gramEnd"/>
      <w:r>
        <w:rPr>
          <w:rFonts w:ascii="Arial Black" w:hAnsi="Arial Black"/>
          <w:b/>
          <w:bCs/>
          <w:sz w:val="28"/>
          <w:szCs w:val="28"/>
        </w:rPr>
        <w:t>HUM)</w:t>
      </w:r>
    </w:p>
    <w:p w14:paraId="6EAEA9E9" w14:textId="77777777" w:rsidR="003105FF" w:rsidRDefault="003105FF">
      <w:pPr>
        <w:pStyle w:val="Standard"/>
        <w:spacing w:line="360" w:lineRule="auto"/>
        <w:jc w:val="center"/>
        <w:rPr>
          <w:rFonts w:ascii="Arial Black" w:hAnsi="Arial Black"/>
          <w:sz w:val="28"/>
          <w:szCs w:val="28"/>
        </w:rPr>
      </w:pPr>
    </w:p>
    <w:p w14:paraId="3DB942CF" w14:textId="77777777" w:rsidR="003105FF" w:rsidRDefault="00000000">
      <w:pPr>
        <w:pStyle w:val="Standard"/>
        <w:spacing w:line="360" w:lineRule="auto"/>
        <w:jc w:val="center"/>
        <w:rPr>
          <w:rFonts w:ascii="Arial Black" w:hAnsi="Arial Black"/>
          <w:sz w:val="28"/>
          <w:szCs w:val="28"/>
        </w:rPr>
      </w:pPr>
      <w:r>
        <w:rPr>
          <w:rFonts w:ascii="Arial Black" w:hAnsi="Arial Black"/>
          <w:b/>
          <w:sz w:val="28"/>
          <w:szCs w:val="28"/>
        </w:rPr>
        <w:t xml:space="preserve">Student </w:t>
      </w:r>
      <w:proofErr w:type="gramStart"/>
      <w:r>
        <w:rPr>
          <w:rFonts w:ascii="Arial Black" w:hAnsi="Arial Black"/>
          <w:b/>
          <w:sz w:val="28"/>
          <w:szCs w:val="28"/>
        </w:rPr>
        <w:t>Name:-</w:t>
      </w:r>
      <w:proofErr w:type="gramEnd"/>
      <w:r>
        <w:rPr>
          <w:rFonts w:ascii="Arial Black" w:hAnsi="Arial Black"/>
          <w:b/>
          <w:sz w:val="28"/>
          <w:szCs w:val="28"/>
        </w:rPr>
        <w:t xml:space="preserve"> </w:t>
      </w:r>
      <w:proofErr w:type="spellStart"/>
      <w:r>
        <w:rPr>
          <w:rFonts w:ascii="Arial Black" w:hAnsi="Arial Black"/>
          <w:b/>
          <w:sz w:val="28"/>
          <w:szCs w:val="28"/>
        </w:rPr>
        <w:t>Dhrumilkumar</w:t>
      </w:r>
      <w:proofErr w:type="spellEnd"/>
      <w:r>
        <w:rPr>
          <w:rFonts w:ascii="Arial Black" w:hAnsi="Arial Black"/>
          <w:b/>
          <w:sz w:val="28"/>
          <w:szCs w:val="28"/>
        </w:rPr>
        <w:t xml:space="preserve"> </w:t>
      </w:r>
      <w:proofErr w:type="spellStart"/>
      <w:r>
        <w:rPr>
          <w:rFonts w:ascii="Arial Black" w:hAnsi="Arial Black"/>
          <w:b/>
          <w:sz w:val="28"/>
          <w:szCs w:val="28"/>
        </w:rPr>
        <w:t>Hiteshbhai</w:t>
      </w:r>
      <w:proofErr w:type="spellEnd"/>
      <w:r>
        <w:rPr>
          <w:rFonts w:ascii="Arial Black" w:hAnsi="Arial Black"/>
          <w:b/>
          <w:sz w:val="28"/>
          <w:szCs w:val="28"/>
        </w:rPr>
        <w:t xml:space="preserve"> Makrubiya</w:t>
      </w:r>
    </w:p>
    <w:p w14:paraId="0744E016" w14:textId="77777777" w:rsidR="003105FF" w:rsidRDefault="00000000">
      <w:pPr>
        <w:pStyle w:val="Standard"/>
        <w:spacing w:line="360" w:lineRule="auto"/>
        <w:jc w:val="center"/>
        <w:rPr>
          <w:rFonts w:ascii="Arial Black" w:hAnsi="Arial Black"/>
          <w:sz w:val="28"/>
          <w:szCs w:val="28"/>
        </w:rPr>
      </w:pPr>
      <w:r>
        <w:rPr>
          <w:rFonts w:ascii="Arial Black" w:hAnsi="Arial Black"/>
          <w:b/>
          <w:sz w:val="28"/>
          <w:szCs w:val="28"/>
        </w:rPr>
        <w:t xml:space="preserve">Student </w:t>
      </w:r>
      <w:proofErr w:type="gramStart"/>
      <w:r>
        <w:rPr>
          <w:rFonts w:ascii="Arial Black" w:hAnsi="Arial Black"/>
          <w:b/>
          <w:sz w:val="28"/>
          <w:szCs w:val="28"/>
        </w:rPr>
        <w:t>Id:-</w:t>
      </w:r>
      <w:proofErr w:type="gramEnd"/>
      <w:r>
        <w:rPr>
          <w:rFonts w:ascii="Arial Black" w:hAnsi="Arial Black"/>
          <w:b/>
          <w:sz w:val="28"/>
          <w:szCs w:val="28"/>
        </w:rPr>
        <w:t xml:space="preserve"> 2536596</w:t>
      </w:r>
    </w:p>
    <w:p w14:paraId="78555A25" w14:textId="77777777" w:rsidR="003105FF" w:rsidRDefault="00000000">
      <w:pPr>
        <w:pStyle w:val="Standard"/>
        <w:pageBreakBefore/>
        <w:spacing w:after="160"/>
        <w:rPr>
          <w:rFonts w:ascii="Calibri" w:hAnsi="Calibri"/>
        </w:rPr>
      </w:pPr>
      <w:r>
        <w:rPr>
          <w:rFonts w:ascii="Calibri" w:hAnsi="Calibri"/>
          <w:b/>
          <w:bCs/>
          <w:sz w:val="32"/>
          <w:szCs w:val="32"/>
        </w:rPr>
        <w:lastRenderedPageBreak/>
        <w:t>Table of Contents</w:t>
      </w:r>
    </w:p>
    <w:p w14:paraId="7D703972" w14:textId="77777777" w:rsidR="003105FF" w:rsidRDefault="00000000">
      <w:pPr>
        <w:pStyle w:val="Contents1"/>
      </w:pPr>
      <w:hyperlink r:id="rId7" w:history="1">
        <w:r>
          <w:rPr>
            <w:rFonts w:ascii="Calibri" w:hAnsi="Calibri"/>
          </w:rPr>
          <w:t>1. Introduction</w:t>
        </w:r>
        <w:r>
          <w:rPr>
            <w:rFonts w:ascii="Calibri" w:hAnsi="Calibri"/>
          </w:rPr>
          <w:tab/>
          <w:t>3</w:t>
        </w:r>
      </w:hyperlink>
    </w:p>
    <w:p w14:paraId="5558BBEE" w14:textId="77777777" w:rsidR="003105FF" w:rsidRDefault="00000000">
      <w:pPr>
        <w:pStyle w:val="Contents1"/>
      </w:pPr>
      <w:hyperlink r:id="rId8" w:history="1">
        <w:r>
          <w:rPr>
            <w:rFonts w:ascii="Calibri" w:hAnsi="Calibri"/>
          </w:rPr>
          <w:t xml:space="preserve">2. Task A: </w:t>
        </w:r>
        <w:proofErr w:type="spellStart"/>
        <w:r>
          <w:rPr>
            <w:rFonts w:ascii="Calibri" w:hAnsi="Calibri"/>
          </w:rPr>
          <w:t>Socialisation</w:t>
        </w:r>
        <w:proofErr w:type="spellEnd"/>
        <w:r>
          <w:rPr>
            <w:rFonts w:ascii="Calibri" w:hAnsi="Calibri"/>
          </w:rPr>
          <w:t>, Identity and Business Activism</w:t>
        </w:r>
        <w:r>
          <w:rPr>
            <w:rFonts w:ascii="Calibri" w:hAnsi="Calibri"/>
          </w:rPr>
          <w:tab/>
          <w:t>3</w:t>
        </w:r>
      </w:hyperlink>
    </w:p>
    <w:p w14:paraId="482E7A7E" w14:textId="77777777" w:rsidR="003105FF" w:rsidRDefault="00000000">
      <w:pPr>
        <w:pStyle w:val="Contents2"/>
        <w:tabs>
          <w:tab w:val="clear" w:pos="9026"/>
          <w:tab w:val="right" w:leader="dot" w:pos="9309"/>
        </w:tabs>
      </w:pPr>
      <w:hyperlink r:id="rId9" w:history="1">
        <w:r>
          <w:rPr>
            <w:rFonts w:ascii="Calibri" w:hAnsi="Calibri"/>
          </w:rPr>
          <w:t xml:space="preserve">2.1 From transactional onboarding to strategic </w:t>
        </w:r>
        <w:proofErr w:type="spellStart"/>
        <w:r>
          <w:rPr>
            <w:rFonts w:ascii="Calibri" w:hAnsi="Calibri"/>
          </w:rPr>
          <w:t>socialisation</w:t>
        </w:r>
        <w:proofErr w:type="spellEnd"/>
        <w:r>
          <w:rPr>
            <w:rFonts w:ascii="Calibri" w:hAnsi="Calibri"/>
          </w:rPr>
          <w:t>: a critical evaluation</w:t>
        </w:r>
        <w:r>
          <w:rPr>
            <w:rFonts w:ascii="Calibri" w:hAnsi="Calibri"/>
          </w:rPr>
          <w:tab/>
          <w:t>3</w:t>
        </w:r>
      </w:hyperlink>
    </w:p>
    <w:p w14:paraId="3A1E163B" w14:textId="77777777" w:rsidR="003105FF" w:rsidRDefault="00000000">
      <w:pPr>
        <w:pStyle w:val="Contents2"/>
        <w:tabs>
          <w:tab w:val="clear" w:pos="9026"/>
          <w:tab w:val="right" w:leader="dot" w:pos="9309"/>
        </w:tabs>
      </w:pPr>
      <w:hyperlink r:id="rId10" w:history="1">
        <w:r>
          <w:rPr>
            <w:rFonts w:ascii="Calibri" w:hAnsi="Calibri"/>
          </w:rPr>
          <w:t xml:space="preserve">2.2 A structured </w:t>
        </w:r>
        <w:proofErr w:type="spellStart"/>
        <w:r>
          <w:rPr>
            <w:rFonts w:ascii="Calibri" w:hAnsi="Calibri"/>
          </w:rPr>
          <w:t>socialisation</w:t>
        </w:r>
        <w:proofErr w:type="spellEnd"/>
        <w:r>
          <w:rPr>
            <w:rFonts w:ascii="Calibri" w:hAnsi="Calibri"/>
          </w:rPr>
          <w:t xml:space="preserve"> framework for Helios</w:t>
        </w:r>
        <w:r>
          <w:rPr>
            <w:rFonts w:ascii="Calibri" w:hAnsi="Calibri"/>
          </w:rPr>
          <w:tab/>
          <w:t>5</w:t>
        </w:r>
      </w:hyperlink>
    </w:p>
    <w:p w14:paraId="2F47A2D6" w14:textId="77777777" w:rsidR="003105FF" w:rsidRDefault="00000000">
      <w:pPr>
        <w:pStyle w:val="Contents2"/>
        <w:tabs>
          <w:tab w:val="clear" w:pos="9026"/>
          <w:tab w:val="right" w:leader="dot" w:pos="9309"/>
        </w:tabs>
      </w:pPr>
      <w:hyperlink r:id="rId11" w:history="1">
        <w:r>
          <w:rPr>
            <w:rFonts w:ascii="Calibri" w:hAnsi="Calibri"/>
          </w:rPr>
          <w:t>2.3 Cultivating identification, ethical professionalism and the business-activist mindset</w:t>
        </w:r>
        <w:r>
          <w:rPr>
            <w:rFonts w:ascii="Calibri" w:hAnsi="Calibri"/>
          </w:rPr>
          <w:tab/>
          <w:t>6</w:t>
        </w:r>
      </w:hyperlink>
    </w:p>
    <w:p w14:paraId="6A3EB791" w14:textId="77777777" w:rsidR="003105FF" w:rsidRDefault="00000000">
      <w:pPr>
        <w:pStyle w:val="Contents1"/>
      </w:pPr>
      <w:hyperlink r:id="rId12" w:history="1">
        <w:r>
          <w:rPr>
            <w:rFonts w:ascii="Calibri" w:hAnsi="Calibri"/>
          </w:rPr>
          <w:t>3. Task B: Job Design for Intrinsic Motivation and Innovation</w:t>
        </w:r>
        <w:r>
          <w:rPr>
            <w:rFonts w:ascii="Calibri" w:hAnsi="Calibri"/>
          </w:rPr>
          <w:tab/>
          <w:t>7</w:t>
        </w:r>
      </w:hyperlink>
    </w:p>
    <w:p w14:paraId="03152EFD" w14:textId="77777777" w:rsidR="003105FF" w:rsidRDefault="00000000">
      <w:pPr>
        <w:pStyle w:val="Contents2"/>
        <w:tabs>
          <w:tab w:val="clear" w:pos="9026"/>
          <w:tab w:val="right" w:leader="dot" w:pos="9309"/>
        </w:tabs>
      </w:pPr>
      <w:hyperlink r:id="rId13" w:history="1">
        <w:r>
          <w:rPr>
            <w:rFonts w:ascii="Calibri" w:hAnsi="Calibri"/>
          </w:rPr>
          <w:t>3.1 The Job Characteristics Model as the design backbone</w:t>
        </w:r>
        <w:r>
          <w:rPr>
            <w:rFonts w:ascii="Calibri" w:hAnsi="Calibri"/>
          </w:rPr>
          <w:tab/>
          <w:t>7</w:t>
        </w:r>
      </w:hyperlink>
    </w:p>
    <w:p w14:paraId="5EB8564E" w14:textId="77777777" w:rsidR="003105FF" w:rsidRDefault="00000000">
      <w:pPr>
        <w:pStyle w:val="Contents2"/>
        <w:tabs>
          <w:tab w:val="clear" w:pos="9026"/>
          <w:tab w:val="right" w:leader="dot" w:pos="9309"/>
        </w:tabs>
      </w:pPr>
      <w:hyperlink r:id="rId14" w:history="1">
        <w:r>
          <w:rPr>
            <w:rFonts w:ascii="Calibri" w:hAnsi="Calibri"/>
          </w:rPr>
          <w:t>3.2 Job crafting as a bottom-up complement</w:t>
        </w:r>
        <w:r>
          <w:rPr>
            <w:rFonts w:ascii="Calibri" w:hAnsi="Calibri"/>
          </w:rPr>
          <w:tab/>
          <w:t>8</w:t>
        </w:r>
      </w:hyperlink>
    </w:p>
    <w:p w14:paraId="60D3E998" w14:textId="77777777" w:rsidR="003105FF" w:rsidRDefault="00000000">
      <w:pPr>
        <w:pStyle w:val="Contents2"/>
        <w:tabs>
          <w:tab w:val="clear" w:pos="9026"/>
          <w:tab w:val="right" w:leader="dot" w:pos="9309"/>
        </w:tabs>
      </w:pPr>
      <w:hyperlink r:id="rId15" w:history="1">
        <w:r>
          <w:rPr>
            <w:rFonts w:ascii="Calibri" w:hAnsi="Calibri"/>
          </w:rPr>
          <w:t>3.3 A skills-based architecture and an internal talent marketplace</w:t>
        </w:r>
        <w:r>
          <w:rPr>
            <w:rFonts w:ascii="Calibri" w:hAnsi="Calibri"/>
          </w:rPr>
          <w:tab/>
          <w:t>8</w:t>
        </w:r>
      </w:hyperlink>
    </w:p>
    <w:p w14:paraId="3CB55558" w14:textId="77777777" w:rsidR="003105FF" w:rsidRDefault="00000000">
      <w:pPr>
        <w:pStyle w:val="Contents2"/>
        <w:tabs>
          <w:tab w:val="clear" w:pos="9026"/>
          <w:tab w:val="right" w:leader="dot" w:pos="9309"/>
        </w:tabs>
      </w:pPr>
      <w:hyperlink r:id="rId16" w:history="1">
        <w:r>
          <w:rPr>
            <w:rFonts w:ascii="Calibri" w:hAnsi="Calibri"/>
          </w:rPr>
          <w:t>3.4 How the design stimulates intrinsic motivation and innovation</w:t>
        </w:r>
        <w:r>
          <w:rPr>
            <w:rFonts w:ascii="Calibri" w:hAnsi="Calibri"/>
          </w:rPr>
          <w:tab/>
          <w:t>9</w:t>
        </w:r>
      </w:hyperlink>
    </w:p>
    <w:p w14:paraId="1397E4BE" w14:textId="77777777" w:rsidR="003105FF" w:rsidRDefault="00000000">
      <w:pPr>
        <w:pStyle w:val="Contents1"/>
      </w:pPr>
      <w:hyperlink r:id="rId17" w:history="1">
        <w:r>
          <w:rPr>
            <w:rFonts w:ascii="Calibri" w:hAnsi="Calibri"/>
          </w:rPr>
          <w:t>4. Task C: Reflective Report</w:t>
        </w:r>
        <w:r>
          <w:rPr>
            <w:rFonts w:ascii="Calibri" w:hAnsi="Calibri"/>
          </w:rPr>
          <w:tab/>
          <w:t>9</w:t>
        </w:r>
      </w:hyperlink>
    </w:p>
    <w:p w14:paraId="452F0359" w14:textId="77777777" w:rsidR="003105FF" w:rsidRDefault="00000000">
      <w:pPr>
        <w:pStyle w:val="Contents2"/>
        <w:tabs>
          <w:tab w:val="clear" w:pos="9026"/>
          <w:tab w:val="right" w:leader="dot" w:pos="9309"/>
        </w:tabs>
      </w:pPr>
      <w:hyperlink r:id="rId18" w:history="1">
        <w:r>
          <w:rPr>
            <w:rFonts w:ascii="Calibri" w:hAnsi="Calibri"/>
          </w:rPr>
          <w:t>4.1 Using AI as a decision-support tool without eroding human judgement</w:t>
        </w:r>
        <w:r>
          <w:rPr>
            <w:rFonts w:ascii="Calibri" w:hAnsi="Calibri"/>
          </w:rPr>
          <w:tab/>
          <w:t>9</w:t>
        </w:r>
      </w:hyperlink>
    </w:p>
    <w:p w14:paraId="37A03B42" w14:textId="77777777" w:rsidR="003105FF" w:rsidRDefault="00000000">
      <w:pPr>
        <w:pStyle w:val="Contents2"/>
        <w:tabs>
          <w:tab w:val="clear" w:pos="9026"/>
          <w:tab w:val="right" w:leader="dot" w:pos="9309"/>
        </w:tabs>
      </w:pPr>
      <w:hyperlink r:id="rId19" w:history="1">
        <w:r>
          <w:rPr>
            <w:rFonts w:ascii="Calibri" w:hAnsi="Calibri"/>
          </w:rPr>
          <w:t>4.2 Personal capability development plan</w:t>
        </w:r>
        <w:r>
          <w:rPr>
            <w:rFonts w:ascii="Calibri" w:hAnsi="Calibri"/>
          </w:rPr>
          <w:tab/>
          <w:t>10</w:t>
        </w:r>
      </w:hyperlink>
    </w:p>
    <w:p w14:paraId="190E2939" w14:textId="77777777" w:rsidR="003105FF" w:rsidRDefault="00000000">
      <w:pPr>
        <w:pStyle w:val="Contents1"/>
      </w:pPr>
      <w:hyperlink r:id="rId20" w:history="1">
        <w:r>
          <w:rPr>
            <w:rFonts w:ascii="Calibri" w:hAnsi="Calibri"/>
          </w:rPr>
          <w:t>5. Conclusion</w:t>
        </w:r>
        <w:r>
          <w:rPr>
            <w:rFonts w:ascii="Calibri" w:hAnsi="Calibri"/>
          </w:rPr>
          <w:tab/>
          <w:t>11</w:t>
        </w:r>
      </w:hyperlink>
    </w:p>
    <w:p w14:paraId="4F5025CE" w14:textId="77777777" w:rsidR="003105FF" w:rsidRDefault="00000000">
      <w:pPr>
        <w:pStyle w:val="Contents1"/>
        <w:rPr>
          <w:rFonts w:ascii="Calibri" w:hAnsi="Calibri"/>
        </w:rPr>
      </w:pPr>
      <w:r>
        <w:rPr>
          <w:rFonts w:ascii="Calibri" w:hAnsi="Calibri"/>
        </w:rPr>
        <w:t>References...............................................................................................................................12</w:t>
      </w:r>
    </w:p>
    <w:p w14:paraId="50C72F38" w14:textId="77777777" w:rsidR="003105FF" w:rsidRDefault="003105FF">
      <w:pPr>
        <w:pStyle w:val="Heading1"/>
        <w:rPr>
          <w:rFonts w:ascii="Calibri" w:hAnsi="Calibri"/>
          <w:sz w:val="32"/>
          <w:szCs w:val="32"/>
        </w:rPr>
      </w:pPr>
    </w:p>
    <w:p w14:paraId="046B59F4" w14:textId="77777777" w:rsidR="003105FF" w:rsidRDefault="003105FF">
      <w:pPr>
        <w:pStyle w:val="Heading1"/>
        <w:rPr>
          <w:rFonts w:ascii="Calibri" w:hAnsi="Calibri"/>
          <w:b w:val="0"/>
          <w:bCs w:val="0"/>
          <w:sz w:val="24"/>
          <w:szCs w:val="24"/>
        </w:rPr>
      </w:pPr>
    </w:p>
    <w:p w14:paraId="25669A9E" w14:textId="77777777" w:rsidR="003105FF" w:rsidRDefault="003105FF">
      <w:pPr>
        <w:pStyle w:val="Textbody"/>
        <w:rPr>
          <w:rFonts w:ascii="Calibri" w:hAnsi="Calibri"/>
          <w:b/>
          <w:bCs/>
        </w:rPr>
      </w:pPr>
    </w:p>
    <w:p w14:paraId="6C4662FB" w14:textId="77777777" w:rsidR="003105FF" w:rsidRDefault="003105FF">
      <w:pPr>
        <w:pStyle w:val="Textbody"/>
        <w:rPr>
          <w:rFonts w:ascii="Calibri" w:hAnsi="Calibri"/>
          <w:b/>
          <w:bCs/>
        </w:rPr>
      </w:pPr>
    </w:p>
    <w:p w14:paraId="6350313D" w14:textId="77777777" w:rsidR="003105FF" w:rsidRDefault="003105FF">
      <w:pPr>
        <w:pStyle w:val="Textbody"/>
        <w:rPr>
          <w:rFonts w:ascii="Calibri" w:hAnsi="Calibri"/>
          <w:b/>
          <w:bCs/>
        </w:rPr>
      </w:pPr>
    </w:p>
    <w:p w14:paraId="167DED52" w14:textId="77777777" w:rsidR="003105FF" w:rsidRDefault="003105FF">
      <w:pPr>
        <w:pStyle w:val="Textbody"/>
        <w:rPr>
          <w:rFonts w:ascii="Calibri" w:hAnsi="Calibri"/>
          <w:b/>
          <w:bCs/>
        </w:rPr>
      </w:pPr>
    </w:p>
    <w:p w14:paraId="78061570" w14:textId="77777777" w:rsidR="003105FF" w:rsidRDefault="003105FF">
      <w:pPr>
        <w:pStyle w:val="Textbody"/>
        <w:rPr>
          <w:rFonts w:ascii="Calibri" w:hAnsi="Calibri"/>
          <w:b/>
          <w:bCs/>
        </w:rPr>
      </w:pPr>
    </w:p>
    <w:p w14:paraId="1C7161CD" w14:textId="77777777" w:rsidR="003105FF" w:rsidRDefault="003105FF">
      <w:pPr>
        <w:pStyle w:val="Textbody"/>
        <w:rPr>
          <w:rFonts w:ascii="Calibri" w:hAnsi="Calibri"/>
          <w:b/>
          <w:bCs/>
        </w:rPr>
      </w:pPr>
    </w:p>
    <w:p w14:paraId="44C1AF8B" w14:textId="77777777" w:rsidR="003105FF" w:rsidRDefault="003105FF">
      <w:pPr>
        <w:pStyle w:val="Textbody"/>
        <w:rPr>
          <w:rFonts w:ascii="Calibri" w:hAnsi="Calibri"/>
          <w:b/>
          <w:bCs/>
        </w:rPr>
      </w:pPr>
    </w:p>
    <w:p w14:paraId="55783891" w14:textId="77777777" w:rsidR="003105FF" w:rsidRDefault="003105FF">
      <w:pPr>
        <w:pStyle w:val="Textbody"/>
        <w:rPr>
          <w:rFonts w:ascii="Calibri" w:hAnsi="Calibri"/>
          <w:b/>
          <w:bCs/>
        </w:rPr>
      </w:pPr>
    </w:p>
    <w:p w14:paraId="001F010D" w14:textId="77777777" w:rsidR="003105FF" w:rsidRDefault="003105FF">
      <w:pPr>
        <w:pStyle w:val="Textbody"/>
        <w:rPr>
          <w:rFonts w:ascii="Calibri" w:hAnsi="Calibri"/>
          <w:b/>
          <w:bCs/>
        </w:rPr>
      </w:pPr>
    </w:p>
    <w:p w14:paraId="4077F231" w14:textId="77777777" w:rsidR="003105FF" w:rsidRDefault="003105FF">
      <w:pPr>
        <w:pStyle w:val="Textbody"/>
        <w:rPr>
          <w:rFonts w:ascii="Calibri" w:hAnsi="Calibri"/>
          <w:b/>
          <w:bCs/>
        </w:rPr>
      </w:pPr>
    </w:p>
    <w:p w14:paraId="54930A8F" w14:textId="77777777" w:rsidR="003105FF" w:rsidRDefault="003105FF">
      <w:pPr>
        <w:pStyle w:val="Textbody"/>
        <w:rPr>
          <w:rFonts w:ascii="Calibri" w:hAnsi="Calibri"/>
          <w:b/>
          <w:bCs/>
        </w:rPr>
      </w:pPr>
    </w:p>
    <w:p w14:paraId="2808E020" w14:textId="77777777" w:rsidR="003105FF" w:rsidRDefault="003105FF">
      <w:pPr>
        <w:pStyle w:val="Textbody"/>
        <w:rPr>
          <w:rFonts w:ascii="Calibri" w:hAnsi="Calibri"/>
          <w:b/>
          <w:bCs/>
        </w:rPr>
      </w:pPr>
    </w:p>
    <w:p w14:paraId="778AECBC" w14:textId="77777777" w:rsidR="003105FF" w:rsidRDefault="003105FF">
      <w:pPr>
        <w:pStyle w:val="Textbody"/>
        <w:rPr>
          <w:rFonts w:ascii="Calibri" w:hAnsi="Calibri"/>
          <w:b/>
          <w:bCs/>
        </w:rPr>
      </w:pPr>
    </w:p>
    <w:p w14:paraId="27A8E295" w14:textId="77777777" w:rsidR="003105FF" w:rsidRDefault="003105FF">
      <w:pPr>
        <w:pStyle w:val="Textbody"/>
        <w:rPr>
          <w:rFonts w:ascii="Calibri" w:hAnsi="Calibri"/>
          <w:b/>
          <w:bCs/>
        </w:rPr>
      </w:pPr>
    </w:p>
    <w:p w14:paraId="15093264" w14:textId="77777777" w:rsidR="003105FF" w:rsidRDefault="003105FF">
      <w:pPr>
        <w:pStyle w:val="Textbody"/>
        <w:rPr>
          <w:rFonts w:ascii="Calibri" w:hAnsi="Calibri"/>
          <w:b/>
          <w:bCs/>
        </w:rPr>
      </w:pPr>
    </w:p>
    <w:p w14:paraId="1CDEEC04" w14:textId="77777777" w:rsidR="003105FF" w:rsidRDefault="003105FF">
      <w:pPr>
        <w:pStyle w:val="Textbody"/>
        <w:rPr>
          <w:rFonts w:ascii="Calibri" w:hAnsi="Calibri"/>
          <w:b/>
          <w:bCs/>
        </w:rPr>
      </w:pPr>
    </w:p>
    <w:p w14:paraId="2F110615" w14:textId="77777777" w:rsidR="003105FF" w:rsidRDefault="003105FF">
      <w:pPr>
        <w:pStyle w:val="Textbody"/>
        <w:rPr>
          <w:rFonts w:ascii="Calibri" w:hAnsi="Calibri"/>
          <w:b/>
          <w:bCs/>
        </w:rPr>
      </w:pPr>
    </w:p>
    <w:p w14:paraId="3B23290C" w14:textId="77777777" w:rsidR="003105FF" w:rsidRDefault="00000000">
      <w:pPr>
        <w:pStyle w:val="Heading1"/>
        <w:rPr>
          <w:rFonts w:ascii="Calibri" w:hAnsi="Calibri"/>
          <w:sz w:val="32"/>
          <w:szCs w:val="32"/>
        </w:rPr>
      </w:pPr>
      <w:r>
        <w:rPr>
          <w:rFonts w:ascii="Calibri" w:hAnsi="Calibri"/>
          <w:sz w:val="32"/>
          <w:szCs w:val="32"/>
        </w:rPr>
        <w:lastRenderedPageBreak/>
        <w:t>1. Introduction</w:t>
      </w:r>
    </w:p>
    <w:p w14:paraId="4EEA8DE5" w14:textId="77777777" w:rsidR="003105FF" w:rsidRDefault="00000000">
      <w:pPr>
        <w:pStyle w:val="Textbody"/>
        <w:rPr>
          <w:rFonts w:ascii="Calibri" w:hAnsi="Calibri"/>
        </w:rPr>
      </w:pPr>
      <w:r>
        <w:rPr>
          <w:rFonts w:ascii="Calibri" w:hAnsi="Calibri"/>
        </w:rPr>
        <w:t xml:space="preserve">Helios Urban Mobility (HUM) has grown to employ 450 staff over its five </w:t>
      </w:r>
      <w:proofErr w:type="spellStart"/>
      <w:r>
        <w:rPr>
          <w:rFonts w:ascii="Calibri" w:hAnsi="Calibri"/>
        </w:rPr>
        <w:t>years</w:t>
      </w:r>
      <w:proofErr w:type="spellEnd"/>
      <w:r>
        <w:rPr>
          <w:rFonts w:ascii="Calibri" w:hAnsi="Calibri"/>
        </w:rPr>
        <w:t xml:space="preserve"> operating in London, Berlin and Singapore but its human capital system has failed to keep up with the headcount growth. All three symptoms – eight months required for ramp-up to competency, 54 per cent engagement rate among employees and the loss of top-performing graduates – are not standalone problems but the visible tip of the iceberg representing a gap in HUM's architectural approach. The macro-environment adds to the urgency of solving the problem. According to Gallup, global employee engagement reached the historic minimum of 20 per cent in 2025, resulting in a loss of US$10 trillion for the world's economy, and Europe is the least engaged geographical region at 13 per cent. Given the level of fragility of the market, poor </w:t>
      </w:r>
      <w:proofErr w:type="spellStart"/>
      <w:r>
        <w:rPr>
          <w:rFonts w:ascii="Calibri" w:hAnsi="Calibri"/>
        </w:rPr>
        <w:t>socialisation</w:t>
      </w:r>
      <w:proofErr w:type="spellEnd"/>
      <w:r>
        <w:rPr>
          <w:rFonts w:ascii="Calibri" w:hAnsi="Calibri"/>
        </w:rPr>
        <w:t xml:space="preserve"> of new hires and </w:t>
      </w:r>
      <w:proofErr w:type="spellStart"/>
      <w:r>
        <w:rPr>
          <w:rFonts w:ascii="Calibri" w:hAnsi="Calibri"/>
        </w:rPr>
        <w:t>lacklustre</w:t>
      </w:r>
      <w:proofErr w:type="spellEnd"/>
      <w:r>
        <w:rPr>
          <w:rFonts w:ascii="Calibri" w:hAnsi="Calibri"/>
        </w:rPr>
        <w:t xml:space="preserve"> jobs are existential, not merely cosmetic, dangers. This report, created as a Strategic Human Capital Advisor to the company, outlines an integrated architectural solution across three levers: </w:t>
      </w:r>
      <w:proofErr w:type="spellStart"/>
      <w:r>
        <w:rPr>
          <w:rFonts w:ascii="Calibri" w:hAnsi="Calibri"/>
        </w:rPr>
        <w:t>organisational</w:t>
      </w:r>
      <w:proofErr w:type="spellEnd"/>
      <w:r>
        <w:rPr>
          <w:rFonts w:ascii="Calibri" w:hAnsi="Calibri"/>
        </w:rPr>
        <w:t xml:space="preserve"> </w:t>
      </w:r>
      <w:proofErr w:type="spellStart"/>
      <w:r>
        <w:rPr>
          <w:rFonts w:ascii="Calibri" w:hAnsi="Calibri"/>
        </w:rPr>
        <w:t>socialisation</w:t>
      </w:r>
      <w:proofErr w:type="spellEnd"/>
      <w:r>
        <w:rPr>
          <w:rFonts w:ascii="Calibri" w:hAnsi="Calibri"/>
        </w:rPr>
        <w:t>, job design and ethical AI use in HR management.</w:t>
      </w:r>
    </w:p>
    <w:p w14:paraId="1752708C" w14:textId="77777777" w:rsidR="003105FF" w:rsidRDefault="003105FF">
      <w:pPr>
        <w:pStyle w:val="Textbody"/>
        <w:rPr>
          <w:rFonts w:ascii="Calibri" w:hAnsi="Calibri"/>
          <w:b/>
          <w:bCs/>
        </w:rPr>
      </w:pPr>
    </w:p>
    <w:p w14:paraId="50B462FB" w14:textId="77777777" w:rsidR="003105FF" w:rsidRDefault="003105FF">
      <w:pPr>
        <w:pStyle w:val="Textbody"/>
        <w:rPr>
          <w:rFonts w:ascii="Calibri" w:hAnsi="Calibri"/>
          <w:b/>
          <w:bCs/>
        </w:rPr>
      </w:pPr>
    </w:p>
    <w:p w14:paraId="334612E6" w14:textId="77777777" w:rsidR="003105FF" w:rsidRDefault="003105FF">
      <w:pPr>
        <w:pStyle w:val="Textbody"/>
        <w:rPr>
          <w:rFonts w:ascii="Calibri" w:hAnsi="Calibri"/>
          <w:b/>
          <w:bCs/>
        </w:rPr>
      </w:pPr>
    </w:p>
    <w:p w14:paraId="224FC19F" w14:textId="77777777" w:rsidR="003105FF" w:rsidRDefault="003105FF">
      <w:pPr>
        <w:pStyle w:val="Heading1"/>
        <w:rPr>
          <w:rFonts w:ascii="Calibri" w:hAnsi="Calibri"/>
          <w:b w:val="0"/>
          <w:bCs w:val="0"/>
          <w:sz w:val="24"/>
          <w:szCs w:val="24"/>
        </w:rPr>
      </w:pPr>
    </w:p>
    <w:p w14:paraId="68C3AFD9" w14:textId="77777777" w:rsidR="003105FF" w:rsidRDefault="003105FF">
      <w:pPr>
        <w:pStyle w:val="Textbody"/>
        <w:rPr>
          <w:rFonts w:ascii="Calibri" w:hAnsi="Calibri"/>
        </w:rPr>
      </w:pPr>
    </w:p>
    <w:p w14:paraId="363E15CA" w14:textId="77777777" w:rsidR="003105FF" w:rsidRDefault="003105FF">
      <w:pPr>
        <w:pStyle w:val="Textbody"/>
        <w:rPr>
          <w:rFonts w:ascii="Calibri" w:hAnsi="Calibri"/>
        </w:rPr>
      </w:pPr>
    </w:p>
    <w:p w14:paraId="06D6A6D3" w14:textId="77777777" w:rsidR="003105FF" w:rsidRDefault="003105FF">
      <w:pPr>
        <w:pStyle w:val="Textbody"/>
        <w:rPr>
          <w:rFonts w:ascii="Calibri" w:hAnsi="Calibri"/>
        </w:rPr>
      </w:pPr>
    </w:p>
    <w:p w14:paraId="73CAA838" w14:textId="77777777" w:rsidR="003105FF" w:rsidRDefault="003105FF">
      <w:pPr>
        <w:pStyle w:val="Textbody"/>
        <w:rPr>
          <w:rFonts w:ascii="Calibri" w:hAnsi="Calibri"/>
        </w:rPr>
      </w:pPr>
    </w:p>
    <w:p w14:paraId="40A455B1" w14:textId="77777777" w:rsidR="003105FF" w:rsidRDefault="003105FF">
      <w:pPr>
        <w:pStyle w:val="Textbody"/>
        <w:rPr>
          <w:rFonts w:ascii="Calibri" w:hAnsi="Calibri"/>
        </w:rPr>
      </w:pPr>
    </w:p>
    <w:p w14:paraId="7B784FF9" w14:textId="77777777" w:rsidR="003105FF" w:rsidRDefault="003105FF">
      <w:pPr>
        <w:pStyle w:val="Textbody"/>
        <w:rPr>
          <w:rFonts w:ascii="Calibri" w:hAnsi="Calibri"/>
        </w:rPr>
      </w:pPr>
    </w:p>
    <w:p w14:paraId="51A0FA25" w14:textId="77777777" w:rsidR="003105FF" w:rsidRDefault="003105FF">
      <w:pPr>
        <w:pStyle w:val="Textbody"/>
        <w:rPr>
          <w:rFonts w:ascii="Calibri" w:hAnsi="Calibri"/>
        </w:rPr>
      </w:pPr>
    </w:p>
    <w:p w14:paraId="27A92C7E" w14:textId="77777777" w:rsidR="003105FF" w:rsidRDefault="003105FF">
      <w:pPr>
        <w:pStyle w:val="Textbody"/>
        <w:rPr>
          <w:rFonts w:ascii="Calibri" w:hAnsi="Calibri"/>
        </w:rPr>
      </w:pPr>
    </w:p>
    <w:p w14:paraId="201CA974" w14:textId="77777777" w:rsidR="003105FF" w:rsidRDefault="003105FF">
      <w:pPr>
        <w:pStyle w:val="Textbody"/>
        <w:rPr>
          <w:rFonts w:ascii="Calibri" w:hAnsi="Calibri"/>
        </w:rPr>
      </w:pPr>
    </w:p>
    <w:p w14:paraId="069D8C27" w14:textId="77777777" w:rsidR="003105FF" w:rsidRDefault="003105FF">
      <w:pPr>
        <w:pStyle w:val="Textbody"/>
        <w:rPr>
          <w:rFonts w:ascii="Calibri" w:hAnsi="Calibri"/>
        </w:rPr>
      </w:pPr>
    </w:p>
    <w:p w14:paraId="651672CE" w14:textId="77777777" w:rsidR="003105FF" w:rsidRDefault="003105FF">
      <w:pPr>
        <w:pStyle w:val="Textbody"/>
        <w:rPr>
          <w:rFonts w:ascii="Calibri" w:hAnsi="Calibri"/>
        </w:rPr>
      </w:pPr>
    </w:p>
    <w:p w14:paraId="293F4358" w14:textId="77777777" w:rsidR="003105FF" w:rsidRDefault="003105FF">
      <w:pPr>
        <w:pStyle w:val="Textbody"/>
        <w:rPr>
          <w:rFonts w:ascii="Calibri" w:hAnsi="Calibri"/>
        </w:rPr>
      </w:pPr>
    </w:p>
    <w:p w14:paraId="7B076021" w14:textId="77777777" w:rsidR="003105FF" w:rsidRDefault="003105FF">
      <w:pPr>
        <w:pStyle w:val="Textbody"/>
        <w:rPr>
          <w:rFonts w:ascii="Calibri" w:hAnsi="Calibri"/>
        </w:rPr>
      </w:pPr>
    </w:p>
    <w:p w14:paraId="64FFD808" w14:textId="77777777" w:rsidR="003105FF" w:rsidRDefault="003105FF">
      <w:pPr>
        <w:pStyle w:val="Textbody"/>
        <w:rPr>
          <w:rFonts w:ascii="Calibri" w:hAnsi="Calibri"/>
        </w:rPr>
      </w:pPr>
    </w:p>
    <w:p w14:paraId="460FA976" w14:textId="77777777" w:rsidR="003105FF" w:rsidRDefault="003105FF">
      <w:pPr>
        <w:pStyle w:val="Textbody"/>
        <w:rPr>
          <w:rFonts w:ascii="Calibri" w:hAnsi="Calibri"/>
        </w:rPr>
      </w:pPr>
    </w:p>
    <w:p w14:paraId="61E4E5B0" w14:textId="77777777" w:rsidR="003105FF" w:rsidRDefault="003105FF">
      <w:pPr>
        <w:pStyle w:val="Textbody"/>
        <w:rPr>
          <w:rFonts w:ascii="Calibri" w:hAnsi="Calibri"/>
        </w:rPr>
      </w:pPr>
    </w:p>
    <w:p w14:paraId="254C7844" w14:textId="77777777" w:rsidR="003105FF" w:rsidRDefault="003105FF">
      <w:pPr>
        <w:pStyle w:val="Textbody"/>
        <w:rPr>
          <w:rFonts w:ascii="Calibri" w:hAnsi="Calibri"/>
        </w:rPr>
      </w:pPr>
    </w:p>
    <w:p w14:paraId="01AE8EB1" w14:textId="77777777" w:rsidR="003105FF" w:rsidRDefault="003105FF">
      <w:pPr>
        <w:pStyle w:val="Textbody"/>
        <w:rPr>
          <w:rFonts w:ascii="Calibri" w:hAnsi="Calibri"/>
        </w:rPr>
      </w:pPr>
    </w:p>
    <w:p w14:paraId="20A4C271" w14:textId="77777777" w:rsidR="003105FF" w:rsidRDefault="003105FF">
      <w:pPr>
        <w:pStyle w:val="Textbody"/>
        <w:rPr>
          <w:rFonts w:ascii="Calibri" w:hAnsi="Calibri"/>
        </w:rPr>
      </w:pPr>
    </w:p>
    <w:p w14:paraId="6BC42DFC" w14:textId="77777777" w:rsidR="003105FF" w:rsidRDefault="003105FF">
      <w:pPr>
        <w:pStyle w:val="Textbody"/>
        <w:rPr>
          <w:rFonts w:ascii="Calibri" w:hAnsi="Calibri"/>
        </w:rPr>
      </w:pPr>
    </w:p>
    <w:p w14:paraId="60251195" w14:textId="77777777" w:rsidR="003105FF" w:rsidRDefault="003105FF">
      <w:pPr>
        <w:pStyle w:val="Textbody"/>
        <w:rPr>
          <w:rFonts w:ascii="Calibri" w:hAnsi="Calibri"/>
        </w:rPr>
      </w:pPr>
    </w:p>
    <w:p w14:paraId="092076B2" w14:textId="77777777" w:rsidR="003105FF" w:rsidRDefault="00000000">
      <w:pPr>
        <w:pStyle w:val="Heading1"/>
        <w:rPr>
          <w:rFonts w:ascii="Calibri" w:hAnsi="Calibri"/>
          <w:sz w:val="32"/>
          <w:szCs w:val="32"/>
        </w:rPr>
      </w:pPr>
      <w:r>
        <w:rPr>
          <w:rFonts w:ascii="Calibri" w:hAnsi="Calibri"/>
          <w:sz w:val="32"/>
          <w:szCs w:val="32"/>
        </w:rPr>
        <w:t xml:space="preserve">2. Task A: </w:t>
      </w:r>
      <w:proofErr w:type="spellStart"/>
      <w:r>
        <w:rPr>
          <w:rFonts w:ascii="Calibri" w:hAnsi="Calibri"/>
          <w:sz w:val="32"/>
          <w:szCs w:val="32"/>
        </w:rPr>
        <w:t>Socialisation</w:t>
      </w:r>
      <w:proofErr w:type="spellEnd"/>
      <w:r>
        <w:rPr>
          <w:rFonts w:ascii="Calibri" w:hAnsi="Calibri"/>
          <w:sz w:val="32"/>
          <w:szCs w:val="32"/>
        </w:rPr>
        <w:t>, Identity and Business Activism</w:t>
      </w:r>
    </w:p>
    <w:p w14:paraId="3D763DEA" w14:textId="77777777" w:rsidR="003105FF" w:rsidRDefault="00000000">
      <w:pPr>
        <w:pStyle w:val="Heading2"/>
        <w:rPr>
          <w:rFonts w:ascii="Calibri" w:hAnsi="Calibri"/>
          <w:b w:val="0"/>
          <w:bCs w:val="0"/>
          <w:sz w:val="28"/>
          <w:szCs w:val="28"/>
        </w:rPr>
      </w:pPr>
      <w:bookmarkStart w:id="0" w:name="__RefHeading__328_974335965"/>
      <w:r>
        <w:rPr>
          <w:rFonts w:ascii="Calibri" w:hAnsi="Calibri"/>
          <w:b w:val="0"/>
          <w:bCs w:val="0"/>
          <w:sz w:val="28"/>
          <w:szCs w:val="28"/>
        </w:rPr>
        <w:t xml:space="preserve">2.1 From transactional onboarding to strategic </w:t>
      </w:r>
      <w:proofErr w:type="spellStart"/>
      <w:r>
        <w:rPr>
          <w:rFonts w:ascii="Calibri" w:hAnsi="Calibri"/>
          <w:b w:val="0"/>
          <w:bCs w:val="0"/>
          <w:sz w:val="28"/>
          <w:szCs w:val="28"/>
        </w:rPr>
        <w:t>socialisation</w:t>
      </w:r>
      <w:proofErr w:type="spellEnd"/>
      <w:r>
        <w:rPr>
          <w:rFonts w:ascii="Calibri" w:hAnsi="Calibri"/>
          <w:b w:val="0"/>
          <w:bCs w:val="0"/>
          <w:sz w:val="28"/>
          <w:szCs w:val="28"/>
        </w:rPr>
        <w:t>: a critical evaluation</w:t>
      </w:r>
      <w:bookmarkEnd w:id="0"/>
    </w:p>
    <w:p w14:paraId="7C321D22" w14:textId="77777777" w:rsidR="003105FF" w:rsidRDefault="00000000">
      <w:pPr>
        <w:pStyle w:val="Textbody"/>
        <w:rPr>
          <w:rFonts w:ascii="Calibri" w:hAnsi="Calibri"/>
        </w:rPr>
      </w:pPr>
      <w:r>
        <w:rPr>
          <w:rFonts w:ascii="Calibri" w:hAnsi="Calibri"/>
        </w:rPr>
        <w:t xml:space="preserve">Onboarding and </w:t>
      </w:r>
      <w:proofErr w:type="spellStart"/>
      <w:r>
        <w:rPr>
          <w:rFonts w:ascii="Calibri" w:hAnsi="Calibri"/>
        </w:rPr>
        <w:t>organisational</w:t>
      </w:r>
      <w:proofErr w:type="spellEnd"/>
      <w:r>
        <w:rPr>
          <w:rFonts w:ascii="Calibri" w:hAnsi="Calibri"/>
        </w:rPr>
        <w:t xml:space="preserve"> </w:t>
      </w:r>
      <w:proofErr w:type="spellStart"/>
      <w:r>
        <w:rPr>
          <w:rFonts w:ascii="Calibri" w:hAnsi="Calibri"/>
        </w:rPr>
        <w:t>socialisation</w:t>
      </w:r>
      <w:proofErr w:type="spellEnd"/>
      <w:r>
        <w:rPr>
          <w:rFonts w:ascii="Calibri" w:hAnsi="Calibri"/>
        </w:rPr>
        <w:t xml:space="preserve"> are often considered to be the same processes, but the distinction between them is important to highlight in the case of Helios. Onboarding is a temporary process of administration-related procedures such as paperwork, IT provision, and orientation, making a newcomer competent. </w:t>
      </w:r>
      <w:proofErr w:type="spellStart"/>
      <w:r>
        <w:rPr>
          <w:rFonts w:ascii="Calibri" w:hAnsi="Calibri"/>
        </w:rPr>
        <w:t>Organisational</w:t>
      </w:r>
      <w:proofErr w:type="spellEnd"/>
      <w:r>
        <w:rPr>
          <w:rFonts w:ascii="Calibri" w:hAnsi="Calibri"/>
        </w:rPr>
        <w:t xml:space="preserve"> </w:t>
      </w:r>
      <w:proofErr w:type="spellStart"/>
      <w:r>
        <w:rPr>
          <w:rFonts w:ascii="Calibri" w:hAnsi="Calibri"/>
        </w:rPr>
        <w:t>socialisation</w:t>
      </w:r>
      <w:proofErr w:type="spellEnd"/>
      <w:r>
        <w:rPr>
          <w:rFonts w:ascii="Calibri" w:hAnsi="Calibri"/>
        </w:rPr>
        <w:t xml:space="preserve">, however, is a process through which a newcomer acquires necessary information, </w:t>
      </w:r>
      <w:proofErr w:type="spellStart"/>
      <w:r>
        <w:rPr>
          <w:rFonts w:ascii="Calibri" w:hAnsi="Calibri"/>
        </w:rPr>
        <w:t>behavioural</w:t>
      </w:r>
      <w:proofErr w:type="spellEnd"/>
      <w:r>
        <w:rPr>
          <w:rFonts w:ascii="Calibri" w:hAnsi="Calibri"/>
        </w:rPr>
        <w:t xml:space="preserve"> patterns, and especially, the identity that would allow him or her to become an insider in the </w:t>
      </w:r>
      <w:proofErr w:type="spellStart"/>
      <w:r>
        <w:rPr>
          <w:rFonts w:ascii="Calibri" w:hAnsi="Calibri"/>
        </w:rPr>
        <w:t>organisation</w:t>
      </w:r>
      <w:proofErr w:type="spellEnd"/>
      <w:r>
        <w:rPr>
          <w:rFonts w:ascii="Calibri" w:hAnsi="Calibri"/>
        </w:rPr>
        <w:t xml:space="preserve">. The research demonstrates that most </w:t>
      </w:r>
      <w:proofErr w:type="spellStart"/>
      <w:r>
        <w:rPr>
          <w:rFonts w:ascii="Calibri" w:hAnsi="Calibri"/>
        </w:rPr>
        <w:t>organisations</w:t>
      </w:r>
      <w:proofErr w:type="spellEnd"/>
      <w:r>
        <w:rPr>
          <w:rFonts w:ascii="Calibri" w:hAnsi="Calibri"/>
        </w:rPr>
        <w:t xml:space="preserve"> do not go beyond onboarding since only 12 per cent of the surveyed employees claim that their </w:t>
      </w:r>
      <w:proofErr w:type="spellStart"/>
      <w:r>
        <w:rPr>
          <w:rFonts w:ascii="Calibri" w:hAnsi="Calibri"/>
        </w:rPr>
        <w:t>organisation</w:t>
      </w:r>
      <w:proofErr w:type="spellEnd"/>
      <w:r>
        <w:rPr>
          <w:rFonts w:ascii="Calibri" w:hAnsi="Calibri"/>
        </w:rPr>
        <w:t xml:space="preserve"> is good in onboarding and 88 per cent of the companies admit poor execution of this process. However, the pay-off of doing onboarding right is significant because Brandon Hall Group found that effective onboarding increases retention of new hires by 82 per cent and makes them more productive, increasing productivity level by over 70 per cent; additionally, </w:t>
      </w:r>
      <w:proofErr w:type="spellStart"/>
      <w:r>
        <w:rPr>
          <w:rFonts w:ascii="Calibri" w:hAnsi="Calibri"/>
        </w:rPr>
        <w:t>organised</w:t>
      </w:r>
      <w:proofErr w:type="spellEnd"/>
      <w:r>
        <w:rPr>
          <w:rFonts w:ascii="Calibri" w:hAnsi="Calibri"/>
        </w:rPr>
        <w:t xml:space="preserve"> </w:t>
      </w:r>
      <w:proofErr w:type="spellStart"/>
      <w:r>
        <w:rPr>
          <w:rFonts w:ascii="Calibri" w:hAnsi="Calibri"/>
        </w:rPr>
        <w:t>programmes</w:t>
      </w:r>
      <w:proofErr w:type="spellEnd"/>
      <w:r>
        <w:rPr>
          <w:rFonts w:ascii="Calibri" w:hAnsi="Calibri"/>
        </w:rPr>
        <w:t xml:space="preserve"> make new employees competent in four to six months, rather than eight to twelve months during administrative onboarding.</w:t>
      </w:r>
    </w:p>
    <w:p w14:paraId="2994AD78" w14:textId="77777777" w:rsidR="003105FF" w:rsidRDefault="00000000">
      <w:pPr>
        <w:pStyle w:val="Textbody"/>
        <w:rPr>
          <w:rFonts w:ascii="Calibri" w:hAnsi="Calibri"/>
        </w:rPr>
      </w:pPr>
      <w:r>
        <w:rPr>
          <w:rFonts w:ascii="Calibri" w:hAnsi="Calibri"/>
        </w:rPr>
        <w:t xml:space="preserve">This framework by Van Maanen &amp; Schein continues to be analytically effective in that it identifies the means of </w:t>
      </w:r>
      <w:proofErr w:type="spellStart"/>
      <w:r>
        <w:rPr>
          <w:rFonts w:ascii="Calibri" w:hAnsi="Calibri"/>
        </w:rPr>
        <w:t>socialisation</w:t>
      </w:r>
      <w:proofErr w:type="spellEnd"/>
      <w:r>
        <w:rPr>
          <w:rFonts w:ascii="Calibri" w:hAnsi="Calibri"/>
        </w:rPr>
        <w:t xml:space="preserve">. It identifies six tactical dimensions, which </w:t>
      </w:r>
      <w:proofErr w:type="gramStart"/>
      <w:r>
        <w:rPr>
          <w:rFonts w:ascii="Calibri" w:hAnsi="Calibri"/>
        </w:rPr>
        <w:t>Jones  subsequently</w:t>
      </w:r>
      <w:proofErr w:type="gramEnd"/>
      <w:r>
        <w:rPr>
          <w:rFonts w:ascii="Calibri" w:hAnsi="Calibri"/>
        </w:rPr>
        <w:t xml:space="preserve"> </w:t>
      </w:r>
      <w:proofErr w:type="spellStart"/>
      <w:r>
        <w:rPr>
          <w:rFonts w:ascii="Calibri" w:hAnsi="Calibri"/>
        </w:rPr>
        <w:t>categorised</w:t>
      </w:r>
      <w:proofErr w:type="spellEnd"/>
      <w:r>
        <w:rPr>
          <w:rFonts w:ascii="Calibri" w:hAnsi="Calibri"/>
        </w:rPr>
        <w:t xml:space="preserve"> into two orientations: institutionalized tactics, namely collective, formal, serial, invested, fixed and sequential and </w:t>
      </w:r>
      <w:proofErr w:type="spellStart"/>
      <w:r>
        <w:rPr>
          <w:rFonts w:ascii="Calibri" w:hAnsi="Calibri"/>
        </w:rPr>
        <w:t>individualised</w:t>
      </w:r>
      <w:proofErr w:type="spellEnd"/>
      <w:r>
        <w:rPr>
          <w:rFonts w:ascii="Calibri" w:hAnsi="Calibri"/>
        </w:rPr>
        <w:t xml:space="preserve"> tactics – their opposite counterparts. While institutionalized tactics limit role ambiguity and speed up common feeling of belonging, it tends to foster custodial orientation whereby the newcomer will end up reproducing the status quo. </w:t>
      </w:r>
      <w:proofErr w:type="spellStart"/>
      <w:r>
        <w:rPr>
          <w:rFonts w:ascii="Calibri" w:hAnsi="Calibri"/>
        </w:rPr>
        <w:t>Individualised</w:t>
      </w:r>
      <w:proofErr w:type="spellEnd"/>
      <w:r>
        <w:rPr>
          <w:rFonts w:ascii="Calibri" w:hAnsi="Calibri"/>
        </w:rPr>
        <w:t xml:space="preserve"> tactics foster innovation and role making but there is a danger of fostering anomie, isolation and inconsistent identity, possibly contributing to the graduate attrition experienced at Helios whereby new recruits are set adrift to “sink or swim”. The critical decision for a firm which thrives on innovation is that one extreme is not enough: Helios must have institutionalized tactics for identity consistency during its initial phase </w:t>
      </w:r>
      <w:proofErr w:type="gramStart"/>
      <w:r>
        <w:rPr>
          <w:rFonts w:ascii="Calibri" w:hAnsi="Calibri"/>
        </w:rPr>
        <w:t>in order to</w:t>
      </w:r>
      <w:proofErr w:type="gramEnd"/>
      <w:r>
        <w:rPr>
          <w:rFonts w:ascii="Calibri" w:hAnsi="Calibri"/>
        </w:rPr>
        <w:t xml:space="preserve"> deal with role ambiguity before gradually shifting towards individualized and </w:t>
      </w:r>
      <w:proofErr w:type="gramStart"/>
      <w:r>
        <w:rPr>
          <w:rFonts w:ascii="Calibri" w:hAnsi="Calibri"/>
        </w:rPr>
        <w:t>growth oriented</w:t>
      </w:r>
      <w:proofErr w:type="gramEnd"/>
      <w:r>
        <w:rPr>
          <w:rFonts w:ascii="Calibri" w:hAnsi="Calibri"/>
        </w:rPr>
        <w:t xml:space="preserve"> tactics.</w:t>
      </w:r>
    </w:p>
    <w:p w14:paraId="47CFA1B2" w14:textId="77777777" w:rsidR="003105FF" w:rsidRDefault="00000000">
      <w:pPr>
        <w:pStyle w:val="Textbody"/>
        <w:rPr>
          <w:rFonts w:ascii="Calibri" w:hAnsi="Calibri"/>
        </w:rPr>
      </w:pPr>
      <w:r>
        <w:rPr>
          <w:rFonts w:ascii="Calibri" w:hAnsi="Calibri"/>
        </w:rPr>
        <w:t xml:space="preserve">Two additional theories provide reasons for why a poor </w:t>
      </w:r>
      <w:proofErr w:type="spellStart"/>
      <w:r>
        <w:rPr>
          <w:rFonts w:ascii="Calibri" w:hAnsi="Calibri"/>
        </w:rPr>
        <w:t>socialisation</w:t>
      </w:r>
      <w:proofErr w:type="spellEnd"/>
      <w:r>
        <w:rPr>
          <w:rFonts w:ascii="Calibri" w:hAnsi="Calibri"/>
        </w:rPr>
        <w:t xml:space="preserve"> process contributes to loss of retention. First, psychological contract theory states that recruitment and initial experiences constitute a set of mutual obligations which, if not met by reality in the first few months, are seen as being violated; breach of contract is a strong predictor of low commitment and turnover. Flight of Helios’s high-potential graduates fits into relational contract violation – talented new hires were assured development and meaning but not supported. Second, social identity theory and </w:t>
      </w:r>
      <w:proofErr w:type="spellStart"/>
      <w:r>
        <w:rPr>
          <w:rFonts w:ascii="Calibri" w:hAnsi="Calibri"/>
        </w:rPr>
        <w:t>organisational</w:t>
      </w:r>
      <w:proofErr w:type="spellEnd"/>
      <w:r>
        <w:rPr>
          <w:rFonts w:ascii="Calibri" w:hAnsi="Calibri"/>
        </w:rPr>
        <w:t xml:space="preserve"> adaptation </w:t>
      </w:r>
      <w:proofErr w:type="spellStart"/>
      <w:r>
        <w:rPr>
          <w:rFonts w:ascii="Calibri" w:hAnsi="Calibri"/>
        </w:rPr>
        <w:t>there of</w:t>
      </w:r>
      <w:proofErr w:type="spellEnd"/>
      <w:r>
        <w:rPr>
          <w:rFonts w:ascii="Calibri" w:hAnsi="Calibri"/>
        </w:rPr>
        <w:t xml:space="preserve"> consider </w:t>
      </w:r>
      <w:proofErr w:type="spellStart"/>
      <w:r>
        <w:rPr>
          <w:rFonts w:ascii="Calibri" w:hAnsi="Calibri"/>
        </w:rPr>
        <w:t>socialisation</w:t>
      </w:r>
      <w:proofErr w:type="spellEnd"/>
      <w:r>
        <w:rPr>
          <w:rFonts w:ascii="Calibri" w:hAnsi="Calibri"/>
        </w:rPr>
        <w:t xml:space="preserve"> as an identity process where individuals are committed to </w:t>
      </w:r>
      <w:proofErr w:type="spellStart"/>
      <w:r>
        <w:rPr>
          <w:rFonts w:ascii="Calibri" w:hAnsi="Calibri"/>
        </w:rPr>
        <w:t>organisations</w:t>
      </w:r>
      <w:proofErr w:type="spellEnd"/>
      <w:r>
        <w:rPr>
          <w:rFonts w:ascii="Calibri" w:hAnsi="Calibri"/>
        </w:rPr>
        <w:t xml:space="preserve"> whose self-concept is tied up with the </w:t>
      </w:r>
      <w:proofErr w:type="spellStart"/>
      <w:r>
        <w:rPr>
          <w:rFonts w:ascii="Calibri" w:hAnsi="Calibri"/>
        </w:rPr>
        <w:t>organisation</w:t>
      </w:r>
      <w:proofErr w:type="spellEnd"/>
      <w:r>
        <w:rPr>
          <w:rFonts w:ascii="Calibri" w:hAnsi="Calibri"/>
        </w:rPr>
        <w:t xml:space="preserve">. Poor </w:t>
      </w:r>
      <w:proofErr w:type="spellStart"/>
      <w:r>
        <w:rPr>
          <w:rFonts w:ascii="Calibri" w:hAnsi="Calibri"/>
        </w:rPr>
        <w:t>socialisation</w:t>
      </w:r>
      <w:proofErr w:type="spellEnd"/>
      <w:r>
        <w:rPr>
          <w:rFonts w:ascii="Calibri" w:hAnsi="Calibri"/>
        </w:rPr>
        <w:t xml:space="preserve"> process that does not build </w:t>
      </w:r>
      <w:proofErr w:type="spellStart"/>
      <w:r>
        <w:rPr>
          <w:rFonts w:ascii="Calibri" w:hAnsi="Calibri"/>
        </w:rPr>
        <w:t>organisational</w:t>
      </w:r>
      <w:proofErr w:type="spellEnd"/>
      <w:r>
        <w:rPr>
          <w:rFonts w:ascii="Calibri" w:hAnsi="Calibri"/>
        </w:rPr>
        <w:t xml:space="preserve"> identification leaves the door open to psychological departure. Table 1 </w:t>
      </w:r>
      <w:r>
        <w:rPr>
          <w:rFonts w:ascii="Calibri" w:hAnsi="Calibri"/>
        </w:rPr>
        <w:lastRenderedPageBreak/>
        <w:t>contrasts the two theories.</w:t>
      </w:r>
    </w:p>
    <w:p w14:paraId="037AFFFC" w14:textId="77777777" w:rsidR="003105FF" w:rsidRDefault="003105FF">
      <w:pPr>
        <w:pStyle w:val="Textbody"/>
        <w:rPr>
          <w:rFonts w:ascii="Calibri" w:hAnsi="Calibri"/>
        </w:rPr>
      </w:pPr>
    </w:p>
    <w:p w14:paraId="20BB239E" w14:textId="77777777" w:rsidR="003105FF" w:rsidRDefault="003105FF">
      <w:pPr>
        <w:pStyle w:val="Textbody"/>
        <w:rPr>
          <w:rFonts w:ascii="Calibri" w:hAnsi="Calibri"/>
        </w:rPr>
      </w:pPr>
    </w:p>
    <w:tbl>
      <w:tblPr>
        <w:tblW w:w="9013" w:type="dxa"/>
        <w:tblInd w:w="10" w:type="dxa"/>
        <w:tblLayout w:type="fixed"/>
        <w:tblCellMar>
          <w:left w:w="10" w:type="dxa"/>
          <w:right w:w="10" w:type="dxa"/>
        </w:tblCellMar>
        <w:tblLook w:val="0000" w:firstRow="0" w:lastRow="0" w:firstColumn="0" w:lastColumn="0" w:noHBand="0" w:noVBand="0"/>
      </w:tblPr>
      <w:tblGrid>
        <w:gridCol w:w="2900"/>
        <w:gridCol w:w="3000"/>
        <w:gridCol w:w="3113"/>
      </w:tblGrid>
      <w:tr w:rsidR="003105FF" w14:paraId="44B8A6D4" w14:textId="77777777">
        <w:tblPrEx>
          <w:tblCellMar>
            <w:top w:w="0" w:type="dxa"/>
            <w:bottom w:w="0" w:type="dxa"/>
          </w:tblCellMar>
        </w:tblPrEx>
        <w:trPr>
          <w:tblHeader/>
        </w:trPr>
        <w:tc>
          <w:tcPr>
            <w:tcW w:w="2900" w:type="dxa"/>
            <w:tcBorders>
              <w:top w:val="single" w:sz="2" w:space="0" w:color="BBBBBB"/>
              <w:left w:val="single" w:sz="2" w:space="0" w:color="BBBBBB"/>
              <w:bottom w:val="single" w:sz="2" w:space="0" w:color="BBBBBB"/>
              <w:right w:val="single" w:sz="2" w:space="0" w:color="BBBBBB"/>
            </w:tcBorders>
            <w:shd w:val="clear" w:color="auto" w:fill="2E5A88"/>
            <w:tcMar>
              <w:top w:w="0" w:type="dxa"/>
              <w:left w:w="108" w:type="dxa"/>
              <w:bottom w:w="0" w:type="dxa"/>
              <w:right w:w="108" w:type="dxa"/>
            </w:tcMar>
            <w:vAlign w:val="center"/>
          </w:tcPr>
          <w:p w14:paraId="4652194C" w14:textId="77777777" w:rsidR="003105FF" w:rsidRDefault="00000000">
            <w:pPr>
              <w:pStyle w:val="Standard"/>
              <w:spacing w:line="276" w:lineRule="exact"/>
              <w:rPr>
                <w:rFonts w:ascii="Calibri" w:hAnsi="Calibri"/>
                <w:b/>
                <w:bCs/>
                <w:color w:val="FFFFFF"/>
                <w:sz w:val="28"/>
                <w:szCs w:val="28"/>
              </w:rPr>
            </w:pPr>
            <w:r>
              <w:rPr>
                <w:rFonts w:ascii="Calibri" w:hAnsi="Calibri"/>
                <w:b/>
                <w:bCs/>
                <w:color w:val="FFFFFF"/>
                <w:sz w:val="28"/>
                <w:szCs w:val="28"/>
              </w:rPr>
              <w:t>Dimension</w:t>
            </w:r>
          </w:p>
        </w:tc>
        <w:tc>
          <w:tcPr>
            <w:tcW w:w="3000" w:type="dxa"/>
            <w:tcBorders>
              <w:top w:val="single" w:sz="2" w:space="0" w:color="BBBBBB"/>
              <w:left w:val="single" w:sz="2" w:space="0" w:color="BBBBBB"/>
              <w:bottom w:val="single" w:sz="2" w:space="0" w:color="BBBBBB"/>
              <w:right w:val="single" w:sz="2" w:space="0" w:color="BBBBBB"/>
            </w:tcBorders>
            <w:shd w:val="clear" w:color="auto" w:fill="2E5A88"/>
            <w:tcMar>
              <w:top w:w="0" w:type="dxa"/>
              <w:left w:w="108" w:type="dxa"/>
              <w:bottom w:w="0" w:type="dxa"/>
              <w:right w:w="108" w:type="dxa"/>
            </w:tcMar>
            <w:vAlign w:val="center"/>
          </w:tcPr>
          <w:p w14:paraId="56A15B97" w14:textId="77777777" w:rsidR="003105FF" w:rsidRDefault="00000000">
            <w:pPr>
              <w:pStyle w:val="Standard"/>
              <w:spacing w:line="276" w:lineRule="exact"/>
              <w:rPr>
                <w:rFonts w:ascii="Calibri" w:hAnsi="Calibri"/>
                <w:b/>
                <w:bCs/>
                <w:color w:val="FFFFFF"/>
                <w:sz w:val="28"/>
                <w:szCs w:val="28"/>
              </w:rPr>
            </w:pPr>
            <w:r>
              <w:rPr>
                <w:rFonts w:ascii="Calibri" w:hAnsi="Calibri"/>
                <w:b/>
                <w:bCs/>
                <w:color w:val="FFFFFF"/>
                <w:sz w:val="28"/>
                <w:szCs w:val="28"/>
              </w:rPr>
              <w:t>Transactional onboarding</w:t>
            </w:r>
          </w:p>
        </w:tc>
        <w:tc>
          <w:tcPr>
            <w:tcW w:w="3113" w:type="dxa"/>
            <w:tcBorders>
              <w:top w:val="single" w:sz="2" w:space="0" w:color="BBBBBB"/>
              <w:left w:val="single" w:sz="2" w:space="0" w:color="BBBBBB"/>
              <w:bottom w:val="single" w:sz="2" w:space="0" w:color="BBBBBB"/>
              <w:right w:val="single" w:sz="2" w:space="0" w:color="BBBBBB"/>
            </w:tcBorders>
            <w:shd w:val="clear" w:color="auto" w:fill="2E5A88"/>
            <w:tcMar>
              <w:top w:w="0" w:type="dxa"/>
              <w:left w:w="108" w:type="dxa"/>
              <w:bottom w:w="0" w:type="dxa"/>
              <w:right w:w="108" w:type="dxa"/>
            </w:tcMar>
            <w:vAlign w:val="center"/>
          </w:tcPr>
          <w:p w14:paraId="074387AD" w14:textId="77777777" w:rsidR="003105FF" w:rsidRDefault="00000000">
            <w:pPr>
              <w:pStyle w:val="Standard"/>
              <w:spacing w:line="276" w:lineRule="exact"/>
              <w:rPr>
                <w:rFonts w:ascii="Calibri" w:hAnsi="Calibri"/>
                <w:b/>
                <w:bCs/>
                <w:color w:val="FFFFFF"/>
                <w:sz w:val="28"/>
                <w:szCs w:val="28"/>
              </w:rPr>
            </w:pPr>
            <w:r>
              <w:rPr>
                <w:rFonts w:ascii="Calibri" w:hAnsi="Calibri"/>
                <w:b/>
                <w:bCs/>
                <w:color w:val="FFFFFF"/>
                <w:sz w:val="28"/>
                <w:szCs w:val="28"/>
              </w:rPr>
              <w:t xml:space="preserve">Strategic </w:t>
            </w:r>
            <w:proofErr w:type="spellStart"/>
            <w:r>
              <w:rPr>
                <w:rFonts w:ascii="Calibri" w:hAnsi="Calibri"/>
                <w:b/>
                <w:bCs/>
                <w:color w:val="FFFFFF"/>
                <w:sz w:val="28"/>
                <w:szCs w:val="28"/>
              </w:rPr>
              <w:t>socialisation</w:t>
            </w:r>
            <w:proofErr w:type="spellEnd"/>
          </w:p>
        </w:tc>
      </w:tr>
      <w:tr w:rsidR="003105FF" w14:paraId="5636F830" w14:textId="77777777">
        <w:tblPrEx>
          <w:tblCellMar>
            <w:top w:w="0" w:type="dxa"/>
            <w:bottom w:w="0" w:type="dxa"/>
          </w:tblCellMar>
        </w:tblPrEx>
        <w:tc>
          <w:tcPr>
            <w:tcW w:w="2900" w:type="dxa"/>
            <w:tcBorders>
              <w:top w:val="single" w:sz="2" w:space="0" w:color="BBBBBB"/>
              <w:left w:val="single" w:sz="2" w:space="0" w:color="BBBBBB"/>
              <w:bottom w:val="single" w:sz="2" w:space="0" w:color="BBBBBB"/>
              <w:right w:val="single" w:sz="2" w:space="0" w:color="BBBBBB"/>
            </w:tcBorders>
            <w:shd w:val="clear" w:color="auto" w:fill="EDF1F5"/>
            <w:tcMar>
              <w:top w:w="0" w:type="dxa"/>
              <w:left w:w="108" w:type="dxa"/>
              <w:bottom w:w="0" w:type="dxa"/>
              <w:right w:w="108" w:type="dxa"/>
            </w:tcMar>
            <w:vAlign w:val="center"/>
          </w:tcPr>
          <w:p w14:paraId="7AE4E895" w14:textId="77777777" w:rsidR="003105FF" w:rsidRDefault="00000000">
            <w:pPr>
              <w:pStyle w:val="Standard"/>
              <w:spacing w:line="276" w:lineRule="exact"/>
              <w:rPr>
                <w:rFonts w:ascii="Calibri" w:hAnsi="Calibri"/>
                <w:b/>
                <w:bCs/>
                <w:sz w:val="28"/>
                <w:szCs w:val="28"/>
              </w:rPr>
            </w:pPr>
            <w:r>
              <w:rPr>
                <w:rFonts w:ascii="Calibri" w:hAnsi="Calibri"/>
                <w:b/>
                <w:bCs/>
                <w:sz w:val="28"/>
                <w:szCs w:val="28"/>
              </w:rPr>
              <w:t>Time horizon</w:t>
            </w:r>
          </w:p>
        </w:tc>
        <w:tc>
          <w:tcPr>
            <w:tcW w:w="3000"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3ABB869A" w14:textId="77777777" w:rsidR="003105FF" w:rsidRDefault="00000000">
            <w:pPr>
              <w:pStyle w:val="Standard"/>
              <w:spacing w:line="276" w:lineRule="exact"/>
              <w:rPr>
                <w:rFonts w:ascii="Calibri" w:hAnsi="Calibri"/>
              </w:rPr>
            </w:pPr>
            <w:r>
              <w:rPr>
                <w:rFonts w:ascii="Calibri" w:hAnsi="Calibri"/>
              </w:rPr>
              <w:t>Days to weeks; event-based</w:t>
            </w:r>
          </w:p>
        </w:tc>
        <w:tc>
          <w:tcPr>
            <w:tcW w:w="3113"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4727A021" w14:textId="77777777" w:rsidR="003105FF" w:rsidRDefault="00000000">
            <w:pPr>
              <w:pStyle w:val="Standard"/>
              <w:spacing w:line="276" w:lineRule="exact"/>
              <w:rPr>
                <w:rFonts w:ascii="Calibri" w:hAnsi="Calibri"/>
              </w:rPr>
            </w:pPr>
            <w:r>
              <w:rPr>
                <w:rFonts w:ascii="Calibri" w:hAnsi="Calibri"/>
              </w:rPr>
              <w:t>Pre-boarding to year one; process-based</w:t>
            </w:r>
          </w:p>
        </w:tc>
      </w:tr>
      <w:tr w:rsidR="003105FF" w14:paraId="2637F2AA" w14:textId="77777777">
        <w:tblPrEx>
          <w:tblCellMar>
            <w:top w:w="0" w:type="dxa"/>
            <w:bottom w:w="0" w:type="dxa"/>
          </w:tblCellMar>
        </w:tblPrEx>
        <w:tc>
          <w:tcPr>
            <w:tcW w:w="2900" w:type="dxa"/>
            <w:tcBorders>
              <w:top w:val="single" w:sz="2" w:space="0" w:color="BBBBBB"/>
              <w:left w:val="single" w:sz="2" w:space="0" w:color="BBBBBB"/>
              <w:bottom w:val="single" w:sz="2" w:space="0" w:color="BBBBBB"/>
              <w:right w:val="single" w:sz="2" w:space="0" w:color="BBBBBB"/>
            </w:tcBorders>
            <w:shd w:val="clear" w:color="auto" w:fill="EDF1F5"/>
            <w:tcMar>
              <w:top w:w="0" w:type="dxa"/>
              <w:left w:w="108" w:type="dxa"/>
              <w:bottom w:w="0" w:type="dxa"/>
              <w:right w:w="108" w:type="dxa"/>
            </w:tcMar>
            <w:vAlign w:val="center"/>
          </w:tcPr>
          <w:p w14:paraId="15DC405A" w14:textId="77777777" w:rsidR="003105FF" w:rsidRDefault="00000000">
            <w:pPr>
              <w:pStyle w:val="Standard"/>
              <w:spacing w:line="276" w:lineRule="exact"/>
              <w:rPr>
                <w:rFonts w:ascii="Calibri" w:hAnsi="Calibri"/>
                <w:b/>
                <w:bCs/>
                <w:sz w:val="28"/>
                <w:szCs w:val="28"/>
              </w:rPr>
            </w:pPr>
            <w:r>
              <w:rPr>
                <w:rFonts w:ascii="Calibri" w:hAnsi="Calibri"/>
                <w:b/>
                <w:bCs/>
                <w:sz w:val="28"/>
                <w:szCs w:val="28"/>
              </w:rPr>
              <w:t>Primary goal</w:t>
            </w:r>
          </w:p>
        </w:tc>
        <w:tc>
          <w:tcPr>
            <w:tcW w:w="3000"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3D9D7A49" w14:textId="77777777" w:rsidR="003105FF" w:rsidRDefault="00000000">
            <w:pPr>
              <w:pStyle w:val="Standard"/>
              <w:spacing w:line="276" w:lineRule="exact"/>
              <w:rPr>
                <w:rFonts w:ascii="Calibri" w:hAnsi="Calibri"/>
              </w:rPr>
            </w:pPr>
            <w:r>
              <w:rPr>
                <w:rFonts w:ascii="Calibri" w:hAnsi="Calibri"/>
              </w:rPr>
              <w:t>Compliance and functional readiness</w:t>
            </w:r>
          </w:p>
        </w:tc>
        <w:tc>
          <w:tcPr>
            <w:tcW w:w="3113"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5D692832" w14:textId="77777777" w:rsidR="003105FF" w:rsidRDefault="00000000">
            <w:pPr>
              <w:pStyle w:val="Standard"/>
              <w:spacing w:line="276" w:lineRule="exact"/>
              <w:rPr>
                <w:rFonts w:ascii="Calibri" w:hAnsi="Calibri"/>
              </w:rPr>
            </w:pPr>
            <w:r>
              <w:rPr>
                <w:rFonts w:ascii="Calibri" w:hAnsi="Calibri"/>
              </w:rPr>
              <w:t>Identity, belonging and commitment</w:t>
            </w:r>
          </w:p>
        </w:tc>
      </w:tr>
      <w:tr w:rsidR="003105FF" w14:paraId="5A241165" w14:textId="77777777">
        <w:tblPrEx>
          <w:tblCellMar>
            <w:top w:w="0" w:type="dxa"/>
            <w:bottom w:w="0" w:type="dxa"/>
          </w:tblCellMar>
        </w:tblPrEx>
        <w:tc>
          <w:tcPr>
            <w:tcW w:w="2900" w:type="dxa"/>
            <w:tcBorders>
              <w:top w:val="single" w:sz="2" w:space="0" w:color="BBBBBB"/>
              <w:left w:val="single" w:sz="2" w:space="0" w:color="BBBBBB"/>
              <w:bottom w:val="single" w:sz="2" w:space="0" w:color="BBBBBB"/>
              <w:right w:val="single" w:sz="2" w:space="0" w:color="BBBBBB"/>
            </w:tcBorders>
            <w:shd w:val="clear" w:color="auto" w:fill="EDF1F5"/>
            <w:tcMar>
              <w:top w:w="0" w:type="dxa"/>
              <w:left w:w="108" w:type="dxa"/>
              <w:bottom w:w="0" w:type="dxa"/>
              <w:right w:w="108" w:type="dxa"/>
            </w:tcMar>
            <w:vAlign w:val="center"/>
          </w:tcPr>
          <w:p w14:paraId="4B6517D5" w14:textId="77777777" w:rsidR="003105FF" w:rsidRDefault="00000000">
            <w:pPr>
              <w:pStyle w:val="Standard"/>
              <w:spacing w:line="276" w:lineRule="exact"/>
              <w:rPr>
                <w:rFonts w:ascii="Calibri" w:hAnsi="Calibri"/>
                <w:b/>
                <w:bCs/>
                <w:sz w:val="28"/>
                <w:szCs w:val="28"/>
              </w:rPr>
            </w:pPr>
            <w:r>
              <w:rPr>
                <w:rFonts w:ascii="Calibri" w:hAnsi="Calibri"/>
                <w:b/>
                <w:bCs/>
                <w:sz w:val="28"/>
                <w:szCs w:val="28"/>
              </w:rPr>
              <w:t>Theory base</w:t>
            </w:r>
          </w:p>
        </w:tc>
        <w:tc>
          <w:tcPr>
            <w:tcW w:w="3000"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00502970" w14:textId="77777777" w:rsidR="003105FF" w:rsidRDefault="00000000">
            <w:pPr>
              <w:pStyle w:val="Standard"/>
              <w:spacing w:line="276" w:lineRule="exact"/>
              <w:rPr>
                <w:rFonts w:ascii="Calibri" w:hAnsi="Calibri"/>
              </w:rPr>
            </w:pPr>
            <w:r>
              <w:rPr>
                <w:rFonts w:ascii="Calibri" w:hAnsi="Calibri"/>
              </w:rPr>
              <w:t>Administrative efficiency</w:t>
            </w:r>
          </w:p>
        </w:tc>
        <w:tc>
          <w:tcPr>
            <w:tcW w:w="3113"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1E52661C" w14:textId="77777777" w:rsidR="003105FF" w:rsidRDefault="00000000">
            <w:pPr>
              <w:pStyle w:val="Standard"/>
              <w:spacing w:line="276" w:lineRule="exact"/>
              <w:rPr>
                <w:rFonts w:ascii="Calibri" w:hAnsi="Calibri"/>
              </w:rPr>
            </w:pPr>
            <w:r>
              <w:rPr>
                <w:rFonts w:ascii="Calibri" w:hAnsi="Calibri"/>
              </w:rPr>
              <w:t>Van Maanen &amp; Schein; Rousseau; Ashforth &amp; Mael</w:t>
            </w:r>
          </w:p>
        </w:tc>
      </w:tr>
      <w:tr w:rsidR="003105FF" w14:paraId="472027A5" w14:textId="77777777">
        <w:tblPrEx>
          <w:tblCellMar>
            <w:top w:w="0" w:type="dxa"/>
            <w:bottom w:w="0" w:type="dxa"/>
          </w:tblCellMar>
        </w:tblPrEx>
        <w:tc>
          <w:tcPr>
            <w:tcW w:w="2900" w:type="dxa"/>
            <w:tcBorders>
              <w:top w:val="single" w:sz="2" w:space="0" w:color="BBBBBB"/>
              <w:left w:val="single" w:sz="2" w:space="0" w:color="BBBBBB"/>
              <w:bottom w:val="single" w:sz="2" w:space="0" w:color="BBBBBB"/>
              <w:right w:val="single" w:sz="2" w:space="0" w:color="BBBBBB"/>
            </w:tcBorders>
            <w:shd w:val="clear" w:color="auto" w:fill="EDF1F5"/>
            <w:tcMar>
              <w:top w:w="0" w:type="dxa"/>
              <w:left w:w="108" w:type="dxa"/>
              <w:bottom w:w="0" w:type="dxa"/>
              <w:right w:w="108" w:type="dxa"/>
            </w:tcMar>
            <w:vAlign w:val="center"/>
          </w:tcPr>
          <w:p w14:paraId="34BC3405" w14:textId="77777777" w:rsidR="003105FF" w:rsidRDefault="00000000">
            <w:pPr>
              <w:pStyle w:val="Standard"/>
              <w:spacing w:line="276" w:lineRule="exact"/>
              <w:rPr>
                <w:rFonts w:ascii="Calibri" w:hAnsi="Calibri"/>
                <w:b/>
                <w:bCs/>
                <w:sz w:val="28"/>
                <w:szCs w:val="28"/>
              </w:rPr>
            </w:pPr>
            <w:r>
              <w:rPr>
                <w:rFonts w:ascii="Calibri" w:hAnsi="Calibri"/>
                <w:b/>
                <w:bCs/>
                <w:sz w:val="28"/>
                <w:szCs w:val="28"/>
              </w:rPr>
              <w:t>Owner</w:t>
            </w:r>
          </w:p>
        </w:tc>
        <w:tc>
          <w:tcPr>
            <w:tcW w:w="3000"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332485F9" w14:textId="77777777" w:rsidR="003105FF" w:rsidRDefault="00000000">
            <w:pPr>
              <w:pStyle w:val="Standard"/>
              <w:spacing w:line="276" w:lineRule="exact"/>
              <w:rPr>
                <w:rFonts w:ascii="Calibri" w:hAnsi="Calibri"/>
              </w:rPr>
            </w:pPr>
            <w:r>
              <w:rPr>
                <w:rFonts w:ascii="Calibri" w:hAnsi="Calibri"/>
              </w:rPr>
              <w:t>HR / IT</w:t>
            </w:r>
          </w:p>
        </w:tc>
        <w:tc>
          <w:tcPr>
            <w:tcW w:w="3113"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1B34795A" w14:textId="77777777" w:rsidR="003105FF" w:rsidRDefault="00000000">
            <w:pPr>
              <w:pStyle w:val="Standard"/>
              <w:spacing w:line="276" w:lineRule="exact"/>
              <w:rPr>
                <w:rFonts w:ascii="Calibri" w:hAnsi="Calibri"/>
              </w:rPr>
            </w:pPr>
            <w:r>
              <w:rPr>
                <w:rFonts w:ascii="Calibri" w:hAnsi="Calibri"/>
              </w:rPr>
              <w:t>Manager, buddy, cohort and HR jointly</w:t>
            </w:r>
          </w:p>
        </w:tc>
      </w:tr>
      <w:tr w:rsidR="003105FF" w14:paraId="56C31ECC" w14:textId="77777777">
        <w:tblPrEx>
          <w:tblCellMar>
            <w:top w:w="0" w:type="dxa"/>
            <w:bottom w:w="0" w:type="dxa"/>
          </w:tblCellMar>
        </w:tblPrEx>
        <w:tc>
          <w:tcPr>
            <w:tcW w:w="2900" w:type="dxa"/>
            <w:tcBorders>
              <w:top w:val="single" w:sz="2" w:space="0" w:color="BBBBBB"/>
              <w:left w:val="single" w:sz="2" w:space="0" w:color="BBBBBB"/>
              <w:bottom w:val="single" w:sz="2" w:space="0" w:color="BBBBBB"/>
              <w:right w:val="single" w:sz="2" w:space="0" w:color="BBBBBB"/>
            </w:tcBorders>
            <w:shd w:val="clear" w:color="auto" w:fill="EDF1F5"/>
            <w:tcMar>
              <w:top w:w="0" w:type="dxa"/>
              <w:left w:w="108" w:type="dxa"/>
              <w:bottom w:w="0" w:type="dxa"/>
              <w:right w:w="108" w:type="dxa"/>
            </w:tcMar>
            <w:vAlign w:val="center"/>
          </w:tcPr>
          <w:p w14:paraId="379DB664" w14:textId="77777777" w:rsidR="003105FF" w:rsidRDefault="00000000">
            <w:pPr>
              <w:pStyle w:val="Standard"/>
              <w:spacing w:line="276" w:lineRule="exact"/>
              <w:rPr>
                <w:rFonts w:ascii="Calibri" w:hAnsi="Calibri"/>
                <w:b/>
                <w:bCs/>
                <w:sz w:val="28"/>
                <w:szCs w:val="28"/>
              </w:rPr>
            </w:pPr>
            <w:r>
              <w:rPr>
                <w:rFonts w:ascii="Calibri" w:hAnsi="Calibri"/>
                <w:b/>
                <w:bCs/>
                <w:sz w:val="28"/>
                <w:szCs w:val="28"/>
              </w:rPr>
              <w:t>Risk if neglected</w:t>
            </w:r>
          </w:p>
        </w:tc>
        <w:tc>
          <w:tcPr>
            <w:tcW w:w="3000"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386ADED0" w14:textId="77777777" w:rsidR="003105FF" w:rsidRDefault="00000000">
            <w:pPr>
              <w:pStyle w:val="Standard"/>
              <w:spacing w:line="276" w:lineRule="exact"/>
              <w:rPr>
                <w:rFonts w:ascii="Calibri" w:hAnsi="Calibri"/>
              </w:rPr>
            </w:pPr>
            <w:r>
              <w:rPr>
                <w:rFonts w:ascii="Calibri" w:hAnsi="Calibri"/>
              </w:rPr>
              <w:t>Slow ramp-up; early exits</w:t>
            </w:r>
          </w:p>
        </w:tc>
        <w:tc>
          <w:tcPr>
            <w:tcW w:w="3113"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76F2AC26" w14:textId="77777777" w:rsidR="003105FF" w:rsidRDefault="00000000">
            <w:pPr>
              <w:pStyle w:val="Standard"/>
              <w:spacing w:line="276" w:lineRule="exact"/>
              <w:rPr>
                <w:rFonts w:ascii="Calibri" w:hAnsi="Calibri"/>
              </w:rPr>
            </w:pPr>
            <w:r>
              <w:rPr>
                <w:rFonts w:ascii="Calibri" w:hAnsi="Calibri"/>
              </w:rPr>
              <w:t>Identity vacuum; psychological-contract breach</w:t>
            </w:r>
          </w:p>
        </w:tc>
      </w:tr>
      <w:tr w:rsidR="003105FF" w14:paraId="2CE4E480" w14:textId="77777777">
        <w:tblPrEx>
          <w:tblCellMar>
            <w:top w:w="0" w:type="dxa"/>
            <w:bottom w:w="0" w:type="dxa"/>
          </w:tblCellMar>
        </w:tblPrEx>
        <w:tc>
          <w:tcPr>
            <w:tcW w:w="2900" w:type="dxa"/>
            <w:tcBorders>
              <w:top w:val="single" w:sz="2" w:space="0" w:color="BBBBBB"/>
              <w:left w:val="single" w:sz="2" w:space="0" w:color="BBBBBB"/>
              <w:bottom w:val="single" w:sz="2" w:space="0" w:color="BBBBBB"/>
              <w:right w:val="single" w:sz="2" w:space="0" w:color="BBBBBB"/>
            </w:tcBorders>
            <w:shd w:val="clear" w:color="auto" w:fill="EDF1F5"/>
            <w:tcMar>
              <w:top w:w="0" w:type="dxa"/>
              <w:left w:w="108" w:type="dxa"/>
              <w:bottom w:w="0" w:type="dxa"/>
              <w:right w:w="108" w:type="dxa"/>
            </w:tcMar>
            <w:vAlign w:val="center"/>
          </w:tcPr>
          <w:p w14:paraId="16814EA8" w14:textId="77777777" w:rsidR="003105FF" w:rsidRDefault="00000000">
            <w:pPr>
              <w:pStyle w:val="Standard"/>
              <w:spacing w:line="276" w:lineRule="exact"/>
              <w:rPr>
                <w:rFonts w:ascii="Calibri" w:hAnsi="Calibri"/>
                <w:b/>
                <w:bCs/>
                <w:sz w:val="28"/>
                <w:szCs w:val="28"/>
              </w:rPr>
            </w:pPr>
            <w:r>
              <w:rPr>
                <w:rFonts w:ascii="Calibri" w:hAnsi="Calibri"/>
                <w:b/>
                <w:bCs/>
                <w:sz w:val="28"/>
                <w:szCs w:val="28"/>
              </w:rPr>
              <w:t>Helios relevance</w:t>
            </w:r>
          </w:p>
        </w:tc>
        <w:tc>
          <w:tcPr>
            <w:tcW w:w="3000"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79B32EA3" w14:textId="77777777" w:rsidR="003105FF" w:rsidRDefault="00000000">
            <w:pPr>
              <w:pStyle w:val="Standard"/>
              <w:spacing w:line="276" w:lineRule="exact"/>
              <w:rPr>
                <w:rFonts w:ascii="Calibri" w:hAnsi="Calibri"/>
              </w:rPr>
            </w:pPr>
            <w:r>
              <w:rPr>
                <w:rFonts w:ascii="Calibri" w:hAnsi="Calibri"/>
              </w:rPr>
              <w:t>Current state — 8-month ramp-up</w:t>
            </w:r>
          </w:p>
        </w:tc>
        <w:tc>
          <w:tcPr>
            <w:tcW w:w="3113"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6A11187A" w14:textId="77777777" w:rsidR="003105FF" w:rsidRDefault="00000000">
            <w:pPr>
              <w:pStyle w:val="Standard"/>
              <w:spacing w:line="276" w:lineRule="exact"/>
              <w:rPr>
                <w:rFonts w:ascii="Calibri" w:hAnsi="Calibri"/>
              </w:rPr>
            </w:pPr>
            <w:r>
              <w:rPr>
                <w:rFonts w:ascii="Calibri" w:hAnsi="Calibri"/>
              </w:rPr>
              <w:t>Proposed future state</w:t>
            </w:r>
          </w:p>
        </w:tc>
      </w:tr>
    </w:tbl>
    <w:p w14:paraId="641ED6B8" w14:textId="77777777" w:rsidR="003105FF" w:rsidRDefault="00000000">
      <w:pPr>
        <w:pStyle w:val="Standard"/>
        <w:spacing w:before="60" w:after="200"/>
        <w:rPr>
          <w:rFonts w:ascii="Calibri" w:hAnsi="Calibri"/>
        </w:rPr>
      </w:pPr>
      <w:r>
        <w:rPr>
          <w:rFonts w:ascii="Calibri" w:hAnsi="Calibri"/>
        </w:rPr>
        <w:t xml:space="preserve">Table 1: Transactional onboarding versus strategic </w:t>
      </w:r>
      <w:proofErr w:type="spellStart"/>
      <w:r>
        <w:rPr>
          <w:rFonts w:ascii="Calibri" w:hAnsi="Calibri"/>
        </w:rPr>
        <w:t>organisational</w:t>
      </w:r>
      <w:proofErr w:type="spellEnd"/>
      <w:r>
        <w:rPr>
          <w:rFonts w:ascii="Calibri" w:hAnsi="Calibri"/>
        </w:rPr>
        <w:t xml:space="preserve"> </w:t>
      </w:r>
      <w:proofErr w:type="spellStart"/>
      <w:r>
        <w:rPr>
          <w:rFonts w:ascii="Calibri" w:hAnsi="Calibri"/>
        </w:rPr>
        <w:t>socialisation</w:t>
      </w:r>
      <w:proofErr w:type="spellEnd"/>
      <w:r>
        <w:rPr>
          <w:rFonts w:ascii="Calibri" w:hAnsi="Calibri"/>
        </w:rPr>
        <w:t>.</w:t>
      </w:r>
    </w:p>
    <w:p w14:paraId="0E2030FB" w14:textId="77777777" w:rsidR="003105FF" w:rsidRDefault="003105FF">
      <w:pPr>
        <w:pStyle w:val="Standard"/>
        <w:spacing w:before="60" w:after="200"/>
        <w:rPr>
          <w:rFonts w:ascii="Calibri" w:hAnsi="Calibri"/>
        </w:rPr>
      </w:pPr>
    </w:p>
    <w:p w14:paraId="0403C263" w14:textId="77777777" w:rsidR="003105FF" w:rsidRDefault="00000000">
      <w:pPr>
        <w:pStyle w:val="Heading2"/>
        <w:spacing w:before="60" w:after="200"/>
        <w:rPr>
          <w:rFonts w:ascii="Calibri" w:hAnsi="Calibri"/>
          <w:b w:val="0"/>
          <w:bCs w:val="0"/>
          <w:sz w:val="28"/>
          <w:szCs w:val="28"/>
        </w:rPr>
      </w:pPr>
      <w:r>
        <w:rPr>
          <w:rFonts w:ascii="Calibri" w:hAnsi="Calibri"/>
          <w:b w:val="0"/>
          <w:bCs w:val="0"/>
          <w:sz w:val="28"/>
          <w:szCs w:val="28"/>
        </w:rPr>
        <w:t xml:space="preserve">2.2   A structured </w:t>
      </w:r>
      <w:proofErr w:type="spellStart"/>
      <w:r>
        <w:rPr>
          <w:rFonts w:ascii="Calibri" w:hAnsi="Calibri"/>
          <w:b w:val="0"/>
          <w:bCs w:val="0"/>
          <w:sz w:val="28"/>
          <w:szCs w:val="28"/>
        </w:rPr>
        <w:t>socialisation</w:t>
      </w:r>
      <w:proofErr w:type="spellEnd"/>
      <w:r>
        <w:rPr>
          <w:rFonts w:ascii="Calibri" w:hAnsi="Calibri"/>
          <w:b w:val="0"/>
          <w:bCs w:val="0"/>
          <w:sz w:val="28"/>
          <w:szCs w:val="28"/>
        </w:rPr>
        <w:t xml:space="preserve"> framework for Helios</w:t>
      </w:r>
    </w:p>
    <w:p w14:paraId="1F450218" w14:textId="77777777" w:rsidR="003105FF" w:rsidRDefault="00000000">
      <w:pPr>
        <w:pStyle w:val="Textbody"/>
        <w:spacing w:before="60" w:after="200"/>
        <w:rPr>
          <w:rFonts w:ascii="Calibri" w:hAnsi="Calibri"/>
        </w:rPr>
      </w:pPr>
      <w:r>
        <w:rPr>
          <w:rFonts w:ascii="Calibri" w:hAnsi="Calibri"/>
        </w:rPr>
        <w:t xml:space="preserve">I suggest a three-stage strategy based on </w:t>
      </w:r>
      <w:proofErr w:type="gramStart"/>
      <w:r>
        <w:rPr>
          <w:rFonts w:ascii="Calibri" w:hAnsi="Calibri"/>
        </w:rPr>
        <w:t>Bauer’s  Four</w:t>
      </w:r>
      <w:proofErr w:type="gramEnd"/>
      <w:r>
        <w:rPr>
          <w:rFonts w:ascii="Calibri" w:hAnsi="Calibri"/>
        </w:rPr>
        <w:t xml:space="preserve"> Cs and purposefully progressing from institutionalized to personalized techniques. The justification for each stage will be provided with reference to the above theory and particular symptoms of the company.</w:t>
      </w:r>
    </w:p>
    <w:p w14:paraId="356E1A0D" w14:textId="77777777" w:rsidR="003105FF" w:rsidRDefault="003105FF">
      <w:pPr>
        <w:pStyle w:val="Textbody"/>
        <w:spacing w:before="60" w:after="200"/>
        <w:rPr>
          <w:rFonts w:ascii="Calibri" w:hAnsi="Calibri"/>
          <w:sz w:val="20"/>
          <w:szCs w:val="20"/>
        </w:rPr>
      </w:pPr>
    </w:p>
    <w:tbl>
      <w:tblPr>
        <w:tblW w:w="9000" w:type="dxa"/>
        <w:tblInd w:w="10" w:type="dxa"/>
        <w:tblLayout w:type="fixed"/>
        <w:tblCellMar>
          <w:left w:w="10" w:type="dxa"/>
          <w:right w:w="10" w:type="dxa"/>
        </w:tblCellMar>
        <w:tblLook w:val="0000" w:firstRow="0" w:lastRow="0" w:firstColumn="0" w:lastColumn="0" w:noHBand="0" w:noVBand="0"/>
      </w:tblPr>
      <w:tblGrid>
        <w:gridCol w:w="2138"/>
        <w:gridCol w:w="4525"/>
        <w:gridCol w:w="2337"/>
      </w:tblGrid>
      <w:tr w:rsidR="003105FF" w14:paraId="6F646C4D" w14:textId="77777777">
        <w:tblPrEx>
          <w:tblCellMar>
            <w:top w:w="0" w:type="dxa"/>
            <w:bottom w:w="0" w:type="dxa"/>
          </w:tblCellMar>
        </w:tblPrEx>
        <w:trPr>
          <w:tblHeader/>
        </w:trPr>
        <w:tc>
          <w:tcPr>
            <w:tcW w:w="2138" w:type="dxa"/>
            <w:tcBorders>
              <w:top w:val="single" w:sz="2" w:space="0" w:color="BBBBBB"/>
              <w:left w:val="single" w:sz="2" w:space="0" w:color="BBBBBB"/>
              <w:bottom w:val="single" w:sz="2" w:space="0" w:color="BBBBBB"/>
              <w:right w:val="single" w:sz="2" w:space="0" w:color="BBBBBB"/>
            </w:tcBorders>
            <w:shd w:val="clear" w:color="auto" w:fill="1F6F54"/>
            <w:tcMar>
              <w:top w:w="0" w:type="dxa"/>
              <w:left w:w="108" w:type="dxa"/>
              <w:bottom w:w="0" w:type="dxa"/>
              <w:right w:w="108" w:type="dxa"/>
            </w:tcMar>
            <w:vAlign w:val="center"/>
          </w:tcPr>
          <w:p w14:paraId="5BEA3B90" w14:textId="77777777" w:rsidR="003105FF" w:rsidRDefault="00000000">
            <w:pPr>
              <w:pStyle w:val="Standard"/>
              <w:spacing w:line="276" w:lineRule="exact"/>
              <w:rPr>
                <w:rFonts w:ascii="Calibri" w:hAnsi="Calibri"/>
                <w:b/>
                <w:bCs/>
                <w:color w:val="FFFFFF"/>
                <w:sz w:val="28"/>
                <w:szCs w:val="28"/>
              </w:rPr>
            </w:pPr>
            <w:r>
              <w:rPr>
                <w:rFonts w:ascii="Calibri" w:hAnsi="Calibri"/>
                <w:b/>
                <w:bCs/>
                <w:color w:val="FFFFFF"/>
                <w:sz w:val="28"/>
                <w:szCs w:val="28"/>
              </w:rPr>
              <w:t>Phase</w:t>
            </w:r>
          </w:p>
        </w:tc>
        <w:tc>
          <w:tcPr>
            <w:tcW w:w="4525" w:type="dxa"/>
            <w:tcBorders>
              <w:top w:val="single" w:sz="2" w:space="0" w:color="BBBBBB"/>
              <w:left w:val="single" w:sz="2" w:space="0" w:color="BBBBBB"/>
              <w:bottom w:val="single" w:sz="2" w:space="0" w:color="BBBBBB"/>
              <w:right w:val="single" w:sz="2" w:space="0" w:color="BBBBBB"/>
            </w:tcBorders>
            <w:shd w:val="clear" w:color="auto" w:fill="1F6F54"/>
            <w:tcMar>
              <w:top w:w="0" w:type="dxa"/>
              <w:left w:w="108" w:type="dxa"/>
              <w:bottom w:w="0" w:type="dxa"/>
              <w:right w:w="108" w:type="dxa"/>
            </w:tcMar>
            <w:vAlign w:val="center"/>
          </w:tcPr>
          <w:p w14:paraId="43FBF128" w14:textId="77777777" w:rsidR="003105FF" w:rsidRDefault="00000000">
            <w:pPr>
              <w:pStyle w:val="Standard"/>
              <w:spacing w:line="276" w:lineRule="exact"/>
              <w:rPr>
                <w:rFonts w:ascii="Calibri" w:hAnsi="Calibri"/>
                <w:b/>
                <w:bCs/>
                <w:color w:val="FFFFFF"/>
                <w:sz w:val="28"/>
                <w:szCs w:val="28"/>
              </w:rPr>
            </w:pPr>
            <w:r>
              <w:rPr>
                <w:rFonts w:ascii="Calibri" w:hAnsi="Calibri"/>
                <w:b/>
                <w:bCs/>
                <w:color w:val="FFFFFF"/>
                <w:sz w:val="28"/>
                <w:szCs w:val="28"/>
              </w:rPr>
              <w:t>Key mechanisms</w:t>
            </w:r>
          </w:p>
        </w:tc>
        <w:tc>
          <w:tcPr>
            <w:tcW w:w="2337" w:type="dxa"/>
            <w:tcBorders>
              <w:top w:val="single" w:sz="2" w:space="0" w:color="BBBBBB"/>
              <w:left w:val="single" w:sz="2" w:space="0" w:color="BBBBBB"/>
              <w:bottom w:val="single" w:sz="2" w:space="0" w:color="BBBBBB"/>
              <w:right w:val="single" w:sz="2" w:space="0" w:color="BBBBBB"/>
            </w:tcBorders>
            <w:shd w:val="clear" w:color="auto" w:fill="1F6F54"/>
            <w:tcMar>
              <w:top w:w="0" w:type="dxa"/>
              <w:left w:w="108" w:type="dxa"/>
              <w:bottom w:w="0" w:type="dxa"/>
              <w:right w:w="108" w:type="dxa"/>
            </w:tcMar>
            <w:vAlign w:val="center"/>
          </w:tcPr>
          <w:p w14:paraId="335F7050" w14:textId="77777777" w:rsidR="003105FF" w:rsidRDefault="00000000">
            <w:pPr>
              <w:pStyle w:val="Standard"/>
              <w:spacing w:line="276" w:lineRule="exact"/>
              <w:rPr>
                <w:rFonts w:ascii="Calibri" w:hAnsi="Calibri"/>
                <w:b/>
                <w:bCs/>
                <w:color w:val="FFFFFF"/>
                <w:sz w:val="28"/>
                <w:szCs w:val="28"/>
              </w:rPr>
            </w:pPr>
            <w:r>
              <w:rPr>
                <w:rFonts w:ascii="Calibri" w:hAnsi="Calibri"/>
                <w:b/>
                <w:bCs/>
                <w:color w:val="FFFFFF"/>
                <w:sz w:val="28"/>
                <w:szCs w:val="28"/>
              </w:rPr>
              <w:t>Theoretical justification</w:t>
            </w:r>
          </w:p>
        </w:tc>
      </w:tr>
      <w:tr w:rsidR="003105FF" w14:paraId="34446F2B" w14:textId="77777777">
        <w:tblPrEx>
          <w:tblCellMar>
            <w:top w:w="0" w:type="dxa"/>
            <w:bottom w:w="0" w:type="dxa"/>
          </w:tblCellMar>
        </w:tblPrEx>
        <w:tc>
          <w:tcPr>
            <w:tcW w:w="2138" w:type="dxa"/>
            <w:tcBorders>
              <w:top w:val="single" w:sz="2" w:space="0" w:color="BBBBBB"/>
              <w:left w:val="single" w:sz="2" w:space="0" w:color="BBBBBB"/>
              <w:bottom w:val="single" w:sz="2" w:space="0" w:color="BBBBBB"/>
              <w:right w:val="single" w:sz="2" w:space="0" w:color="BBBBBB"/>
            </w:tcBorders>
            <w:shd w:val="clear" w:color="auto" w:fill="EAF3EF"/>
            <w:tcMar>
              <w:top w:w="0" w:type="dxa"/>
              <w:left w:w="108" w:type="dxa"/>
              <w:bottom w:w="0" w:type="dxa"/>
              <w:right w:w="108" w:type="dxa"/>
            </w:tcMar>
            <w:vAlign w:val="center"/>
          </w:tcPr>
          <w:p w14:paraId="7A9BAB7F" w14:textId="77777777" w:rsidR="003105FF" w:rsidRDefault="00000000">
            <w:pPr>
              <w:pStyle w:val="Standard"/>
              <w:spacing w:line="276" w:lineRule="exact"/>
              <w:rPr>
                <w:rFonts w:ascii="Calibri" w:hAnsi="Calibri"/>
                <w:b/>
                <w:bCs/>
                <w:sz w:val="28"/>
                <w:szCs w:val="28"/>
              </w:rPr>
            </w:pPr>
            <w:r>
              <w:rPr>
                <w:rFonts w:ascii="Calibri" w:hAnsi="Calibri"/>
                <w:b/>
                <w:bCs/>
                <w:sz w:val="28"/>
                <w:szCs w:val="28"/>
              </w:rPr>
              <w:t>Pre-boarding</w:t>
            </w:r>
          </w:p>
          <w:p w14:paraId="410F2C22" w14:textId="77777777" w:rsidR="003105FF" w:rsidRDefault="003105FF">
            <w:pPr>
              <w:pStyle w:val="Standard"/>
              <w:spacing w:line="276" w:lineRule="exact"/>
              <w:rPr>
                <w:rFonts w:ascii="Calibri" w:hAnsi="Calibri"/>
                <w:b/>
                <w:bCs/>
                <w:sz w:val="28"/>
                <w:szCs w:val="28"/>
              </w:rPr>
            </w:pPr>
          </w:p>
        </w:tc>
        <w:tc>
          <w:tcPr>
            <w:tcW w:w="4525"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7E1CFE12" w14:textId="77777777" w:rsidR="003105FF" w:rsidRDefault="00000000">
            <w:pPr>
              <w:pStyle w:val="Standard"/>
              <w:spacing w:line="276" w:lineRule="exact"/>
              <w:rPr>
                <w:rFonts w:ascii="Calibri" w:hAnsi="Calibri"/>
              </w:rPr>
            </w:pPr>
            <w:r>
              <w:rPr>
                <w:rFonts w:ascii="Calibri" w:hAnsi="Calibri"/>
              </w:rPr>
              <w:t>Welcome from CEO framing the ‘why’; buddy assigned; equipment, system access and first-week plan sent ahead; community introductions.</w:t>
            </w:r>
          </w:p>
        </w:tc>
        <w:tc>
          <w:tcPr>
            <w:tcW w:w="2337"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394C040E" w14:textId="77777777" w:rsidR="003105FF" w:rsidRDefault="00000000">
            <w:pPr>
              <w:pStyle w:val="Standard"/>
              <w:spacing w:line="276" w:lineRule="exact"/>
              <w:rPr>
                <w:rFonts w:ascii="Calibri" w:hAnsi="Calibri"/>
              </w:rPr>
            </w:pPr>
            <w:r>
              <w:rPr>
                <w:rFonts w:ascii="Calibri" w:hAnsi="Calibri"/>
              </w:rPr>
              <w:t>Identity priming; removes day-1 friction.</w:t>
            </w:r>
          </w:p>
        </w:tc>
      </w:tr>
      <w:tr w:rsidR="003105FF" w14:paraId="3A4C0A20" w14:textId="77777777">
        <w:tblPrEx>
          <w:tblCellMar>
            <w:top w:w="0" w:type="dxa"/>
            <w:bottom w:w="0" w:type="dxa"/>
          </w:tblCellMar>
        </w:tblPrEx>
        <w:tc>
          <w:tcPr>
            <w:tcW w:w="2138" w:type="dxa"/>
            <w:tcBorders>
              <w:top w:val="single" w:sz="2" w:space="0" w:color="BBBBBB"/>
              <w:left w:val="single" w:sz="2" w:space="0" w:color="BBBBBB"/>
              <w:bottom w:val="single" w:sz="2" w:space="0" w:color="BBBBBB"/>
              <w:right w:val="single" w:sz="2" w:space="0" w:color="BBBBBB"/>
            </w:tcBorders>
            <w:shd w:val="clear" w:color="auto" w:fill="EAF3EF"/>
            <w:tcMar>
              <w:top w:w="0" w:type="dxa"/>
              <w:left w:w="108" w:type="dxa"/>
              <w:bottom w:w="0" w:type="dxa"/>
              <w:right w:w="108" w:type="dxa"/>
            </w:tcMar>
            <w:vAlign w:val="center"/>
          </w:tcPr>
          <w:p w14:paraId="4069958B" w14:textId="77777777" w:rsidR="003105FF" w:rsidRDefault="00000000">
            <w:pPr>
              <w:pStyle w:val="Standard"/>
              <w:spacing w:line="276" w:lineRule="exact"/>
              <w:rPr>
                <w:rFonts w:ascii="Calibri" w:hAnsi="Calibri"/>
                <w:b/>
                <w:bCs/>
                <w:sz w:val="28"/>
                <w:szCs w:val="28"/>
              </w:rPr>
            </w:pPr>
            <w:r>
              <w:rPr>
                <w:rFonts w:ascii="Calibri" w:hAnsi="Calibri"/>
                <w:b/>
                <w:bCs/>
                <w:sz w:val="28"/>
                <w:szCs w:val="28"/>
              </w:rPr>
              <w:t>First 90 days</w:t>
            </w:r>
          </w:p>
          <w:p w14:paraId="2D9AD5EE" w14:textId="77777777" w:rsidR="003105FF" w:rsidRDefault="003105FF">
            <w:pPr>
              <w:pStyle w:val="Standard"/>
              <w:spacing w:line="276" w:lineRule="exact"/>
              <w:rPr>
                <w:rFonts w:ascii="Calibri" w:hAnsi="Calibri"/>
                <w:b/>
                <w:bCs/>
                <w:sz w:val="28"/>
                <w:szCs w:val="28"/>
              </w:rPr>
            </w:pPr>
          </w:p>
        </w:tc>
        <w:tc>
          <w:tcPr>
            <w:tcW w:w="4525"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280DDC89" w14:textId="77777777" w:rsidR="003105FF" w:rsidRDefault="00000000">
            <w:pPr>
              <w:pStyle w:val="Standard"/>
              <w:spacing w:line="276" w:lineRule="exact"/>
              <w:rPr>
                <w:rFonts w:ascii="Calibri" w:hAnsi="Calibri"/>
              </w:rPr>
            </w:pPr>
            <w:r>
              <w:rPr>
                <w:rFonts w:ascii="Calibri" w:hAnsi="Calibri"/>
              </w:rPr>
              <w:t>Cross-hub cohort induction; 30/60/90-day milestones; weekly manager cadence; project embedding by week two; psychological-contract ‘expectation reset’ conversations at 30, 60 and 90 days.</w:t>
            </w:r>
          </w:p>
        </w:tc>
        <w:tc>
          <w:tcPr>
            <w:tcW w:w="2337"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36D23BC7" w14:textId="77777777" w:rsidR="003105FF" w:rsidRDefault="00000000">
            <w:pPr>
              <w:pStyle w:val="Standard"/>
              <w:spacing w:line="276" w:lineRule="exact"/>
              <w:rPr>
                <w:rFonts w:ascii="Calibri" w:hAnsi="Calibri"/>
              </w:rPr>
            </w:pPr>
            <w:proofErr w:type="spellStart"/>
            <w:r>
              <w:rPr>
                <w:rFonts w:ascii="Calibri" w:hAnsi="Calibri"/>
              </w:rPr>
              <w:t>Institutionalised</w:t>
            </w:r>
            <w:proofErr w:type="spellEnd"/>
            <w:r>
              <w:rPr>
                <w:rFonts w:ascii="Calibri" w:hAnsi="Calibri"/>
              </w:rPr>
              <w:t xml:space="preserve"> tactics reduce ambiguity; 56% say a buddy met once speeds productivity.</w:t>
            </w:r>
          </w:p>
        </w:tc>
      </w:tr>
      <w:tr w:rsidR="003105FF" w14:paraId="1C022AC5" w14:textId="77777777">
        <w:tblPrEx>
          <w:tblCellMar>
            <w:top w:w="0" w:type="dxa"/>
            <w:bottom w:w="0" w:type="dxa"/>
          </w:tblCellMar>
        </w:tblPrEx>
        <w:tc>
          <w:tcPr>
            <w:tcW w:w="2138" w:type="dxa"/>
            <w:tcBorders>
              <w:top w:val="single" w:sz="2" w:space="0" w:color="BBBBBB"/>
              <w:left w:val="single" w:sz="2" w:space="0" w:color="BBBBBB"/>
              <w:bottom w:val="single" w:sz="2" w:space="0" w:color="BBBBBB"/>
              <w:right w:val="single" w:sz="2" w:space="0" w:color="BBBBBB"/>
            </w:tcBorders>
            <w:shd w:val="clear" w:color="auto" w:fill="EAF3EF"/>
            <w:tcMar>
              <w:top w:w="0" w:type="dxa"/>
              <w:left w:w="108" w:type="dxa"/>
              <w:bottom w:w="0" w:type="dxa"/>
              <w:right w:w="108" w:type="dxa"/>
            </w:tcMar>
            <w:vAlign w:val="center"/>
          </w:tcPr>
          <w:p w14:paraId="122D3662" w14:textId="77777777" w:rsidR="003105FF" w:rsidRDefault="00000000">
            <w:pPr>
              <w:pStyle w:val="Standard"/>
              <w:spacing w:line="276" w:lineRule="exact"/>
              <w:rPr>
                <w:rFonts w:ascii="Calibri" w:hAnsi="Calibri"/>
                <w:b/>
                <w:bCs/>
                <w:sz w:val="28"/>
                <w:szCs w:val="28"/>
              </w:rPr>
            </w:pPr>
            <w:r>
              <w:rPr>
                <w:rFonts w:ascii="Calibri" w:hAnsi="Calibri"/>
                <w:b/>
                <w:bCs/>
                <w:sz w:val="28"/>
                <w:szCs w:val="28"/>
              </w:rPr>
              <w:t>Year one</w:t>
            </w:r>
          </w:p>
        </w:tc>
        <w:tc>
          <w:tcPr>
            <w:tcW w:w="4525"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6B8C0F63" w14:textId="77777777" w:rsidR="003105FF" w:rsidRDefault="00000000">
            <w:pPr>
              <w:pStyle w:val="Standard"/>
              <w:spacing w:line="276" w:lineRule="exact"/>
              <w:rPr>
                <w:rFonts w:ascii="Calibri" w:hAnsi="Calibri"/>
              </w:rPr>
            </w:pPr>
            <w:r>
              <w:rPr>
                <w:rFonts w:ascii="Calibri" w:hAnsi="Calibri"/>
              </w:rPr>
              <w:t>Serial mentoring; first internal ‘gig’ via the talent exchange; ethics and activism workshops; six- and twelve-month identification pulse checks.</w:t>
            </w:r>
          </w:p>
        </w:tc>
        <w:tc>
          <w:tcPr>
            <w:tcW w:w="2337"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7737353C" w14:textId="77777777" w:rsidR="003105FF" w:rsidRDefault="00000000">
            <w:pPr>
              <w:pStyle w:val="Standard"/>
              <w:spacing w:line="276" w:lineRule="exact"/>
              <w:rPr>
                <w:rFonts w:ascii="Calibri" w:hAnsi="Calibri"/>
              </w:rPr>
            </w:pPr>
            <w:r>
              <w:rPr>
                <w:rFonts w:ascii="Calibri" w:hAnsi="Calibri"/>
              </w:rPr>
              <w:t xml:space="preserve">Shift to </w:t>
            </w:r>
            <w:proofErr w:type="spellStart"/>
            <w:r>
              <w:rPr>
                <w:rFonts w:ascii="Calibri" w:hAnsi="Calibri"/>
              </w:rPr>
              <w:t>individualised</w:t>
            </w:r>
            <w:proofErr w:type="spellEnd"/>
            <w:r>
              <w:rPr>
                <w:rFonts w:ascii="Calibri" w:hAnsi="Calibri"/>
              </w:rPr>
              <w:t xml:space="preserve"> tactics protects innovation; builds </w:t>
            </w:r>
            <w:proofErr w:type="spellStart"/>
            <w:r>
              <w:rPr>
                <w:rFonts w:ascii="Calibri" w:hAnsi="Calibri"/>
              </w:rPr>
              <w:t>organisational</w:t>
            </w:r>
            <w:proofErr w:type="spellEnd"/>
            <w:r>
              <w:rPr>
                <w:rFonts w:ascii="Calibri" w:hAnsi="Calibri"/>
              </w:rPr>
              <w:t xml:space="preserve"> identification.</w:t>
            </w:r>
          </w:p>
        </w:tc>
      </w:tr>
    </w:tbl>
    <w:p w14:paraId="1A2F97AB" w14:textId="77777777" w:rsidR="003105FF" w:rsidRDefault="00000000">
      <w:pPr>
        <w:pStyle w:val="Standard"/>
        <w:spacing w:before="60" w:after="200"/>
        <w:rPr>
          <w:rFonts w:ascii="Calibri" w:hAnsi="Calibri"/>
        </w:rPr>
      </w:pPr>
      <w:r>
        <w:rPr>
          <w:rFonts w:ascii="Calibri" w:hAnsi="Calibri"/>
        </w:rPr>
        <w:t xml:space="preserve">Figure 1: The proposed Helios </w:t>
      </w:r>
      <w:proofErr w:type="spellStart"/>
      <w:r>
        <w:rPr>
          <w:rFonts w:ascii="Calibri" w:hAnsi="Calibri"/>
        </w:rPr>
        <w:t>socialisation</w:t>
      </w:r>
      <w:proofErr w:type="spellEnd"/>
      <w:r>
        <w:rPr>
          <w:rFonts w:ascii="Calibri" w:hAnsi="Calibri"/>
        </w:rPr>
        <w:t xml:space="preserve"> framework.</w:t>
      </w:r>
    </w:p>
    <w:p w14:paraId="2EDA3544" w14:textId="77777777" w:rsidR="003105FF" w:rsidRDefault="00000000">
      <w:pPr>
        <w:pStyle w:val="Standard"/>
        <w:spacing w:before="60" w:after="200"/>
        <w:rPr>
          <w:rFonts w:ascii="Calibri" w:hAnsi="Calibri"/>
        </w:rPr>
      </w:pPr>
      <w:r>
        <w:rPr>
          <w:rFonts w:ascii="Calibri" w:hAnsi="Calibri"/>
        </w:rPr>
        <w:t xml:space="preserve">The rationale is linear. Pre-boarding narrows down the risky period between recruitment and start date, during which time up to one in five exit decisions starts to form, and it is less </w:t>
      </w:r>
      <w:r>
        <w:rPr>
          <w:rFonts w:ascii="Calibri" w:hAnsi="Calibri"/>
        </w:rPr>
        <w:lastRenderedPageBreak/>
        <w:t>costly and more effective to prime identity than remedy disengagement. The 90-day process is designed to employ group and formal mechanisms because ambiguity creates Helios’s dilemma of gradual integration; cohorts are responsible for creating the peer relationships that will support identity formation at three distributed hubs. The intentional transition to individualized and developmental approaches in year one addresses the high attrition rates of graduates: they flee from custodial systems once competence is achieved.</w:t>
      </w:r>
    </w:p>
    <w:p w14:paraId="043A49BF" w14:textId="77777777" w:rsidR="003105FF" w:rsidRDefault="003105FF">
      <w:pPr>
        <w:pStyle w:val="Standard"/>
        <w:spacing w:before="60" w:after="200"/>
        <w:rPr>
          <w:rFonts w:ascii="Calibri" w:hAnsi="Calibri"/>
          <w:sz w:val="20"/>
          <w:szCs w:val="20"/>
        </w:rPr>
      </w:pPr>
    </w:p>
    <w:p w14:paraId="4B2BE845" w14:textId="77777777" w:rsidR="003105FF" w:rsidRDefault="00000000">
      <w:pPr>
        <w:pStyle w:val="Heading2"/>
        <w:spacing w:before="60" w:after="200"/>
        <w:rPr>
          <w:rFonts w:ascii="Calibri" w:hAnsi="Calibri"/>
          <w:b w:val="0"/>
          <w:bCs w:val="0"/>
          <w:sz w:val="28"/>
          <w:szCs w:val="28"/>
        </w:rPr>
      </w:pPr>
      <w:r>
        <w:rPr>
          <w:rFonts w:ascii="Calibri" w:hAnsi="Calibri"/>
          <w:b w:val="0"/>
          <w:bCs w:val="0"/>
          <w:sz w:val="28"/>
          <w:szCs w:val="28"/>
        </w:rPr>
        <w:t>2.3 Cultivating identification, ethical professionalism and the business-activist mindset</w:t>
      </w:r>
    </w:p>
    <w:p w14:paraId="6E7A8EA2" w14:textId="77777777" w:rsidR="003105FF" w:rsidRDefault="00000000">
      <w:pPr>
        <w:pStyle w:val="Textbody"/>
        <w:spacing w:before="60" w:after="200"/>
        <w:rPr>
          <w:rFonts w:ascii="Calibri" w:hAnsi="Calibri"/>
        </w:rPr>
      </w:pPr>
      <w:r>
        <w:rPr>
          <w:rFonts w:ascii="Calibri" w:hAnsi="Calibri"/>
        </w:rPr>
        <w:t xml:space="preserve">Identifying with the </w:t>
      </w:r>
      <w:proofErr w:type="spellStart"/>
      <w:r>
        <w:rPr>
          <w:rFonts w:ascii="Calibri" w:hAnsi="Calibri"/>
        </w:rPr>
        <w:t>organisation</w:t>
      </w:r>
      <w:proofErr w:type="spellEnd"/>
      <w:r>
        <w:rPr>
          <w:rFonts w:ascii="Calibri" w:hAnsi="Calibri"/>
        </w:rPr>
        <w:t xml:space="preserve"> is developed, not enforced. Following the suggestions made by Ashforth and Mael, I suggest implementing three initiatives: a recurring, top-leader-endorsed story of purpose, tying Helios’s purpose of creating cleaner and more intelligent cities to every position; symbolic rituals of the cohort, creating distinctiveness; and visible mobility within the firm, showing that the company invests in people on a longer term basis. These solutions will directly address the problem with the 54 per cent figure, as </w:t>
      </w:r>
      <w:proofErr w:type="spellStart"/>
      <w:r>
        <w:rPr>
          <w:rFonts w:ascii="Calibri" w:hAnsi="Calibri"/>
        </w:rPr>
        <w:t>organisational</w:t>
      </w:r>
      <w:proofErr w:type="spellEnd"/>
      <w:r>
        <w:rPr>
          <w:rFonts w:ascii="Calibri" w:hAnsi="Calibri"/>
        </w:rPr>
        <w:t xml:space="preserve"> identification is a better predictor of discretionary effort than mere job satisfaction.</w:t>
      </w:r>
    </w:p>
    <w:p w14:paraId="6EBEC872" w14:textId="77777777" w:rsidR="003105FF" w:rsidRDefault="00000000">
      <w:pPr>
        <w:pStyle w:val="Textbody"/>
        <w:spacing w:before="60" w:after="200"/>
        <w:rPr>
          <w:rFonts w:ascii="Calibri" w:hAnsi="Calibri"/>
        </w:rPr>
      </w:pPr>
      <w:r>
        <w:rPr>
          <w:rFonts w:ascii="Calibri" w:hAnsi="Calibri"/>
        </w:rPr>
        <w:t xml:space="preserve">There is an additional level of importance attributed to ethical professionalism because the company’s services have public interest implications, ranging from risks of surveillance to potential biases of algorithms used to assign transportation to residents of city governments. For that reason, I would suggest including ethics into the process of </w:t>
      </w:r>
      <w:proofErr w:type="spellStart"/>
      <w:r>
        <w:rPr>
          <w:rFonts w:ascii="Calibri" w:hAnsi="Calibri"/>
        </w:rPr>
        <w:t>socialisation</w:t>
      </w:r>
      <w:proofErr w:type="spellEnd"/>
      <w:r>
        <w:rPr>
          <w:rFonts w:ascii="Calibri" w:hAnsi="Calibri"/>
        </w:rPr>
        <w:t xml:space="preserve">, rather than leaving it only as annual compliance: a published code of ethics created in collaboration with cohorts, an ‘ethical pre-mortem' ritual where a team evaluates how a system can endanger citizens prior to implementation, and psychological safety to </w:t>
      </w:r>
      <w:proofErr w:type="spellStart"/>
      <w:r>
        <w:rPr>
          <w:rFonts w:ascii="Calibri" w:hAnsi="Calibri"/>
        </w:rPr>
        <w:t>incentivise</w:t>
      </w:r>
      <w:proofErr w:type="spellEnd"/>
      <w:r>
        <w:rPr>
          <w:rFonts w:ascii="Calibri" w:hAnsi="Calibri"/>
        </w:rPr>
        <w:t xml:space="preserve"> speaking up.</w:t>
      </w:r>
    </w:p>
    <w:p w14:paraId="281CB753" w14:textId="77777777" w:rsidR="003105FF" w:rsidRDefault="00000000">
      <w:pPr>
        <w:pStyle w:val="Textbody"/>
        <w:spacing w:before="60" w:after="200"/>
        <w:rPr>
          <w:rFonts w:ascii="Calibri" w:hAnsi="Calibri"/>
        </w:rPr>
      </w:pPr>
      <w:proofErr w:type="gramStart"/>
      <w:r>
        <w:rPr>
          <w:rFonts w:ascii="Calibri" w:hAnsi="Calibri"/>
        </w:rPr>
        <w:t>Last but not least</w:t>
      </w:r>
      <w:proofErr w:type="gramEnd"/>
      <w:r>
        <w:rPr>
          <w:rFonts w:ascii="Calibri" w:hAnsi="Calibri"/>
        </w:rPr>
        <w:t xml:space="preserve">, the ‘business-activist’ approach incorporates Ulrich’s model of the evolving HR business partner, whereby the essential individual skill is that of being a ‘credible activist’ – having a point of view and acting on it, thereby earning the right to be listened to. Taking this to all employees in combination with stakeholder capitalism, defined by the new purpose of the corporation, adopted by 181 CEOs in the Declaration by the Business Roundtable and the Davos Manifesto by the World Economic Forum, the objective is to grow individuals who see how their everyday activities create value for customers, investors, communities and the environment and are prepared to speak up constructively. An important caveat is in order here: the concept of stakeholder capitalism has come under fire as being merely rhetorical, as experts have argued it may just be ‘talk’. The implication for Helios is operational rather than aspirational – the practice of activism </w:t>
      </w:r>
      <w:proofErr w:type="gramStart"/>
      <w:r>
        <w:rPr>
          <w:rFonts w:ascii="Calibri" w:hAnsi="Calibri"/>
        </w:rPr>
        <w:t>has to</w:t>
      </w:r>
      <w:proofErr w:type="gramEnd"/>
      <w:r>
        <w:rPr>
          <w:rFonts w:ascii="Calibri" w:hAnsi="Calibri"/>
        </w:rPr>
        <w:t xml:space="preserve"> be incorporated into tangible </w:t>
      </w:r>
      <w:proofErr w:type="gramStart"/>
      <w:r>
        <w:rPr>
          <w:rFonts w:ascii="Calibri" w:hAnsi="Calibri"/>
        </w:rPr>
        <w:t>metrics</w:t>
      </w:r>
      <w:proofErr w:type="gramEnd"/>
      <w:r>
        <w:rPr>
          <w:rFonts w:ascii="Calibri" w:hAnsi="Calibri"/>
        </w:rPr>
        <w:t xml:space="preserve"> or it will only exacerbate the very cynicism it is intended to counter.</w:t>
      </w:r>
    </w:p>
    <w:p w14:paraId="70B1B302" w14:textId="77777777" w:rsidR="003105FF" w:rsidRDefault="003105FF">
      <w:pPr>
        <w:pStyle w:val="Textbody"/>
        <w:spacing w:before="60" w:after="200"/>
        <w:rPr>
          <w:rFonts w:ascii="Calibri" w:hAnsi="Calibri"/>
        </w:rPr>
      </w:pPr>
    </w:p>
    <w:p w14:paraId="6C2D34FB" w14:textId="77777777" w:rsidR="003105FF" w:rsidRDefault="003105FF">
      <w:pPr>
        <w:pStyle w:val="Textbody"/>
        <w:spacing w:before="60" w:after="200"/>
        <w:rPr>
          <w:rFonts w:ascii="Calibri" w:hAnsi="Calibri"/>
        </w:rPr>
      </w:pPr>
    </w:p>
    <w:p w14:paraId="1D56788C" w14:textId="77777777" w:rsidR="003105FF" w:rsidRDefault="003105FF">
      <w:pPr>
        <w:pStyle w:val="Textbody"/>
        <w:spacing w:before="60" w:after="200"/>
        <w:rPr>
          <w:rFonts w:ascii="Calibri" w:hAnsi="Calibri"/>
        </w:rPr>
      </w:pPr>
    </w:p>
    <w:p w14:paraId="195B53FA" w14:textId="77777777" w:rsidR="003105FF" w:rsidRDefault="003105FF">
      <w:pPr>
        <w:pStyle w:val="Textbody"/>
        <w:spacing w:before="60" w:after="200"/>
        <w:rPr>
          <w:rFonts w:ascii="Calibri" w:hAnsi="Calibri"/>
          <w:b/>
          <w:bCs/>
          <w:sz w:val="20"/>
          <w:szCs w:val="20"/>
        </w:rPr>
      </w:pPr>
    </w:p>
    <w:p w14:paraId="5FB14B60" w14:textId="77777777" w:rsidR="003105FF" w:rsidRDefault="00000000">
      <w:pPr>
        <w:pStyle w:val="Heading1"/>
        <w:spacing w:before="60" w:after="200"/>
        <w:rPr>
          <w:rFonts w:ascii="Calibri" w:hAnsi="Calibri"/>
          <w:sz w:val="32"/>
          <w:szCs w:val="32"/>
        </w:rPr>
      </w:pPr>
      <w:r>
        <w:rPr>
          <w:rFonts w:ascii="Calibri" w:hAnsi="Calibri"/>
          <w:sz w:val="32"/>
          <w:szCs w:val="32"/>
        </w:rPr>
        <w:t>3. Task B: Job Design for Intrinsic Motivation and Innovation</w:t>
      </w:r>
    </w:p>
    <w:p w14:paraId="2FA58C80" w14:textId="77777777" w:rsidR="003105FF" w:rsidRDefault="00000000">
      <w:pPr>
        <w:pStyle w:val="Textbody"/>
        <w:spacing w:before="60" w:after="200"/>
        <w:rPr>
          <w:rFonts w:ascii="Calibri" w:hAnsi="Calibri"/>
        </w:rPr>
      </w:pPr>
      <w:r>
        <w:rPr>
          <w:rFonts w:ascii="Calibri" w:hAnsi="Calibri"/>
        </w:rPr>
        <w:t>The disengagement and graduate exit of Helios is partly due to poor job design. In the case of Schneider Electric, when it sought to find out the reasons for employee exit, half of them gave the lack of opportunities for personal development as their reason. This resonates well with what happened at Helios when it failed to develop high potential graduates who were employed in limited autonomy jobs. Below is the job design approach that would address these problems.</w:t>
      </w:r>
    </w:p>
    <w:p w14:paraId="7D0BD02E" w14:textId="77777777" w:rsidR="003105FF" w:rsidRDefault="00000000">
      <w:pPr>
        <w:pStyle w:val="Heading2"/>
        <w:spacing w:before="60" w:after="200"/>
        <w:rPr>
          <w:rFonts w:ascii="Calibri" w:hAnsi="Calibri"/>
          <w:b w:val="0"/>
          <w:bCs w:val="0"/>
          <w:sz w:val="28"/>
          <w:szCs w:val="28"/>
        </w:rPr>
      </w:pPr>
      <w:r>
        <w:rPr>
          <w:rFonts w:ascii="Calibri" w:hAnsi="Calibri"/>
          <w:b w:val="0"/>
          <w:bCs w:val="0"/>
          <w:sz w:val="28"/>
          <w:szCs w:val="28"/>
        </w:rPr>
        <w:t>3.1 The Job Characteristics Model as the design backbone</w:t>
      </w:r>
    </w:p>
    <w:p w14:paraId="493E7211" w14:textId="77777777" w:rsidR="003105FF" w:rsidRDefault="00000000">
      <w:pPr>
        <w:pStyle w:val="Textbody"/>
        <w:spacing w:before="60" w:after="200"/>
        <w:rPr>
          <w:rFonts w:ascii="Calibri" w:hAnsi="Calibri"/>
        </w:rPr>
      </w:pPr>
      <w:r>
        <w:rPr>
          <w:rFonts w:ascii="Calibri" w:hAnsi="Calibri"/>
        </w:rPr>
        <w:t xml:space="preserve">The Job Characteristics Model (JCM), developed by Hackman &amp; Oldham in 1976 and 1980, posits that there are five basic job characteristics: skill variety, task identity, task significance, autonomy and feedback that lead to three psychological states, which in turn cause intrinsic motivation, performance and retention. Importantly, this model is conditioned by growth-need strength – it works best for those people who need challenge and growth. And as the graduates from Helios’ program are high potential </w:t>
      </w:r>
      <w:proofErr w:type="gramStart"/>
      <w:r>
        <w:rPr>
          <w:rFonts w:ascii="Calibri" w:hAnsi="Calibri"/>
        </w:rPr>
        <w:t>employees by definition, their</w:t>
      </w:r>
      <w:proofErr w:type="gramEnd"/>
      <w:r>
        <w:rPr>
          <w:rFonts w:ascii="Calibri" w:hAnsi="Calibri"/>
        </w:rPr>
        <w:t xml:space="preserve"> growth-need strength is high, which is exactly the reason why narrow job scope demotivates them and why the redesign would work so well for them. Specifically, Helios should increase skill variety by combining engineering tasks with client interactions; create task identity by giving the engineers ownership over one module of the city system from start to finish; increase task significance by highlighting its impact on the city; increase autonomy by giving the decision rights regarding methods and increase feedback by introducing fast build-measure-learn loops instead of annual performance evaluations.</w:t>
      </w:r>
    </w:p>
    <w:p w14:paraId="7BAACBAA" w14:textId="77777777" w:rsidR="003105FF" w:rsidRDefault="00000000">
      <w:pPr>
        <w:pStyle w:val="Heading2"/>
        <w:spacing w:before="60" w:after="200"/>
        <w:rPr>
          <w:rFonts w:ascii="Calibri" w:hAnsi="Calibri"/>
          <w:b w:val="0"/>
          <w:bCs w:val="0"/>
          <w:sz w:val="28"/>
          <w:szCs w:val="28"/>
        </w:rPr>
      </w:pPr>
      <w:r>
        <w:rPr>
          <w:rFonts w:ascii="Calibri" w:hAnsi="Calibri"/>
          <w:b w:val="0"/>
          <w:bCs w:val="0"/>
          <w:sz w:val="28"/>
          <w:szCs w:val="28"/>
        </w:rPr>
        <w:t>3.2 Job crafting as a bottom-up complement</w:t>
      </w:r>
    </w:p>
    <w:p w14:paraId="625442A0" w14:textId="77777777" w:rsidR="003105FF" w:rsidRDefault="00000000">
      <w:pPr>
        <w:pStyle w:val="Textbody"/>
        <w:spacing w:before="60" w:after="200"/>
        <w:rPr>
          <w:rFonts w:ascii="Calibri" w:hAnsi="Calibri"/>
        </w:rPr>
      </w:pPr>
      <w:r>
        <w:rPr>
          <w:rFonts w:ascii="Calibri" w:hAnsi="Calibri"/>
        </w:rPr>
        <w:t>Redesign from the top is needed but not sufficient, since no manager can predict all employees' strengths. Job Crafting theory re-defines employees as proactive creators of their own jobs by task crafting, relational crafting and cognitive crafting. Tims and Bakker apply the approach to Job Demands–Resources theory as resource-seeking and demand-</w:t>
      </w:r>
      <w:proofErr w:type="spellStart"/>
      <w:r>
        <w:rPr>
          <w:rFonts w:ascii="Calibri" w:hAnsi="Calibri"/>
        </w:rPr>
        <w:t>optimalizing</w:t>
      </w:r>
      <w:proofErr w:type="spellEnd"/>
      <w:r>
        <w:rPr>
          <w:rFonts w:ascii="Calibri" w:hAnsi="Calibri"/>
        </w:rPr>
        <w:t xml:space="preserve"> </w:t>
      </w:r>
      <w:proofErr w:type="spellStart"/>
      <w:r>
        <w:rPr>
          <w:rFonts w:ascii="Calibri" w:hAnsi="Calibri"/>
        </w:rPr>
        <w:t>behaviour</w:t>
      </w:r>
      <w:proofErr w:type="spellEnd"/>
      <w:r>
        <w:rPr>
          <w:rFonts w:ascii="Calibri" w:hAnsi="Calibri"/>
        </w:rPr>
        <w:t xml:space="preserve"> by employees. For Helios, I propose job crafting workshops in the year one period, as well as idiosyncratic deals allowing star employees to design their own roles. Job crafting is cheap, scales organically within a company with 450 employees, and transforms passive </w:t>
      </w:r>
      <w:proofErr w:type="gramStart"/>
      <w:r>
        <w:rPr>
          <w:rFonts w:ascii="Calibri" w:hAnsi="Calibri"/>
        </w:rPr>
        <w:t>job-holders</w:t>
      </w:r>
      <w:proofErr w:type="gramEnd"/>
      <w:r>
        <w:rPr>
          <w:rFonts w:ascii="Calibri" w:hAnsi="Calibri"/>
        </w:rPr>
        <w:t xml:space="preserve"> into proactive co-designers of their job – a direct answer to 54 per cent engagement rate.</w:t>
      </w:r>
    </w:p>
    <w:p w14:paraId="558CD65B" w14:textId="77777777" w:rsidR="003105FF" w:rsidRDefault="00000000">
      <w:pPr>
        <w:pStyle w:val="Heading2"/>
        <w:spacing w:before="60" w:after="200"/>
        <w:rPr>
          <w:rFonts w:ascii="Calibri" w:hAnsi="Calibri"/>
          <w:b w:val="0"/>
          <w:bCs w:val="0"/>
          <w:sz w:val="28"/>
          <w:szCs w:val="28"/>
        </w:rPr>
      </w:pPr>
      <w:proofErr w:type="gramStart"/>
      <w:r>
        <w:rPr>
          <w:rFonts w:ascii="Calibri" w:hAnsi="Calibri"/>
          <w:b w:val="0"/>
          <w:bCs w:val="0"/>
          <w:sz w:val="28"/>
          <w:szCs w:val="28"/>
        </w:rPr>
        <w:t>3.3  A</w:t>
      </w:r>
      <w:proofErr w:type="gramEnd"/>
      <w:r>
        <w:rPr>
          <w:rFonts w:ascii="Calibri" w:hAnsi="Calibri"/>
          <w:b w:val="0"/>
          <w:bCs w:val="0"/>
          <w:sz w:val="28"/>
          <w:szCs w:val="28"/>
        </w:rPr>
        <w:t xml:space="preserve"> skills-based architecture and an internal talent marketplace</w:t>
      </w:r>
    </w:p>
    <w:p w14:paraId="17083FEC" w14:textId="77777777" w:rsidR="003105FF" w:rsidRDefault="00000000">
      <w:pPr>
        <w:pStyle w:val="Textbody"/>
        <w:spacing w:before="60" w:after="200"/>
        <w:rPr>
          <w:rFonts w:ascii="Calibri" w:hAnsi="Calibri"/>
        </w:rPr>
      </w:pPr>
      <w:r>
        <w:rPr>
          <w:rFonts w:ascii="Calibri" w:hAnsi="Calibri"/>
        </w:rPr>
        <w:t xml:space="preserve">The enabling structure represents the move away from the rigidity of job roles towards a skills architecture where work is based on skills and decomposed tasks, rather than job roles, facilitated by an internal talent marketplace (Deloitte, 2020). Evidence from similar companies is very persuasive. Unilever uses FLEX Experiences marketplaces that leverages artificial intelligence to redeploy more than 8,000 employees and 300,000 hours of work during the pandemic, resulting in 41% increase in productivity and 20% increase in internal collaboration. Schneider Electric's Open Talent Market received registrations from 77% of its worldwide employees, and the savings through increased productivity and lower hiring </w:t>
      </w:r>
      <w:r>
        <w:rPr>
          <w:rFonts w:ascii="Calibri" w:hAnsi="Calibri"/>
        </w:rPr>
        <w:lastRenderedPageBreak/>
        <w:t>expenses amount to US$15 million. Marketplace initiatives from Seagate generated 35,000 hours of capacity and delivered savings of US$1.4m. In line with this, I propose the use of a proportional ‘Helios Talent Exchange’ where there would be a light system for cross-hub jobs, mentorships, and challenging assignments on a quarterly basis appropriate for an organization of 450 employees as opposed to 100,000-strong company. It is meant to provide visibility for internal development, which is the reason why 50 percent of those who left Schneider did so.</w:t>
      </w:r>
    </w:p>
    <w:p w14:paraId="3288F290" w14:textId="77777777" w:rsidR="003105FF" w:rsidRDefault="00000000">
      <w:pPr>
        <w:pStyle w:val="Heading2"/>
        <w:spacing w:before="60" w:after="200"/>
        <w:rPr>
          <w:rFonts w:ascii="Calibri" w:hAnsi="Calibri"/>
          <w:b w:val="0"/>
          <w:bCs w:val="0"/>
          <w:sz w:val="28"/>
          <w:szCs w:val="28"/>
        </w:rPr>
      </w:pPr>
      <w:r>
        <w:rPr>
          <w:rFonts w:ascii="Calibri" w:hAnsi="Calibri"/>
          <w:b w:val="0"/>
          <w:bCs w:val="0"/>
          <w:sz w:val="28"/>
          <w:szCs w:val="28"/>
        </w:rPr>
        <w:t>3.4 How the design stimulates intrinsic motivation and innovation</w:t>
      </w:r>
    </w:p>
    <w:p w14:paraId="4ACE5022" w14:textId="77777777" w:rsidR="003105FF" w:rsidRDefault="00000000">
      <w:pPr>
        <w:pStyle w:val="Textbody"/>
        <w:spacing w:before="60" w:after="200"/>
        <w:rPr>
          <w:rFonts w:ascii="Calibri" w:hAnsi="Calibri"/>
        </w:rPr>
      </w:pPr>
      <w:r>
        <w:rPr>
          <w:rFonts w:ascii="Calibri" w:hAnsi="Calibri"/>
        </w:rPr>
        <w:t>The theoretical basis that integrates the three components is Self-Determination Theory by Deci and Ryan. Intrinsic motivation is high if three basic human needs are fulfilled: autonomy, competence, and relatedness. Our design fulfils all three: autonomy through greater freedom to make decisions, job crafting and self-guided gig; competence through challenging tasks, mentoring and visible skill development; and relatedness through cross-hub collaboration and community feeling from socialization. Innovation emerges as a natural feature of the design rather than as an additional project: cross pollination through gigs exposes engineers to new challenges, autonomy allows them to experiment, and psychological safety – which we build in Task A – ensures that failure as part of innovation will be survivable.</w:t>
      </w:r>
    </w:p>
    <w:p w14:paraId="67E50FAD" w14:textId="77777777" w:rsidR="003105FF" w:rsidRDefault="003105FF">
      <w:pPr>
        <w:pStyle w:val="Textbody"/>
        <w:spacing w:before="60" w:after="200"/>
        <w:rPr>
          <w:rFonts w:ascii="Calibri" w:hAnsi="Calibri"/>
          <w:sz w:val="20"/>
          <w:szCs w:val="20"/>
        </w:rPr>
      </w:pPr>
    </w:p>
    <w:tbl>
      <w:tblPr>
        <w:tblW w:w="8988" w:type="dxa"/>
        <w:tblInd w:w="10" w:type="dxa"/>
        <w:tblLayout w:type="fixed"/>
        <w:tblCellMar>
          <w:left w:w="10" w:type="dxa"/>
          <w:right w:w="10" w:type="dxa"/>
        </w:tblCellMar>
        <w:tblLook w:val="0000" w:firstRow="0" w:lastRow="0" w:firstColumn="0" w:lastColumn="0" w:noHBand="0" w:noVBand="0"/>
      </w:tblPr>
      <w:tblGrid>
        <w:gridCol w:w="2425"/>
        <w:gridCol w:w="3175"/>
        <w:gridCol w:w="3388"/>
      </w:tblGrid>
      <w:tr w:rsidR="003105FF" w14:paraId="35E43E1F" w14:textId="77777777">
        <w:tblPrEx>
          <w:tblCellMar>
            <w:top w:w="0" w:type="dxa"/>
            <w:bottom w:w="0" w:type="dxa"/>
          </w:tblCellMar>
        </w:tblPrEx>
        <w:trPr>
          <w:tblHeader/>
        </w:trPr>
        <w:tc>
          <w:tcPr>
            <w:tcW w:w="2425" w:type="dxa"/>
            <w:tcBorders>
              <w:top w:val="single" w:sz="2" w:space="0" w:color="BBBBBB"/>
              <w:left w:val="single" w:sz="2" w:space="0" w:color="BBBBBB"/>
              <w:bottom w:val="single" w:sz="2" w:space="0" w:color="BBBBBB"/>
              <w:right w:val="single" w:sz="2" w:space="0" w:color="BBBBBB"/>
            </w:tcBorders>
            <w:shd w:val="clear" w:color="auto" w:fill="7A4E1D"/>
            <w:tcMar>
              <w:top w:w="0" w:type="dxa"/>
              <w:left w:w="108" w:type="dxa"/>
              <w:bottom w:w="0" w:type="dxa"/>
              <w:right w:w="108" w:type="dxa"/>
            </w:tcMar>
            <w:vAlign w:val="center"/>
          </w:tcPr>
          <w:p w14:paraId="59974C31" w14:textId="77777777" w:rsidR="003105FF" w:rsidRDefault="00000000">
            <w:pPr>
              <w:pStyle w:val="Standard"/>
              <w:spacing w:line="276" w:lineRule="exact"/>
              <w:rPr>
                <w:rFonts w:ascii="Calibri" w:hAnsi="Calibri"/>
                <w:b/>
                <w:bCs/>
                <w:color w:val="FFFFFF"/>
                <w:sz w:val="28"/>
                <w:szCs w:val="28"/>
              </w:rPr>
            </w:pPr>
            <w:r>
              <w:rPr>
                <w:rFonts w:ascii="Calibri" w:hAnsi="Calibri"/>
                <w:b/>
                <w:bCs/>
                <w:color w:val="FFFFFF"/>
                <w:sz w:val="28"/>
                <w:szCs w:val="28"/>
              </w:rPr>
              <w:t>Design lever</w:t>
            </w:r>
          </w:p>
        </w:tc>
        <w:tc>
          <w:tcPr>
            <w:tcW w:w="3175" w:type="dxa"/>
            <w:tcBorders>
              <w:top w:val="single" w:sz="2" w:space="0" w:color="BBBBBB"/>
              <w:left w:val="single" w:sz="2" w:space="0" w:color="BBBBBB"/>
              <w:bottom w:val="single" w:sz="2" w:space="0" w:color="BBBBBB"/>
              <w:right w:val="single" w:sz="2" w:space="0" w:color="BBBBBB"/>
            </w:tcBorders>
            <w:shd w:val="clear" w:color="auto" w:fill="7A4E1D"/>
            <w:tcMar>
              <w:top w:w="0" w:type="dxa"/>
              <w:left w:w="108" w:type="dxa"/>
              <w:bottom w:w="0" w:type="dxa"/>
              <w:right w:w="108" w:type="dxa"/>
            </w:tcMar>
            <w:vAlign w:val="center"/>
          </w:tcPr>
          <w:p w14:paraId="1C52E6AB" w14:textId="77777777" w:rsidR="003105FF" w:rsidRDefault="00000000">
            <w:pPr>
              <w:pStyle w:val="Standard"/>
              <w:spacing w:line="276" w:lineRule="exact"/>
              <w:rPr>
                <w:rFonts w:ascii="Calibri" w:hAnsi="Calibri"/>
                <w:b/>
                <w:bCs/>
                <w:color w:val="FFFFFF"/>
                <w:sz w:val="28"/>
                <w:szCs w:val="28"/>
              </w:rPr>
            </w:pPr>
            <w:r>
              <w:rPr>
                <w:rFonts w:ascii="Calibri" w:hAnsi="Calibri"/>
                <w:b/>
                <w:bCs/>
                <w:color w:val="FFFFFF"/>
                <w:sz w:val="28"/>
                <w:szCs w:val="28"/>
              </w:rPr>
              <w:t>JCM / crafting mechanism</w:t>
            </w:r>
          </w:p>
        </w:tc>
        <w:tc>
          <w:tcPr>
            <w:tcW w:w="3388" w:type="dxa"/>
            <w:tcBorders>
              <w:top w:val="single" w:sz="2" w:space="0" w:color="BBBBBB"/>
              <w:left w:val="single" w:sz="2" w:space="0" w:color="BBBBBB"/>
              <w:bottom w:val="single" w:sz="2" w:space="0" w:color="BBBBBB"/>
              <w:right w:val="single" w:sz="2" w:space="0" w:color="BBBBBB"/>
            </w:tcBorders>
            <w:shd w:val="clear" w:color="auto" w:fill="7A4E1D"/>
            <w:tcMar>
              <w:top w:w="0" w:type="dxa"/>
              <w:left w:w="108" w:type="dxa"/>
              <w:bottom w:w="0" w:type="dxa"/>
              <w:right w:w="108" w:type="dxa"/>
            </w:tcMar>
            <w:vAlign w:val="center"/>
          </w:tcPr>
          <w:p w14:paraId="3367F30E" w14:textId="77777777" w:rsidR="003105FF" w:rsidRDefault="00000000">
            <w:pPr>
              <w:pStyle w:val="Standard"/>
              <w:spacing w:line="276" w:lineRule="exact"/>
              <w:rPr>
                <w:rFonts w:ascii="Calibri" w:hAnsi="Calibri"/>
                <w:b/>
                <w:bCs/>
                <w:color w:val="FFFFFF"/>
                <w:sz w:val="28"/>
                <w:szCs w:val="28"/>
              </w:rPr>
            </w:pPr>
            <w:r>
              <w:rPr>
                <w:rFonts w:ascii="Calibri" w:hAnsi="Calibri"/>
                <w:b/>
                <w:bCs/>
                <w:color w:val="FFFFFF"/>
                <w:sz w:val="28"/>
                <w:szCs w:val="28"/>
              </w:rPr>
              <w:t>SDT need activated</w:t>
            </w:r>
          </w:p>
        </w:tc>
      </w:tr>
      <w:tr w:rsidR="003105FF" w14:paraId="524510D9" w14:textId="77777777">
        <w:tblPrEx>
          <w:tblCellMar>
            <w:top w:w="0" w:type="dxa"/>
            <w:bottom w:w="0" w:type="dxa"/>
          </w:tblCellMar>
        </w:tblPrEx>
        <w:tc>
          <w:tcPr>
            <w:tcW w:w="2425" w:type="dxa"/>
            <w:tcBorders>
              <w:top w:val="single" w:sz="2" w:space="0" w:color="BBBBBB"/>
              <w:left w:val="single" w:sz="2" w:space="0" w:color="BBBBBB"/>
              <w:bottom w:val="single" w:sz="2" w:space="0" w:color="BBBBBB"/>
              <w:right w:val="single" w:sz="2" w:space="0" w:color="BBBBBB"/>
            </w:tcBorders>
            <w:shd w:val="clear" w:color="auto" w:fill="F4ECE2"/>
            <w:tcMar>
              <w:top w:w="0" w:type="dxa"/>
              <w:left w:w="108" w:type="dxa"/>
              <w:bottom w:w="0" w:type="dxa"/>
              <w:right w:w="108" w:type="dxa"/>
            </w:tcMar>
            <w:vAlign w:val="center"/>
          </w:tcPr>
          <w:p w14:paraId="10300388" w14:textId="77777777" w:rsidR="003105FF" w:rsidRDefault="00000000">
            <w:pPr>
              <w:pStyle w:val="Standard"/>
              <w:spacing w:line="276" w:lineRule="exact"/>
              <w:rPr>
                <w:rFonts w:ascii="Calibri" w:hAnsi="Calibri"/>
                <w:b/>
                <w:bCs/>
              </w:rPr>
            </w:pPr>
            <w:r>
              <w:rPr>
                <w:rFonts w:ascii="Calibri" w:hAnsi="Calibri"/>
                <w:b/>
                <w:bCs/>
              </w:rPr>
              <w:t>Decision rights over method</w:t>
            </w:r>
          </w:p>
        </w:tc>
        <w:tc>
          <w:tcPr>
            <w:tcW w:w="3175"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1D042AD6" w14:textId="77777777" w:rsidR="003105FF" w:rsidRDefault="00000000">
            <w:pPr>
              <w:pStyle w:val="Standard"/>
              <w:spacing w:line="276" w:lineRule="exact"/>
              <w:rPr>
                <w:rFonts w:ascii="Calibri" w:hAnsi="Calibri"/>
              </w:rPr>
            </w:pPr>
            <w:r>
              <w:rPr>
                <w:rFonts w:ascii="Calibri" w:hAnsi="Calibri"/>
              </w:rPr>
              <w:t>Autonomy</w:t>
            </w:r>
          </w:p>
        </w:tc>
        <w:tc>
          <w:tcPr>
            <w:tcW w:w="3388"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43EC1096" w14:textId="77777777" w:rsidR="003105FF" w:rsidRDefault="00000000">
            <w:pPr>
              <w:pStyle w:val="Standard"/>
              <w:spacing w:line="276" w:lineRule="exact"/>
              <w:rPr>
                <w:rFonts w:ascii="Calibri" w:hAnsi="Calibri"/>
              </w:rPr>
            </w:pPr>
            <w:r>
              <w:rPr>
                <w:rFonts w:ascii="Calibri" w:hAnsi="Calibri"/>
              </w:rPr>
              <w:t>Autonomy</w:t>
            </w:r>
          </w:p>
        </w:tc>
      </w:tr>
      <w:tr w:rsidR="003105FF" w14:paraId="0E2A6F28" w14:textId="77777777">
        <w:tblPrEx>
          <w:tblCellMar>
            <w:top w:w="0" w:type="dxa"/>
            <w:bottom w:w="0" w:type="dxa"/>
          </w:tblCellMar>
        </w:tblPrEx>
        <w:tc>
          <w:tcPr>
            <w:tcW w:w="2425" w:type="dxa"/>
            <w:tcBorders>
              <w:top w:val="single" w:sz="2" w:space="0" w:color="BBBBBB"/>
              <w:left w:val="single" w:sz="2" w:space="0" w:color="BBBBBB"/>
              <w:bottom w:val="single" w:sz="2" w:space="0" w:color="BBBBBB"/>
              <w:right w:val="single" w:sz="2" w:space="0" w:color="BBBBBB"/>
            </w:tcBorders>
            <w:shd w:val="clear" w:color="auto" w:fill="F4ECE2"/>
            <w:tcMar>
              <w:top w:w="0" w:type="dxa"/>
              <w:left w:w="108" w:type="dxa"/>
              <w:bottom w:w="0" w:type="dxa"/>
              <w:right w:w="108" w:type="dxa"/>
            </w:tcMar>
            <w:vAlign w:val="center"/>
          </w:tcPr>
          <w:p w14:paraId="3EA4442D" w14:textId="77777777" w:rsidR="003105FF" w:rsidRDefault="00000000">
            <w:pPr>
              <w:pStyle w:val="Standard"/>
              <w:spacing w:line="276" w:lineRule="exact"/>
              <w:rPr>
                <w:rFonts w:ascii="Calibri" w:hAnsi="Calibri"/>
                <w:b/>
                <w:bCs/>
              </w:rPr>
            </w:pPr>
            <w:r>
              <w:rPr>
                <w:rFonts w:ascii="Calibri" w:hAnsi="Calibri"/>
                <w:b/>
                <w:bCs/>
              </w:rPr>
              <w:t>End-to-end module ownership</w:t>
            </w:r>
          </w:p>
        </w:tc>
        <w:tc>
          <w:tcPr>
            <w:tcW w:w="3175"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3ED8490A" w14:textId="77777777" w:rsidR="003105FF" w:rsidRDefault="00000000">
            <w:pPr>
              <w:pStyle w:val="Standard"/>
              <w:spacing w:line="276" w:lineRule="exact"/>
              <w:rPr>
                <w:rFonts w:ascii="Calibri" w:hAnsi="Calibri"/>
              </w:rPr>
            </w:pPr>
            <w:r>
              <w:rPr>
                <w:rFonts w:ascii="Calibri" w:hAnsi="Calibri"/>
              </w:rPr>
              <w:t>Task identity + significance</w:t>
            </w:r>
          </w:p>
        </w:tc>
        <w:tc>
          <w:tcPr>
            <w:tcW w:w="3388"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0A76E48B" w14:textId="77777777" w:rsidR="003105FF" w:rsidRDefault="00000000">
            <w:pPr>
              <w:pStyle w:val="Standard"/>
              <w:spacing w:line="276" w:lineRule="exact"/>
              <w:rPr>
                <w:rFonts w:ascii="Calibri" w:hAnsi="Calibri"/>
              </w:rPr>
            </w:pPr>
            <w:r>
              <w:rPr>
                <w:rFonts w:ascii="Calibri" w:hAnsi="Calibri"/>
              </w:rPr>
              <w:t>Competence + meaning</w:t>
            </w:r>
          </w:p>
        </w:tc>
      </w:tr>
      <w:tr w:rsidR="003105FF" w14:paraId="3061F272" w14:textId="77777777">
        <w:tblPrEx>
          <w:tblCellMar>
            <w:top w:w="0" w:type="dxa"/>
            <w:bottom w:w="0" w:type="dxa"/>
          </w:tblCellMar>
        </w:tblPrEx>
        <w:tc>
          <w:tcPr>
            <w:tcW w:w="2425" w:type="dxa"/>
            <w:tcBorders>
              <w:top w:val="single" w:sz="2" w:space="0" w:color="BBBBBB"/>
              <w:left w:val="single" w:sz="2" w:space="0" w:color="BBBBBB"/>
              <w:bottom w:val="single" w:sz="2" w:space="0" w:color="BBBBBB"/>
              <w:right w:val="single" w:sz="2" w:space="0" w:color="BBBBBB"/>
            </w:tcBorders>
            <w:shd w:val="clear" w:color="auto" w:fill="F4ECE2"/>
            <w:tcMar>
              <w:top w:w="0" w:type="dxa"/>
              <w:left w:w="108" w:type="dxa"/>
              <w:bottom w:w="0" w:type="dxa"/>
              <w:right w:w="108" w:type="dxa"/>
            </w:tcMar>
            <w:vAlign w:val="center"/>
          </w:tcPr>
          <w:p w14:paraId="0CF71006" w14:textId="77777777" w:rsidR="003105FF" w:rsidRDefault="00000000">
            <w:pPr>
              <w:pStyle w:val="Standard"/>
              <w:spacing w:line="276" w:lineRule="exact"/>
              <w:rPr>
                <w:rFonts w:ascii="Calibri" w:hAnsi="Calibri"/>
                <w:b/>
                <w:bCs/>
              </w:rPr>
            </w:pPr>
            <w:r>
              <w:rPr>
                <w:rFonts w:ascii="Calibri" w:hAnsi="Calibri"/>
                <w:b/>
                <w:bCs/>
              </w:rPr>
              <w:t>Build-measure-learn feedback</w:t>
            </w:r>
          </w:p>
        </w:tc>
        <w:tc>
          <w:tcPr>
            <w:tcW w:w="3175"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7D2E7C62" w14:textId="77777777" w:rsidR="003105FF" w:rsidRDefault="00000000">
            <w:pPr>
              <w:pStyle w:val="Standard"/>
              <w:spacing w:line="276" w:lineRule="exact"/>
              <w:rPr>
                <w:rFonts w:ascii="Calibri" w:hAnsi="Calibri"/>
              </w:rPr>
            </w:pPr>
            <w:r>
              <w:rPr>
                <w:rFonts w:ascii="Calibri" w:hAnsi="Calibri"/>
              </w:rPr>
              <w:t>Knowledge of results</w:t>
            </w:r>
          </w:p>
        </w:tc>
        <w:tc>
          <w:tcPr>
            <w:tcW w:w="3388"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7B66C35E" w14:textId="77777777" w:rsidR="003105FF" w:rsidRDefault="00000000">
            <w:pPr>
              <w:pStyle w:val="Standard"/>
              <w:spacing w:line="276" w:lineRule="exact"/>
              <w:rPr>
                <w:rFonts w:ascii="Calibri" w:hAnsi="Calibri"/>
              </w:rPr>
            </w:pPr>
            <w:r>
              <w:rPr>
                <w:rFonts w:ascii="Calibri" w:hAnsi="Calibri"/>
              </w:rPr>
              <w:t>Competence</w:t>
            </w:r>
          </w:p>
        </w:tc>
      </w:tr>
      <w:tr w:rsidR="003105FF" w14:paraId="150BD079" w14:textId="77777777">
        <w:tblPrEx>
          <w:tblCellMar>
            <w:top w:w="0" w:type="dxa"/>
            <w:bottom w:w="0" w:type="dxa"/>
          </w:tblCellMar>
        </w:tblPrEx>
        <w:tc>
          <w:tcPr>
            <w:tcW w:w="2425" w:type="dxa"/>
            <w:tcBorders>
              <w:top w:val="single" w:sz="2" w:space="0" w:color="BBBBBB"/>
              <w:left w:val="single" w:sz="2" w:space="0" w:color="BBBBBB"/>
              <w:bottom w:val="single" w:sz="2" w:space="0" w:color="BBBBBB"/>
              <w:right w:val="single" w:sz="2" w:space="0" w:color="BBBBBB"/>
            </w:tcBorders>
            <w:shd w:val="clear" w:color="auto" w:fill="F4ECE2"/>
            <w:tcMar>
              <w:top w:w="0" w:type="dxa"/>
              <w:left w:w="108" w:type="dxa"/>
              <w:bottom w:w="0" w:type="dxa"/>
              <w:right w:w="108" w:type="dxa"/>
            </w:tcMar>
            <w:vAlign w:val="center"/>
          </w:tcPr>
          <w:p w14:paraId="389EDEA6" w14:textId="77777777" w:rsidR="003105FF" w:rsidRDefault="00000000">
            <w:pPr>
              <w:pStyle w:val="Standard"/>
              <w:spacing w:line="276" w:lineRule="exact"/>
              <w:rPr>
                <w:rFonts w:ascii="Calibri" w:hAnsi="Calibri"/>
                <w:b/>
                <w:bCs/>
              </w:rPr>
            </w:pPr>
            <w:r>
              <w:rPr>
                <w:rFonts w:ascii="Calibri" w:hAnsi="Calibri"/>
                <w:b/>
                <w:bCs/>
              </w:rPr>
              <w:t>Cross-hub gigs (Talent Exchange)</w:t>
            </w:r>
          </w:p>
        </w:tc>
        <w:tc>
          <w:tcPr>
            <w:tcW w:w="3175"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41D05AF9" w14:textId="77777777" w:rsidR="003105FF" w:rsidRDefault="00000000">
            <w:pPr>
              <w:pStyle w:val="Standard"/>
              <w:spacing w:line="276" w:lineRule="exact"/>
              <w:rPr>
                <w:rFonts w:ascii="Calibri" w:hAnsi="Calibri"/>
              </w:rPr>
            </w:pPr>
            <w:r>
              <w:rPr>
                <w:rFonts w:ascii="Calibri" w:hAnsi="Calibri"/>
              </w:rPr>
              <w:t>Skill variety</w:t>
            </w:r>
          </w:p>
        </w:tc>
        <w:tc>
          <w:tcPr>
            <w:tcW w:w="3388"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713EE609" w14:textId="77777777" w:rsidR="003105FF" w:rsidRDefault="00000000">
            <w:pPr>
              <w:pStyle w:val="Standard"/>
              <w:spacing w:line="276" w:lineRule="exact"/>
              <w:rPr>
                <w:rFonts w:ascii="Calibri" w:hAnsi="Calibri"/>
              </w:rPr>
            </w:pPr>
            <w:r>
              <w:rPr>
                <w:rFonts w:ascii="Calibri" w:hAnsi="Calibri"/>
              </w:rPr>
              <w:t>Competence + relatedness</w:t>
            </w:r>
          </w:p>
        </w:tc>
      </w:tr>
      <w:tr w:rsidR="003105FF" w14:paraId="29EBBCAB" w14:textId="77777777">
        <w:tblPrEx>
          <w:tblCellMar>
            <w:top w:w="0" w:type="dxa"/>
            <w:bottom w:w="0" w:type="dxa"/>
          </w:tblCellMar>
        </w:tblPrEx>
        <w:tc>
          <w:tcPr>
            <w:tcW w:w="2425" w:type="dxa"/>
            <w:tcBorders>
              <w:top w:val="single" w:sz="2" w:space="0" w:color="BBBBBB"/>
              <w:left w:val="single" w:sz="2" w:space="0" w:color="BBBBBB"/>
              <w:bottom w:val="single" w:sz="2" w:space="0" w:color="BBBBBB"/>
              <w:right w:val="single" w:sz="2" w:space="0" w:color="BBBBBB"/>
            </w:tcBorders>
            <w:shd w:val="clear" w:color="auto" w:fill="F4ECE2"/>
            <w:tcMar>
              <w:top w:w="0" w:type="dxa"/>
              <w:left w:w="108" w:type="dxa"/>
              <w:bottom w:w="0" w:type="dxa"/>
              <w:right w:w="108" w:type="dxa"/>
            </w:tcMar>
            <w:vAlign w:val="center"/>
          </w:tcPr>
          <w:p w14:paraId="01496656" w14:textId="77777777" w:rsidR="003105FF" w:rsidRDefault="00000000">
            <w:pPr>
              <w:pStyle w:val="Standard"/>
              <w:spacing w:line="276" w:lineRule="exact"/>
              <w:rPr>
                <w:rFonts w:ascii="Calibri" w:hAnsi="Calibri"/>
                <w:b/>
                <w:bCs/>
              </w:rPr>
            </w:pPr>
            <w:r>
              <w:rPr>
                <w:rFonts w:ascii="Calibri" w:hAnsi="Calibri"/>
                <w:b/>
                <w:bCs/>
              </w:rPr>
              <w:t xml:space="preserve">Sanctioned crafting &amp; </w:t>
            </w:r>
            <w:proofErr w:type="spellStart"/>
            <w:r>
              <w:rPr>
                <w:rFonts w:ascii="Calibri" w:hAnsi="Calibri"/>
                <w:b/>
                <w:bCs/>
              </w:rPr>
              <w:t>i</w:t>
            </w:r>
            <w:proofErr w:type="spellEnd"/>
            <w:r>
              <w:rPr>
                <w:rFonts w:ascii="Calibri" w:hAnsi="Calibri"/>
                <w:b/>
                <w:bCs/>
              </w:rPr>
              <w:t>-deals</w:t>
            </w:r>
          </w:p>
        </w:tc>
        <w:tc>
          <w:tcPr>
            <w:tcW w:w="3175"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77E7A371" w14:textId="77777777" w:rsidR="003105FF" w:rsidRDefault="00000000">
            <w:pPr>
              <w:pStyle w:val="Standard"/>
              <w:spacing w:line="276" w:lineRule="exact"/>
              <w:rPr>
                <w:rFonts w:ascii="Calibri" w:hAnsi="Calibri"/>
              </w:rPr>
            </w:pPr>
            <w:r>
              <w:rPr>
                <w:rFonts w:ascii="Calibri" w:hAnsi="Calibri"/>
              </w:rPr>
              <w:t>Task/relational/cognitive crafting</w:t>
            </w:r>
          </w:p>
        </w:tc>
        <w:tc>
          <w:tcPr>
            <w:tcW w:w="3388" w:type="dxa"/>
            <w:tcBorders>
              <w:top w:val="single" w:sz="2" w:space="0" w:color="BBBBBB"/>
              <w:left w:val="single" w:sz="2" w:space="0" w:color="BBBBBB"/>
              <w:bottom w:val="single" w:sz="2" w:space="0" w:color="BBBBBB"/>
              <w:right w:val="single" w:sz="2" w:space="0" w:color="BBBBBB"/>
            </w:tcBorders>
            <w:tcMar>
              <w:top w:w="0" w:type="dxa"/>
              <w:left w:w="108" w:type="dxa"/>
              <w:bottom w:w="0" w:type="dxa"/>
              <w:right w:w="108" w:type="dxa"/>
            </w:tcMar>
            <w:vAlign w:val="center"/>
          </w:tcPr>
          <w:p w14:paraId="0C761AB8" w14:textId="77777777" w:rsidR="003105FF" w:rsidRDefault="00000000">
            <w:pPr>
              <w:pStyle w:val="Standard"/>
              <w:spacing w:line="276" w:lineRule="exact"/>
              <w:rPr>
                <w:rFonts w:ascii="Calibri" w:hAnsi="Calibri"/>
              </w:rPr>
            </w:pPr>
            <w:r>
              <w:rPr>
                <w:rFonts w:ascii="Calibri" w:hAnsi="Calibri"/>
              </w:rPr>
              <w:t>Autonomy + relatedness</w:t>
            </w:r>
          </w:p>
        </w:tc>
      </w:tr>
    </w:tbl>
    <w:p w14:paraId="53B1ABF6" w14:textId="77777777" w:rsidR="003105FF" w:rsidRDefault="00000000">
      <w:pPr>
        <w:pStyle w:val="Standard"/>
        <w:spacing w:before="60" w:after="200"/>
        <w:rPr>
          <w:rFonts w:ascii="Calibri" w:hAnsi="Calibri"/>
        </w:rPr>
      </w:pPr>
      <w:r>
        <w:rPr>
          <w:rFonts w:ascii="Calibri" w:hAnsi="Calibri"/>
        </w:rPr>
        <w:t>Table 2: Mapping Helios’s job-design levers to motivational mechanisms.</w:t>
      </w:r>
    </w:p>
    <w:p w14:paraId="621ECCEA" w14:textId="77777777" w:rsidR="003105FF" w:rsidRDefault="003105FF">
      <w:pPr>
        <w:pStyle w:val="Standard"/>
        <w:spacing w:before="60" w:after="200"/>
        <w:rPr>
          <w:rFonts w:ascii="Calibri" w:hAnsi="Calibri"/>
          <w:b/>
          <w:bCs/>
          <w:sz w:val="20"/>
          <w:szCs w:val="20"/>
        </w:rPr>
      </w:pPr>
    </w:p>
    <w:p w14:paraId="52A810F6" w14:textId="77777777" w:rsidR="003105FF" w:rsidRDefault="003105FF">
      <w:pPr>
        <w:pStyle w:val="Standard"/>
        <w:spacing w:before="60" w:after="200"/>
        <w:rPr>
          <w:rFonts w:ascii="Calibri" w:hAnsi="Calibri"/>
          <w:b/>
          <w:bCs/>
          <w:sz w:val="20"/>
          <w:szCs w:val="20"/>
        </w:rPr>
      </w:pPr>
    </w:p>
    <w:p w14:paraId="149F930C" w14:textId="77777777" w:rsidR="003105FF" w:rsidRDefault="003105FF">
      <w:pPr>
        <w:pStyle w:val="Standard"/>
        <w:spacing w:before="60" w:after="200"/>
        <w:rPr>
          <w:rFonts w:ascii="Calibri" w:hAnsi="Calibri"/>
          <w:b/>
          <w:bCs/>
          <w:sz w:val="20"/>
          <w:szCs w:val="20"/>
        </w:rPr>
      </w:pPr>
    </w:p>
    <w:p w14:paraId="48D8F97E" w14:textId="77777777" w:rsidR="003105FF" w:rsidRDefault="003105FF">
      <w:pPr>
        <w:pStyle w:val="Standard"/>
        <w:spacing w:before="60" w:after="200"/>
        <w:rPr>
          <w:rFonts w:ascii="Calibri" w:hAnsi="Calibri"/>
          <w:b/>
          <w:bCs/>
          <w:sz w:val="20"/>
          <w:szCs w:val="20"/>
        </w:rPr>
      </w:pPr>
    </w:p>
    <w:p w14:paraId="46E83136" w14:textId="77777777" w:rsidR="003105FF" w:rsidRDefault="003105FF">
      <w:pPr>
        <w:pStyle w:val="Standard"/>
        <w:spacing w:before="60" w:after="200"/>
        <w:rPr>
          <w:rFonts w:ascii="Calibri" w:hAnsi="Calibri"/>
          <w:b/>
          <w:bCs/>
          <w:sz w:val="20"/>
          <w:szCs w:val="20"/>
        </w:rPr>
      </w:pPr>
    </w:p>
    <w:p w14:paraId="54B4C7AC" w14:textId="77777777" w:rsidR="003105FF" w:rsidRDefault="003105FF">
      <w:pPr>
        <w:pStyle w:val="Standard"/>
        <w:spacing w:before="60" w:after="200"/>
        <w:rPr>
          <w:rFonts w:ascii="Calibri" w:hAnsi="Calibri"/>
          <w:b/>
          <w:bCs/>
          <w:sz w:val="20"/>
          <w:szCs w:val="20"/>
        </w:rPr>
      </w:pPr>
    </w:p>
    <w:p w14:paraId="365CF045" w14:textId="77777777" w:rsidR="003105FF" w:rsidRDefault="003105FF">
      <w:pPr>
        <w:pStyle w:val="Standard"/>
        <w:spacing w:before="60" w:after="200"/>
        <w:rPr>
          <w:rFonts w:ascii="Calibri" w:hAnsi="Calibri"/>
          <w:b/>
          <w:bCs/>
          <w:sz w:val="20"/>
          <w:szCs w:val="20"/>
        </w:rPr>
      </w:pPr>
    </w:p>
    <w:p w14:paraId="267A584A" w14:textId="77777777" w:rsidR="003105FF" w:rsidRDefault="00000000">
      <w:pPr>
        <w:pStyle w:val="Heading1"/>
        <w:rPr>
          <w:rFonts w:ascii="Calibri" w:hAnsi="Calibri"/>
          <w:sz w:val="32"/>
          <w:szCs w:val="32"/>
        </w:rPr>
      </w:pPr>
      <w:r>
        <w:rPr>
          <w:rFonts w:ascii="Calibri" w:hAnsi="Calibri"/>
          <w:sz w:val="32"/>
          <w:szCs w:val="32"/>
        </w:rPr>
        <w:lastRenderedPageBreak/>
        <w:t>4. Task C: Reflective Report</w:t>
      </w:r>
    </w:p>
    <w:p w14:paraId="3E99E4D3" w14:textId="77777777" w:rsidR="003105FF" w:rsidRDefault="00000000">
      <w:pPr>
        <w:pStyle w:val="Standard"/>
        <w:spacing w:after="160"/>
        <w:jc w:val="both"/>
        <w:rPr>
          <w:rFonts w:ascii="Calibri" w:hAnsi="Calibri"/>
          <w:color w:val="000000"/>
        </w:rPr>
      </w:pPr>
      <w:r>
        <w:rPr>
          <w:rFonts w:ascii="Calibri" w:hAnsi="Calibri"/>
          <w:color w:val="000000"/>
        </w:rPr>
        <w:t xml:space="preserve">Note: this reflection is written in the first person and should be </w:t>
      </w:r>
      <w:proofErr w:type="spellStart"/>
      <w:r>
        <w:rPr>
          <w:rFonts w:ascii="Calibri" w:hAnsi="Calibri"/>
          <w:color w:val="000000"/>
        </w:rPr>
        <w:t>personalised</w:t>
      </w:r>
      <w:proofErr w:type="spellEnd"/>
      <w:r>
        <w:rPr>
          <w:rFonts w:ascii="Calibri" w:hAnsi="Calibri"/>
          <w:color w:val="000000"/>
        </w:rPr>
        <w:t xml:space="preserve"> to your own experience before submission.</w:t>
      </w:r>
    </w:p>
    <w:p w14:paraId="30EC599B" w14:textId="77777777" w:rsidR="003105FF" w:rsidRDefault="00000000">
      <w:pPr>
        <w:pStyle w:val="Heading2"/>
        <w:rPr>
          <w:rFonts w:ascii="Calibri" w:hAnsi="Calibri"/>
          <w:b w:val="0"/>
          <w:bCs w:val="0"/>
        </w:rPr>
      </w:pPr>
      <w:bookmarkStart w:id="1" w:name="__RefHeading__346_974335965"/>
      <w:r>
        <w:rPr>
          <w:rFonts w:ascii="Calibri" w:hAnsi="Calibri"/>
          <w:b w:val="0"/>
          <w:bCs w:val="0"/>
        </w:rPr>
        <w:t>4.1 Using AI as a decision-support tool without eroding human judgement</w:t>
      </w:r>
      <w:bookmarkEnd w:id="1"/>
    </w:p>
    <w:p w14:paraId="763658CF" w14:textId="77777777" w:rsidR="003105FF" w:rsidRDefault="00000000">
      <w:pPr>
        <w:pStyle w:val="Standard"/>
        <w:spacing w:after="160"/>
        <w:jc w:val="both"/>
        <w:rPr>
          <w:rFonts w:ascii="Calibri" w:hAnsi="Calibri"/>
        </w:rPr>
      </w:pPr>
      <w:r>
        <w:rPr>
          <w:rFonts w:ascii="Calibri" w:hAnsi="Calibri"/>
        </w:rPr>
        <w:t>Designing this report sharpened my view that the value of AI in HR lies in augmentation, not automation. The evidence reassures me that the profession agrees: roughly three-quarters of HR professionals believe AI will heighten, not diminish, the value of human judgement over the next five years (SHRM, 2025), and 93 per cent of hiring managers insist on human involvement even amid heavy AI adoption (</w:t>
      </w:r>
      <w:proofErr w:type="spellStart"/>
      <w:r>
        <w:rPr>
          <w:rFonts w:ascii="Calibri" w:hAnsi="Calibri"/>
        </w:rPr>
        <w:t>HireVue</w:t>
      </w:r>
      <w:proofErr w:type="spellEnd"/>
      <w:r>
        <w:rPr>
          <w:rFonts w:ascii="Calibri" w:hAnsi="Calibri"/>
        </w:rPr>
        <w:t xml:space="preserve">, cited in </w:t>
      </w:r>
      <w:proofErr w:type="spellStart"/>
      <w:r>
        <w:rPr>
          <w:rFonts w:ascii="Calibri" w:hAnsi="Calibri"/>
        </w:rPr>
        <w:t>HeroHunt</w:t>
      </w:r>
      <w:proofErr w:type="spellEnd"/>
      <w:r>
        <w:rPr>
          <w:rFonts w:ascii="Calibri" w:hAnsi="Calibri"/>
        </w:rPr>
        <w:t xml:space="preserve">, 2025). My working principle is to let AI surface patterns — predicting attrition risk, matching skills to gigs, flagging biased job-advert language — while reserving consequential decisions about hiring, promotion and exit for accountable humans. I am conscious of two specific failure modes. The first is automation bias, the tendency to over-trust a confident algorithmic recommendation; the second is algorithmic bias, which Bandara et al. (2025) usefully decompose into data, model and deployment bias. I would mitigate both through a ‘human-in-the-loop’ design, routine bias audits and explainability requirements, </w:t>
      </w:r>
      <w:proofErr w:type="spellStart"/>
      <w:r>
        <w:rPr>
          <w:rFonts w:ascii="Calibri" w:hAnsi="Calibri"/>
        </w:rPr>
        <w:t>recognising</w:t>
      </w:r>
      <w:proofErr w:type="spellEnd"/>
      <w:r>
        <w:rPr>
          <w:rFonts w:ascii="Calibri" w:hAnsi="Calibri"/>
        </w:rPr>
        <w:t xml:space="preserve"> that under the EU AI Act employment-related AI is classified as high-risk (CIO, 2026). There is a productive irony here: because Helios builds AI for public clients, it must model responsible AI internally before it can credibly sell it externally — a point I would carry into any advisory engagement.</w:t>
      </w:r>
    </w:p>
    <w:p w14:paraId="1DFA04AC" w14:textId="77777777" w:rsidR="003105FF" w:rsidRDefault="00000000">
      <w:pPr>
        <w:pStyle w:val="Heading2"/>
        <w:rPr>
          <w:rFonts w:ascii="Calibri" w:hAnsi="Calibri"/>
          <w:b w:val="0"/>
          <w:bCs w:val="0"/>
        </w:rPr>
      </w:pPr>
      <w:bookmarkStart w:id="2" w:name="__RefHeading__348_974335965"/>
      <w:r>
        <w:rPr>
          <w:rFonts w:ascii="Calibri" w:hAnsi="Calibri"/>
          <w:b w:val="0"/>
          <w:bCs w:val="0"/>
        </w:rPr>
        <w:t>4.2 Personal capability development plan</w:t>
      </w:r>
      <w:bookmarkEnd w:id="2"/>
    </w:p>
    <w:p w14:paraId="1B91FD8C" w14:textId="77777777" w:rsidR="003105FF" w:rsidRDefault="00000000">
      <w:pPr>
        <w:pStyle w:val="Standard"/>
        <w:spacing w:after="160"/>
        <w:jc w:val="both"/>
        <w:rPr>
          <w:rFonts w:ascii="Calibri" w:hAnsi="Calibri"/>
        </w:rPr>
      </w:pPr>
      <w:r>
        <w:rPr>
          <w:rFonts w:ascii="Calibri" w:hAnsi="Calibri"/>
        </w:rPr>
        <w:t xml:space="preserve">Translating this into my own employability, I have identified four capabilities to develop. First, data literacy: I will complete a structured analytics course (for example, people-analytics or introductory statistics) within six months so that I can interrogate, rather than merely accept, HR dashboards. Second, AI augmentation in HR: I will build hands-on fluency with AI tools for skills-matching and sentiment analysis over the next year, pairing each tool with a critical question about its bias and limits, so that I become a discerning user rather than a passive consumer. Third, strategic influencing: drawing on Ulrich’s (2018) ‘credible activist’, I will deliberately </w:t>
      </w:r>
      <w:proofErr w:type="spellStart"/>
      <w:r>
        <w:rPr>
          <w:rFonts w:ascii="Calibri" w:hAnsi="Calibri"/>
        </w:rPr>
        <w:t>practise</w:t>
      </w:r>
      <w:proofErr w:type="spellEnd"/>
      <w:r>
        <w:rPr>
          <w:rFonts w:ascii="Calibri" w:hAnsi="Calibri"/>
        </w:rPr>
        <w:t xml:space="preserve"> translating data into board-ready arguments, seeking feedback on persuasion and stakeholder management, since technical insight is worthless if it cannot move decisions. Fourth, global mobility awareness: because Helios operates across three continents, I will deepen my understanding of cross-cultural HRM and international employment regulation through targeted reading and, where possible, cross-hub project exposure. Underpinning all four is a commitment to a ‘T-shaped’ profile — deep HR expertise paired with broad commercial and digital breadth — and to continuing professional development as an ongoing discipline rather than a one-off event. I will review progress quarterly against these goals to keep the plan accountable.</w:t>
      </w:r>
    </w:p>
    <w:p w14:paraId="4AB8AD24" w14:textId="77777777" w:rsidR="003105FF" w:rsidRDefault="003105FF">
      <w:pPr>
        <w:pStyle w:val="Standard"/>
        <w:spacing w:after="160"/>
        <w:jc w:val="both"/>
        <w:rPr>
          <w:rFonts w:ascii="Calibri" w:hAnsi="Calibri"/>
          <w:sz w:val="32"/>
          <w:szCs w:val="32"/>
        </w:rPr>
      </w:pPr>
    </w:p>
    <w:p w14:paraId="29D70A48" w14:textId="77777777" w:rsidR="003105FF" w:rsidRDefault="003105FF">
      <w:pPr>
        <w:pStyle w:val="Standard"/>
        <w:spacing w:after="160"/>
        <w:jc w:val="both"/>
        <w:rPr>
          <w:rFonts w:ascii="Calibri" w:hAnsi="Calibri"/>
        </w:rPr>
      </w:pPr>
    </w:p>
    <w:p w14:paraId="39B23B95" w14:textId="77777777" w:rsidR="003105FF" w:rsidRDefault="003105FF">
      <w:pPr>
        <w:pStyle w:val="Standard"/>
        <w:spacing w:after="160"/>
        <w:jc w:val="both"/>
        <w:rPr>
          <w:rFonts w:ascii="Calibri" w:hAnsi="Calibri"/>
        </w:rPr>
      </w:pPr>
    </w:p>
    <w:p w14:paraId="05A48B4A" w14:textId="77777777" w:rsidR="003105FF" w:rsidRDefault="003105FF">
      <w:pPr>
        <w:pStyle w:val="Standard"/>
        <w:spacing w:after="160"/>
        <w:jc w:val="both"/>
        <w:rPr>
          <w:rFonts w:ascii="Calibri" w:hAnsi="Calibri"/>
        </w:rPr>
      </w:pPr>
    </w:p>
    <w:p w14:paraId="1480464A" w14:textId="77777777" w:rsidR="003105FF" w:rsidRDefault="00000000">
      <w:pPr>
        <w:pStyle w:val="Heading1"/>
        <w:rPr>
          <w:rFonts w:ascii="Calibri" w:hAnsi="Calibri"/>
          <w:sz w:val="32"/>
          <w:szCs w:val="32"/>
        </w:rPr>
      </w:pPr>
      <w:r>
        <w:rPr>
          <w:rFonts w:ascii="Calibri" w:hAnsi="Calibri"/>
          <w:sz w:val="32"/>
          <w:szCs w:val="32"/>
        </w:rPr>
        <w:lastRenderedPageBreak/>
        <w:t>5. Conclusion</w:t>
      </w:r>
    </w:p>
    <w:p w14:paraId="18154566" w14:textId="77777777" w:rsidR="003105FF" w:rsidRDefault="00000000">
      <w:pPr>
        <w:pStyle w:val="Standard"/>
        <w:spacing w:after="160"/>
        <w:jc w:val="both"/>
        <w:rPr>
          <w:rFonts w:ascii="Calibri" w:hAnsi="Calibri"/>
        </w:rPr>
      </w:pPr>
      <w:r>
        <w:rPr>
          <w:rFonts w:ascii="Calibri" w:hAnsi="Calibri"/>
        </w:rPr>
        <w:t xml:space="preserve">Helios’s difficulties are systemic, and so the remedy must be architectural rather than a set of disconnected fixes. Strategic </w:t>
      </w:r>
      <w:proofErr w:type="spellStart"/>
      <w:r>
        <w:rPr>
          <w:rFonts w:ascii="Calibri" w:hAnsi="Calibri"/>
        </w:rPr>
        <w:t>socialisation</w:t>
      </w:r>
      <w:proofErr w:type="spellEnd"/>
      <w:r>
        <w:rPr>
          <w:rFonts w:ascii="Calibri" w:hAnsi="Calibri"/>
        </w:rPr>
        <w:t xml:space="preserve"> builds the identity and psychological contract that make people stay; redesigned, crafted and marketplace-enabled jobs supply the autonomy, competence and relatedness that make them perform and innovate; and the disciplined, augmentation-first use of AI ensures these decisions are sound without surrendering human judgement. Implemented together, these three levers convert Helios’s headcount into genuine human capital — the precondition for strategic renewal.</w:t>
      </w:r>
    </w:p>
    <w:p w14:paraId="03141C98" w14:textId="77777777" w:rsidR="003105FF" w:rsidRDefault="003105FF">
      <w:pPr>
        <w:pStyle w:val="Standard"/>
        <w:spacing w:after="160"/>
        <w:jc w:val="both"/>
        <w:rPr>
          <w:rFonts w:ascii="Calibri" w:hAnsi="Calibri"/>
        </w:rPr>
      </w:pPr>
    </w:p>
    <w:p w14:paraId="3599B216" w14:textId="77777777" w:rsidR="003105FF" w:rsidRDefault="003105FF">
      <w:pPr>
        <w:pStyle w:val="Standard"/>
        <w:spacing w:after="160"/>
        <w:jc w:val="both"/>
        <w:rPr>
          <w:rFonts w:ascii="Calibri" w:hAnsi="Calibri"/>
        </w:rPr>
      </w:pPr>
    </w:p>
    <w:p w14:paraId="6451B8AE" w14:textId="77777777" w:rsidR="003105FF" w:rsidRDefault="003105FF">
      <w:pPr>
        <w:pStyle w:val="Standard"/>
        <w:spacing w:after="160"/>
        <w:jc w:val="both"/>
        <w:rPr>
          <w:rFonts w:ascii="Calibri" w:hAnsi="Calibri"/>
        </w:rPr>
      </w:pPr>
    </w:p>
    <w:p w14:paraId="2E26CF04" w14:textId="77777777" w:rsidR="003105FF" w:rsidRDefault="003105FF">
      <w:pPr>
        <w:pStyle w:val="Standard"/>
        <w:spacing w:after="160"/>
        <w:jc w:val="both"/>
        <w:rPr>
          <w:rFonts w:ascii="Calibri" w:hAnsi="Calibri"/>
        </w:rPr>
      </w:pPr>
    </w:p>
    <w:p w14:paraId="21E0A432" w14:textId="77777777" w:rsidR="003105FF" w:rsidRDefault="003105FF">
      <w:pPr>
        <w:pStyle w:val="Standard"/>
        <w:spacing w:after="160"/>
        <w:jc w:val="both"/>
        <w:rPr>
          <w:rFonts w:ascii="Calibri" w:hAnsi="Calibri"/>
        </w:rPr>
      </w:pPr>
    </w:p>
    <w:p w14:paraId="4207E08A" w14:textId="77777777" w:rsidR="003105FF" w:rsidRDefault="003105FF">
      <w:pPr>
        <w:pStyle w:val="Standard"/>
        <w:spacing w:after="160"/>
        <w:jc w:val="both"/>
        <w:rPr>
          <w:rFonts w:ascii="Calibri" w:hAnsi="Calibri"/>
        </w:rPr>
      </w:pPr>
    </w:p>
    <w:p w14:paraId="433DE7D2" w14:textId="77777777" w:rsidR="003105FF" w:rsidRDefault="003105FF">
      <w:pPr>
        <w:pStyle w:val="Standard"/>
        <w:spacing w:after="160"/>
        <w:jc w:val="both"/>
        <w:rPr>
          <w:rFonts w:ascii="Calibri" w:hAnsi="Calibri"/>
        </w:rPr>
      </w:pPr>
    </w:p>
    <w:p w14:paraId="38F34D63" w14:textId="77777777" w:rsidR="003105FF" w:rsidRDefault="003105FF">
      <w:pPr>
        <w:pStyle w:val="Standard"/>
        <w:spacing w:after="160"/>
        <w:jc w:val="both"/>
        <w:rPr>
          <w:rFonts w:ascii="Calibri" w:hAnsi="Calibri"/>
        </w:rPr>
      </w:pPr>
    </w:p>
    <w:p w14:paraId="68ECB098" w14:textId="77777777" w:rsidR="003105FF" w:rsidRDefault="003105FF">
      <w:pPr>
        <w:pStyle w:val="Standard"/>
        <w:spacing w:after="160"/>
        <w:jc w:val="both"/>
        <w:rPr>
          <w:rFonts w:ascii="Calibri" w:hAnsi="Calibri"/>
        </w:rPr>
      </w:pPr>
    </w:p>
    <w:p w14:paraId="5B3FAB0E" w14:textId="77777777" w:rsidR="003105FF" w:rsidRDefault="003105FF">
      <w:pPr>
        <w:pStyle w:val="Standard"/>
        <w:spacing w:after="160"/>
        <w:jc w:val="both"/>
        <w:rPr>
          <w:rFonts w:ascii="Calibri" w:hAnsi="Calibri"/>
        </w:rPr>
      </w:pPr>
    </w:p>
    <w:p w14:paraId="3492313F" w14:textId="77777777" w:rsidR="003105FF" w:rsidRDefault="003105FF">
      <w:pPr>
        <w:pStyle w:val="Standard"/>
        <w:spacing w:after="160"/>
        <w:jc w:val="both"/>
        <w:rPr>
          <w:rFonts w:ascii="Calibri" w:hAnsi="Calibri"/>
        </w:rPr>
      </w:pPr>
    </w:p>
    <w:p w14:paraId="67780CB6" w14:textId="77777777" w:rsidR="003105FF" w:rsidRDefault="003105FF">
      <w:pPr>
        <w:pStyle w:val="Standard"/>
        <w:spacing w:after="160"/>
        <w:jc w:val="both"/>
        <w:rPr>
          <w:rFonts w:ascii="Calibri" w:hAnsi="Calibri"/>
        </w:rPr>
      </w:pPr>
    </w:p>
    <w:p w14:paraId="038C7F42" w14:textId="77777777" w:rsidR="003105FF" w:rsidRDefault="003105FF">
      <w:pPr>
        <w:pStyle w:val="Standard"/>
        <w:spacing w:after="160"/>
        <w:jc w:val="both"/>
        <w:rPr>
          <w:rFonts w:ascii="Calibri" w:hAnsi="Calibri"/>
        </w:rPr>
      </w:pPr>
    </w:p>
    <w:p w14:paraId="3FFAB1FC" w14:textId="77777777" w:rsidR="003105FF" w:rsidRDefault="003105FF">
      <w:pPr>
        <w:pStyle w:val="Standard"/>
        <w:spacing w:after="160"/>
        <w:jc w:val="both"/>
        <w:rPr>
          <w:rFonts w:ascii="Calibri" w:hAnsi="Calibri"/>
        </w:rPr>
      </w:pPr>
    </w:p>
    <w:p w14:paraId="0F8AF46E" w14:textId="77777777" w:rsidR="003105FF" w:rsidRDefault="003105FF">
      <w:pPr>
        <w:pStyle w:val="Standard"/>
        <w:spacing w:after="160"/>
        <w:jc w:val="both"/>
        <w:rPr>
          <w:rFonts w:ascii="Calibri" w:hAnsi="Calibri"/>
        </w:rPr>
      </w:pPr>
    </w:p>
    <w:p w14:paraId="60CFD84E" w14:textId="77777777" w:rsidR="003105FF" w:rsidRDefault="003105FF">
      <w:pPr>
        <w:pStyle w:val="Standard"/>
        <w:spacing w:after="160"/>
        <w:jc w:val="both"/>
        <w:rPr>
          <w:rFonts w:ascii="Calibri" w:hAnsi="Calibri"/>
        </w:rPr>
      </w:pPr>
    </w:p>
    <w:p w14:paraId="20AA18F5" w14:textId="77777777" w:rsidR="003105FF" w:rsidRDefault="003105FF">
      <w:pPr>
        <w:pStyle w:val="Standard"/>
        <w:spacing w:after="160"/>
        <w:jc w:val="both"/>
        <w:rPr>
          <w:rFonts w:ascii="Calibri" w:hAnsi="Calibri"/>
        </w:rPr>
      </w:pPr>
    </w:p>
    <w:p w14:paraId="388C22B5" w14:textId="77777777" w:rsidR="003105FF" w:rsidRDefault="003105FF">
      <w:pPr>
        <w:pStyle w:val="Standard"/>
        <w:spacing w:after="160"/>
        <w:jc w:val="both"/>
        <w:rPr>
          <w:rFonts w:ascii="Calibri" w:hAnsi="Calibri"/>
        </w:rPr>
      </w:pPr>
    </w:p>
    <w:p w14:paraId="731C39F7" w14:textId="77777777" w:rsidR="003105FF" w:rsidRDefault="003105FF">
      <w:pPr>
        <w:pStyle w:val="Standard"/>
        <w:spacing w:after="160"/>
        <w:jc w:val="both"/>
        <w:rPr>
          <w:rFonts w:ascii="Calibri" w:hAnsi="Calibri"/>
        </w:rPr>
      </w:pPr>
    </w:p>
    <w:p w14:paraId="1CE8AC1F" w14:textId="77777777" w:rsidR="003105FF" w:rsidRDefault="003105FF">
      <w:pPr>
        <w:pStyle w:val="Standard"/>
        <w:spacing w:after="160"/>
        <w:jc w:val="both"/>
        <w:rPr>
          <w:rFonts w:ascii="Calibri" w:hAnsi="Calibri"/>
        </w:rPr>
      </w:pPr>
    </w:p>
    <w:p w14:paraId="251FF09D" w14:textId="77777777" w:rsidR="003105FF" w:rsidRDefault="003105FF">
      <w:pPr>
        <w:pStyle w:val="Standard"/>
        <w:spacing w:after="160"/>
        <w:jc w:val="both"/>
        <w:rPr>
          <w:rFonts w:ascii="Calibri" w:hAnsi="Calibri"/>
        </w:rPr>
      </w:pPr>
    </w:p>
    <w:p w14:paraId="555E7839" w14:textId="77777777" w:rsidR="003105FF" w:rsidRDefault="003105FF">
      <w:pPr>
        <w:pStyle w:val="Standard"/>
        <w:spacing w:after="160"/>
        <w:jc w:val="both"/>
        <w:rPr>
          <w:rFonts w:ascii="Calibri" w:hAnsi="Calibri"/>
        </w:rPr>
      </w:pPr>
    </w:p>
    <w:p w14:paraId="2436FD99" w14:textId="77777777" w:rsidR="003105FF" w:rsidRDefault="003105FF">
      <w:pPr>
        <w:pStyle w:val="Standard"/>
        <w:spacing w:after="160"/>
        <w:jc w:val="both"/>
        <w:rPr>
          <w:rFonts w:ascii="Calibri" w:hAnsi="Calibri"/>
        </w:rPr>
      </w:pPr>
    </w:p>
    <w:p w14:paraId="6CAB96B8" w14:textId="77777777" w:rsidR="003105FF" w:rsidRDefault="00000000">
      <w:pPr>
        <w:pStyle w:val="Heading1"/>
        <w:rPr>
          <w:rFonts w:ascii="Calibri" w:hAnsi="Calibri"/>
          <w:sz w:val="32"/>
          <w:szCs w:val="32"/>
        </w:rPr>
      </w:pPr>
      <w:r>
        <w:rPr>
          <w:rFonts w:ascii="Calibri" w:hAnsi="Calibri"/>
          <w:sz w:val="32"/>
          <w:szCs w:val="32"/>
        </w:rPr>
        <w:lastRenderedPageBreak/>
        <w:t>References</w:t>
      </w:r>
    </w:p>
    <w:p w14:paraId="0DC1FD45" w14:textId="77777777" w:rsidR="003105FF" w:rsidRDefault="00000000">
      <w:pPr>
        <w:pStyle w:val="Standard"/>
        <w:spacing w:after="120"/>
        <w:ind w:left="567" w:hanging="567"/>
        <w:rPr>
          <w:rFonts w:ascii="Calibri" w:hAnsi="Calibri"/>
        </w:rPr>
      </w:pPr>
      <w:r>
        <w:rPr>
          <w:rFonts w:ascii="Calibri" w:hAnsi="Calibri"/>
        </w:rPr>
        <w:t>Ashforth, B.E. and Mael, F. (1989) Social identity theory and the organization, Academy of Management Review, 14(1), pp. 20–39.</w:t>
      </w:r>
    </w:p>
    <w:p w14:paraId="661DED3F" w14:textId="77777777" w:rsidR="003105FF" w:rsidRDefault="00000000">
      <w:pPr>
        <w:pStyle w:val="Standard"/>
        <w:spacing w:after="120"/>
        <w:ind w:left="567" w:hanging="567"/>
        <w:rPr>
          <w:rFonts w:ascii="Calibri" w:hAnsi="Calibri"/>
        </w:rPr>
      </w:pPr>
      <w:r>
        <w:rPr>
          <w:rFonts w:ascii="Calibri" w:hAnsi="Calibri"/>
        </w:rPr>
        <w:t>Bandara, R., et al. (2025) Addressing algorithmic bias in AI-driven HRM systems: implications for strategic HRM effectiveness, Human Resource Management Journal.</w:t>
      </w:r>
    </w:p>
    <w:p w14:paraId="25237809" w14:textId="77777777" w:rsidR="003105FF" w:rsidRDefault="00000000">
      <w:pPr>
        <w:pStyle w:val="Standard"/>
        <w:spacing w:after="120"/>
        <w:ind w:left="567" w:hanging="567"/>
        <w:rPr>
          <w:rFonts w:ascii="Calibri" w:hAnsi="Calibri"/>
        </w:rPr>
      </w:pPr>
      <w:r>
        <w:rPr>
          <w:rFonts w:ascii="Calibri" w:hAnsi="Calibri"/>
        </w:rPr>
        <w:t>Bauer, T.N. (2010) Onboarding new employees: maximizing success. Alexandria, VA: SHRM Foundation.</w:t>
      </w:r>
    </w:p>
    <w:p w14:paraId="5CC0A532" w14:textId="77777777" w:rsidR="003105FF" w:rsidRDefault="00000000">
      <w:pPr>
        <w:pStyle w:val="Standard"/>
        <w:spacing w:after="120"/>
        <w:ind w:left="567" w:hanging="567"/>
        <w:rPr>
          <w:rFonts w:ascii="Calibri" w:hAnsi="Calibri"/>
        </w:rPr>
      </w:pPr>
      <w:r>
        <w:rPr>
          <w:rFonts w:ascii="Calibri" w:hAnsi="Calibri"/>
        </w:rPr>
        <w:t>Brandon Hall Group (2024) Creating an effective onboarding learning experience: strategies for success.</w:t>
      </w:r>
    </w:p>
    <w:p w14:paraId="658E4448" w14:textId="77777777" w:rsidR="003105FF" w:rsidRDefault="00000000">
      <w:pPr>
        <w:pStyle w:val="Standard"/>
        <w:spacing w:after="120"/>
        <w:ind w:left="567" w:hanging="567"/>
        <w:rPr>
          <w:rFonts w:ascii="Calibri" w:hAnsi="Calibri"/>
        </w:rPr>
      </w:pPr>
      <w:r>
        <w:rPr>
          <w:rFonts w:ascii="Calibri" w:hAnsi="Calibri"/>
        </w:rPr>
        <w:t>Business Roundtable (2019) Statement on the purpose of a corporation. Washington, DC: Business Roundtable.</w:t>
      </w:r>
    </w:p>
    <w:p w14:paraId="1DDE652F" w14:textId="77777777" w:rsidR="003105FF" w:rsidRDefault="00000000">
      <w:pPr>
        <w:pStyle w:val="Standard"/>
        <w:spacing w:after="120"/>
        <w:ind w:left="567" w:hanging="567"/>
        <w:rPr>
          <w:rFonts w:ascii="Calibri" w:hAnsi="Calibri"/>
        </w:rPr>
      </w:pPr>
      <w:r>
        <w:rPr>
          <w:rFonts w:ascii="Calibri" w:hAnsi="Calibri"/>
        </w:rPr>
        <w:t>CIO (2026) The state of AI in HR: big promises, uneven reality, CIO, 27 March.</w:t>
      </w:r>
    </w:p>
    <w:p w14:paraId="77DC8C8B" w14:textId="77777777" w:rsidR="003105FF" w:rsidRDefault="00000000">
      <w:pPr>
        <w:pStyle w:val="Standard"/>
        <w:spacing w:after="120"/>
        <w:ind w:left="567" w:hanging="567"/>
        <w:rPr>
          <w:rFonts w:ascii="Calibri" w:hAnsi="Calibri"/>
        </w:rPr>
      </w:pPr>
      <w:r>
        <w:rPr>
          <w:rFonts w:ascii="Calibri" w:hAnsi="Calibri"/>
        </w:rPr>
        <w:t>Deci, E.L. and Ryan, R.M. (2000) The “what” and “why” of goal pursuits: human needs and the self-determination of behavior, Psychological Inquiry, 11(4), pp. 227–268.</w:t>
      </w:r>
    </w:p>
    <w:p w14:paraId="6308B3D8" w14:textId="77777777" w:rsidR="003105FF" w:rsidRDefault="00000000">
      <w:pPr>
        <w:pStyle w:val="Standard"/>
        <w:spacing w:after="120"/>
        <w:ind w:left="567" w:hanging="567"/>
        <w:rPr>
          <w:rFonts w:ascii="Calibri" w:hAnsi="Calibri"/>
        </w:rPr>
      </w:pPr>
      <w:r>
        <w:rPr>
          <w:rFonts w:ascii="Calibri" w:hAnsi="Calibri"/>
        </w:rPr>
        <w:t>Deloitte (2020) Activating the internal talent marketplace. Deloitte Insights.</w:t>
      </w:r>
    </w:p>
    <w:p w14:paraId="5FE84F57" w14:textId="77777777" w:rsidR="003105FF" w:rsidRDefault="00000000">
      <w:pPr>
        <w:pStyle w:val="Standard"/>
        <w:spacing w:after="120"/>
        <w:ind w:left="567" w:hanging="567"/>
        <w:rPr>
          <w:rFonts w:ascii="Calibri" w:hAnsi="Calibri"/>
        </w:rPr>
      </w:pPr>
      <w:r>
        <w:rPr>
          <w:rFonts w:ascii="Calibri" w:hAnsi="Calibri"/>
        </w:rPr>
        <w:t>Gallup (2026) State of the global workplace: 2026 report. Washington, DC: Gallup, Inc.</w:t>
      </w:r>
    </w:p>
    <w:p w14:paraId="6E38AFB1" w14:textId="77777777" w:rsidR="003105FF" w:rsidRDefault="00000000">
      <w:pPr>
        <w:pStyle w:val="Standard"/>
        <w:spacing w:after="120"/>
        <w:ind w:left="567" w:hanging="567"/>
        <w:rPr>
          <w:rFonts w:ascii="Calibri" w:hAnsi="Calibri"/>
        </w:rPr>
      </w:pPr>
      <w:r>
        <w:rPr>
          <w:rFonts w:ascii="Calibri" w:hAnsi="Calibri"/>
        </w:rPr>
        <w:t>Gloat (2023) How Schneider Electric increased employee retention.</w:t>
      </w:r>
    </w:p>
    <w:p w14:paraId="0FB91982" w14:textId="77777777" w:rsidR="003105FF" w:rsidRDefault="00000000">
      <w:pPr>
        <w:pStyle w:val="Standard"/>
        <w:spacing w:after="120"/>
        <w:ind w:left="567" w:hanging="567"/>
        <w:rPr>
          <w:rFonts w:ascii="Calibri" w:hAnsi="Calibri"/>
        </w:rPr>
      </w:pPr>
      <w:r>
        <w:rPr>
          <w:rFonts w:ascii="Calibri" w:hAnsi="Calibri"/>
        </w:rPr>
        <w:t>Hackman, J.R. and Oldham, G.R. (1976) Motivation through the design of work: test of a theory, Organizational Behavior and Human Performance, 16(2), pp. 250–279.</w:t>
      </w:r>
    </w:p>
    <w:p w14:paraId="4B143B9C" w14:textId="77777777" w:rsidR="003105FF" w:rsidRDefault="00000000">
      <w:pPr>
        <w:pStyle w:val="Standard"/>
        <w:spacing w:after="120"/>
        <w:ind w:left="567" w:hanging="567"/>
        <w:rPr>
          <w:rFonts w:ascii="Calibri" w:hAnsi="Calibri"/>
        </w:rPr>
      </w:pPr>
      <w:r>
        <w:rPr>
          <w:rFonts w:ascii="Calibri" w:hAnsi="Calibri"/>
        </w:rPr>
        <w:t>Hackman, J.R. and Oldham, G.R. (1980) Work redesign. Reading, MA: Addison-Wesley.</w:t>
      </w:r>
    </w:p>
    <w:p w14:paraId="623FB007" w14:textId="77777777" w:rsidR="003105FF" w:rsidRDefault="00000000">
      <w:pPr>
        <w:pStyle w:val="Standard"/>
        <w:spacing w:after="120"/>
        <w:ind w:left="567" w:hanging="567"/>
        <w:rPr>
          <w:rFonts w:ascii="Calibri" w:hAnsi="Calibri"/>
        </w:rPr>
      </w:pPr>
      <w:proofErr w:type="spellStart"/>
      <w:r>
        <w:rPr>
          <w:rFonts w:ascii="Calibri" w:hAnsi="Calibri"/>
        </w:rPr>
        <w:t>HeroHunt</w:t>
      </w:r>
      <w:proofErr w:type="spellEnd"/>
      <w:r>
        <w:rPr>
          <w:rFonts w:ascii="Calibri" w:hAnsi="Calibri"/>
        </w:rPr>
        <w:t xml:space="preserve"> (2025) AI adoption in recruiting: 2025 year in review.</w:t>
      </w:r>
    </w:p>
    <w:p w14:paraId="4050ED03" w14:textId="77777777" w:rsidR="003105FF" w:rsidRDefault="00000000">
      <w:pPr>
        <w:pStyle w:val="Standard"/>
        <w:spacing w:after="120"/>
        <w:ind w:left="567" w:hanging="567"/>
        <w:rPr>
          <w:rFonts w:ascii="Calibri" w:hAnsi="Calibri"/>
        </w:rPr>
      </w:pPr>
      <w:r>
        <w:rPr>
          <w:rFonts w:ascii="Calibri" w:hAnsi="Calibri"/>
        </w:rPr>
        <w:t>Jones, G.R. (1986) ‘Socialization tactics, self-efficacy, and newcomers’ adjustments to organizations’, Academy of Management Journal, 29(2), pp. 262–279.</w:t>
      </w:r>
    </w:p>
    <w:p w14:paraId="7BA15837" w14:textId="77777777" w:rsidR="003105FF" w:rsidRDefault="00000000">
      <w:pPr>
        <w:pStyle w:val="Standard"/>
        <w:spacing w:after="120"/>
        <w:ind w:left="567" w:hanging="567"/>
        <w:rPr>
          <w:rFonts w:ascii="Calibri" w:hAnsi="Calibri"/>
        </w:rPr>
      </w:pPr>
      <w:proofErr w:type="spellStart"/>
      <w:r>
        <w:rPr>
          <w:rFonts w:ascii="Calibri" w:hAnsi="Calibri"/>
        </w:rPr>
        <w:t>Lexology</w:t>
      </w:r>
      <w:proofErr w:type="spellEnd"/>
      <w:r>
        <w:rPr>
          <w:rFonts w:ascii="Calibri" w:hAnsi="Calibri"/>
        </w:rPr>
        <w:t xml:space="preserve"> (2019) Business Roundtable embraces stakeholder capitalism.</w:t>
      </w:r>
    </w:p>
    <w:p w14:paraId="77C224CC" w14:textId="77777777" w:rsidR="003105FF" w:rsidRDefault="00000000">
      <w:pPr>
        <w:pStyle w:val="Standard"/>
        <w:spacing w:after="120"/>
        <w:ind w:left="567" w:hanging="567"/>
        <w:rPr>
          <w:rFonts w:ascii="Calibri" w:hAnsi="Calibri"/>
        </w:rPr>
      </w:pPr>
      <w:r>
        <w:rPr>
          <w:rFonts w:ascii="Calibri" w:hAnsi="Calibri"/>
        </w:rPr>
        <w:t>Rousseau, D.M. (1995) Psychological contracts in organizations: understanding written and unwritten agreements. Thousand Oaks, CA: Sage.</w:t>
      </w:r>
    </w:p>
    <w:p w14:paraId="6E0A98D2" w14:textId="77777777" w:rsidR="003105FF" w:rsidRDefault="00000000">
      <w:pPr>
        <w:pStyle w:val="Standard"/>
        <w:spacing w:after="120"/>
        <w:ind w:left="567" w:hanging="567"/>
        <w:rPr>
          <w:rFonts w:ascii="Calibri" w:hAnsi="Calibri"/>
        </w:rPr>
      </w:pPr>
      <w:r>
        <w:rPr>
          <w:rFonts w:ascii="Calibri" w:hAnsi="Calibri"/>
        </w:rPr>
        <w:t>SHRM (2025) 2025 talent trends: artificial intelligence in HR. Alexandria, VA: Society for Human Resource Management.</w:t>
      </w:r>
    </w:p>
    <w:p w14:paraId="2795B417" w14:textId="77777777" w:rsidR="003105FF" w:rsidRDefault="00000000">
      <w:pPr>
        <w:pStyle w:val="Standard"/>
        <w:spacing w:after="120"/>
        <w:ind w:left="567" w:hanging="567"/>
        <w:rPr>
          <w:rFonts w:ascii="Calibri" w:hAnsi="Calibri"/>
        </w:rPr>
      </w:pPr>
      <w:r>
        <w:rPr>
          <w:rFonts w:ascii="Calibri" w:hAnsi="Calibri"/>
        </w:rPr>
        <w:t xml:space="preserve">Tajfel, H. and Turner, J.C. (1979) An integrative theory of intergroup conflict, in Austin, W.G. and </w:t>
      </w:r>
      <w:proofErr w:type="spellStart"/>
      <w:r>
        <w:rPr>
          <w:rFonts w:ascii="Calibri" w:hAnsi="Calibri"/>
        </w:rPr>
        <w:t>Worchel</w:t>
      </w:r>
      <w:proofErr w:type="spellEnd"/>
      <w:r>
        <w:rPr>
          <w:rFonts w:ascii="Calibri" w:hAnsi="Calibri"/>
        </w:rPr>
        <w:t>, S. (eds.) The social psychology of intergroup relations. Monterey, CA: Brooks/Cole, pp. 33–47.</w:t>
      </w:r>
    </w:p>
    <w:p w14:paraId="352A9D50" w14:textId="77777777" w:rsidR="003105FF" w:rsidRDefault="00000000">
      <w:pPr>
        <w:pStyle w:val="Standard"/>
        <w:spacing w:after="120"/>
        <w:ind w:left="567" w:hanging="567"/>
        <w:rPr>
          <w:rFonts w:ascii="Calibri" w:hAnsi="Calibri"/>
        </w:rPr>
      </w:pPr>
      <w:r>
        <w:rPr>
          <w:rFonts w:ascii="Calibri" w:hAnsi="Calibri"/>
        </w:rPr>
        <w:t>Tims, M. and Bakker, A.B. (2010) job crafting: towards a new model of individual job redesign, SA Journal of Industrial Psychology, 36(2), pp. 1–9.</w:t>
      </w:r>
    </w:p>
    <w:p w14:paraId="3EE1E06D" w14:textId="77777777" w:rsidR="003105FF" w:rsidRDefault="00000000">
      <w:pPr>
        <w:pStyle w:val="Standard"/>
        <w:spacing w:after="120"/>
        <w:ind w:left="567" w:hanging="567"/>
        <w:rPr>
          <w:rFonts w:ascii="Calibri" w:hAnsi="Calibri"/>
        </w:rPr>
      </w:pPr>
      <w:r>
        <w:rPr>
          <w:rFonts w:ascii="Calibri" w:hAnsi="Calibri"/>
        </w:rPr>
        <w:t>Ulrich, D. (2018) The evolution of the HR business partner. HRD Connect / The RBL Group.</w:t>
      </w:r>
    </w:p>
    <w:p w14:paraId="7A6B91AE" w14:textId="77777777" w:rsidR="003105FF" w:rsidRDefault="00000000">
      <w:pPr>
        <w:pStyle w:val="Standard"/>
        <w:spacing w:after="120"/>
        <w:ind w:left="567" w:hanging="567"/>
        <w:rPr>
          <w:rFonts w:ascii="Calibri" w:hAnsi="Calibri"/>
        </w:rPr>
      </w:pPr>
      <w:r>
        <w:rPr>
          <w:rFonts w:ascii="Calibri" w:hAnsi="Calibri"/>
        </w:rPr>
        <w:t>Van Maanen, J. and Schein, E.H. (1979) Toward a theory of organizational socialization, Research in Organizational Behavior, 1, pp. 209–264.</w:t>
      </w:r>
    </w:p>
    <w:p w14:paraId="0BC0C97C" w14:textId="77777777" w:rsidR="003105FF" w:rsidRDefault="00000000">
      <w:pPr>
        <w:pStyle w:val="Standard"/>
        <w:spacing w:after="120"/>
        <w:ind w:left="567" w:hanging="567"/>
        <w:rPr>
          <w:rFonts w:ascii="Calibri" w:hAnsi="Calibri"/>
        </w:rPr>
      </w:pPr>
      <w:r>
        <w:rPr>
          <w:rFonts w:ascii="Calibri" w:hAnsi="Calibri"/>
        </w:rPr>
        <w:t>WorkLife (2022) Unilever, HSBC, Nestle among companies turning to talent marketplaces.</w:t>
      </w:r>
    </w:p>
    <w:p w14:paraId="7DFE4487" w14:textId="77777777" w:rsidR="003105FF" w:rsidRDefault="00000000">
      <w:pPr>
        <w:pStyle w:val="Standard"/>
        <w:spacing w:after="120"/>
        <w:ind w:left="567" w:hanging="567"/>
        <w:rPr>
          <w:rFonts w:ascii="Calibri" w:hAnsi="Calibri"/>
        </w:rPr>
      </w:pPr>
      <w:r>
        <w:rPr>
          <w:rFonts w:ascii="Calibri" w:hAnsi="Calibri"/>
        </w:rPr>
        <w:lastRenderedPageBreak/>
        <w:t>World Economic Forum (2020) Davos manifesto 2020: the universal purpose of a company in the fourth industrial revolution. Geneva: WEF.</w:t>
      </w:r>
    </w:p>
    <w:p w14:paraId="1E97EEDF" w14:textId="77777777" w:rsidR="003105FF" w:rsidRDefault="00000000">
      <w:pPr>
        <w:pStyle w:val="Standard"/>
        <w:spacing w:after="120"/>
        <w:ind w:left="567" w:hanging="567"/>
        <w:rPr>
          <w:rFonts w:ascii="Calibri" w:hAnsi="Calibri"/>
        </w:rPr>
      </w:pPr>
      <w:r>
        <w:rPr>
          <w:rFonts w:ascii="Calibri" w:hAnsi="Calibri"/>
        </w:rPr>
        <w:t>Wrzesniewski, A. and Dutton, J.E. (2001) Crafting a job: revisioning employees as active crafters of their work. Academy of Management Review, 26(2), pp. 179–201.</w:t>
      </w:r>
    </w:p>
    <w:p w14:paraId="45B3B635" w14:textId="77777777" w:rsidR="003105FF" w:rsidRDefault="003105FF">
      <w:pPr>
        <w:pStyle w:val="Standard"/>
        <w:spacing w:after="160"/>
        <w:jc w:val="both"/>
        <w:rPr>
          <w:rFonts w:ascii="Calibri" w:hAnsi="Calibri"/>
        </w:rPr>
      </w:pPr>
    </w:p>
    <w:p w14:paraId="1A61D6E3" w14:textId="77777777" w:rsidR="003105FF" w:rsidRDefault="003105FF">
      <w:pPr>
        <w:pStyle w:val="Heading1"/>
        <w:rPr>
          <w:rFonts w:ascii="Calibri" w:hAnsi="Calibri"/>
          <w:sz w:val="32"/>
          <w:szCs w:val="32"/>
        </w:rPr>
      </w:pPr>
    </w:p>
    <w:p w14:paraId="367D8ED1" w14:textId="77777777" w:rsidR="003105FF" w:rsidRDefault="003105FF">
      <w:pPr>
        <w:pStyle w:val="Heading1"/>
        <w:rPr>
          <w:rFonts w:ascii="Calibri" w:hAnsi="Calibri"/>
          <w:sz w:val="32"/>
          <w:szCs w:val="32"/>
        </w:rPr>
      </w:pPr>
    </w:p>
    <w:p w14:paraId="09DCC54A" w14:textId="77777777" w:rsidR="003105FF" w:rsidRDefault="003105FF">
      <w:pPr>
        <w:pStyle w:val="Heading1"/>
        <w:rPr>
          <w:rFonts w:ascii="Calibri" w:hAnsi="Calibri"/>
          <w:sz w:val="32"/>
          <w:szCs w:val="32"/>
        </w:rPr>
      </w:pPr>
    </w:p>
    <w:p w14:paraId="758967CB" w14:textId="77777777" w:rsidR="003105FF" w:rsidRDefault="003105FF">
      <w:pPr>
        <w:pStyle w:val="Heading1"/>
        <w:rPr>
          <w:rFonts w:ascii="Calibri" w:hAnsi="Calibri"/>
          <w:i/>
          <w:iCs/>
          <w:sz w:val="24"/>
          <w:szCs w:val="24"/>
        </w:rPr>
      </w:pPr>
    </w:p>
    <w:sectPr w:rsidR="003105FF">
      <w:footerReference w:type="default" r:id="rId21"/>
      <w:pgSz w:w="11906" w:h="16838"/>
      <w:pgMar w:top="1440" w:right="1440" w:bottom="1440" w:left="1440" w:header="720"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C12A5" w14:textId="77777777" w:rsidR="00934C21" w:rsidRDefault="00934C21">
      <w:r>
        <w:separator/>
      </w:r>
    </w:p>
  </w:endnote>
  <w:endnote w:type="continuationSeparator" w:id="0">
    <w:p w14:paraId="67081A6C" w14:textId="77777777" w:rsidR="00934C21" w:rsidRDefault="00934C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ucida Sans">
    <w:panose1 w:val="020B0602030504020204"/>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7D16F" w14:textId="77777777" w:rsidR="00000000" w:rsidRDefault="00000000">
    <w:pPr>
      <w:pStyle w:val="Standard"/>
      <w:jc w:val="center"/>
    </w:pPr>
    <w:r>
      <w:rPr>
        <w:sz w:val="18"/>
        <w:szCs w:val="18"/>
      </w:rPr>
      <w:t xml:space="preserve">Page </w:t>
    </w:r>
    <w:r>
      <w:fldChar w:fldCharType="begin"/>
    </w:r>
    <w:r>
      <w:instrText xml:space="preserve"> PAGE </w:instrText>
    </w:r>
    <w:r>
      <w:fldChar w:fldCharType="separate"/>
    </w:r>
    <w: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E1E45" w14:textId="77777777" w:rsidR="00934C21" w:rsidRDefault="00934C21">
      <w:r>
        <w:rPr>
          <w:color w:val="000000"/>
        </w:rPr>
        <w:separator/>
      </w:r>
    </w:p>
  </w:footnote>
  <w:footnote w:type="continuationSeparator" w:id="0">
    <w:p w14:paraId="2A401276" w14:textId="77777777" w:rsidR="00934C21" w:rsidRDefault="00934C2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3105FF"/>
    <w:rsid w:val="003105FF"/>
    <w:rsid w:val="00452619"/>
    <w:rsid w:val="008300E6"/>
    <w:rsid w:val="00934C21"/>
    <w:rsid w:val="00D737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CFA8868"/>
  <w15:docId w15:val="{EF8EAEED-877F-2F4A-9EA5-B605D290B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Lucida Sans"/>
        <w:kern w:val="3"/>
        <w:sz w:val="24"/>
        <w:szCs w:val="24"/>
        <w:lang w:val="en-US" w:eastAsia="zh-CN" w:bidi="hi-IN"/>
      </w:rPr>
    </w:rPrDefault>
    <w:pPrDefault>
      <w:pPr>
        <w:widowControl w:val="0"/>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next w:val="Textbody"/>
    <w:uiPriority w:val="9"/>
    <w:qFormat/>
    <w:pPr>
      <w:spacing w:before="280" w:after="160"/>
      <w:outlineLvl w:val="0"/>
    </w:pPr>
    <w:rPr>
      <w:rFonts w:eastAsia="Arial" w:cs="Arial"/>
      <w:b/>
      <w:bCs/>
      <w:color w:val="1F3864"/>
      <w:sz w:val="30"/>
      <w:szCs w:val="30"/>
    </w:rPr>
  </w:style>
  <w:style w:type="paragraph" w:styleId="Heading2">
    <w:name w:val="heading 2"/>
    <w:basedOn w:val="Heading"/>
    <w:next w:val="Textbody"/>
    <w:uiPriority w:val="9"/>
    <w:unhideWhenUsed/>
    <w:qFormat/>
    <w:pPr>
      <w:spacing w:before="200"/>
      <w:outlineLvl w:val="1"/>
    </w:pPr>
    <w:rPr>
      <w:rFonts w:eastAsia="Arial" w:cs="Arial"/>
      <w:b/>
      <w:bCs/>
      <w:color w:val="2E5A88"/>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Arial" w:eastAsia="Microsoft YaHei" w:hAnsi="Arial"/>
      <w:sz w:val="28"/>
      <w:szCs w:val="28"/>
    </w:rPr>
  </w:style>
  <w:style w:type="paragraph" w:customStyle="1" w:styleId="Textbody">
    <w:name w:val="Text body"/>
    <w:basedOn w:val="Standard"/>
    <w:pPr>
      <w:spacing w:after="120"/>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styleId="Footer">
    <w:name w:val="footer"/>
    <w:basedOn w:val="Standard"/>
    <w:pPr>
      <w:suppressLineNumbers/>
      <w:tabs>
        <w:tab w:val="center" w:pos="5553"/>
        <w:tab w:val="right" w:pos="11106"/>
      </w:tabs>
    </w:pPr>
  </w:style>
  <w:style w:type="paragraph" w:customStyle="1" w:styleId="TableContents">
    <w:name w:val="Table Contents"/>
    <w:basedOn w:val="Standard"/>
    <w:pPr>
      <w:suppressLineNumbers/>
    </w:pPr>
  </w:style>
  <w:style w:type="paragraph" w:customStyle="1" w:styleId="Contents1">
    <w:name w:val="Contents 1"/>
    <w:basedOn w:val="Index"/>
    <w:pPr>
      <w:tabs>
        <w:tab w:val="right" w:leader="dot" w:pos="9026"/>
      </w:tabs>
    </w:pPr>
  </w:style>
  <w:style w:type="paragraph" w:customStyle="1" w:styleId="Contents2">
    <w:name w:val="Contents 2"/>
    <w:basedOn w:val="Index"/>
    <w:pPr>
      <w:tabs>
        <w:tab w:val="right" w:leader="dot" w:pos="9026"/>
      </w:tabs>
      <w:ind w:left="283"/>
    </w:pPr>
  </w:style>
  <w:style w:type="character" w:customStyle="1" w:styleId="Internetlink">
    <w:name w:val="Internet link"/>
    <w:rPr>
      <w:color w:val="000080"/>
      <w:u w:val="single"/>
      <w:lan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__RefHeading__999_1059281874" TargetMode="External"/><Relationship Id="rId13" Type="http://schemas.openxmlformats.org/officeDocument/2006/relationships/hyperlink" Target="#__RefHeading__1009_1059281874" TargetMode="External"/><Relationship Id="rId18" Type="http://schemas.openxmlformats.org/officeDocument/2006/relationships/hyperlink" Target="#__RefHeading__1019_1059281874"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__RefHeading__997_1059281874" TargetMode="External"/><Relationship Id="rId12" Type="http://schemas.openxmlformats.org/officeDocument/2006/relationships/hyperlink" Target="#__RefHeading__1007_1059281874" TargetMode="External"/><Relationship Id="rId17" Type="http://schemas.openxmlformats.org/officeDocument/2006/relationships/hyperlink" Target="#__RefHeading__1017_1059281874" TargetMode="External"/><Relationship Id="rId2" Type="http://schemas.openxmlformats.org/officeDocument/2006/relationships/settings" Target="settings.xml"/><Relationship Id="rId16" Type="http://schemas.openxmlformats.org/officeDocument/2006/relationships/hyperlink" Target="#__RefHeading__1015_1059281874" TargetMode="External"/><Relationship Id="rId20" Type="http://schemas.openxmlformats.org/officeDocument/2006/relationships/hyperlink" Target="#__RefHeading__1023_1059281874"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__RefHeading__1005_1059281874" TargetMode="External"/><Relationship Id="rId5" Type="http://schemas.openxmlformats.org/officeDocument/2006/relationships/endnotes" Target="endnotes.xml"/><Relationship Id="rId15" Type="http://schemas.openxmlformats.org/officeDocument/2006/relationships/hyperlink" Target="#__RefHeading__1013_1059281874" TargetMode="External"/><Relationship Id="rId23" Type="http://schemas.openxmlformats.org/officeDocument/2006/relationships/theme" Target="theme/theme1.xml"/><Relationship Id="rId10" Type="http://schemas.openxmlformats.org/officeDocument/2006/relationships/hyperlink" Target="#__RefHeading__1003_1059281874" TargetMode="External"/><Relationship Id="rId19" Type="http://schemas.openxmlformats.org/officeDocument/2006/relationships/hyperlink" Target="#__RefHeading__1021_1059281874" TargetMode="External"/><Relationship Id="rId4" Type="http://schemas.openxmlformats.org/officeDocument/2006/relationships/footnotes" Target="footnotes.xml"/><Relationship Id="rId9" Type="http://schemas.openxmlformats.org/officeDocument/2006/relationships/hyperlink" Target="#__RefHeading__1001_1059281874" TargetMode="External"/><Relationship Id="rId14" Type="http://schemas.openxmlformats.org/officeDocument/2006/relationships/hyperlink" Target="#__RefHeading__1011_105928187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3483</Words>
  <Characters>19856</Characters>
  <Application>Microsoft Office Word</Application>
  <DocSecurity>0</DocSecurity>
  <Lines>165</Lines>
  <Paragraphs>46</Paragraphs>
  <ScaleCrop>false</ScaleCrop>
  <Company/>
  <LinksUpToDate>false</LinksUpToDate>
  <CharactersWithSpaces>23293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fenil </dc:creator>
  <cp:lastModifiedBy>Ishan kevadiya</cp:lastModifiedBy>
  <cp:revision>2</cp:revision>
  <dcterms:created xsi:type="dcterms:W3CDTF">2026-06-19T12:30:00Z</dcterms:created>
  <dcterms:modified xsi:type="dcterms:W3CDTF">2026-06-19T12:30:00Z</dcterms:modified>
</cp:coreProperties>
</file>