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1BB4" w:rsidRDefault="000A584D">
      <w:pPr>
        <w:contextualSpacing/>
        <w:rPr>
          <w:sz w:val="24"/>
        </w:rPr>
      </w:pPr>
      <w:r>
        <w:rPr>
          <w:b/>
          <w:sz w:val="24"/>
          <w:u w:val="single"/>
        </w:rPr>
        <w:t>Question:</w:t>
      </w:r>
      <w:r>
        <w:rPr>
          <w:sz w:val="24"/>
        </w:rPr>
        <w:t xml:space="preserve"> 'The Pharisees helped to preserve that which was best in Judaism'. Comment on this description and assess the significance of the Pharisees for the Jewish faith.</w:t>
      </w:r>
    </w:p>
    <w:p w:rsidR="00211ADB" w:rsidRDefault="00211ADB">
      <w:pPr>
        <w:contextualSpacing/>
        <w:rPr>
          <w:sz w:val="24"/>
        </w:rPr>
      </w:pPr>
    </w:p>
    <w:p w:rsidR="00D76AFC" w:rsidRDefault="005B2BD8">
      <w:pPr>
        <w:contextualSpacing/>
        <w:rPr>
          <w:sz w:val="24"/>
        </w:rPr>
      </w:pPr>
      <w:r>
        <w:rPr>
          <w:sz w:val="24"/>
        </w:rPr>
        <w:t xml:space="preserve">The Pharisees </w:t>
      </w:r>
      <w:r w:rsidR="009C334C">
        <w:rPr>
          <w:sz w:val="24"/>
        </w:rPr>
        <w:t xml:space="preserve">were rather prestigious members of the Jewish religion who had a </w:t>
      </w:r>
      <w:r w:rsidR="00D76AFC">
        <w:rPr>
          <w:sz w:val="24"/>
        </w:rPr>
        <w:t>strict adherence to Jewish law. Throughout time, the Pharisees have been highly influential to the Jewish faith. Although the Pharisees were not portrayed positively, specifically as hypocrites, in the Gospels, the Pharisees did play a large part in how Judaism progressed following the destructions of the Temple in 70 CE. The question as to whether the Pharisees preserved that which was best in Judaism will be observed as I will look at the transition</w:t>
      </w:r>
      <w:r w:rsidR="00AE3C90">
        <w:rPr>
          <w:sz w:val="24"/>
        </w:rPr>
        <w:t>s</w:t>
      </w:r>
      <w:r w:rsidR="00D76AFC">
        <w:rPr>
          <w:sz w:val="24"/>
        </w:rPr>
        <w:t xml:space="preserve"> </w:t>
      </w:r>
      <w:r w:rsidR="00AE3C90">
        <w:rPr>
          <w:sz w:val="24"/>
        </w:rPr>
        <w:t>Judaism has made through time and how the Pharisees played their part in those major Jewish events.</w:t>
      </w:r>
    </w:p>
    <w:p w:rsidR="00D76AFC" w:rsidRDefault="00D76AFC">
      <w:pPr>
        <w:contextualSpacing/>
        <w:rPr>
          <w:sz w:val="24"/>
        </w:rPr>
      </w:pPr>
    </w:p>
    <w:p w:rsidR="00833545" w:rsidRDefault="00833545">
      <w:pPr>
        <w:contextualSpacing/>
        <w:rPr>
          <w:sz w:val="24"/>
        </w:rPr>
      </w:pPr>
      <w:r>
        <w:rPr>
          <w:sz w:val="24"/>
        </w:rPr>
        <w:t xml:space="preserve">Alongside the Pharisees were two main groups named the Sadducees and Essenes. </w:t>
      </w:r>
      <w:r w:rsidR="0003265A">
        <w:rPr>
          <w:sz w:val="24"/>
        </w:rPr>
        <w:t>The Pharisees are often associated alongside the scribes as they are frequently referred to in the same sentences in the Gospels but they were two different groups of people. What made the Pharisees different to the scribes was that the Pharisees had beliefs surrounding the Torah where as the scribes copied the scriptures and became teachers of the Scriptures. The Pharisees adhered to assembling in synagogues which helped influence the shift in focus from the Temple to the synagogues after the destruction of the Temple. This was the opposite of the Sadducees who focused on the goings on in the Temple like sacrificial rituals and rejected the concept of an oral Torah. The Essenes went on to live humble and monastic lives outside of Jerusalem.</w:t>
      </w:r>
      <w:r w:rsidR="00C471C8">
        <w:rPr>
          <w:sz w:val="24"/>
        </w:rPr>
        <w:t xml:space="preserve"> As the </w:t>
      </w:r>
      <w:r w:rsidR="005A26B3">
        <w:rPr>
          <w:sz w:val="24"/>
        </w:rPr>
        <w:t xml:space="preserve">importance of the </w:t>
      </w:r>
      <w:r w:rsidR="00C471C8">
        <w:rPr>
          <w:sz w:val="24"/>
        </w:rPr>
        <w:t xml:space="preserve">Sadducees </w:t>
      </w:r>
      <w:r w:rsidR="005A26B3">
        <w:rPr>
          <w:sz w:val="24"/>
        </w:rPr>
        <w:t xml:space="preserve">plummeted </w:t>
      </w:r>
      <w:r w:rsidR="00C471C8">
        <w:rPr>
          <w:sz w:val="24"/>
        </w:rPr>
        <w:t xml:space="preserve">following the destruction of Temple, the Pharisees essentially </w:t>
      </w:r>
      <w:r w:rsidR="005A26B3">
        <w:rPr>
          <w:sz w:val="24"/>
        </w:rPr>
        <w:t xml:space="preserve">offered up a way for Judaism to continue as they </w:t>
      </w:r>
      <w:r w:rsidR="00C471C8">
        <w:rPr>
          <w:sz w:val="24"/>
        </w:rPr>
        <w:t xml:space="preserve">took to the </w:t>
      </w:r>
      <w:r w:rsidR="005A26B3">
        <w:rPr>
          <w:sz w:val="24"/>
        </w:rPr>
        <w:t>forefront of Judaism in order for the religion to continue and</w:t>
      </w:r>
      <w:r w:rsidR="00C471C8">
        <w:rPr>
          <w:sz w:val="24"/>
        </w:rPr>
        <w:t xml:space="preserve"> function: This helps the idea that the Pharisees preserved what was best about Judaism as the </w:t>
      </w:r>
      <w:r w:rsidR="00A352EB">
        <w:rPr>
          <w:sz w:val="24"/>
        </w:rPr>
        <w:t xml:space="preserve">Pharisees </w:t>
      </w:r>
      <w:r w:rsidR="00C471C8">
        <w:rPr>
          <w:sz w:val="24"/>
        </w:rPr>
        <w:t xml:space="preserve">took on the </w:t>
      </w:r>
      <w:r w:rsidR="00A352EB">
        <w:rPr>
          <w:sz w:val="24"/>
        </w:rPr>
        <w:t>duty of helping</w:t>
      </w:r>
      <w:r w:rsidR="00C471C8">
        <w:rPr>
          <w:sz w:val="24"/>
        </w:rPr>
        <w:t xml:space="preserve"> the religion</w:t>
      </w:r>
      <w:r w:rsidR="00A352EB">
        <w:rPr>
          <w:sz w:val="24"/>
        </w:rPr>
        <w:t xml:space="preserve"> move forward</w:t>
      </w:r>
      <w:r w:rsidR="00C471C8">
        <w:rPr>
          <w:sz w:val="24"/>
        </w:rPr>
        <w:t>.</w:t>
      </w:r>
    </w:p>
    <w:p w:rsidR="00833545" w:rsidRDefault="00833545">
      <w:pPr>
        <w:contextualSpacing/>
        <w:rPr>
          <w:sz w:val="24"/>
        </w:rPr>
      </w:pPr>
    </w:p>
    <w:p w:rsidR="005129FB" w:rsidRDefault="009C334C" w:rsidP="005129FB">
      <w:pPr>
        <w:contextualSpacing/>
        <w:rPr>
          <w:sz w:val="24"/>
        </w:rPr>
      </w:pPr>
      <w:r>
        <w:rPr>
          <w:sz w:val="24"/>
        </w:rPr>
        <w:t>Similar to the Sadducees, the Pharisees recognised a written Torah. There was however, in addition to the written Torah, an oral Torah which was spoken from memory and transmitted orally through the generations. The Pharisees helped to keep the oral Torah preserved before it became recorded.</w:t>
      </w:r>
      <w:r w:rsidR="00F6309E">
        <w:rPr>
          <w:sz w:val="24"/>
        </w:rPr>
        <w:t xml:space="preserve"> </w:t>
      </w:r>
      <w:r w:rsidR="005129FB">
        <w:rPr>
          <w:sz w:val="24"/>
        </w:rPr>
        <w:t>The Pharisees were highly supportive of the Oral Torah, belief of having an unwritten law to go with the written authority of the scriptures.</w:t>
      </w:r>
    </w:p>
    <w:p w:rsidR="005B2BD8" w:rsidRDefault="00F6309E">
      <w:pPr>
        <w:contextualSpacing/>
        <w:rPr>
          <w:sz w:val="24"/>
        </w:rPr>
      </w:pPr>
      <w:r>
        <w:rPr>
          <w:sz w:val="24"/>
        </w:rPr>
        <w:t>The origins of the oral Torah came as a second body of laws which was revealed to Moses whilst on Mount Sinai.</w:t>
      </w:r>
      <w:r w:rsidR="002042BE">
        <w:rPr>
          <w:sz w:val="24"/>
        </w:rPr>
        <w:t xml:space="preserve"> A certain usage for the oral Torah is with the use of Tefillin where passages are recited. This is something of use to the Jewish faith in the modern day and it is able to be used in the modern day because the Pharisees helped to preserve it.</w:t>
      </w:r>
    </w:p>
    <w:p w:rsidR="00211ADB" w:rsidRDefault="00211ADB">
      <w:pPr>
        <w:contextualSpacing/>
        <w:rPr>
          <w:sz w:val="24"/>
        </w:rPr>
      </w:pPr>
    </w:p>
    <w:p w:rsidR="00F6309E" w:rsidRDefault="00F27777" w:rsidP="00F6309E">
      <w:pPr>
        <w:contextualSpacing/>
        <w:rPr>
          <w:sz w:val="24"/>
        </w:rPr>
      </w:pPr>
      <w:r>
        <w:rPr>
          <w:sz w:val="24"/>
        </w:rPr>
        <w:t xml:space="preserve">The Oral Torah became highly significant immediately following the Bar Kokhba Revolt between 132-135 CE. Danby, in his book 'The Mishnah: Translated from the Hebrew with Introduction and Brief Explanatory Notes' observes, "when the Bar Kochba Revolt further decimated the Jewish community, the Oral Law experienced a significant period of </w:t>
      </w:r>
      <w:r>
        <w:rPr>
          <w:sz w:val="24"/>
        </w:rPr>
        <w:lastRenderedPageBreak/>
        <w:t>development and an unprecedented level of legal and religious authority over the populace".</w:t>
      </w:r>
      <w:r>
        <w:rPr>
          <w:rStyle w:val="FootnoteReference"/>
          <w:sz w:val="24"/>
        </w:rPr>
        <w:footnoteReference w:id="2"/>
      </w:r>
      <w:r w:rsidR="00561944">
        <w:rPr>
          <w:sz w:val="24"/>
        </w:rPr>
        <w:t xml:space="preserve"> It was this period in time where the oral Torah was given much more of an elaboration to the law that was already written down. It's possible that these elaborations fill the gaps by explaining how to apply the law into the everyday life of the Jewish person and that may have been the main intention behind the elaborations.</w:t>
      </w:r>
    </w:p>
    <w:p w:rsidR="002042BE" w:rsidRDefault="002042BE" w:rsidP="00F6309E">
      <w:pPr>
        <w:contextualSpacing/>
        <w:rPr>
          <w:sz w:val="24"/>
        </w:rPr>
      </w:pPr>
    </w:p>
    <w:p w:rsidR="006B191A" w:rsidRDefault="00DE177F" w:rsidP="00F6309E">
      <w:pPr>
        <w:contextualSpacing/>
        <w:rPr>
          <w:sz w:val="24"/>
        </w:rPr>
      </w:pPr>
      <w:r>
        <w:rPr>
          <w:sz w:val="24"/>
        </w:rPr>
        <w:t>The high importance of the Pharisees to the Jewish faith was shown after the destruction of the Temple</w:t>
      </w:r>
      <w:r w:rsidR="00DA4335">
        <w:rPr>
          <w:sz w:val="24"/>
        </w:rPr>
        <w:t xml:space="preserve"> as Judaism went through a formative period in time with regards to moving forward</w:t>
      </w:r>
      <w:r>
        <w:rPr>
          <w:sz w:val="24"/>
        </w:rPr>
        <w:t>. With the Temple destroyed, Jews wondered how they were going to function as they became unable to worship God (through the holy of holies) and carry out certain rituals in the way in which they became accustomed to. As the Temple was the place where God resided, the Jewish people may have felt that the connection between God and humanity was now gone. Because of this there was a need to reconfigure the shape of Judaism with the way in which worship rituals were carried out.</w:t>
      </w:r>
      <w:r w:rsidR="006B191A">
        <w:rPr>
          <w:sz w:val="24"/>
        </w:rPr>
        <w:t xml:space="preserve"> The change in the way in worship was carried out was helped by the Pharisees that influenced the shift towards a sense of worship that focused more on the Torah. With the Temple unable to be used for sacrifices and services, the Pharisees shifted the emphasis of worship towards the showing of obedience towards God's law in keeping the commandments. As the Pharisees helped the Jewish religion as a whole following the Temple destruction, it can be said that the influence they had as well as the alterations they made, helped them preserve what was best, and most important in Judaism, with the emphasis of being able to worship God through the commandments.</w:t>
      </w:r>
    </w:p>
    <w:p w:rsidR="008E16CF" w:rsidRDefault="008E16CF" w:rsidP="00F6309E">
      <w:pPr>
        <w:contextualSpacing/>
        <w:rPr>
          <w:sz w:val="24"/>
        </w:rPr>
      </w:pPr>
    </w:p>
    <w:p w:rsidR="008E16CF" w:rsidRDefault="008E16CF" w:rsidP="00F6309E">
      <w:pPr>
        <w:contextualSpacing/>
        <w:rPr>
          <w:sz w:val="24"/>
        </w:rPr>
      </w:pPr>
      <w:r>
        <w:rPr>
          <w:sz w:val="24"/>
        </w:rPr>
        <w:t>Two key figures of Judaism named, Hillel and Shammai</w:t>
      </w:r>
      <w:r w:rsidR="00D04983">
        <w:rPr>
          <w:sz w:val="24"/>
        </w:rPr>
        <w:t xml:space="preserve"> made key contributions towards the growing body of the Oral Torah. Typically, Hillel's rulings were much more stricter than that of Shammai's. The other key figure, and someone deemed as a disciple to Hillel as Pharisaic leader named, Yohanan ben Zakkai</w:t>
      </w:r>
      <w:r w:rsidR="00964187">
        <w:rPr>
          <w:sz w:val="24"/>
        </w:rPr>
        <w:t xml:space="preserve">. </w:t>
      </w:r>
      <w:r w:rsidR="00833545">
        <w:rPr>
          <w:sz w:val="24"/>
        </w:rPr>
        <w:t>Within Rabbinic Judaism, Pharisaic elements became a key part of it and specifically, the Oral Torah. Yohanan ben Zakkai helped within the developments of legal tradition in Judaism as well as preserving oral traditions including the ones that became associated with Hillel and Shammai.</w:t>
      </w:r>
      <w:r w:rsidR="00371780">
        <w:rPr>
          <w:sz w:val="24"/>
        </w:rPr>
        <w:t xml:space="preserve"> </w:t>
      </w:r>
      <w:r w:rsidR="00964187">
        <w:rPr>
          <w:sz w:val="24"/>
        </w:rPr>
        <w:t>According to 'the Blackwell Companion to Judaism', "Yohanan ben Zakkai may not have been a Pharisee and the agenda of the early rabbis certainly was not predominantly Pharisaic, although main elements of Pharisaic tradition di</w:t>
      </w:r>
      <w:r w:rsidR="00A352EB">
        <w:rPr>
          <w:sz w:val="24"/>
        </w:rPr>
        <w:t>d become important in R</w:t>
      </w:r>
      <w:r w:rsidR="00371780">
        <w:rPr>
          <w:sz w:val="24"/>
        </w:rPr>
        <w:t>abbinism".</w:t>
      </w:r>
      <w:r w:rsidR="00371780">
        <w:rPr>
          <w:rStyle w:val="FootnoteReference"/>
          <w:sz w:val="24"/>
        </w:rPr>
        <w:footnoteReference w:id="3"/>
      </w:r>
      <w:r w:rsidR="00371780">
        <w:rPr>
          <w:sz w:val="24"/>
        </w:rPr>
        <w:t xml:space="preserve"> This shows that the Pharisees had a heavy impact on Rabbinic Judaism which was formed between the first and seventh centuries. This shows that the impact Yohanan ben Zakkai had was important to the Pharisees even though he was not a Pharisee himself.</w:t>
      </w:r>
    </w:p>
    <w:p w:rsidR="00F6309E" w:rsidRDefault="00F6309E">
      <w:pPr>
        <w:contextualSpacing/>
        <w:rPr>
          <w:sz w:val="24"/>
        </w:rPr>
      </w:pPr>
    </w:p>
    <w:p w:rsidR="00C81A47" w:rsidRDefault="00C81A47">
      <w:pPr>
        <w:contextualSpacing/>
        <w:rPr>
          <w:sz w:val="24"/>
        </w:rPr>
      </w:pPr>
      <w:r>
        <w:rPr>
          <w:sz w:val="24"/>
        </w:rPr>
        <w:lastRenderedPageBreak/>
        <w:t>The Pharisees played a key part within the Gospels. It's important to note that they are not portrayed positively as Jeremias says, "Jesus' reproaches to the Pharisees are of an entirely different kind [to that of the scribes]. They are accusations of hypocrisy in carrying out the laws on purity, while remaining impure inwardly; hypocrisy in paying tithes".</w:t>
      </w:r>
      <w:r>
        <w:rPr>
          <w:rStyle w:val="FootnoteReference"/>
          <w:sz w:val="24"/>
        </w:rPr>
        <w:footnoteReference w:id="4"/>
      </w:r>
      <w:r>
        <w:rPr>
          <w:sz w:val="24"/>
        </w:rPr>
        <w:t xml:space="preserve"> </w:t>
      </w:r>
      <w:r w:rsidR="003B5745">
        <w:rPr>
          <w:sz w:val="24"/>
        </w:rPr>
        <w:t xml:space="preserve">Jesus' anger towards the scribes was very different in the sense that he disagreed with the imposition of highly strict religious laws and attempts to cut off people's access to the kingdom of God, to name a few. </w:t>
      </w:r>
      <w:r w:rsidR="00706E8B">
        <w:rPr>
          <w:sz w:val="24"/>
        </w:rPr>
        <w:t>The Pharisees, it seems, played much more of a positive role in Judaism compared to the scribes because Jesus' stronger criticisms were aimed towards the scribes. Although the scribes were particularly associated with the Pharisees, Jeremias later points out that, "it is important not to under-estimate or overestimate the number of non-Pharisaic scribes, and that a part only of the scribes belonged to Pharisaic communities".</w:t>
      </w:r>
      <w:r w:rsidR="00706E8B">
        <w:rPr>
          <w:rStyle w:val="FootnoteReference"/>
          <w:sz w:val="24"/>
        </w:rPr>
        <w:footnoteReference w:id="5"/>
      </w:r>
      <w:r w:rsidR="00706E8B">
        <w:rPr>
          <w:sz w:val="24"/>
        </w:rPr>
        <w:t xml:space="preserve"> </w:t>
      </w:r>
      <w:r w:rsidR="00B4775D">
        <w:rPr>
          <w:sz w:val="24"/>
        </w:rPr>
        <w:t>This seems to say that the scribes were not as high an influence on the Pharisees as the Gospels may perceive. The Pharisees may have received criticism from Jesus for their strict commitment towards the law but that strong commitment helped shape the Jewish people in how to live everyday life so it can be argued that strong commitment towards the law set a good example towards preserving what was best about Judaism.</w:t>
      </w:r>
    </w:p>
    <w:p w:rsidR="00786596" w:rsidRDefault="00786596">
      <w:pPr>
        <w:contextualSpacing/>
        <w:rPr>
          <w:sz w:val="24"/>
        </w:rPr>
      </w:pPr>
    </w:p>
    <w:p w:rsidR="00786596" w:rsidRDefault="00786596">
      <w:pPr>
        <w:contextualSpacing/>
        <w:rPr>
          <w:sz w:val="24"/>
        </w:rPr>
      </w:pPr>
      <w:r>
        <w:rPr>
          <w:sz w:val="24"/>
        </w:rPr>
        <w:t>Even though, as mentioned beforehand, the Pharisees helped considerably towards the survival of Judaism after the destruction of the Temple, Lloyd Jones mentions, in his book, 'The Bones of Joseph', that the Pharisees made a key contribution during the time of the latter days of before the common era. Jones says, "the Pharisees assumed the authority to make decisions in matters of faith and morals. These new lay leaders realized that in order to survive the threats posed by its opponents, traditional Judaism had to adapt to the situation in which it found itself".</w:t>
      </w:r>
      <w:r>
        <w:rPr>
          <w:rStyle w:val="FootnoteReference"/>
          <w:sz w:val="24"/>
        </w:rPr>
        <w:footnoteReference w:id="6"/>
      </w:r>
      <w:r>
        <w:rPr>
          <w:sz w:val="24"/>
        </w:rPr>
        <w:t xml:space="preserve"> In the context of this quote, this was the Pharisees feeling the need to interfere in the function of Judaism because of thoughts of growing corruption among the nation's religious leaders and priests. It can be argued that, if the Pharisees had not acted in such a way in an attempt to combat the corruption, Judaism would </w:t>
      </w:r>
      <w:r w:rsidR="00370816">
        <w:rPr>
          <w:sz w:val="24"/>
        </w:rPr>
        <w:t>certainly not be what it came to be from the early years of the common era. In other words, the Pharisees thought that the religion was progressing in the wrong way and so they acted in order to put Judaism back on the correct path for the sake of the religion as a whole. Because of the way in which the Pharisees took on such a responsibility to change Judaism for the better, it can be said that the Pharisees did indeed preserve what was best in Judaism by not tolerating the corruption which was occurring among the priests and the nation's religious leaders.</w:t>
      </w:r>
    </w:p>
    <w:p w:rsidR="00C81A47" w:rsidRDefault="00C81A47">
      <w:pPr>
        <w:contextualSpacing/>
        <w:rPr>
          <w:sz w:val="24"/>
        </w:rPr>
      </w:pPr>
    </w:p>
    <w:p w:rsidR="00370816" w:rsidRDefault="00370816">
      <w:pPr>
        <w:contextualSpacing/>
        <w:rPr>
          <w:sz w:val="24"/>
        </w:rPr>
      </w:pPr>
      <w:r>
        <w:rPr>
          <w:sz w:val="24"/>
        </w:rPr>
        <w:t xml:space="preserve">One of the reasons as to why Jesus had conflicting views with the scribes was because the scribes were making everything increasingly difficult for Jews to practice their religion by increasingly adding stricter policies to laws, like purity and cleanliness laws, which were </w:t>
      </w:r>
      <w:r>
        <w:rPr>
          <w:sz w:val="24"/>
        </w:rPr>
        <w:lastRenderedPageBreak/>
        <w:t xml:space="preserve">already in existence. Before long, these stricter policies </w:t>
      </w:r>
      <w:r w:rsidR="00976E42">
        <w:rPr>
          <w:sz w:val="24"/>
        </w:rPr>
        <w:t>which were influenc</w:t>
      </w:r>
      <w:r>
        <w:rPr>
          <w:sz w:val="24"/>
        </w:rPr>
        <w:t>ed by the scribes were gradually  becoming the norm for Judaism.</w:t>
      </w:r>
      <w:r w:rsidR="00976E42">
        <w:rPr>
          <w:sz w:val="24"/>
        </w:rPr>
        <w:t xml:space="preserve"> However, it was the Pharisees which acted once again in order to try and make the practicing of Judaism easier for people so that people were more likely to be in the knowledge if they were abiding by the laws in question. With the Pharisees deciding to counteract the gradual extreme measures that were put into place by the scribes, they altered certain laws in a way which </w:t>
      </w:r>
      <w:r w:rsidR="00373740">
        <w:rPr>
          <w:sz w:val="24"/>
        </w:rPr>
        <w:t>was best for everyone practicing Judaism in order to not over-complicate areas of laws which were difficult to abide by and so it can be argued that, with the Pharisees acting in this way, they did what was best for Judaism.</w:t>
      </w:r>
    </w:p>
    <w:p w:rsidR="00370816" w:rsidRDefault="00370816">
      <w:pPr>
        <w:contextualSpacing/>
        <w:rPr>
          <w:sz w:val="24"/>
        </w:rPr>
      </w:pPr>
    </w:p>
    <w:p w:rsidR="00370816" w:rsidRDefault="00C55A78">
      <w:pPr>
        <w:contextualSpacing/>
        <w:rPr>
          <w:sz w:val="24"/>
        </w:rPr>
      </w:pPr>
      <w:r>
        <w:rPr>
          <w:sz w:val="24"/>
        </w:rPr>
        <w:t>The Pharisees helped to create a shift in Judaism after the Sadducees were essentially redundant after the loss they suffered after the destruction of the Temple. Before the occurrence of the destruction of the Temple, Judaism, whilst under the strong influence of the Sadducees, was something of a sacrificial religion</w:t>
      </w:r>
      <w:r w:rsidR="00F743BE">
        <w:rPr>
          <w:sz w:val="24"/>
        </w:rPr>
        <w:t xml:space="preserve">. </w:t>
      </w:r>
      <w:r w:rsidR="00952B8B">
        <w:rPr>
          <w:sz w:val="24"/>
        </w:rPr>
        <w:t>The Pharisees influenced a change in practices because there were many Jewish practices that were limited to the Temple. With</w:t>
      </w:r>
      <w:r w:rsidR="00F743BE">
        <w:rPr>
          <w:sz w:val="24"/>
        </w:rPr>
        <w:t xml:space="preserve"> sacrifices</w:t>
      </w:r>
      <w:r w:rsidR="00952B8B">
        <w:rPr>
          <w:sz w:val="24"/>
        </w:rPr>
        <w:t>, for example,</w:t>
      </w:r>
      <w:r w:rsidR="00F743BE">
        <w:rPr>
          <w:sz w:val="24"/>
        </w:rPr>
        <w:t xml:space="preserve"> </w:t>
      </w:r>
      <w:r w:rsidR="00952B8B">
        <w:rPr>
          <w:sz w:val="24"/>
        </w:rPr>
        <w:t xml:space="preserve">occurring </w:t>
      </w:r>
      <w:r w:rsidR="00F743BE">
        <w:rPr>
          <w:sz w:val="24"/>
        </w:rPr>
        <w:t>only in the Temple, Judaism could no longer go by such traditions without the Temple. Because of the interference made by the Pharisees, the shift that was created was to abide, not by sacrifices but, by more of a lawful and doctrine based religion. With many doctrines contained within the Torah like abidance towards the Commandments</w:t>
      </w:r>
      <w:r w:rsidR="003833E7">
        <w:rPr>
          <w:sz w:val="24"/>
        </w:rPr>
        <w:t xml:space="preserve"> and a way of saying that God can be worshipped in such a way because is within the words</w:t>
      </w:r>
      <w:r w:rsidR="00F743BE">
        <w:rPr>
          <w:sz w:val="24"/>
        </w:rPr>
        <w:t>, this helped a rather smooth transition from the sacrificial side of Judaism towards the later doctrinal side. With this interference made by the Pharisees, crucially, it helped Judaism to survive but under a new foundation which was able to aid the survival of Judaism.</w:t>
      </w:r>
    </w:p>
    <w:p w:rsidR="003833E7" w:rsidRDefault="003833E7">
      <w:pPr>
        <w:contextualSpacing/>
        <w:rPr>
          <w:sz w:val="24"/>
        </w:rPr>
      </w:pPr>
    </w:p>
    <w:p w:rsidR="003833E7" w:rsidRDefault="003833E7">
      <w:pPr>
        <w:contextualSpacing/>
        <w:rPr>
          <w:sz w:val="24"/>
        </w:rPr>
      </w:pPr>
      <w:r>
        <w:rPr>
          <w:sz w:val="24"/>
        </w:rPr>
        <w:t xml:space="preserve">The Bar Kokhba revolt was a major event in the history of Judaism. </w:t>
      </w:r>
      <w:r w:rsidR="003B4F0A">
        <w:rPr>
          <w:sz w:val="24"/>
        </w:rPr>
        <w:t>Judaism had become a rather stabilised religion due to the influence it had by Yohanan ben Zakkai and Rabbi Akiva. The Bar Kokhba revolt was a revolt against the Romans</w:t>
      </w:r>
      <w:r w:rsidR="00210F9E">
        <w:rPr>
          <w:sz w:val="24"/>
        </w:rPr>
        <w:t xml:space="preserve"> whilst under the rule of the Emperor Hadrian</w:t>
      </w:r>
      <w:r w:rsidR="003B4F0A">
        <w:rPr>
          <w:sz w:val="24"/>
        </w:rPr>
        <w:t xml:space="preserve">, led by the Jews in response to being constantly frustrated whilst living under the ruling of the Romans. </w:t>
      </w:r>
      <w:r w:rsidR="00210F9E">
        <w:rPr>
          <w:sz w:val="24"/>
        </w:rPr>
        <w:t>Hadrian's extreme measures of, "forbidding Torah study, Sabbath observance, circumcision, Jewish courts, meeting in synagogues and other ritual practices".</w:t>
      </w:r>
      <w:r w:rsidR="00210F9E">
        <w:rPr>
          <w:rStyle w:val="FootnoteReference"/>
          <w:sz w:val="24"/>
        </w:rPr>
        <w:footnoteReference w:id="7"/>
      </w:r>
      <w:r w:rsidR="00210F9E">
        <w:rPr>
          <w:sz w:val="24"/>
        </w:rPr>
        <w:t xml:space="preserve"> </w:t>
      </w:r>
      <w:r w:rsidR="003B4F0A">
        <w:rPr>
          <w:sz w:val="24"/>
        </w:rPr>
        <w:t>As a consequence of the revolt, many Jews lost their live</w:t>
      </w:r>
      <w:r w:rsidR="00210F9E">
        <w:rPr>
          <w:sz w:val="24"/>
        </w:rPr>
        <w:t>s, including</w:t>
      </w:r>
      <w:r w:rsidR="003B4F0A">
        <w:rPr>
          <w:sz w:val="24"/>
        </w:rPr>
        <w:t xml:space="preserve"> </w:t>
      </w:r>
      <w:r w:rsidR="00210F9E">
        <w:rPr>
          <w:sz w:val="24"/>
        </w:rPr>
        <w:t xml:space="preserve">the martyrdom of Rabbi Akiva. </w:t>
      </w:r>
      <w:r w:rsidR="003B4F0A">
        <w:rPr>
          <w:sz w:val="24"/>
        </w:rPr>
        <w:t>Following the revolt, Jews were banned from entering Jerusalem which was where the Temple was thus the Jews were unable to practice the religion because of the inability to access the Temple.</w:t>
      </w:r>
      <w:r w:rsidR="00210F9E">
        <w:rPr>
          <w:sz w:val="24"/>
        </w:rPr>
        <w:t xml:space="preserve"> Because of the work from those who were descendants of the Pharisees, the Jews were able to survive following the losses from the Bar Kokhba revolt.</w:t>
      </w:r>
    </w:p>
    <w:p w:rsidR="003833E7" w:rsidRDefault="003833E7">
      <w:pPr>
        <w:contextualSpacing/>
        <w:rPr>
          <w:sz w:val="24"/>
        </w:rPr>
      </w:pPr>
    </w:p>
    <w:p w:rsidR="00C55A78" w:rsidRDefault="0065123E">
      <w:pPr>
        <w:contextualSpacing/>
        <w:rPr>
          <w:sz w:val="24"/>
        </w:rPr>
      </w:pPr>
      <w:r>
        <w:rPr>
          <w:sz w:val="24"/>
        </w:rPr>
        <w:t xml:space="preserve">Josephus was an influential figure within Judaism during the first century of the common era as he was a commander for the Jewish forces during that time. After his capture, it was </w:t>
      </w:r>
      <w:r>
        <w:rPr>
          <w:sz w:val="24"/>
        </w:rPr>
        <w:lastRenderedPageBreak/>
        <w:t>while being imprisoned that he wrote key writings on the subject of the Pharisees.</w:t>
      </w:r>
      <w:r w:rsidR="00AE0A90">
        <w:rPr>
          <w:sz w:val="24"/>
        </w:rPr>
        <w:t xml:space="preserve"> </w:t>
      </w:r>
      <w:r w:rsidR="00151434">
        <w:rPr>
          <w:sz w:val="24"/>
        </w:rPr>
        <w:t>Josephus' writings towards the Pharisees were somewhat critical of them being too much involved with political matters and being quite engrossed within the law and politics. Josephus may have gone against the opinions of the Pharisees but it has to be said that he did hold an acceptance towards the role that they had played within Judaism and viewed the Pharisees as influential to the Jewish faith. Jones points out that Josephus' writings suggested that, "During periods of oppression and persecution they [the Pharisees] uphold the rights of the Jews."</w:t>
      </w:r>
      <w:r w:rsidR="00151434">
        <w:rPr>
          <w:rStyle w:val="FootnoteReference"/>
          <w:sz w:val="24"/>
        </w:rPr>
        <w:footnoteReference w:id="8"/>
      </w:r>
      <w:r w:rsidR="00151434">
        <w:rPr>
          <w:sz w:val="24"/>
        </w:rPr>
        <w:t xml:space="preserve"> Even though Josephus didn't agree with the Pharisees involvement within political affairs, he does acknowledge, however, that the Pharisees played a crucial role towards their survival in standing up for the Jewish people as a whole and for </w:t>
      </w:r>
      <w:r w:rsidR="0016011D">
        <w:rPr>
          <w:sz w:val="24"/>
        </w:rPr>
        <w:t xml:space="preserve">trying </w:t>
      </w:r>
      <w:r w:rsidR="00151434">
        <w:rPr>
          <w:sz w:val="24"/>
        </w:rPr>
        <w:t>doing what was best within the interests of the Jewish people.</w:t>
      </w:r>
      <w:r w:rsidR="0016011D">
        <w:rPr>
          <w:sz w:val="24"/>
        </w:rPr>
        <w:t xml:space="preserve"> This quality of leadership which is pointed out by Josephus suggests that the Pharisees did what was best for the Jewish faith by doing what was best for the people they represented.</w:t>
      </w:r>
    </w:p>
    <w:p w:rsidR="00151434" w:rsidRDefault="00151434">
      <w:pPr>
        <w:contextualSpacing/>
        <w:rPr>
          <w:sz w:val="24"/>
        </w:rPr>
      </w:pPr>
    </w:p>
    <w:p w:rsidR="00A14ECE" w:rsidRDefault="008F186E">
      <w:pPr>
        <w:contextualSpacing/>
        <w:rPr>
          <w:sz w:val="24"/>
        </w:rPr>
      </w:pPr>
      <w:r>
        <w:rPr>
          <w:sz w:val="24"/>
        </w:rPr>
        <w:t>Neusner makes an interesting point as to how the Pharisees went about the decisions in preserving what was best for Judaism. Neusner, in his book, 'Judaism in the Beginning of Christianity', writes, "The Pharisees claimed to be authoritative because they taught a philosophy that derived from Moses at Sinai. The therefore preserved a "chain of tradition" reaching back from their own day to the authority of remote antiquity".</w:t>
      </w:r>
      <w:r>
        <w:rPr>
          <w:rStyle w:val="FootnoteReference"/>
          <w:sz w:val="24"/>
        </w:rPr>
        <w:footnoteReference w:id="9"/>
      </w:r>
      <w:r>
        <w:rPr>
          <w:sz w:val="24"/>
        </w:rPr>
        <w:t xml:space="preserve"> This suggests that the </w:t>
      </w:r>
      <w:r w:rsidR="00952B8B">
        <w:rPr>
          <w:sz w:val="24"/>
        </w:rPr>
        <w:t>Pharisees also preserved elements of Judaism from before the destruction of the Temple</w:t>
      </w:r>
      <w:r>
        <w:rPr>
          <w:sz w:val="24"/>
        </w:rPr>
        <w:t xml:space="preserve"> which proceeded and continued after their big influence on the Jewish faith after 70 CE</w:t>
      </w:r>
      <w:r w:rsidR="00952B8B">
        <w:rPr>
          <w:sz w:val="24"/>
        </w:rPr>
        <w:t xml:space="preserve">. This </w:t>
      </w:r>
      <w:r>
        <w:rPr>
          <w:sz w:val="24"/>
        </w:rPr>
        <w:t>means</w:t>
      </w:r>
      <w:r w:rsidR="00952B8B">
        <w:rPr>
          <w:sz w:val="24"/>
        </w:rPr>
        <w:t xml:space="preserve"> that the shif</w:t>
      </w:r>
      <w:r>
        <w:rPr>
          <w:sz w:val="24"/>
        </w:rPr>
        <w:t xml:space="preserve">t in Judaism after the destruction of the temple did not disregard the old principles of the religion that were set out in the days of before the common era therefore maintaining and retaining </w:t>
      </w:r>
      <w:r w:rsidR="004B2599">
        <w:rPr>
          <w:sz w:val="24"/>
        </w:rPr>
        <w:t>some authenticity of the Jewish faith after the changes inspired by the Pharisees</w:t>
      </w:r>
      <w:r>
        <w:rPr>
          <w:sz w:val="24"/>
        </w:rPr>
        <w:t>.</w:t>
      </w:r>
    </w:p>
    <w:p w:rsidR="00023FFB" w:rsidRDefault="00023FFB">
      <w:pPr>
        <w:contextualSpacing/>
        <w:rPr>
          <w:sz w:val="24"/>
        </w:rPr>
      </w:pPr>
    </w:p>
    <w:p w:rsidR="00AD0449" w:rsidRDefault="00AD0449">
      <w:pPr>
        <w:contextualSpacing/>
        <w:rPr>
          <w:sz w:val="24"/>
        </w:rPr>
      </w:pPr>
      <w:r>
        <w:rPr>
          <w:sz w:val="24"/>
        </w:rPr>
        <w:t xml:space="preserve">In conclusion, a lot of evidence from the historical events within Judaism supports the idea that the Pharisees did, indeed, preserve what was best and made decisions with the intention of doing what was best for Judaism. With events like the destruction of the Temple and the Bar Kokhba revolt, the Jews went through strenuous adversity in such a short period of time. </w:t>
      </w:r>
      <w:r w:rsidR="00541FC0">
        <w:rPr>
          <w:sz w:val="24"/>
        </w:rPr>
        <w:t>"</w:t>
      </w:r>
      <w:r w:rsidR="00541FC0" w:rsidRPr="00D3370F">
        <w:rPr>
          <w:sz w:val="24"/>
        </w:rPr>
        <w:t>The fact that Judaism was able to survive the calamitous consequences of the Bar Kokhba revolt at all is, again, largely thanks to the rabbis and their practices, the foundations of which were established at Yavneh.</w:t>
      </w:r>
      <w:r w:rsidR="00541FC0">
        <w:rPr>
          <w:sz w:val="24"/>
        </w:rPr>
        <w:t>"</w:t>
      </w:r>
      <w:r w:rsidR="00541FC0">
        <w:rPr>
          <w:rStyle w:val="FootnoteReference"/>
          <w:sz w:val="24"/>
        </w:rPr>
        <w:footnoteReference w:id="10"/>
      </w:r>
      <w:r w:rsidR="00541FC0">
        <w:rPr>
          <w:sz w:val="24"/>
        </w:rPr>
        <w:t xml:space="preserve"> </w:t>
      </w:r>
      <w:r>
        <w:rPr>
          <w:sz w:val="24"/>
        </w:rPr>
        <w:t>In order for Judaism to survive after such incidents, the guidance of the Pharisees must have been what was best for Judaism because the religion may not have survived otherwise</w:t>
      </w:r>
      <w:r w:rsidR="00541FC0">
        <w:rPr>
          <w:sz w:val="24"/>
        </w:rPr>
        <w:t xml:space="preserve"> if they were under a different influence</w:t>
      </w:r>
      <w:r>
        <w:rPr>
          <w:sz w:val="24"/>
        </w:rPr>
        <w:t>.</w:t>
      </w:r>
    </w:p>
    <w:p w:rsidR="00AD0449" w:rsidRDefault="00AD0449">
      <w:pPr>
        <w:contextualSpacing/>
        <w:rPr>
          <w:sz w:val="24"/>
        </w:rPr>
      </w:pPr>
    </w:p>
    <w:p w:rsidR="00D3370F" w:rsidRDefault="00541FC0">
      <w:pPr>
        <w:contextualSpacing/>
        <w:rPr>
          <w:sz w:val="24"/>
        </w:rPr>
      </w:pPr>
      <w:r>
        <w:rPr>
          <w:sz w:val="24"/>
        </w:rPr>
        <w:lastRenderedPageBreak/>
        <w:t xml:space="preserve">It appears that the main point of attention the Pharisees had was to preserve what was intended as good. However, this raises the question as to whether what exactly could be deemed to 'good' or what was 'best'. Because of the adversity Judaism faced, it can be argued that the Pharisees attempted to preserve and salvage everything that they could in order to continue the practice of Judaism. </w:t>
      </w:r>
      <w:r w:rsidR="001A5963">
        <w:rPr>
          <w:sz w:val="24"/>
        </w:rPr>
        <w:t>After the major events that affected Judaism, it has to be considered that the Pharisees made their attempts to preserve what was best for Judaism on the basis that they had rather limited resources to try  and continue practicing Judaism when it was no longer possible to carry out certain practices, especially sacrificial practices. With making use of the texts that the Jews, influenced by the Pharisees, helped create a shift in the religion instead of completely abandoning Judaism as a whole. To conclude, the Pharisees helped to keep Judaism in existence when it could have died out due to the adversity the Jews had suffered during the first and second centuries of the common era.</w:t>
      </w: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C87655" w:rsidRDefault="00C87655">
      <w:pPr>
        <w:contextualSpacing/>
        <w:rPr>
          <w:sz w:val="24"/>
        </w:rPr>
      </w:pPr>
    </w:p>
    <w:p w:rsidR="007D0B79" w:rsidRDefault="007D0B79">
      <w:pPr>
        <w:contextualSpacing/>
        <w:rPr>
          <w:b/>
          <w:sz w:val="24"/>
          <w:u w:val="single"/>
        </w:rPr>
      </w:pPr>
    </w:p>
    <w:p w:rsidR="00C87655" w:rsidRDefault="00C87655">
      <w:pPr>
        <w:contextualSpacing/>
        <w:rPr>
          <w:b/>
          <w:sz w:val="24"/>
          <w:u w:val="single"/>
        </w:rPr>
      </w:pPr>
      <w:r>
        <w:rPr>
          <w:b/>
          <w:sz w:val="24"/>
          <w:u w:val="single"/>
        </w:rPr>
        <w:lastRenderedPageBreak/>
        <w:t>Bibliography</w:t>
      </w:r>
    </w:p>
    <w:p w:rsidR="00C87655" w:rsidRDefault="00C87655" w:rsidP="00C87655">
      <w:pPr>
        <w:contextualSpacing/>
        <w:rPr>
          <w:sz w:val="24"/>
        </w:rPr>
      </w:pPr>
      <w:r w:rsidRPr="008D4861">
        <w:rPr>
          <w:sz w:val="24"/>
        </w:rPr>
        <w:t>Ancient Jewish History: The Bar Kokhba Revolt (132-135 CE). (Unknown date). Retrieved from http://www.jewishvirtuallibrary.org/the-bar-kokhba-revolt-132-135-ce.</w:t>
      </w:r>
    </w:p>
    <w:p w:rsidR="00C87655" w:rsidRDefault="00C87655">
      <w:pPr>
        <w:contextualSpacing/>
        <w:rPr>
          <w:sz w:val="24"/>
        </w:rPr>
      </w:pPr>
    </w:p>
    <w:p w:rsidR="00C87655" w:rsidRPr="00AB77E1" w:rsidRDefault="00C87655" w:rsidP="00C87655">
      <w:pPr>
        <w:contextualSpacing/>
        <w:jc w:val="both"/>
        <w:rPr>
          <w:sz w:val="24"/>
          <w:szCs w:val="24"/>
        </w:rPr>
      </w:pPr>
      <w:r w:rsidRPr="00AB77E1">
        <w:rPr>
          <w:sz w:val="24"/>
          <w:szCs w:val="24"/>
        </w:rPr>
        <w:t>Cohn-Sherbok,</w:t>
      </w:r>
      <w:r>
        <w:rPr>
          <w:sz w:val="24"/>
          <w:szCs w:val="24"/>
        </w:rPr>
        <w:t xml:space="preserve"> D., </w:t>
      </w:r>
      <w:r w:rsidRPr="00AB77E1">
        <w:rPr>
          <w:i/>
          <w:sz w:val="24"/>
          <w:szCs w:val="24"/>
        </w:rPr>
        <w:t>Judaism: History, Belief and Practice</w:t>
      </w:r>
      <w:r w:rsidRPr="00AB77E1">
        <w:rPr>
          <w:sz w:val="24"/>
          <w:szCs w:val="24"/>
        </w:rPr>
        <w:t xml:space="preserve"> (London: Routledge</w:t>
      </w:r>
      <w:r>
        <w:rPr>
          <w:sz w:val="24"/>
          <w:szCs w:val="24"/>
        </w:rPr>
        <w:t>)</w:t>
      </w:r>
      <w:r w:rsidRPr="00AB77E1">
        <w:rPr>
          <w:sz w:val="24"/>
          <w:szCs w:val="24"/>
        </w:rPr>
        <w:t>, 2003</w:t>
      </w:r>
      <w:r>
        <w:rPr>
          <w:sz w:val="24"/>
          <w:szCs w:val="24"/>
        </w:rPr>
        <w:t>.</w:t>
      </w:r>
    </w:p>
    <w:p w:rsidR="00C87655" w:rsidRDefault="00C87655">
      <w:pPr>
        <w:contextualSpacing/>
        <w:rPr>
          <w:sz w:val="24"/>
        </w:rPr>
      </w:pPr>
    </w:p>
    <w:p w:rsidR="00C87655" w:rsidRDefault="00C87655" w:rsidP="00C87655">
      <w:pPr>
        <w:contextualSpacing/>
        <w:rPr>
          <w:sz w:val="24"/>
        </w:rPr>
      </w:pPr>
      <w:r w:rsidRPr="008D4861">
        <w:rPr>
          <w:sz w:val="24"/>
        </w:rPr>
        <w:t xml:space="preserve">Danby, Herbert,  </w:t>
      </w:r>
      <w:r w:rsidRPr="008D4861">
        <w:rPr>
          <w:i/>
          <w:sz w:val="24"/>
        </w:rPr>
        <w:t>The</w:t>
      </w:r>
      <w:r w:rsidRPr="008D4861">
        <w:rPr>
          <w:sz w:val="24"/>
        </w:rPr>
        <w:t xml:space="preserve"> </w:t>
      </w:r>
      <w:r w:rsidRPr="008D4861">
        <w:rPr>
          <w:i/>
          <w:sz w:val="24"/>
        </w:rPr>
        <w:t>Mishnah: Translated from the Hebrew with Introduction and Brief Explanatory Notes</w:t>
      </w:r>
      <w:r w:rsidRPr="008D4861">
        <w:rPr>
          <w:sz w:val="24"/>
        </w:rPr>
        <w:t xml:space="preserve"> (Peabody: Hendrickson Publishers, 2012).</w:t>
      </w:r>
    </w:p>
    <w:p w:rsidR="00C87655" w:rsidRDefault="00C87655">
      <w:pPr>
        <w:contextualSpacing/>
        <w:rPr>
          <w:sz w:val="24"/>
        </w:rPr>
      </w:pPr>
    </w:p>
    <w:p w:rsidR="00C87655" w:rsidRDefault="00C87655" w:rsidP="00C87655">
      <w:pPr>
        <w:contextualSpacing/>
        <w:rPr>
          <w:sz w:val="24"/>
          <w:szCs w:val="24"/>
        </w:rPr>
      </w:pPr>
      <w:r w:rsidRPr="00AB77E1">
        <w:rPr>
          <w:sz w:val="24"/>
          <w:szCs w:val="24"/>
        </w:rPr>
        <w:t xml:space="preserve">Epstein, </w:t>
      </w:r>
      <w:r>
        <w:rPr>
          <w:sz w:val="24"/>
          <w:szCs w:val="24"/>
        </w:rPr>
        <w:t xml:space="preserve">I., </w:t>
      </w:r>
      <w:r w:rsidRPr="00AB77E1">
        <w:rPr>
          <w:i/>
          <w:sz w:val="24"/>
          <w:szCs w:val="24"/>
        </w:rPr>
        <w:t>Judaism</w:t>
      </w:r>
      <w:r>
        <w:rPr>
          <w:sz w:val="24"/>
          <w:szCs w:val="24"/>
        </w:rPr>
        <w:t xml:space="preserve"> (London: Penguin Books, 1977).</w:t>
      </w:r>
    </w:p>
    <w:p w:rsidR="00C87655" w:rsidRDefault="00C87655" w:rsidP="00C87655">
      <w:pPr>
        <w:contextualSpacing/>
        <w:rPr>
          <w:sz w:val="24"/>
          <w:szCs w:val="24"/>
        </w:rPr>
      </w:pPr>
    </w:p>
    <w:p w:rsidR="00C87655" w:rsidRPr="00AB77E1" w:rsidRDefault="00C87655" w:rsidP="00C87655">
      <w:pPr>
        <w:contextualSpacing/>
        <w:jc w:val="both"/>
        <w:rPr>
          <w:sz w:val="24"/>
          <w:szCs w:val="24"/>
        </w:rPr>
      </w:pPr>
      <w:r w:rsidRPr="00AB77E1">
        <w:rPr>
          <w:sz w:val="24"/>
          <w:szCs w:val="24"/>
        </w:rPr>
        <w:t>Jacobs,</w:t>
      </w:r>
      <w:r>
        <w:rPr>
          <w:sz w:val="24"/>
          <w:szCs w:val="24"/>
        </w:rPr>
        <w:t xml:space="preserve"> L., </w:t>
      </w:r>
      <w:r w:rsidRPr="00AB77E1">
        <w:rPr>
          <w:i/>
          <w:sz w:val="24"/>
          <w:szCs w:val="24"/>
        </w:rPr>
        <w:t>The Jewish Religion: A Companion</w:t>
      </w:r>
      <w:r w:rsidRPr="00AB77E1">
        <w:rPr>
          <w:sz w:val="24"/>
          <w:szCs w:val="24"/>
        </w:rPr>
        <w:t xml:space="preserve"> (Oxford: OUP, 1995)</w:t>
      </w:r>
      <w:r>
        <w:rPr>
          <w:sz w:val="24"/>
          <w:szCs w:val="24"/>
        </w:rPr>
        <w:t>.</w:t>
      </w:r>
    </w:p>
    <w:p w:rsidR="00C87655" w:rsidRDefault="00C87655" w:rsidP="00C87655">
      <w:pPr>
        <w:contextualSpacing/>
        <w:jc w:val="both"/>
        <w:rPr>
          <w:sz w:val="24"/>
          <w:szCs w:val="24"/>
        </w:rPr>
      </w:pPr>
    </w:p>
    <w:p w:rsidR="00C87655" w:rsidRPr="00AB77E1" w:rsidRDefault="00C87655" w:rsidP="00C87655">
      <w:pPr>
        <w:contextualSpacing/>
        <w:jc w:val="both"/>
        <w:rPr>
          <w:sz w:val="24"/>
          <w:szCs w:val="24"/>
        </w:rPr>
      </w:pPr>
      <w:r w:rsidRPr="00AB77E1">
        <w:rPr>
          <w:sz w:val="24"/>
          <w:szCs w:val="24"/>
        </w:rPr>
        <w:t>Jeremias,</w:t>
      </w:r>
      <w:r>
        <w:rPr>
          <w:sz w:val="24"/>
          <w:szCs w:val="24"/>
        </w:rPr>
        <w:t xml:space="preserve"> J., </w:t>
      </w:r>
      <w:r w:rsidRPr="00AB77E1">
        <w:rPr>
          <w:i/>
          <w:sz w:val="24"/>
          <w:szCs w:val="24"/>
        </w:rPr>
        <w:t>Jerusalem in the Time of Jesus</w:t>
      </w:r>
      <w:r w:rsidRPr="00AB77E1">
        <w:rPr>
          <w:sz w:val="24"/>
          <w:szCs w:val="24"/>
        </w:rPr>
        <w:t xml:space="preserve"> (Philadelphia: Fortress Press, 1969)</w:t>
      </w:r>
      <w:r>
        <w:rPr>
          <w:sz w:val="24"/>
          <w:szCs w:val="24"/>
        </w:rPr>
        <w:t>.</w:t>
      </w:r>
    </w:p>
    <w:p w:rsidR="00C87655" w:rsidRDefault="00C87655" w:rsidP="00C87655">
      <w:pPr>
        <w:contextualSpacing/>
        <w:jc w:val="both"/>
        <w:rPr>
          <w:sz w:val="24"/>
          <w:szCs w:val="24"/>
        </w:rPr>
      </w:pPr>
    </w:p>
    <w:p w:rsidR="00C87655" w:rsidRPr="00AB77E1" w:rsidRDefault="00C87655" w:rsidP="00C87655">
      <w:pPr>
        <w:contextualSpacing/>
        <w:jc w:val="both"/>
        <w:rPr>
          <w:sz w:val="24"/>
          <w:szCs w:val="24"/>
        </w:rPr>
      </w:pPr>
      <w:r w:rsidRPr="00AB77E1">
        <w:rPr>
          <w:sz w:val="24"/>
          <w:szCs w:val="24"/>
        </w:rPr>
        <w:t>Kung,</w:t>
      </w:r>
      <w:r>
        <w:rPr>
          <w:sz w:val="24"/>
          <w:szCs w:val="24"/>
        </w:rPr>
        <w:t xml:space="preserve"> H., </w:t>
      </w:r>
      <w:r w:rsidRPr="00AB77E1">
        <w:rPr>
          <w:i/>
          <w:sz w:val="24"/>
          <w:szCs w:val="24"/>
        </w:rPr>
        <w:t>Judaism: The Religious Situation of Our Time</w:t>
      </w:r>
      <w:r w:rsidRPr="00AB77E1">
        <w:rPr>
          <w:sz w:val="24"/>
          <w:szCs w:val="24"/>
        </w:rPr>
        <w:t xml:space="preserve"> (London: SCM Press, 1992)</w:t>
      </w:r>
      <w:r>
        <w:rPr>
          <w:sz w:val="24"/>
          <w:szCs w:val="24"/>
        </w:rPr>
        <w:t>.</w:t>
      </w:r>
    </w:p>
    <w:p w:rsidR="00C87655" w:rsidRDefault="00C87655">
      <w:pPr>
        <w:contextualSpacing/>
        <w:rPr>
          <w:sz w:val="24"/>
        </w:rPr>
      </w:pPr>
    </w:p>
    <w:p w:rsidR="00C87655" w:rsidRDefault="00C87655" w:rsidP="00C87655">
      <w:pPr>
        <w:contextualSpacing/>
        <w:rPr>
          <w:sz w:val="24"/>
        </w:rPr>
      </w:pPr>
      <w:r>
        <w:rPr>
          <w:sz w:val="24"/>
        </w:rPr>
        <w:t xml:space="preserve">Lecture PowerPoint, </w:t>
      </w:r>
      <w:r w:rsidRPr="008D4861">
        <w:rPr>
          <w:sz w:val="24"/>
        </w:rPr>
        <w:t>Rhodri Thomas, Topic 2 - Reconstruction at Yavneh on 10/10/17.</w:t>
      </w:r>
    </w:p>
    <w:p w:rsidR="00C87655" w:rsidRDefault="00C87655" w:rsidP="00C87655">
      <w:pPr>
        <w:contextualSpacing/>
        <w:jc w:val="both"/>
        <w:rPr>
          <w:sz w:val="24"/>
          <w:szCs w:val="24"/>
        </w:rPr>
      </w:pPr>
    </w:p>
    <w:p w:rsidR="00C87655" w:rsidRPr="00AB77E1" w:rsidRDefault="00C87655" w:rsidP="00C87655">
      <w:pPr>
        <w:contextualSpacing/>
        <w:jc w:val="both"/>
        <w:rPr>
          <w:sz w:val="24"/>
          <w:szCs w:val="24"/>
        </w:rPr>
      </w:pPr>
      <w:r w:rsidRPr="00AB77E1">
        <w:rPr>
          <w:sz w:val="24"/>
          <w:szCs w:val="24"/>
        </w:rPr>
        <w:t>Lloyd Jones,</w:t>
      </w:r>
      <w:r>
        <w:rPr>
          <w:sz w:val="24"/>
          <w:szCs w:val="24"/>
        </w:rPr>
        <w:t xml:space="preserve"> G., </w:t>
      </w:r>
      <w:r w:rsidRPr="00AB77E1">
        <w:rPr>
          <w:i/>
          <w:sz w:val="24"/>
          <w:szCs w:val="24"/>
        </w:rPr>
        <w:t>The Bones of Joseph</w:t>
      </w:r>
      <w:r w:rsidRPr="00AB77E1">
        <w:rPr>
          <w:sz w:val="24"/>
          <w:szCs w:val="24"/>
        </w:rPr>
        <w:t xml:space="preserve"> (Grand Rapids: William B. Eerdmans, 1997), ch. 7</w:t>
      </w:r>
    </w:p>
    <w:p w:rsidR="00C87655" w:rsidRDefault="00C87655" w:rsidP="00C87655">
      <w:pPr>
        <w:contextualSpacing/>
        <w:jc w:val="both"/>
        <w:rPr>
          <w:sz w:val="24"/>
          <w:szCs w:val="24"/>
        </w:rPr>
      </w:pPr>
    </w:p>
    <w:p w:rsidR="00C87655" w:rsidRPr="00AB77E1" w:rsidRDefault="00C87655" w:rsidP="00C87655">
      <w:pPr>
        <w:contextualSpacing/>
        <w:jc w:val="both"/>
        <w:rPr>
          <w:sz w:val="24"/>
          <w:szCs w:val="24"/>
        </w:rPr>
      </w:pPr>
      <w:r w:rsidRPr="00AB77E1">
        <w:rPr>
          <w:sz w:val="24"/>
          <w:szCs w:val="24"/>
        </w:rPr>
        <w:t xml:space="preserve">Neusner, </w:t>
      </w:r>
      <w:r>
        <w:rPr>
          <w:sz w:val="24"/>
          <w:szCs w:val="24"/>
        </w:rPr>
        <w:t xml:space="preserve">J., </w:t>
      </w:r>
      <w:r w:rsidRPr="00AB77E1">
        <w:rPr>
          <w:i/>
          <w:sz w:val="24"/>
          <w:szCs w:val="24"/>
        </w:rPr>
        <w:t>Judaism in the Beginning of Christianity</w:t>
      </w:r>
      <w:r w:rsidRPr="00AB77E1">
        <w:rPr>
          <w:sz w:val="24"/>
          <w:szCs w:val="24"/>
        </w:rPr>
        <w:t xml:space="preserve"> (Philadelphia: Fortress Press, 1984)</w:t>
      </w:r>
      <w:r>
        <w:rPr>
          <w:sz w:val="24"/>
          <w:szCs w:val="24"/>
        </w:rPr>
        <w:t>.</w:t>
      </w:r>
    </w:p>
    <w:p w:rsidR="00C87655" w:rsidRDefault="00C87655" w:rsidP="00C87655">
      <w:pPr>
        <w:contextualSpacing/>
        <w:jc w:val="both"/>
        <w:rPr>
          <w:sz w:val="24"/>
          <w:szCs w:val="24"/>
        </w:rPr>
      </w:pPr>
    </w:p>
    <w:p w:rsidR="00C87655" w:rsidRPr="00AB77E1" w:rsidRDefault="00C87655" w:rsidP="00C87655">
      <w:pPr>
        <w:contextualSpacing/>
        <w:jc w:val="both"/>
        <w:rPr>
          <w:sz w:val="24"/>
          <w:szCs w:val="24"/>
        </w:rPr>
      </w:pPr>
      <w:r w:rsidRPr="00AB77E1">
        <w:rPr>
          <w:sz w:val="24"/>
          <w:szCs w:val="24"/>
        </w:rPr>
        <w:t>Neusner</w:t>
      </w:r>
      <w:r>
        <w:rPr>
          <w:sz w:val="24"/>
          <w:szCs w:val="24"/>
        </w:rPr>
        <w:t xml:space="preserve">, J., and Avery </w:t>
      </w:r>
      <w:bookmarkStart w:id="0" w:name="_GoBack"/>
      <w:bookmarkEnd w:id="0"/>
      <w:r>
        <w:rPr>
          <w:sz w:val="24"/>
          <w:szCs w:val="24"/>
        </w:rPr>
        <w:t xml:space="preserve">Peck, A. J. </w:t>
      </w:r>
      <w:r w:rsidRPr="00AB77E1">
        <w:rPr>
          <w:sz w:val="24"/>
          <w:szCs w:val="24"/>
        </w:rPr>
        <w:t xml:space="preserve">(eds.), </w:t>
      </w:r>
      <w:r w:rsidRPr="00AB77E1">
        <w:rPr>
          <w:i/>
          <w:sz w:val="24"/>
          <w:szCs w:val="24"/>
        </w:rPr>
        <w:t>The Blackwell Companion to Judaism</w:t>
      </w:r>
      <w:r w:rsidRPr="00AB77E1">
        <w:rPr>
          <w:sz w:val="24"/>
          <w:szCs w:val="24"/>
        </w:rPr>
        <w:t xml:space="preserve"> (Oxford: Blackwell Publishers, 2000)</w:t>
      </w:r>
      <w:r>
        <w:rPr>
          <w:sz w:val="24"/>
          <w:szCs w:val="24"/>
        </w:rPr>
        <w:t>.</w:t>
      </w:r>
    </w:p>
    <w:p w:rsidR="00C87655" w:rsidRDefault="00C87655" w:rsidP="00C87655">
      <w:pPr>
        <w:contextualSpacing/>
        <w:rPr>
          <w:sz w:val="24"/>
          <w:szCs w:val="24"/>
        </w:rPr>
      </w:pPr>
    </w:p>
    <w:p w:rsidR="00C87655" w:rsidRPr="008D4861" w:rsidRDefault="00C87655" w:rsidP="00C87655">
      <w:pPr>
        <w:contextualSpacing/>
        <w:rPr>
          <w:sz w:val="24"/>
        </w:rPr>
      </w:pPr>
      <w:r w:rsidRPr="00AB77E1">
        <w:rPr>
          <w:sz w:val="24"/>
          <w:szCs w:val="24"/>
        </w:rPr>
        <w:t>Sanders,</w:t>
      </w:r>
      <w:r>
        <w:rPr>
          <w:sz w:val="24"/>
          <w:szCs w:val="24"/>
        </w:rPr>
        <w:t xml:space="preserve"> E. P., </w:t>
      </w:r>
      <w:r w:rsidRPr="00AB77E1">
        <w:rPr>
          <w:i/>
          <w:sz w:val="24"/>
          <w:szCs w:val="24"/>
        </w:rPr>
        <w:t>Judaism: Practice and Belief 63 BCE – 66 CE</w:t>
      </w:r>
      <w:r>
        <w:rPr>
          <w:sz w:val="24"/>
          <w:szCs w:val="24"/>
        </w:rPr>
        <w:t xml:space="preserve"> (London: SCM Press, 1992).</w:t>
      </w:r>
    </w:p>
    <w:p w:rsidR="00C87655" w:rsidRDefault="00C87655">
      <w:pPr>
        <w:contextualSpacing/>
        <w:rPr>
          <w:sz w:val="24"/>
        </w:rPr>
      </w:pPr>
    </w:p>
    <w:p w:rsidR="00C87655" w:rsidRPr="00C87655" w:rsidRDefault="00C87655">
      <w:pPr>
        <w:contextualSpacing/>
        <w:rPr>
          <w:rFonts w:cs="Helvetica"/>
          <w:color w:val="000000"/>
          <w:sz w:val="24"/>
          <w:shd w:val="clear" w:color="auto" w:fill="FFFFFF"/>
        </w:rPr>
      </w:pPr>
      <w:r w:rsidRPr="008D4861">
        <w:rPr>
          <w:sz w:val="24"/>
        </w:rPr>
        <w:t xml:space="preserve">Stemberger, Guenter, </w:t>
      </w:r>
      <w:r w:rsidRPr="008D4861">
        <w:rPr>
          <w:i/>
          <w:sz w:val="24"/>
        </w:rPr>
        <w:t>'The Formation of Rabbinic Judaism, 70-640 CE</w:t>
      </w:r>
      <w:r w:rsidRPr="008D4861">
        <w:rPr>
          <w:rFonts w:cs="Helvetica"/>
          <w:i/>
          <w:color w:val="000000"/>
          <w:sz w:val="24"/>
          <w:shd w:val="clear" w:color="auto" w:fill="FFFFFF"/>
        </w:rPr>
        <w:t>: In</w:t>
      </w:r>
      <w:r w:rsidRPr="008D4861">
        <w:rPr>
          <w:rFonts w:cs="Helvetica"/>
          <w:color w:val="000000"/>
          <w:sz w:val="24"/>
          <w:shd w:val="clear" w:color="auto" w:fill="FFFFFF"/>
        </w:rPr>
        <w:t> </w:t>
      </w:r>
      <w:r w:rsidRPr="008D4861">
        <w:rPr>
          <w:rStyle w:val="Emphasis"/>
          <w:rFonts w:cs="Helvetica"/>
          <w:color w:val="000000"/>
          <w:sz w:val="24"/>
          <w:shd w:val="clear" w:color="auto" w:fill="FFFFFF"/>
        </w:rPr>
        <w:t>The Blackwell Companion to Judaism</w:t>
      </w:r>
      <w:r w:rsidRPr="008D4861">
        <w:rPr>
          <w:rFonts w:cs="Helvetica"/>
          <w:color w:val="000000"/>
          <w:sz w:val="24"/>
          <w:shd w:val="clear" w:color="auto" w:fill="FFFFFF"/>
        </w:rPr>
        <w:t>, ed. Jacob Neusner &amp; Alan J. Avery-Peck (Oxford: Blackwell Publishers, 2000).</w:t>
      </w:r>
    </w:p>
    <w:sectPr w:rsidR="00C87655" w:rsidRPr="00C87655" w:rsidSect="00B53C94">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205D" w:rsidRDefault="0084205D" w:rsidP="000A584D">
      <w:pPr>
        <w:spacing w:after="0" w:line="240" w:lineRule="auto"/>
      </w:pPr>
      <w:r>
        <w:separator/>
      </w:r>
    </w:p>
  </w:endnote>
  <w:endnote w:type="continuationSeparator" w:id="1">
    <w:p w:rsidR="0084205D" w:rsidRDefault="0084205D" w:rsidP="000A58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205D" w:rsidRDefault="0084205D" w:rsidP="000A584D">
      <w:pPr>
        <w:spacing w:after="0" w:line="240" w:lineRule="auto"/>
      </w:pPr>
      <w:r>
        <w:separator/>
      </w:r>
    </w:p>
  </w:footnote>
  <w:footnote w:type="continuationSeparator" w:id="1">
    <w:p w:rsidR="0084205D" w:rsidRDefault="0084205D" w:rsidP="000A584D">
      <w:pPr>
        <w:spacing w:after="0" w:line="240" w:lineRule="auto"/>
      </w:pPr>
      <w:r>
        <w:continuationSeparator/>
      </w:r>
    </w:p>
  </w:footnote>
  <w:footnote w:id="2">
    <w:p w:rsidR="00F27777" w:rsidRPr="00F27777" w:rsidRDefault="00F27777">
      <w:pPr>
        <w:pStyle w:val="FootnoteText"/>
      </w:pPr>
      <w:r>
        <w:rPr>
          <w:rStyle w:val="FootnoteReference"/>
        </w:rPr>
        <w:footnoteRef/>
      </w:r>
      <w:r>
        <w:t xml:space="preserve"> Danby, Herbert</w:t>
      </w:r>
      <w:r w:rsidR="00561944">
        <w:t>,</w:t>
      </w:r>
      <w:r>
        <w:t xml:space="preserve">  </w:t>
      </w:r>
      <w:r w:rsidRPr="00F27777">
        <w:rPr>
          <w:i/>
        </w:rPr>
        <w:t>The</w:t>
      </w:r>
      <w:r>
        <w:t xml:space="preserve"> </w:t>
      </w:r>
      <w:r>
        <w:rPr>
          <w:i/>
        </w:rPr>
        <w:t>Mishnah: Translated from the Hebrew with Introduction and Brief Explanatory Notes</w:t>
      </w:r>
      <w:r>
        <w:t xml:space="preserve"> (Peabody: Hendrickson Publishers, 2012), p. xvii</w:t>
      </w:r>
    </w:p>
  </w:footnote>
  <w:footnote w:id="3">
    <w:p w:rsidR="00371780" w:rsidRDefault="00371780">
      <w:pPr>
        <w:pStyle w:val="FootnoteText"/>
      </w:pPr>
      <w:r>
        <w:rPr>
          <w:rStyle w:val="FootnoteReference"/>
        </w:rPr>
        <w:footnoteRef/>
      </w:r>
      <w:r>
        <w:t xml:space="preserve"> Stemberger, Guenter, </w:t>
      </w:r>
      <w:r>
        <w:rPr>
          <w:i/>
        </w:rPr>
        <w:t>'The Formation of Rabbinic Judaism, 70-640 CE</w:t>
      </w:r>
      <w:r w:rsidRPr="00466BBF">
        <w:rPr>
          <w:rFonts w:cs="Helvetica"/>
          <w:i/>
          <w:color w:val="000000"/>
          <w:shd w:val="clear" w:color="auto" w:fill="FFFFFF"/>
        </w:rPr>
        <w:t>: In</w:t>
      </w:r>
      <w:r w:rsidRPr="008F3360">
        <w:rPr>
          <w:rFonts w:cs="Helvetica"/>
          <w:color w:val="000000"/>
          <w:shd w:val="clear" w:color="auto" w:fill="FFFFFF"/>
        </w:rPr>
        <w:t> </w:t>
      </w:r>
      <w:r>
        <w:rPr>
          <w:rStyle w:val="Emphasis"/>
          <w:rFonts w:cs="Helvetica"/>
          <w:color w:val="000000"/>
          <w:shd w:val="clear" w:color="auto" w:fill="FFFFFF"/>
        </w:rPr>
        <w:t>The Blackwell Companion to Judaism</w:t>
      </w:r>
      <w:r w:rsidRPr="008F3360">
        <w:rPr>
          <w:rFonts w:cs="Helvetica"/>
          <w:color w:val="000000"/>
          <w:shd w:val="clear" w:color="auto" w:fill="FFFFFF"/>
        </w:rPr>
        <w:t xml:space="preserve">, ed. </w:t>
      </w:r>
      <w:r>
        <w:rPr>
          <w:rFonts w:cs="Helvetica"/>
          <w:color w:val="000000"/>
          <w:shd w:val="clear" w:color="auto" w:fill="FFFFFF"/>
        </w:rPr>
        <w:t>Jacob Neusner &amp; Alan J. Avery-Peck</w:t>
      </w:r>
      <w:r w:rsidRPr="008F3360">
        <w:rPr>
          <w:rFonts w:cs="Helvetica"/>
          <w:color w:val="000000"/>
          <w:shd w:val="clear" w:color="auto" w:fill="FFFFFF"/>
        </w:rPr>
        <w:t xml:space="preserve"> (</w:t>
      </w:r>
      <w:r w:rsidR="003226A6">
        <w:rPr>
          <w:rFonts w:cs="Helvetica"/>
          <w:color w:val="000000"/>
          <w:shd w:val="clear" w:color="auto" w:fill="FFFFFF"/>
        </w:rPr>
        <w:t>Oxford</w:t>
      </w:r>
      <w:r w:rsidRPr="008F3360">
        <w:rPr>
          <w:rFonts w:cs="Helvetica"/>
          <w:color w:val="000000"/>
          <w:shd w:val="clear" w:color="auto" w:fill="FFFFFF"/>
        </w:rPr>
        <w:t xml:space="preserve">: </w:t>
      </w:r>
      <w:r w:rsidR="003226A6">
        <w:rPr>
          <w:rFonts w:cs="Helvetica"/>
          <w:color w:val="000000"/>
          <w:shd w:val="clear" w:color="auto" w:fill="FFFFFF"/>
        </w:rPr>
        <w:t>Blackwell Publishers</w:t>
      </w:r>
      <w:r w:rsidRPr="008F3360">
        <w:rPr>
          <w:rFonts w:cs="Helvetica"/>
          <w:color w:val="000000"/>
          <w:shd w:val="clear" w:color="auto" w:fill="FFFFFF"/>
        </w:rPr>
        <w:t>, 200</w:t>
      </w:r>
      <w:r w:rsidR="003226A6">
        <w:rPr>
          <w:rFonts w:cs="Helvetica"/>
          <w:color w:val="000000"/>
          <w:shd w:val="clear" w:color="auto" w:fill="FFFFFF"/>
        </w:rPr>
        <w:t>0</w:t>
      </w:r>
      <w:r w:rsidRPr="008F3360">
        <w:rPr>
          <w:rFonts w:cs="Helvetica"/>
          <w:color w:val="000000"/>
          <w:shd w:val="clear" w:color="auto" w:fill="FFFFFF"/>
        </w:rPr>
        <w:t>),</w:t>
      </w:r>
      <w:r>
        <w:t xml:space="preserve"> p</w:t>
      </w:r>
      <w:r w:rsidR="003226A6">
        <w:t>p</w:t>
      </w:r>
      <w:r>
        <w:t>.</w:t>
      </w:r>
      <w:r w:rsidR="003226A6">
        <w:t>78-79</w:t>
      </w:r>
      <w:r>
        <w:t>.</w:t>
      </w:r>
    </w:p>
  </w:footnote>
  <w:footnote w:id="4">
    <w:p w:rsidR="00C81A47" w:rsidRPr="003B5745" w:rsidRDefault="00C81A47">
      <w:pPr>
        <w:pStyle w:val="FootnoteText"/>
      </w:pPr>
      <w:r>
        <w:rPr>
          <w:rStyle w:val="FootnoteReference"/>
        </w:rPr>
        <w:footnoteRef/>
      </w:r>
      <w:r>
        <w:t xml:space="preserve"> </w:t>
      </w:r>
      <w:r w:rsidR="003B5745">
        <w:t xml:space="preserve">Jeremias, J., </w:t>
      </w:r>
      <w:r w:rsidR="003B5745">
        <w:rPr>
          <w:i/>
        </w:rPr>
        <w:t xml:space="preserve">Jerusalem in the time of Jesus </w:t>
      </w:r>
      <w:r w:rsidR="003B5745">
        <w:t>(Philadelphia: Fortress Press, 1969), pp. 253-254.</w:t>
      </w:r>
    </w:p>
  </w:footnote>
  <w:footnote w:id="5">
    <w:p w:rsidR="00706E8B" w:rsidRDefault="00706E8B">
      <w:pPr>
        <w:pStyle w:val="FootnoteText"/>
      </w:pPr>
      <w:r>
        <w:rPr>
          <w:rStyle w:val="FootnoteReference"/>
        </w:rPr>
        <w:footnoteRef/>
      </w:r>
      <w:r>
        <w:t xml:space="preserve"> </w:t>
      </w:r>
      <w:r w:rsidR="00786596">
        <w:t xml:space="preserve">Jeremias, </w:t>
      </w:r>
      <w:r w:rsidR="00786596">
        <w:rPr>
          <w:i/>
        </w:rPr>
        <w:t>Jerusalem in the time of Jesus</w:t>
      </w:r>
      <w:r w:rsidR="00C87655">
        <w:rPr>
          <w:i/>
        </w:rPr>
        <w:t>,</w:t>
      </w:r>
      <w:r w:rsidR="00786596">
        <w:t xml:space="preserve"> pp. 253-254.</w:t>
      </w:r>
    </w:p>
  </w:footnote>
  <w:footnote w:id="6">
    <w:p w:rsidR="00786596" w:rsidRPr="00786596" w:rsidRDefault="00786596">
      <w:pPr>
        <w:pStyle w:val="FootnoteText"/>
      </w:pPr>
      <w:r>
        <w:rPr>
          <w:rStyle w:val="FootnoteReference"/>
        </w:rPr>
        <w:footnoteRef/>
      </w:r>
      <w:r>
        <w:t xml:space="preserve"> Lloyd Jones, G., </w:t>
      </w:r>
      <w:r>
        <w:rPr>
          <w:i/>
        </w:rPr>
        <w:t>The Bones of Joseph</w:t>
      </w:r>
      <w:r>
        <w:t xml:space="preserve"> (Grand Rapids: William B. Eerdmans, 1997), p. 110.</w:t>
      </w:r>
    </w:p>
  </w:footnote>
  <w:footnote w:id="7">
    <w:p w:rsidR="00210F9E" w:rsidRDefault="00210F9E">
      <w:pPr>
        <w:pStyle w:val="FootnoteText"/>
      </w:pPr>
      <w:r>
        <w:rPr>
          <w:rStyle w:val="FootnoteReference"/>
        </w:rPr>
        <w:footnoteRef/>
      </w:r>
      <w:r>
        <w:t xml:space="preserve"> </w:t>
      </w:r>
      <w:r w:rsidR="00AF4EFD">
        <w:t xml:space="preserve">Ancient Jewish History: The Bar Kokhba Revolt (132-135 CE). (Unknown date). Retrieved from </w:t>
      </w:r>
      <w:r w:rsidRPr="00210F9E">
        <w:t>http://www.jewishvirtuallibrary.org/the-bar-kokhba-revolt-132-135-ce</w:t>
      </w:r>
    </w:p>
  </w:footnote>
  <w:footnote w:id="8">
    <w:p w:rsidR="00151434" w:rsidRDefault="00151434">
      <w:pPr>
        <w:pStyle w:val="FootnoteText"/>
      </w:pPr>
      <w:r>
        <w:rPr>
          <w:rStyle w:val="FootnoteReference"/>
        </w:rPr>
        <w:footnoteRef/>
      </w:r>
      <w:r>
        <w:t xml:space="preserve"> Lloyd Jones, </w:t>
      </w:r>
      <w:r>
        <w:rPr>
          <w:i/>
        </w:rPr>
        <w:t>The Bones of Joseph</w:t>
      </w:r>
      <w:r>
        <w:t>, p. 109.</w:t>
      </w:r>
    </w:p>
  </w:footnote>
  <w:footnote w:id="9">
    <w:p w:rsidR="008F186E" w:rsidRPr="008F186E" w:rsidRDefault="008F186E">
      <w:pPr>
        <w:pStyle w:val="FootnoteText"/>
      </w:pPr>
      <w:r>
        <w:rPr>
          <w:rStyle w:val="FootnoteReference"/>
        </w:rPr>
        <w:footnoteRef/>
      </w:r>
      <w:r>
        <w:t xml:space="preserve"> Neusner, J., </w:t>
      </w:r>
      <w:r>
        <w:rPr>
          <w:i/>
        </w:rPr>
        <w:t>Judaism in the Beginning of Christianity</w:t>
      </w:r>
      <w:r>
        <w:t xml:space="preserve"> (Philadelphia: Fortress Press, 1984), p. 51.</w:t>
      </w:r>
    </w:p>
  </w:footnote>
  <w:footnote w:id="10">
    <w:p w:rsidR="00541FC0" w:rsidRDefault="00541FC0">
      <w:pPr>
        <w:pStyle w:val="FootnoteText"/>
      </w:pPr>
      <w:r>
        <w:rPr>
          <w:rStyle w:val="FootnoteReference"/>
        </w:rPr>
        <w:footnoteRef/>
      </w:r>
      <w:r>
        <w:t xml:space="preserve"> Rhodri Thomas, Topic 2 - Reconstruction at Yavneh on 10/10/17, slide 24.</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584D" w:rsidRPr="000A584D" w:rsidRDefault="000A584D">
    <w:pPr>
      <w:pStyle w:val="Header"/>
      <w:rPr>
        <w:sz w:val="24"/>
      </w:rPr>
    </w:pPr>
    <w:r w:rsidRPr="000A584D">
      <w:rPr>
        <w:sz w:val="24"/>
      </w:rPr>
      <w:t>Rob Spereall</w:t>
    </w:r>
  </w:p>
  <w:p w:rsidR="000A584D" w:rsidRDefault="000A584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CF1225"/>
    <w:multiLevelType w:val="hybridMultilevel"/>
    <w:tmpl w:val="ED72B5B8"/>
    <w:lvl w:ilvl="0" w:tplc="D6C6143C">
      <w:start w:val="1"/>
      <w:numFmt w:val="bullet"/>
      <w:lvlText w:val=""/>
      <w:lvlJc w:val="left"/>
      <w:pPr>
        <w:tabs>
          <w:tab w:val="num" w:pos="720"/>
        </w:tabs>
        <w:ind w:left="720" w:hanging="360"/>
      </w:pPr>
      <w:rPr>
        <w:rFonts w:ascii="Wingdings" w:hAnsi="Wingdings" w:hint="default"/>
      </w:rPr>
    </w:lvl>
    <w:lvl w:ilvl="1" w:tplc="C9462808" w:tentative="1">
      <w:start w:val="1"/>
      <w:numFmt w:val="bullet"/>
      <w:lvlText w:val=""/>
      <w:lvlJc w:val="left"/>
      <w:pPr>
        <w:tabs>
          <w:tab w:val="num" w:pos="1440"/>
        </w:tabs>
        <w:ind w:left="1440" w:hanging="360"/>
      </w:pPr>
      <w:rPr>
        <w:rFonts w:ascii="Wingdings" w:hAnsi="Wingdings" w:hint="default"/>
      </w:rPr>
    </w:lvl>
    <w:lvl w:ilvl="2" w:tplc="484284D0" w:tentative="1">
      <w:start w:val="1"/>
      <w:numFmt w:val="bullet"/>
      <w:lvlText w:val=""/>
      <w:lvlJc w:val="left"/>
      <w:pPr>
        <w:tabs>
          <w:tab w:val="num" w:pos="2160"/>
        </w:tabs>
        <w:ind w:left="2160" w:hanging="360"/>
      </w:pPr>
      <w:rPr>
        <w:rFonts w:ascii="Wingdings" w:hAnsi="Wingdings" w:hint="default"/>
      </w:rPr>
    </w:lvl>
    <w:lvl w:ilvl="3" w:tplc="9E3A927A" w:tentative="1">
      <w:start w:val="1"/>
      <w:numFmt w:val="bullet"/>
      <w:lvlText w:val=""/>
      <w:lvlJc w:val="left"/>
      <w:pPr>
        <w:tabs>
          <w:tab w:val="num" w:pos="2880"/>
        </w:tabs>
        <w:ind w:left="2880" w:hanging="360"/>
      </w:pPr>
      <w:rPr>
        <w:rFonts w:ascii="Wingdings" w:hAnsi="Wingdings" w:hint="default"/>
      </w:rPr>
    </w:lvl>
    <w:lvl w:ilvl="4" w:tplc="FC32CC92" w:tentative="1">
      <w:start w:val="1"/>
      <w:numFmt w:val="bullet"/>
      <w:lvlText w:val=""/>
      <w:lvlJc w:val="left"/>
      <w:pPr>
        <w:tabs>
          <w:tab w:val="num" w:pos="3600"/>
        </w:tabs>
        <w:ind w:left="3600" w:hanging="360"/>
      </w:pPr>
      <w:rPr>
        <w:rFonts w:ascii="Wingdings" w:hAnsi="Wingdings" w:hint="default"/>
      </w:rPr>
    </w:lvl>
    <w:lvl w:ilvl="5" w:tplc="8DD0FE40" w:tentative="1">
      <w:start w:val="1"/>
      <w:numFmt w:val="bullet"/>
      <w:lvlText w:val=""/>
      <w:lvlJc w:val="left"/>
      <w:pPr>
        <w:tabs>
          <w:tab w:val="num" w:pos="4320"/>
        </w:tabs>
        <w:ind w:left="4320" w:hanging="360"/>
      </w:pPr>
      <w:rPr>
        <w:rFonts w:ascii="Wingdings" w:hAnsi="Wingdings" w:hint="default"/>
      </w:rPr>
    </w:lvl>
    <w:lvl w:ilvl="6" w:tplc="8430C9CA" w:tentative="1">
      <w:start w:val="1"/>
      <w:numFmt w:val="bullet"/>
      <w:lvlText w:val=""/>
      <w:lvlJc w:val="left"/>
      <w:pPr>
        <w:tabs>
          <w:tab w:val="num" w:pos="5040"/>
        </w:tabs>
        <w:ind w:left="5040" w:hanging="360"/>
      </w:pPr>
      <w:rPr>
        <w:rFonts w:ascii="Wingdings" w:hAnsi="Wingdings" w:hint="default"/>
      </w:rPr>
    </w:lvl>
    <w:lvl w:ilvl="7" w:tplc="E6B66F46" w:tentative="1">
      <w:start w:val="1"/>
      <w:numFmt w:val="bullet"/>
      <w:lvlText w:val=""/>
      <w:lvlJc w:val="left"/>
      <w:pPr>
        <w:tabs>
          <w:tab w:val="num" w:pos="5760"/>
        </w:tabs>
        <w:ind w:left="5760" w:hanging="360"/>
      </w:pPr>
      <w:rPr>
        <w:rFonts w:ascii="Wingdings" w:hAnsi="Wingdings" w:hint="default"/>
      </w:rPr>
    </w:lvl>
    <w:lvl w:ilvl="8" w:tplc="31F03E5A"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A584D"/>
    <w:rsid w:val="00023FFB"/>
    <w:rsid w:val="0003045B"/>
    <w:rsid w:val="0003265A"/>
    <w:rsid w:val="000A584D"/>
    <w:rsid w:val="00151434"/>
    <w:rsid w:val="0016011D"/>
    <w:rsid w:val="00163206"/>
    <w:rsid w:val="001A5963"/>
    <w:rsid w:val="001E0429"/>
    <w:rsid w:val="001F66B9"/>
    <w:rsid w:val="002042BE"/>
    <w:rsid w:val="00210F9E"/>
    <w:rsid w:val="00211ADB"/>
    <w:rsid w:val="002347CE"/>
    <w:rsid w:val="002566E6"/>
    <w:rsid w:val="003226A6"/>
    <w:rsid w:val="00370816"/>
    <w:rsid w:val="00371780"/>
    <w:rsid w:val="00373740"/>
    <w:rsid w:val="003833E7"/>
    <w:rsid w:val="003B4F0A"/>
    <w:rsid w:val="003B5745"/>
    <w:rsid w:val="003E330B"/>
    <w:rsid w:val="004855DF"/>
    <w:rsid w:val="004B2599"/>
    <w:rsid w:val="005129FB"/>
    <w:rsid w:val="00541FC0"/>
    <w:rsid w:val="00561944"/>
    <w:rsid w:val="005A26B3"/>
    <w:rsid w:val="005B1EFA"/>
    <w:rsid w:val="005B2BD8"/>
    <w:rsid w:val="00631F2B"/>
    <w:rsid w:val="0065123E"/>
    <w:rsid w:val="006B191A"/>
    <w:rsid w:val="00706E8B"/>
    <w:rsid w:val="007106FB"/>
    <w:rsid w:val="00786596"/>
    <w:rsid w:val="007D0B79"/>
    <w:rsid w:val="00802CF1"/>
    <w:rsid w:val="00833545"/>
    <w:rsid w:val="0084205D"/>
    <w:rsid w:val="00850659"/>
    <w:rsid w:val="008D6F31"/>
    <w:rsid w:val="008E16CF"/>
    <w:rsid w:val="008F186E"/>
    <w:rsid w:val="00952B8B"/>
    <w:rsid w:val="00964187"/>
    <w:rsid w:val="00976E42"/>
    <w:rsid w:val="009C334C"/>
    <w:rsid w:val="00A14ECE"/>
    <w:rsid w:val="00A352EB"/>
    <w:rsid w:val="00A917A3"/>
    <w:rsid w:val="00AD0449"/>
    <w:rsid w:val="00AE0A90"/>
    <w:rsid w:val="00AE3C90"/>
    <w:rsid w:val="00AF4EFD"/>
    <w:rsid w:val="00B4775D"/>
    <w:rsid w:val="00B53C94"/>
    <w:rsid w:val="00C471C8"/>
    <w:rsid w:val="00C55A78"/>
    <w:rsid w:val="00C81A47"/>
    <w:rsid w:val="00C87655"/>
    <w:rsid w:val="00D04983"/>
    <w:rsid w:val="00D3370F"/>
    <w:rsid w:val="00D42A8F"/>
    <w:rsid w:val="00D76AFC"/>
    <w:rsid w:val="00DA4335"/>
    <w:rsid w:val="00DE177F"/>
    <w:rsid w:val="00F27777"/>
    <w:rsid w:val="00F6309E"/>
    <w:rsid w:val="00F743BE"/>
    <w:rsid w:val="00F916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3C9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5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84D"/>
  </w:style>
  <w:style w:type="paragraph" w:styleId="Footer">
    <w:name w:val="footer"/>
    <w:basedOn w:val="Normal"/>
    <w:link w:val="FooterChar"/>
    <w:uiPriority w:val="99"/>
    <w:semiHidden/>
    <w:unhideWhenUsed/>
    <w:rsid w:val="000A584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A584D"/>
  </w:style>
  <w:style w:type="paragraph" w:styleId="BalloonText">
    <w:name w:val="Balloon Text"/>
    <w:basedOn w:val="Normal"/>
    <w:link w:val="BalloonTextChar"/>
    <w:uiPriority w:val="99"/>
    <w:semiHidden/>
    <w:unhideWhenUsed/>
    <w:rsid w:val="000A5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584D"/>
    <w:rPr>
      <w:rFonts w:ascii="Tahoma" w:hAnsi="Tahoma" w:cs="Tahoma"/>
      <w:sz w:val="16"/>
      <w:szCs w:val="16"/>
    </w:rPr>
  </w:style>
  <w:style w:type="paragraph" w:styleId="FootnoteText">
    <w:name w:val="footnote text"/>
    <w:basedOn w:val="Normal"/>
    <w:link w:val="FootnoteTextChar"/>
    <w:uiPriority w:val="99"/>
    <w:semiHidden/>
    <w:unhideWhenUsed/>
    <w:rsid w:val="00F277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777"/>
    <w:rPr>
      <w:sz w:val="20"/>
      <w:szCs w:val="20"/>
    </w:rPr>
  </w:style>
  <w:style w:type="character" w:styleId="FootnoteReference">
    <w:name w:val="footnote reference"/>
    <w:basedOn w:val="DefaultParagraphFont"/>
    <w:uiPriority w:val="99"/>
    <w:semiHidden/>
    <w:unhideWhenUsed/>
    <w:rsid w:val="00F27777"/>
    <w:rPr>
      <w:vertAlign w:val="superscript"/>
    </w:rPr>
  </w:style>
  <w:style w:type="character" w:styleId="Emphasis">
    <w:name w:val="Emphasis"/>
    <w:basedOn w:val="DefaultParagraphFont"/>
    <w:uiPriority w:val="20"/>
    <w:qFormat/>
    <w:rsid w:val="00371780"/>
    <w:rPr>
      <w:i/>
      <w:iCs/>
    </w:rPr>
  </w:style>
</w:styles>
</file>

<file path=word/webSettings.xml><?xml version="1.0" encoding="utf-8"?>
<w:webSettings xmlns:r="http://schemas.openxmlformats.org/officeDocument/2006/relationships" xmlns:w="http://schemas.openxmlformats.org/wordprocessingml/2006/main">
  <w:divs>
    <w:div w:id="2096003170">
      <w:bodyDiv w:val="1"/>
      <w:marLeft w:val="0"/>
      <w:marRight w:val="0"/>
      <w:marTop w:val="0"/>
      <w:marBottom w:val="0"/>
      <w:divBdr>
        <w:top w:val="none" w:sz="0" w:space="0" w:color="auto"/>
        <w:left w:val="none" w:sz="0" w:space="0" w:color="auto"/>
        <w:bottom w:val="none" w:sz="0" w:space="0" w:color="auto"/>
        <w:right w:val="none" w:sz="0" w:space="0" w:color="auto"/>
      </w:divBdr>
      <w:divsChild>
        <w:div w:id="1088890863">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222B56-8EDA-4ADB-9968-AF6C840AF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4225</TotalTime>
  <Pages>7</Pages>
  <Words>2627</Words>
  <Characters>14977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17569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28</cp:revision>
  <dcterms:created xsi:type="dcterms:W3CDTF">2017-12-01T15:15:00Z</dcterms:created>
  <dcterms:modified xsi:type="dcterms:W3CDTF">2017-12-07T16:47:00Z</dcterms:modified>
</cp:coreProperties>
</file>