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898FC8" w14:textId="77777777" w:rsidR="00065E2D" w:rsidRDefault="00065E2D" w:rsidP="00070696">
      <w:pPr>
        <w:rPr>
          <w:rFonts w:ascii="Arial" w:hAnsi="Arial" w:cs="Arial"/>
          <w:b/>
          <w:bCs/>
          <w:sz w:val="40"/>
          <w:szCs w:val="40"/>
        </w:rPr>
      </w:pPr>
    </w:p>
    <w:p w14:paraId="2FE6A331" w14:textId="77777777" w:rsidR="00065E2D" w:rsidRPr="009D157C" w:rsidRDefault="00065E2D" w:rsidP="00065E2D">
      <w:pPr>
        <w:rPr>
          <w:rFonts w:ascii="Arial" w:hAnsi="Arial" w:cs="Arial"/>
          <w:b/>
          <w:bCs/>
          <w:color w:val="4C94D8" w:themeColor="text2" w:themeTint="80"/>
          <w:sz w:val="56"/>
          <w:szCs w:val="56"/>
        </w:rPr>
      </w:pPr>
      <w:r w:rsidRPr="009D157C">
        <w:rPr>
          <w:rFonts w:ascii="Arial" w:hAnsi="Arial" w:cs="Arial"/>
          <w:b/>
          <w:bCs/>
          <w:color w:val="4C94D8" w:themeColor="text2" w:themeTint="80"/>
          <w:sz w:val="56"/>
          <w:szCs w:val="56"/>
        </w:rPr>
        <w:t>Name: semira Zeinu (2427863)</w:t>
      </w:r>
    </w:p>
    <w:p w14:paraId="3E0F4B0B" w14:textId="3786BDE1" w:rsidR="00065E2D" w:rsidRPr="009D157C" w:rsidRDefault="00065E2D" w:rsidP="00065E2D">
      <w:pPr>
        <w:rPr>
          <w:rFonts w:ascii="Arial" w:hAnsi="Arial" w:cs="Arial"/>
          <w:b/>
          <w:bCs/>
          <w:color w:val="4C94D8" w:themeColor="text2" w:themeTint="80"/>
          <w:sz w:val="56"/>
          <w:szCs w:val="56"/>
        </w:rPr>
      </w:pPr>
      <w:r w:rsidRPr="009D157C">
        <w:rPr>
          <w:rFonts w:ascii="Arial" w:hAnsi="Arial" w:cs="Arial"/>
          <w:b/>
          <w:bCs/>
          <w:color w:val="4C94D8" w:themeColor="text2" w:themeTint="80"/>
          <w:sz w:val="56"/>
          <w:szCs w:val="56"/>
        </w:rPr>
        <w:t>Model code: BMHP50</w:t>
      </w:r>
      <w:r w:rsidR="00CE7DAA" w:rsidRPr="009D157C">
        <w:rPr>
          <w:rFonts w:ascii="Arial" w:hAnsi="Arial" w:cs="Arial"/>
          <w:b/>
          <w:bCs/>
          <w:color w:val="4C94D8" w:themeColor="text2" w:themeTint="80"/>
          <w:sz w:val="56"/>
          <w:szCs w:val="56"/>
        </w:rPr>
        <w:t>16</w:t>
      </w:r>
    </w:p>
    <w:p w14:paraId="6BBEC055" w14:textId="1DF2BAB5" w:rsidR="00065E2D" w:rsidRPr="009D157C" w:rsidRDefault="00065E2D" w:rsidP="00065E2D">
      <w:pPr>
        <w:rPr>
          <w:rFonts w:ascii="Arial" w:hAnsi="Arial" w:cs="Arial"/>
          <w:b/>
          <w:bCs/>
          <w:color w:val="4C94D8" w:themeColor="text2" w:themeTint="80"/>
          <w:sz w:val="56"/>
          <w:szCs w:val="56"/>
        </w:rPr>
      </w:pPr>
      <w:r w:rsidRPr="009D157C">
        <w:rPr>
          <w:rFonts w:ascii="Arial" w:hAnsi="Arial" w:cs="Arial"/>
          <w:b/>
          <w:bCs/>
          <w:color w:val="4C94D8" w:themeColor="text2" w:themeTint="80"/>
          <w:sz w:val="56"/>
          <w:szCs w:val="56"/>
        </w:rPr>
        <w:t xml:space="preserve">Lecture: </w:t>
      </w:r>
      <w:r w:rsidR="00820DDE" w:rsidRPr="009D157C">
        <w:rPr>
          <w:rFonts w:ascii="Arial" w:hAnsi="Arial" w:cs="Arial"/>
          <w:b/>
          <w:bCs/>
          <w:color w:val="4C94D8" w:themeColor="text2" w:themeTint="80"/>
          <w:sz w:val="56"/>
          <w:szCs w:val="56"/>
        </w:rPr>
        <w:t>Aishat Bakre</w:t>
      </w:r>
    </w:p>
    <w:p w14:paraId="0FE566D5" w14:textId="103DB530" w:rsidR="00065E2D" w:rsidRPr="009D157C" w:rsidRDefault="00065E2D" w:rsidP="00065E2D">
      <w:pPr>
        <w:rPr>
          <w:rFonts w:ascii="Arial" w:hAnsi="Arial" w:cs="Arial"/>
          <w:b/>
          <w:bCs/>
          <w:color w:val="4C94D8" w:themeColor="text2" w:themeTint="80"/>
          <w:sz w:val="56"/>
          <w:szCs w:val="56"/>
        </w:rPr>
      </w:pPr>
      <w:r w:rsidRPr="009D157C">
        <w:rPr>
          <w:rFonts w:ascii="Arial" w:hAnsi="Arial" w:cs="Arial"/>
          <w:b/>
          <w:bCs/>
          <w:color w:val="4C94D8" w:themeColor="text2" w:themeTint="80"/>
          <w:sz w:val="56"/>
          <w:szCs w:val="56"/>
        </w:rPr>
        <w:t xml:space="preserve">Titel:  </w:t>
      </w:r>
      <w:r w:rsidR="00890410" w:rsidRPr="009D157C">
        <w:rPr>
          <w:rFonts w:ascii="Arial" w:hAnsi="Arial" w:cs="Arial"/>
          <w:b/>
          <w:bCs/>
          <w:color w:val="4C94D8" w:themeColor="text2" w:themeTint="80"/>
          <w:sz w:val="56"/>
          <w:szCs w:val="56"/>
        </w:rPr>
        <w:t>Component 1: Written Assignment (Reflective Report)</w:t>
      </w:r>
    </w:p>
    <w:p w14:paraId="74E08C15" w14:textId="77777777" w:rsidR="00065E2D" w:rsidRPr="009D157C" w:rsidRDefault="00065E2D" w:rsidP="00070696">
      <w:pPr>
        <w:rPr>
          <w:rFonts w:ascii="Arial" w:hAnsi="Arial" w:cs="Arial"/>
          <w:b/>
          <w:bCs/>
          <w:color w:val="4C94D8" w:themeColor="text2" w:themeTint="80"/>
          <w:sz w:val="56"/>
          <w:szCs w:val="56"/>
        </w:rPr>
      </w:pPr>
    </w:p>
    <w:p w14:paraId="5491215E" w14:textId="77777777" w:rsidR="00065E2D" w:rsidRDefault="00065E2D" w:rsidP="00070696">
      <w:pPr>
        <w:rPr>
          <w:rFonts w:ascii="Arial" w:hAnsi="Arial" w:cs="Arial"/>
          <w:b/>
          <w:bCs/>
          <w:sz w:val="40"/>
          <w:szCs w:val="40"/>
        </w:rPr>
      </w:pPr>
    </w:p>
    <w:p w14:paraId="1ED68B4C" w14:textId="77777777" w:rsidR="00065E2D" w:rsidRDefault="00065E2D" w:rsidP="00070696">
      <w:pPr>
        <w:rPr>
          <w:rFonts w:ascii="Arial" w:hAnsi="Arial" w:cs="Arial"/>
          <w:b/>
          <w:bCs/>
          <w:sz w:val="40"/>
          <w:szCs w:val="40"/>
        </w:rPr>
      </w:pPr>
    </w:p>
    <w:p w14:paraId="5ACD47CE" w14:textId="77777777" w:rsidR="00065E2D" w:rsidRDefault="00065E2D" w:rsidP="00070696">
      <w:pPr>
        <w:rPr>
          <w:rFonts w:ascii="Arial" w:hAnsi="Arial" w:cs="Arial"/>
          <w:b/>
          <w:bCs/>
          <w:sz w:val="40"/>
          <w:szCs w:val="40"/>
        </w:rPr>
      </w:pPr>
    </w:p>
    <w:p w14:paraId="486EFB57" w14:textId="77777777" w:rsidR="00065E2D" w:rsidRDefault="00065E2D" w:rsidP="00070696">
      <w:pPr>
        <w:rPr>
          <w:rFonts w:ascii="Arial" w:hAnsi="Arial" w:cs="Arial"/>
          <w:b/>
          <w:bCs/>
          <w:sz w:val="40"/>
          <w:szCs w:val="40"/>
        </w:rPr>
      </w:pPr>
    </w:p>
    <w:p w14:paraId="5DA3DCDA" w14:textId="77777777" w:rsidR="00065E2D" w:rsidRDefault="00065E2D" w:rsidP="00070696">
      <w:pPr>
        <w:rPr>
          <w:rFonts w:ascii="Arial" w:hAnsi="Arial" w:cs="Arial"/>
          <w:b/>
          <w:bCs/>
          <w:sz w:val="40"/>
          <w:szCs w:val="40"/>
        </w:rPr>
      </w:pPr>
    </w:p>
    <w:p w14:paraId="63CD2560" w14:textId="77777777" w:rsidR="00065E2D" w:rsidRDefault="00065E2D" w:rsidP="00070696">
      <w:pPr>
        <w:rPr>
          <w:rFonts w:ascii="Arial" w:hAnsi="Arial" w:cs="Arial"/>
          <w:b/>
          <w:bCs/>
          <w:sz w:val="40"/>
          <w:szCs w:val="40"/>
        </w:rPr>
      </w:pPr>
    </w:p>
    <w:p w14:paraId="6A46D7ED" w14:textId="77777777" w:rsidR="00065E2D" w:rsidRDefault="00065E2D" w:rsidP="00070696">
      <w:pPr>
        <w:rPr>
          <w:rFonts w:ascii="Arial" w:hAnsi="Arial" w:cs="Arial"/>
          <w:b/>
          <w:bCs/>
          <w:sz w:val="40"/>
          <w:szCs w:val="40"/>
        </w:rPr>
      </w:pPr>
    </w:p>
    <w:p w14:paraId="548DB6F5" w14:textId="77777777" w:rsidR="00065E2D" w:rsidRDefault="00065E2D" w:rsidP="00070696">
      <w:pPr>
        <w:rPr>
          <w:rFonts w:ascii="Arial" w:hAnsi="Arial" w:cs="Arial"/>
          <w:b/>
          <w:bCs/>
          <w:sz w:val="40"/>
          <w:szCs w:val="40"/>
        </w:rPr>
      </w:pPr>
    </w:p>
    <w:p w14:paraId="253E99FC" w14:textId="77777777" w:rsidR="00065E2D" w:rsidRDefault="00065E2D" w:rsidP="00070696">
      <w:pPr>
        <w:rPr>
          <w:rFonts w:ascii="Arial" w:hAnsi="Arial" w:cs="Arial"/>
          <w:b/>
          <w:bCs/>
          <w:sz w:val="40"/>
          <w:szCs w:val="40"/>
        </w:rPr>
      </w:pPr>
    </w:p>
    <w:p w14:paraId="1B46D8E2" w14:textId="77777777" w:rsidR="00065E2D" w:rsidRDefault="00065E2D" w:rsidP="00070696">
      <w:pPr>
        <w:rPr>
          <w:rFonts w:ascii="Arial" w:hAnsi="Arial" w:cs="Arial"/>
          <w:b/>
          <w:bCs/>
          <w:sz w:val="40"/>
          <w:szCs w:val="40"/>
        </w:rPr>
      </w:pPr>
    </w:p>
    <w:p w14:paraId="4B474D81" w14:textId="77777777" w:rsidR="009D157C" w:rsidRDefault="009D157C" w:rsidP="00070696">
      <w:pPr>
        <w:rPr>
          <w:rFonts w:ascii="Arial" w:hAnsi="Arial" w:cs="Arial"/>
          <w:b/>
          <w:bCs/>
          <w:sz w:val="40"/>
          <w:szCs w:val="40"/>
        </w:rPr>
      </w:pPr>
    </w:p>
    <w:p w14:paraId="3480FEC4" w14:textId="3A4384B8" w:rsidR="00CF5AC3" w:rsidRPr="009D157C" w:rsidRDefault="00070696" w:rsidP="00070696">
      <w:pPr>
        <w:rPr>
          <w:rFonts w:ascii="Arial" w:hAnsi="Arial" w:cs="Arial"/>
          <w:b/>
          <w:bCs/>
          <w:color w:val="4C94D8" w:themeColor="text2" w:themeTint="80"/>
          <w:sz w:val="40"/>
          <w:szCs w:val="40"/>
        </w:rPr>
      </w:pPr>
      <w:r w:rsidRPr="009D157C">
        <w:rPr>
          <w:rFonts w:ascii="Arial" w:hAnsi="Arial" w:cs="Arial"/>
          <w:b/>
          <w:bCs/>
          <w:color w:val="4C94D8" w:themeColor="text2" w:themeTint="80"/>
          <w:sz w:val="40"/>
          <w:szCs w:val="40"/>
        </w:rPr>
        <w:lastRenderedPageBreak/>
        <w:t>Reflective Report: Principles of Health and Social Care Practice in the UK</w:t>
      </w:r>
    </w:p>
    <w:p w14:paraId="0B52D3EF" w14:textId="53BA7154" w:rsidR="00070696" w:rsidRPr="009D157C" w:rsidRDefault="00070696" w:rsidP="00070696">
      <w:pPr>
        <w:rPr>
          <w:rFonts w:ascii="Arial" w:hAnsi="Arial" w:cs="Arial"/>
          <w:b/>
          <w:bCs/>
          <w:color w:val="4C94D8" w:themeColor="text2" w:themeTint="80"/>
        </w:rPr>
      </w:pPr>
      <w:r w:rsidRPr="009D157C">
        <w:rPr>
          <w:rFonts w:ascii="Arial" w:hAnsi="Arial" w:cs="Arial"/>
          <w:b/>
          <w:bCs/>
          <w:color w:val="4C94D8" w:themeColor="text2" w:themeTint="80"/>
        </w:rPr>
        <w:t>Introduction</w:t>
      </w:r>
    </w:p>
    <w:p w14:paraId="28C27C41" w14:textId="6EECB984" w:rsidR="00070696" w:rsidRPr="00070696" w:rsidRDefault="00070696" w:rsidP="00070696">
      <w:pPr>
        <w:rPr>
          <w:rFonts w:ascii="Arial" w:hAnsi="Arial" w:cs="Arial"/>
          <w:sz w:val="22"/>
          <w:szCs w:val="22"/>
        </w:rPr>
      </w:pPr>
      <w:r w:rsidRPr="00070696">
        <w:rPr>
          <w:rFonts w:ascii="Arial" w:hAnsi="Arial" w:cs="Arial"/>
          <w:sz w:val="22"/>
          <w:szCs w:val="22"/>
        </w:rPr>
        <w:t>Health and social care practice in the United Kingdom is guided by key principles that ensure safe, effective, and compassionate care. Among the most important are person-centred care, partnership working, and ethical practice. These principles are embedded in legislation and professional standards such as the Care Act 2014, the Health and Social Care Act 2012 and the Mental Capacity Act 2005. They promote dignity, respect, collaboration, and moral decision-making in care delivery.</w:t>
      </w:r>
    </w:p>
    <w:p w14:paraId="482599A3" w14:textId="77777777" w:rsidR="00070696" w:rsidRPr="00070696" w:rsidRDefault="00070696" w:rsidP="00070696">
      <w:pPr>
        <w:rPr>
          <w:rFonts w:ascii="Arial" w:hAnsi="Arial" w:cs="Arial"/>
          <w:sz w:val="22"/>
          <w:szCs w:val="22"/>
        </w:rPr>
      </w:pPr>
      <w:r w:rsidRPr="00070696">
        <w:rPr>
          <w:rFonts w:ascii="Arial" w:hAnsi="Arial" w:cs="Arial"/>
          <w:sz w:val="22"/>
          <w:szCs w:val="22"/>
        </w:rPr>
        <w:t>This reflective report explores the importance of these principles, provides a practical example of their application in a UK care setting, and reflects on how they influence my own development as a health and social care professional. The report also identifies my strengths, areas for improvement, and future learning needs.</w:t>
      </w:r>
    </w:p>
    <w:p w14:paraId="6583DBC1" w14:textId="77777777" w:rsidR="00070696" w:rsidRPr="00070696" w:rsidRDefault="00070696" w:rsidP="00070696">
      <w:pPr>
        <w:rPr>
          <w:rFonts w:ascii="Arial" w:hAnsi="Arial" w:cs="Arial"/>
          <w:sz w:val="22"/>
          <w:szCs w:val="22"/>
        </w:rPr>
      </w:pPr>
    </w:p>
    <w:p w14:paraId="1F2B024E" w14:textId="353F3290" w:rsidR="00070696" w:rsidRPr="009D157C" w:rsidRDefault="00070696" w:rsidP="00070696">
      <w:pPr>
        <w:rPr>
          <w:rFonts w:ascii="Arial" w:hAnsi="Arial" w:cs="Arial"/>
          <w:b/>
          <w:bCs/>
          <w:color w:val="4C94D8" w:themeColor="text2" w:themeTint="80"/>
          <w:sz w:val="28"/>
          <w:szCs w:val="28"/>
        </w:rPr>
      </w:pPr>
      <w:r w:rsidRPr="009D157C">
        <w:rPr>
          <w:rFonts w:ascii="Arial" w:hAnsi="Arial" w:cs="Arial"/>
          <w:b/>
          <w:bCs/>
          <w:color w:val="4C94D8" w:themeColor="text2" w:themeTint="80"/>
          <w:sz w:val="28"/>
          <w:szCs w:val="28"/>
        </w:rPr>
        <w:t xml:space="preserve">Task 1: Reflection on the Importance of Principles of Health and Social Care </w:t>
      </w:r>
    </w:p>
    <w:p w14:paraId="50043710" w14:textId="77777777" w:rsidR="00070696" w:rsidRPr="00070696" w:rsidRDefault="00070696" w:rsidP="00070696">
      <w:pPr>
        <w:rPr>
          <w:rFonts w:ascii="Arial" w:hAnsi="Arial" w:cs="Arial"/>
          <w:sz w:val="22"/>
          <w:szCs w:val="22"/>
        </w:rPr>
      </w:pPr>
      <w:r w:rsidRPr="00070696">
        <w:rPr>
          <w:rFonts w:ascii="Arial" w:hAnsi="Arial" w:cs="Arial"/>
          <w:sz w:val="22"/>
          <w:szCs w:val="22"/>
        </w:rPr>
        <w:t>Person-centred care is a fundamental value within UK health and social care. It focuses on treating individuals as unique people with their own preferences, beliefs, and needs rather than focusing only on their condition (</w:t>
      </w:r>
      <w:proofErr w:type="spellStart"/>
      <w:r w:rsidRPr="00070696">
        <w:rPr>
          <w:rFonts w:ascii="Arial" w:hAnsi="Arial" w:cs="Arial"/>
          <w:sz w:val="22"/>
          <w:szCs w:val="22"/>
        </w:rPr>
        <w:t>Kitwood</w:t>
      </w:r>
      <w:proofErr w:type="spellEnd"/>
      <w:r w:rsidRPr="00070696">
        <w:rPr>
          <w:rFonts w:ascii="Arial" w:hAnsi="Arial" w:cs="Arial"/>
          <w:sz w:val="22"/>
          <w:szCs w:val="22"/>
        </w:rPr>
        <w:t>, 1997). This approach promotes dignity, independence, and empowerment. The Care Act 2014 highlights wellbeing, choice, and control as key outcomes for individuals receiving care (Department of Health and Social Care, 2014). When people are involved in decisions about their care, they are more likely to feel respected and satisfied, which can improve health outcomes.</w:t>
      </w:r>
    </w:p>
    <w:p w14:paraId="4CC13AA7" w14:textId="77777777" w:rsidR="00070696" w:rsidRPr="00070696" w:rsidRDefault="00070696" w:rsidP="00070696">
      <w:pPr>
        <w:rPr>
          <w:rFonts w:ascii="Arial" w:hAnsi="Arial" w:cs="Arial"/>
          <w:sz w:val="22"/>
          <w:szCs w:val="22"/>
        </w:rPr>
      </w:pPr>
    </w:p>
    <w:p w14:paraId="4771E4FF" w14:textId="5483887E" w:rsidR="00070696" w:rsidRPr="00070696" w:rsidRDefault="00070696" w:rsidP="00070696">
      <w:pPr>
        <w:rPr>
          <w:rFonts w:ascii="Arial" w:hAnsi="Arial" w:cs="Arial"/>
          <w:sz w:val="22"/>
          <w:szCs w:val="22"/>
        </w:rPr>
      </w:pPr>
      <w:r w:rsidRPr="00070696">
        <w:rPr>
          <w:rFonts w:ascii="Arial" w:hAnsi="Arial" w:cs="Arial"/>
          <w:sz w:val="22"/>
          <w:szCs w:val="22"/>
        </w:rPr>
        <w:t>The theoretical basis of person-centred care can be linked to humanistic theory, particularly Rogers’ concept of empathy and unconditional positive regard (Rogers, 1980). In practice, this means listening to service users, respecting cultural differences, and supporting autonomy. For example, allowing individuals to make choices about their daily routines supports independence and emotional wellbeing.</w:t>
      </w:r>
    </w:p>
    <w:p w14:paraId="590E6209" w14:textId="55181CDE" w:rsidR="00070696" w:rsidRPr="00070696" w:rsidRDefault="00070696" w:rsidP="00070696">
      <w:pPr>
        <w:rPr>
          <w:rFonts w:ascii="Arial" w:hAnsi="Arial" w:cs="Arial"/>
          <w:sz w:val="22"/>
          <w:szCs w:val="22"/>
        </w:rPr>
      </w:pPr>
      <w:r w:rsidRPr="00070696">
        <w:rPr>
          <w:rFonts w:ascii="Arial" w:hAnsi="Arial" w:cs="Arial"/>
          <w:sz w:val="22"/>
          <w:szCs w:val="22"/>
        </w:rPr>
        <w:t>Partnership working is another essential principle. It involves collaboration between professionals, service users, families, and organisations to provide coordinated care (Glasby and Dickinson, 2014). Integrated care systems promoted by NHS England aim to reduce fragmentation between services and improve communication. Effective partnership working ensures that individuals receive holistic support that addresses physical, emotional, and social needs. For example, a multidisciplinary team may include nurses, social workers, occupational therapists, and family members working together to support a person with complex needs.</w:t>
      </w:r>
    </w:p>
    <w:p w14:paraId="17D3E5B0" w14:textId="77777777" w:rsidR="00070696" w:rsidRPr="00070696" w:rsidRDefault="00070696" w:rsidP="00070696">
      <w:pPr>
        <w:rPr>
          <w:rFonts w:ascii="Arial" w:hAnsi="Arial" w:cs="Arial"/>
          <w:sz w:val="22"/>
          <w:szCs w:val="22"/>
        </w:rPr>
      </w:pPr>
      <w:r w:rsidRPr="00070696">
        <w:rPr>
          <w:rFonts w:ascii="Arial" w:hAnsi="Arial" w:cs="Arial"/>
          <w:sz w:val="22"/>
          <w:szCs w:val="22"/>
        </w:rPr>
        <w:t>Ethical practice is central to professional decision-making. Ethical principles include autonomy, beneficence, non-maleficence, and justice (Beauchamp and Childress, 2019). These principles ensure that care respects individuals’ rights while promoting safety and fairness. The Mental Capacity Act 2005 provides a legal framework for supporting individuals who may lack capacity, ensuring decisions are made in their best interests (Department for Constitutional Affairs, 2005). Professional codes such as those from the NMC emphasise confidentiality, informed consent, and safeguarding (NMC, 2018).</w:t>
      </w:r>
    </w:p>
    <w:p w14:paraId="371F526D" w14:textId="77777777" w:rsidR="00070696" w:rsidRPr="00070696" w:rsidRDefault="00070696" w:rsidP="00070696">
      <w:pPr>
        <w:rPr>
          <w:rFonts w:ascii="Arial" w:hAnsi="Arial" w:cs="Arial"/>
          <w:sz w:val="22"/>
          <w:szCs w:val="22"/>
        </w:rPr>
      </w:pPr>
    </w:p>
    <w:p w14:paraId="47A9EFFF" w14:textId="77777777" w:rsidR="00070696" w:rsidRPr="00070696" w:rsidRDefault="00070696" w:rsidP="00070696">
      <w:pPr>
        <w:rPr>
          <w:rFonts w:ascii="Arial" w:hAnsi="Arial" w:cs="Arial"/>
          <w:sz w:val="22"/>
          <w:szCs w:val="22"/>
        </w:rPr>
      </w:pPr>
      <w:r w:rsidRPr="00070696">
        <w:rPr>
          <w:rFonts w:ascii="Arial" w:hAnsi="Arial" w:cs="Arial"/>
          <w:sz w:val="22"/>
          <w:szCs w:val="22"/>
        </w:rPr>
        <w:t>Overall, person-centred care, partnership working, and ethical practice improve the quality of care by promoting dignity, collaboration, and moral responsibility. They ensure that services are responsive to individual needs and delivered safely and respectfully.</w:t>
      </w:r>
    </w:p>
    <w:p w14:paraId="5D68DFA7" w14:textId="77777777" w:rsidR="00070696" w:rsidRPr="00070696" w:rsidRDefault="00070696" w:rsidP="00070696">
      <w:pPr>
        <w:rPr>
          <w:rFonts w:ascii="Arial" w:hAnsi="Arial" w:cs="Arial"/>
          <w:sz w:val="22"/>
          <w:szCs w:val="22"/>
        </w:rPr>
      </w:pPr>
    </w:p>
    <w:p w14:paraId="3F1F213D" w14:textId="4406C102" w:rsidR="00070696" w:rsidRPr="009D157C" w:rsidRDefault="00070696" w:rsidP="00070696">
      <w:pPr>
        <w:rPr>
          <w:rFonts w:ascii="Arial" w:hAnsi="Arial" w:cs="Arial"/>
          <w:b/>
          <w:bCs/>
          <w:color w:val="4C94D8" w:themeColor="text2" w:themeTint="80"/>
          <w:sz w:val="28"/>
          <w:szCs w:val="28"/>
        </w:rPr>
      </w:pPr>
      <w:r w:rsidRPr="009D157C">
        <w:rPr>
          <w:rFonts w:ascii="Arial" w:hAnsi="Arial" w:cs="Arial"/>
          <w:b/>
          <w:bCs/>
          <w:color w:val="4C94D8" w:themeColor="text2" w:themeTint="80"/>
          <w:sz w:val="28"/>
          <w:szCs w:val="28"/>
        </w:rPr>
        <w:t xml:space="preserve">Task 2: Practical Example of Concepts in Practice </w:t>
      </w:r>
    </w:p>
    <w:p w14:paraId="60B1337B" w14:textId="522730D5" w:rsidR="00070696" w:rsidRDefault="00070696" w:rsidP="00070696">
      <w:pPr>
        <w:rPr>
          <w:rFonts w:ascii="Arial" w:hAnsi="Arial" w:cs="Arial"/>
          <w:sz w:val="22"/>
          <w:szCs w:val="22"/>
        </w:rPr>
      </w:pPr>
      <w:r w:rsidRPr="00070696">
        <w:rPr>
          <w:rFonts w:ascii="Arial" w:hAnsi="Arial" w:cs="Arial"/>
          <w:sz w:val="22"/>
          <w:szCs w:val="22"/>
        </w:rPr>
        <w:t>A practical example of these principles can be seen in a residential care home supporting an older adult with dementia. Person-centred care was demonstrated through the development of an individualised care plan based on the resident’s life history, cultural background, and personal preferences. Staff learned that the resident preferred to wake up later and enjoyed listening to familiar music. Instead of following a strict routine, staff adapted care to meet these preferences. This approach aligns with guidance from NICE, which recommends tailoring dementia care to personal identity and history (NICE, 2018).</w:t>
      </w:r>
    </w:p>
    <w:p w14:paraId="60F63E0E" w14:textId="77777777" w:rsidR="00070696" w:rsidRPr="00070696" w:rsidRDefault="00070696" w:rsidP="00070696">
      <w:pPr>
        <w:rPr>
          <w:rFonts w:ascii="Arial" w:hAnsi="Arial" w:cs="Arial"/>
          <w:sz w:val="22"/>
          <w:szCs w:val="22"/>
        </w:rPr>
      </w:pPr>
    </w:p>
    <w:p w14:paraId="0910D0BA" w14:textId="77777777" w:rsidR="00070696" w:rsidRPr="00070696" w:rsidRDefault="00070696" w:rsidP="00070696">
      <w:pPr>
        <w:rPr>
          <w:rFonts w:ascii="Arial" w:hAnsi="Arial" w:cs="Arial"/>
          <w:sz w:val="22"/>
          <w:szCs w:val="22"/>
        </w:rPr>
      </w:pPr>
      <w:r w:rsidRPr="00070696">
        <w:rPr>
          <w:rFonts w:ascii="Arial" w:hAnsi="Arial" w:cs="Arial"/>
          <w:sz w:val="22"/>
          <w:szCs w:val="22"/>
        </w:rPr>
        <w:t>Partnership working was evident through collaboration between care staff, the GP, a community mental health nurse, and family members. Regular multidisciplinary meetings were held to review medication, nutrition, and behavioural changes. This reflects the integrated care approach promoted by NHS England (NHS England, 2019). Family involvement improved trust and ensured continuity of care.</w:t>
      </w:r>
    </w:p>
    <w:p w14:paraId="65241748" w14:textId="77777777" w:rsidR="00070696" w:rsidRPr="00070696" w:rsidRDefault="00070696" w:rsidP="00070696">
      <w:pPr>
        <w:rPr>
          <w:rFonts w:ascii="Arial" w:hAnsi="Arial" w:cs="Arial"/>
          <w:sz w:val="22"/>
          <w:szCs w:val="22"/>
        </w:rPr>
      </w:pPr>
    </w:p>
    <w:p w14:paraId="349E0956" w14:textId="77777777" w:rsidR="00070696" w:rsidRPr="00070696" w:rsidRDefault="00070696" w:rsidP="00070696">
      <w:pPr>
        <w:rPr>
          <w:rFonts w:ascii="Arial" w:hAnsi="Arial" w:cs="Arial"/>
          <w:sz w:val="22"/>
          <w:szCs w:val="22"/>
        </w:rPr>
      </w:pPr>
      <w:r w:rsidRPr="00070696">
        <w:rPr>
          <w:rFonts w:ascii="Arial" w:hAnsi="Arial" w:cs="Arial"/>
          <w:sz w:val="22"/>
          <w:szCs w:val="22"/>
        </w:rPr>
        <w:t>Ethical practice was important when the resident began refusing medication. Staff followed the Mental Capacity Act 2005 by assessing capacity and holding a best-interest meeting when the resident lacked the ability to make an informed decision. This ensured that care respected the resident’s rights while maintaining safety. Confidentiality and safeguarding policies were also followed to protect dignity and wellbeing.</w:t>
      </w:r>
    </w:p>
    <w:p w14:paraId="2DD8FC77" w14:textId="77777777" w:rsidR="00070696" w:rsidRPr="00070696" w:rsidRDefault="00070696" w:rsidP="00070696">
      <w:pPr>
        <w:rPr>
          <w:rFonts w:ascii="Arial" w:hAnsi="Arial" w:cs="Arial"/>
          <w:sz w:val="22"/>
          <w:szCs w:val="22"/>
        </w:rPr>
      </w:pPr>
    </w:p>
    <w:p w14:paraId="785A1AFF" w14:textId="77777777" w:rsidR="00070696" w:rsidRDefault="00070696" w:rsidP="00070696">
      <w:pPr>
        <w:rPr>
          <w:rFonts w:ascii="Arial" w:hAnsi="Arial" w:cs="Arial"/>
          <w:sz w:val="22"/>
          <w:szCs w:val="22"/>
        </w:rPr>
      </w:pPr>
      <w:r w:rsidRPr="00070696">
        <w:rPr>
          <w:rFonts w:ascii="Arial" w:hAnsi="Arial" w:cs="Arial"/>
          <w:sz w:val="22"/>
          <w:szCs w:val="22"/>
        </w:rPr>
        <w:t>The application of these principles improved outcomes by reducing distress and promoting comfort. However, challenges included time pressures, staff shortages, and communication barriers. To address these issues, organisations should provide training, clear documentation systems, and regular team meetings (Glasby and Dickinson, 2014). Following UK policies and guidelines supports consistent, high-quality care.</w:t>
      </w:r>
    </w:p>
    <w:p w14:paraId="7804568D" w14:textId="77777777" w:rsidR="00071804" w:rsidRDefault="00071804" w:rsidP="00070696">
      <w:pPr>
        <w:rPr>
          <w:rFonts w:ascii="Arial" w:hAnsi="Arial" w:cs="Arial"/>
          <w:sz w:val="22"/>
          <w:szCs w:val="22"/>
        </w:rPr>
      </w:pPr>
    </w:p>
    <w:p w14:paraId="1D85CA6B" w14:textId="77777777" w:rsidR="00071804" w:rsidRPr="00070696" w:rsidRDefault="00071804" w:rsidP="00070696">
      <w:pPr>
        <w:rPr>
          <w:rFonts w:ascii="Arial" w:hAnsi="Arial" w:cs="Arial"/>
          <w:sz w:val="22"/>
          <w:szCs w:val="22"/>
        </w:rPr>
      </w:pPr>
    </w:p>
    <w:p w14:paraId="33CAAA90" w14:textId="77777777" w:rsidR="00070696" w:rsidRDefault="00070696" w:rsidP="00070696">
      <w:pPr>
        <w:rPr>
          <w:rFonts w:ascii="Arial" w:hAnsi="Arial" w:cs="Arial"/>
          <w:sz w:val="22"/>
          <w:szCs w:val="22"/>
        </w:rPr>
      </w:pPr>
    </w:p>
    <w:p w14:paraId="7CC9B1AE" w14:textId="77777777" w:rsidR="00070696" w:rsidRPr="00070696" w:rsidRDefault="00070696" w:rsidP="00070696">
      <w:pPr>
        <w:rPr>
          <w:rFonts w:ascii="Arial" w:hAnsi="Arial" w:cs="Arial"/>
          <w:sz w:val="22"/>
          <w:szCs w:val="22"/>
        </w:rPr>
      </w:pPr>
    </w:p>
    <w:p w14:paraId="00FE2EF5" w14:textId="697DCDB1" w:rsidR="00070696" w:rsidRPr="00071804" w:rsidRDefault="00070696" w:rsidP="00070696">
      <w:pPr>
        <w:rPr>
          <w:rFonts w:ascii="Arial" w:hAnsi="Arial" w:cs="Arial"/>
          <w:color w:val="4C94D8" w:themeColor="text2" w:themeTint="80"/>
          <w:sz w:val="22"/>
          <w:szCs w:val="22"/>
        </w:rPr>
      </w:pPr>
      <w:r w:rsidRPr="00071804">
        <w:rPr>
          <w:rFonts w:ascii="Arial" w:hAnsi="Arial" w:cs="Arial"/>
          <w:b/>
          <w:bCs/>
          <w:color w:val="4C94D8" w:themeColor="text2" w:themeTint="80"/>
          <w:sz w:val="28"/>
          <w:szCs w:val="28"/>
        </w:rPr>
        <w:t xml:space="preserve">Task 3: Self-Reflection as a Health and Social Care Professional </w:t>
      </w:r>
    </w:p>
    <w:p w14:paraId="325C1BE9" w14:textId="77777777" w:rsidR="00070696" w:rsidRPr="00070696" w:rsidRDefault="00070696" w:rsidP="00070696">
      <w:pPr>
        <w:rPr>
          <w:rFonts w:ascii="Arial" w:hAnsi="Arial" w:cs="Arial"/>
          <w:sz w:val="22"/>
          <w:szCs w:val="22"/>
        </w:rPr>
      </w:pPr>
    </w:p>
    <w:p w14:paraId="4022AC9F" w14:textId="09977D05" w:rsidR="00070696" w:rsidRPr="00070696" w:rsidRDefault="00070696" w:rsidP="00070696">
      <w:pPr>
        <w:rPr>
          <w:rFonts w:ascii="Arial" w:hAnsi="Arial" w:cs="Arial"/>
          <w:sz w:val="22"/>
          <w:szCs w:val="22"/>
        </w:rPr>
      </w:pPr>
      <w:r w:rsidRPr="00070696">
        <w:rPr>
          <w:rFonts w:ascii="Arial" w:hAnsi="Arial" w:cs="Arial"/>
          <w:sz w:val="22"/>
          <w:szCs w:val="22"/>
        </w:rPr>
        <w:t>Reflecting on my own practice, I recognise that person-centred care is essential in my daily work. I aim to treat each service user as an individual by listening to their preferences, respecting their cultural background, and promoting independence. For example, when assisting with personal care, I ask for consent, explain what I am doing, and encourage the person to do as much as they can themselves. This supports dignity and aligns with the values of the Care Act 2014 (Department of Health and Social Care, 2014).</w:t>
      </w:r>
    </w:p>
    <w:p w14:paraId="2E617CDD" w14:textId="0E531CFA" w:rsidR="00070696" w:rsidRPr="00070696" w:rsidRDefault="00070696" w:rsidP="00070696">
      <w:pPr>
        <w:rPr>
          <w:rFonts w:ascii="Arial" w:hAnsi="Arial" w:cs="Arial"/>
          <w:sz w:val="22"/>
          <w:szCs w:val="22"/>
        </w:rPr>
      </w:pPr>
      <w:r w:rsidRPr="00070696">
        <w:rPr>
          <w:rFonts w:ascii="Arial" w:hAnsi="Arial" w:cs="Arial"/>
          <w:sz w:val="22"/>
          <w:szCs w:val="22"/>
        </w:rPr>
        <w:t>I also understand the importance of partnership working. In my role, I communicate with colleagues during handovers to ensure accurate information is shared. This helps maintain continuity of care and reduces the risk of errors. I recognise that effective teamwork is essential for safe practice and reflects the integrated care model within NHS England (NHS England, 2019). Working collaboratively with other professionals ensures that service users receive holistic support.</w:t>
      </w:r>
    </w:p>
    <w:p w14:paraId="31BFB2EC" w14:textId="63E20099" w:rsidR="00070696" w:rsidRPr="00070696" w:rsidRDefault="00070696" w:rsidP="00070696">
      <w:pPr>
        <w:rPr>
          <w:rFonts w:ascii="Arial" w:hAnsi="Arial" w:cs="Arial"/>
          <w:sz w:val="22"/>
          <w:szCs w:val="22"/>
        </w:rPr>
      </w:pPr>
      <w:r w:rsidRPr="00070696">
        <w:rPr>
          <w:rFonts w:ascii="Arial" w:hAnsi="Arial" w:cs="Arial"/>
          <w:sz w:val="22"/>
          <w:szCs w:val="22"/>
        </w:rPr>
        <w:t>Ethical practice guides my behaviour by ensuring that I maintain confidentiality, respect privacy, and follow safeguarding procedures. I treat all individuals equally in line with the Equality Act 2010, promoting inclusion and avoiding discrimination (HM Government, 2010). I also understand the importance of whistleblowing policies in protecting vulnerable individuals.</w:t>
      </w:r>
    </w:p>
    <w:p w14:paraId="223FDE94" w14:textId="77777777" w:rsidR="00070696" w:rsidRPr="00070696" w:rsidRDefault="00070696" w:rsidP="00070696">
      <w:pPr>
        <w:rPr>
          <w:rFonts w:ascii="Arial" w:hAnsi="Arial" w:cs="Arial"/>
          <w:sz w:val="22"/>
          <w:szCs w:val="22"/>
        </w:rPr>
      </w:pPr>
      <w:r w:rsidRPr="00070696">
        <w:rPr>
          <w:rFonts w:ascii="Arial" w:hAnsi="Arial" w:cs="Arial"/>
          <w:sz w:val="22"/>
          <w:szCs w:val="22"/>
        </w:rPr>
        <w:t>Through reflection, I have identified my strengths. I am compassionate, patient, and respectful when supporting service users. I have good listening skills and build positive relationships, which helps deliver person-centred care. I am reliable and follow care plans carefully, ensuring safe practice. These strengths allow me to provide supportive and respectful care.</w:t>
      </w:r>
    </w:p>
    <w:p w14:paraId="074A9B40" w14:textId="77777777" w:rsidR="00070696" w:rsidRPr="00070696" w:rsidRDefault="00070696" w:rsidP="00070696">
      <w:pPr>
        <w:rPr>
          <w:rFonts w:ascii="Arial" w:hAnsi="Arial" w:cs="Arial"/>
          <w:sz w:val="22"/>
          <w:szCs w:val="22"/>
        </w:rPr>
      </w:pPr>
    </w:p>
    <w:p w14:paraId="35E3F35D" w14:textId="55DDE606" w:rsidR="00070696" w:rsidRPr="00070696" w:rsidRDefault="00070696" w:rsidP="00070696">
      <w:pPr>
        <w:rPr>
          <w:rFonts w:ascii="Arial" w:hAnsi="Arial" w:cs="Arial"/>
          <w:sz w:val="22"/>
          <w:szCs w:val="22"/>
        </w:rPr>
      </w:pPr>
      <w:r w:rsidRPr="00070696">
        <w:rPr>
          <w:rFonts w:ascii="Arial" w:hAnsi="Arial" w:cs="Arial"/>
          <w:sz w:val="22"/>
          <w:szCs w:val="22"/>
        </w:rPr>
        <w:t>However, I have also identified areas for improvement. I need to develop more confidence when communicating with multidisciplinary professionals such as nurses and social workers. I sometimes feel nervous when sharing information in team meetings, and I want to improve my communication skills. I also need to increase my knowledge of legislation, particularly the Mental Capacity Act 2005 and safeguarding procedures, to ensure I apply them correctly. In addition, I would like to improve my documentation skills to ensure records are clear, accurate, and professional.</w:t>
      </w:r>
    </w:p>
    <w:p w14:paraId="511749D6" w14:textId="2DF9605A" w:rsidR="00070696" w:rsidRPr="00070696" w:rsidRDefault="00070696" w:rsidP="00070696">
      <w:pPr>
        <w:rPr>
          <w:rFonts w:ascii="Arial" w:hAnsi="Arial" w:cs="Arial"/>
          <w:sz w:val="22"/>
          <w:szCs w:val="22"/>
        </w:rPr>
      </w:pPr>
      <w:r w:rsidRPr="00070696">
        <w:rPr>
          <w:rFonts w:ascii="Arial" w:hAnsi="Arial" w:cs="Arial"/>
          <w:sz w:val="22"/>
          <w:szCs w:val="22"/>
        </w:rPr>
        <w:t>To improve my practice, I plan to engage in continuous professional development. This includes attending training on dementia care, safeguarding, and communication skills. I will also read national guidelines from NICE and policies within my organisation to strengthen my theoretical knowledge. Using reflective models such as Gibbs’ reflective cycle will help me analyse my experiences and identify learning needs (Gibbs, 1988).</w:t>
      </w:r>
    </w:p>
    <w:p w14:paraId="184C02EE" w14:textId="77777777" w:rsidR="00D85D70" w:rsidRDefault="00070696" w:rsidP="00070696">
      <w:pPr>
        <w:rPr>
          <w:rFonts w:ascii="Arial" w:hAnsi="Arial" w:cs="Arial"/>
          <w:sz w:val="22"/>
          <w:szCs w:val="22"/>
        </w:rPr>
      </w:pPr>
      <w:r w:rsidRPr="00070696">
        <w:rPr>
          <w:rFonts w:ascii="Arial" w:hAnsi="Arial" w:cs="Arial"/>
          <w:sz w:val="22"/>
          <w:szCs w:val="22"/>
        </w:rPr>
        <w:t>In the future, I aim to take a more active role in care planning and contribute to multidisciplinary discussions. I will seek feedback from senior staff to improve my performance. Developing cultural competence is also important so that I can provide inclusive care for individuals from diverse backgrounds. By applying person-centred care,</w:t>
      </w:r>
    </w:p>
    <w:p w14:paraId="79D70689" w14:textId="6FC78841" w:rsidR="00070696" w:rsidRPr="00070696" w:rsidRDefault="00070696" w:rsidP="00070696">
      <w:pPr>
        <w:rPr>
          <w:rFonts w:ascii="Arial" w:hAnsi="Arial" w:cs="Arial"/>
          <w:sz w:val="22"/>
          <w:szCs w:val="22"/>
        </w:rPr>
      </w:pPr>
      <w:r w:rsidRPr="00070696">
        <w:rPr>
          <w:rFonts w:ascii="Arial" w:hAnsi="Arial" w:cs="Arial"/>
          <w:sz w:val="22"/>
          <w:szCs w:val="22"/>
        </w:rPr>
        <w:t>partnership working, and ethical principles, I will become a more competent and confident health and social care professional.</w:t>
      </w:r>
    </w:p>
    <w:p w14:paraId="5577CE83" w14:textId="3A2CDD9C" w:rsidR="00070696" w:rsidRPr="00070696" w:rsidRDefault="00070696" w:rsidP="00070696">
      <w:pPr>
        <w:rPr>
          <w:rFonts w:ascii="Arial" w:hAnsi="Arial" w:cs="Arial"/>
          <w:sz w:val="22"/>
          <w:szCs w:val="22"/>
        </w:rPr>
      </w:pPr>
      <w:r w:rsidRPr="00070696">
        <w:rPr>
          <w:rFonts w:ascii="Arial" w:hAnsi="Arial" w:cs="Arial"/>
          <w:sz w:val="22"/>
          <w:szCs w:val="22"/>
        </w:rPr>
        <w:t>These principles also influence how I respond to challenges in practice. For example, when there is a conflict between a service user’s choice and their safety, I will use ethical decision-making and follow organisational policies. I will consider the person’s capacity, consult with colleagues, and ensure decisions are made in their best interests. This reflects the legal framework of the Mental Capacity Act 2005.</w:t>
      </w:r>
    </w:p>
    <w:p w14:paraId="703A50C0" w14:textId="77777777" w:rsidR="00070696" w:rsidRPr="00070696" w:rsidRDefault="00070696" w:rsidP="00070696">
      <w:pPr>
        <w:rPr>
          <w:rFonts w:ascii="Arial" w:hAnsi="Arial" w:cs="Arial"/>
          <w:sz w:val="22"/>
          <w:szCs w:val="22"/>
        </w:rPr>
      </w:pPr>
      <w:r w:rsidRPr="00070696">
        <w:rPr>
          <w:rFonts w:ascii="Arial" w:hAnsi="Arial" w:cs="Arial"/>
          <w:sz w:val="22"/>
          <w:szCs w:val="22"/>
        </w:rPr>
        <w:t>Furthermore, I recognise the importance of maintaining professional boundaries and following codes of conduct. This ensures that relationships with service users remain respectful and safe. I will continue to develop my professionalism by adhering to policies and engaging in lifelong learning.</w:t>
      </w:r>
    </w:p>
    <w:p w14:paraId="0838DBCD" w14:textId="77777777" w:rsidR="00070696" w:rsidRPr="00070696" w:rsidRDefault="00070696" w:rsidP="00070696">
      <w:pPr>
        <w:rPr>
          <w:rFonts w:ascii="Arial" w:hAnsi="Arial" w:cs="Arial"/>
          <w:sz w:val="22"/>
          <w:szCs w:val="22"/>
        </w:rPr>
      </w:pPr>
    </w:p>
    <w:p w14:paraId="36997F3A" w14:textId="37230404" w:rsidR="00CF5AC3" w:rsidRPr="008E1BAC" w:rsidRDefault="00070696" w:rsidP="00070696">
      <w:pPr>
        <w:rPr>
          <w:rFonts w:ascii="Arial" w:hAnsi="Arial" w:cs="Arial"/>
          <w:b/>
          <w:bCs/>
          <w:color w:val="4C94D8" w:themeColor="text2" w:themeTint="80"/>
          <w:sz w:val="28"/>
          <w:szCs w:val="28"/>
        </w:rPr>
      </w:pPr>
      <w:r w:rsidRPr="008E1BAC">
        <w:rPr>
          <w:rFonts w:ascii="Arial" w:hAnsi="Arial" w:cs="Arial"/>
          <w:b/>
          <w:bCs/>
          <w:color w:val="4C94D8" w:themeColor="text2" w:themeTint="80"/>
          <w:sz w:val="28"/>
          <w:szCs w:val="28"/>
        </w:rPr>
        <w:t>Conclusion</w:t>
      </w:r>
    </w:p>
    <w:p w14:paraId="1D9AF60D" w14:textId="77777777" w:rsidR="005F6AEF" w:rsidRPr="005F6AEF" w:rsidRDefault="005F6AEF" w:rsidP="005F6AEF">
      <w:pPr>
        <w:rPr>
          <w:rFonts w:ascii="Arial" w:hAnsi="Arial" w:cs="Arial"/>
          <w:sz w:val="22"/>
          <w:szCs w:val="22"/>
        </w:rPr>
      </w:pPr>
      <w:r w:rsidRPr="005F6AEF">
        <w:rPr>
          <w:rFonts w:ascii="Arial" w:hAnsi="Arial" w:cs="Arial"/>
          <w:sz w:val="22"/>
          <w:szCs w:val="22"/>
        </w:rPr>
        <w:t>This reflective report has critically explored the importance of person-centred care, partnership working, and ethical practice within the context of UK health and social care. These principles are not only theoretical concepts but form the foundation of safe, effective, and compassionate care delivery. Person-centred care ensures that individuals are treated with dignity, respect, and individuality, enabling them to have choice and control over their lives. This aligns closely with the values of the Care Act 2014, which places wellbeing and empowerment at the centre of care provision. By recognising each person’s unique needs, preferences, and cultural background, health and social care professionals can improve engagement, satisfaction, and overall outcomes.</w:t>
      </w:r>
    </w:p>
    <w:p w14:paraId="5CDE1A9A" w14:textId="77777777" w:rsidR="005F6AEF" w:rsidRPr="005F6AEF" w:rsidRDefault="005F6AEF" w:rsidP="005F6AEF">
      <w:pPr>
        <w:rPr>
          <w:rFonts w:ascii="Arial" w:hAnsi="Arial" w:cs="Arial"/>
          <w:sz w:val="22"/>
          <w:szCs w:val="22"/>
        </w:rPr>
      </w:pPr>
    </w:p>
    <w:p w14:paraId="4FAF6388" w14:textId="77777777" w:rsidR="005F6AEF" w:rsidRPr="005F6AEF" w:rsidRDefault="005F6AEF" w:rsidP="005F6AEF">
      <w:pPr>
        <w:rPr>
          <w:rFonts w:ascii="Arial" w:hAnsi="Arial" w:cs="Arial"/>
          <w:sz w:val="22"/>
          <w:szCs w:val="22"/>
        </w:rPr>
      </w:pPr>
      <w:r w:rsidRPr="005F6AEF">
        <w:rPr>
          <w:rFonts w:ascii="Arial" w:hAnsi="Arial" w:cs="Arial"/>
          <w:sz w:val="22"/>
          <w:szCs w:val="22"/>
        </w:rPr>
        <w:t>The report also highlighted the importance of partnership working in delivering holistic care. Collaboration between multidisciplinary teams, service users, and their families enables information sharing, coordinated planning, and continuity of care. This reflects the integrated care approach promoted by NHS England and supported by the Health and Social Care Act 2012. Effective partnership working reduces duplication, minimises risks, and ensures that individuals receive comprehensive support that addresses their physical, emotional, and social needs. However, the reflection also acknowledged practical challenges such as time constraints, staffing pressures, and communication barriers, which can affect the implementation of these principles. This demonstrates the need for strong leadership, training, and organisational support to maintain high standards of care.</w:t>
      </w:r>
    </w:p>
    <w:p w14:paraId="168A2D3A" w14:textId="77777777" w:rsidR="005F6AEF" w:rsidRPr="005F6AEF" w:rsidRDefault="005F6AEF" w:rsidP="005F6AEF">
      <w:pPr>
        <w:rPr>
          <w:rFonts w:ascii="Arial" w:hAnsi="Arial" w:cs="Arial"/>
          <w:sz w:val="22"/>
          <w:szCs w:val="22"/>
        </w:rPr>
      </w:pPr>
    </w:p>
    <w:p w14:paraId="64C2CA2B" w14:textId="77777777" w:rsidR="00D85D70" w:rsidRDefault="005F6AEF" w:rsidP="005F6AEF">
      <w:pPr>
        <w:rPr>
          <w:rFonts w:ascii="Arial" w:hAnsi="Arial" w:cs="Arial"/>
          <w:sz w:val="22"/>
          <w:szCs w:val="22"/>
        </w:rPr>
      </w:pPr>
      <w:r w:rsidRPr="005F6AEF">
        <w:rPr>
          <w:rFonts w:ascii="Arial" w:hAnsi="Arial" w:cs="Arial"/>
          <w:sz w:val="22"/>
          <w:szCs w:val="22"/>
        </w:rPr>
        <w:t>Ethical practice was identified as a critical component of professional responsibility. The application of ethical principles such as autonomy, beneficence, non-maleficence, and justice ensures that decisions are made in a fair and respectful manner. The legal framework provided by the Mental Capacity Act 2005 supports professionals in balancing individual choice with safety, particularly when individuals may lack capacity. This reinforces the importance of informed consent, best-interest decision-making, confidentiality, and safeguarding. Ethical practice also promotes equality and inclusion in line with the Equality Act 2010, ensuring that care is delivered without discrimination.</w:t>
      </w:r>
    </w:p>
    <w:p w14:paraId="3F15713F" w14:textId="54ABFAD6" w:rsidR="005F6AEF" w:rsidRPr="005F6AEF" w:rsidRDefault="005F6AEF" w:rsidP="005F6AEF">
      <w:pPr>
        <w:rPr>
          <w:rFonts w:ascii="Arial" w:hAnsi="Arial" w:cs="Arial"/>
          <w:sz w:val="22"/>
          <w:szCs w:val="22"/>
        </w:rPr>
      </w:pPr>
      <w:r w:rsidRPr="005F6AEF">
        <w:rPr>
          <w:rFonts w:ascii="Arial" w:hAnsi="Arial" w:cs="Arial"/>
          <w:sz w:val="22"/>
          <w:szCs w:val="22"/>
        </w:rPr>
        <w:t>Through self-reflection, I have recognised that these principles have a direct impact on my daily practice. I identified strengths such as compassion, patience, and effective listening skills, which support person-centred care. At the same time, I acknowledged areas for development, including improving my confidence in multidisciplinary communication, enhancing my knowledge of legislation, and strengthening my documentation skills. This critical reflection demonstrates my commitment to continuous professional development and lifelong learning.</w:t>
      </w:r>
    </w:p>
    <w:p w14:paraId="34A64F7C" w14:textId="77777777" w:rsidR="005F6AEF" w:rsidRPr="005F6AEF" w:rsidRDefault="005F6AEF" w:rsidP="005F6AEF">
      <w:pPr>
        <w:rPr>
          <w:rFonts w:ascii="Arial" w:hAnsi="Arial" w:cs="Arial"/>
          <w:sz w:val="22"/>
          <w:szCs w:val="22"/>
        </w:rPr>
      </w:pPr>
    </w:p>
    <w:p w14:paraId="6B441A77" w14:textId="77777777" w:rsidR="005F6AEF" w:rsidRPr="005F6AEF" w:rsidRDefault="005F6AEF" w:rsidP="005F6AEF">
      <w:pPr>
        <w:rPr>
          <w:rFonts w:ascii="Arial" w:hAnsi="Arial" w:cs="Arial"/>
          <w:sz w:val="22"/>
          <w:szCs w:val="22"/>
        </w:rPr>
      </w:pPr>
      <w:r w:rsidRPr="005F6AEF">
        <w:rPr>
          <w:rFonts w:ascii="Arial" w:hAnsi="Arial" w:cs="Arial"/>
          <w:sz w:val="22"/>
          <w:szCs w:val="22"/>
        </w:rPr>
        <w:t>Moving forward, I plan to engage in further training, apply reflective models such as Gibbs’ cycle, and seek feedback from colleagues to improve my practice. I will also continue to develop my understanding of national guidelines from NICE and organisational policies to ensure that my care remains evidence-based and legally compliant. By doing so, I aim to provide high-quality, person-centred, and ethically sound care that meets the diverse needs of service users.</w:t>
      </w:r>
    </w:p>
    <w:p w14:paraId="2EB83FF1" w14:textId="77777777" w:rsidR="005F6AEF" w:rsidRPr="005F6AEF" w:rsidRDefault="005F6AEF" w:rsidP="005F6AEF">
      <w:pPr>
        <w:rPr>
          <w:rFonts w:ascii="Arial" w:hAnsi="Arial" w:cs="Arial"/>
          <w:sz w:val="22"/>
          <w:szCs w:val="22"/>
        </w:rPr>
      </w:pPr>
    </w:p>
    <w:p w14:paraId="176A6DF3" w14:textId="6D79CC00" w:rsidR="00CF5AC3" w:rsidRDefault="005F6AEF" w:rsidP="005F6AEF">
      <w:pPr>
        <w:rPr>
          <w:rFonts w:ascii="Arial" w:hAnsi="Arial" w:cs="Arial"/>
          <w:sz w:val="22"/>
          <w:szCs w:val="22"/>
        </w:rPr>
      </w:pPr>
      <w:r w:rsidRPr="005F6AEF">
        <w:rPr>
          <w:rFonts w:ascii="Arial" w:hAnsi="Arial" w:cs="Arial"/>
          <w:sz w:val="22"/>
          <w:szCs w:val="22"/>
        </w:rPr>
        <w:t>In conclusion, person-centred care, partnership working, and ethical practice are essential for delivering safe, effective, and compassionate health and social care in the UK. They support positive outcomes, protect individual rights, and promote professional accountability. This reflection has enhanced my understanding of these principles and their application in practice, and it has highlighted the importance of continuous learning in becoming a competent and confident health and social care professional.</w:t>
      </w:r>
    </w:p>
    <w:p w14:paraId="0EDAF5C8" w14:textId="77777777" w:rsidR="005F6AEF" w:rsidRDefault="005F6AEF" w:rsidP="005F6AEF">
      <w:pPr>
        <w:rPr>
          <w:rFonts w:ascii="Arial" w:hAnsi="Arial" w:cs="Arial"/>
          <w:sz w:val="22"/>
          <w:szCs w:val="22"/>
        </w:rPr>
      </w:pPr>
    </w:p>
    <w:p w14:paraId="6E105E8D" w14:textId="77777777" w:rsidR="005F6AEF" w:rsidRDefault="005F6AEF" w:rsidP="005F6AEF">
      <w:pPr>
        <w:rPr>
          <w:rFonts w:ascii="Arial" w:hAnsi="Arial" w:cs="Arial"/>
          <w:sz w:val="22"/>
          <w:szCs w:val="22"/>
        </w:rPr>
      </w:pPr>
    </w:p>
    <w:p w14:paraId="27E8920F" w14:textId="77777777" w:rsidR="005F6AEF" w:rsidRDefault="005F6AEF" w:rsidP="005F6AEF">
      <w:pPr>
        <w:rPr>
          <w:rFonts w:ascii="Arial" w:hAnsi="Arial" w:cs="Arial"/>
          <w:sz w:val="22"/>
          <w:szCs w:val="22"/>
        </w:rPr>
      </w:pPr>
    </w:p>
    <w:p w14:paraId="241C0627" w14:textId="77777777" w:rsidR="005F6AEF" w:rsidRDefault="005F6AEF" w:rsidP="005F6AEF">
      <w:pPr>
        <w:rPr>
          <w:rFonts w:ascii="Arial" w:hAnsi="Arial" w:cs="Arial"/>
          <w:sz w:val="22"/>
          <w:szCs w:val="22"/>
        </w:rPr>
      </w:pPr>
    </w:p>
    <w:p w14:paraId="38A1C1B5" w14:textId="77777777" w:rsidR="005F6AEF" w:rsidRDefault="005F6AEF" w:rsidP="005F6AEF">
      <w:pPr>
        <w:rPr>
          <w:rFonts w:ascii="Arial" w:hAnsi="Arial" w:cs="Arial"/>
          <w:sz w:val="22"/>
          <w:szCs w:val="22"/>
        </w:rPr>
      </w:pPr>
    </w:p>
    <w:p w14:paraId="5FED6FAB" w14:textId="77777777" w:rsidR="008E1BAC" w:rsidRDefault="008E1BAC" w:rsidP="00070696">
      <w:pPr>
        <w:rPr>
          <w:rFonts w:ascii="Arial" w:hAnsi="Arial" w:cs="Arial"/>
          <w:sz w:val="22"/>
          <w:szCs w:val="22"/>
        </w:rPr>
      </w:pPr>
    </w:p>
    <w:p w14:paraId="7212E57E" w14:textId="77777777" w:rsidR="00D85D70" w:rsidRDefault="00D85D70" w:rsidP="00070696">
      <w:pPr>
        <w:rPr>
          <w:rFonts w:ascii="Arial" w:hAnsi="Arial" w:cs="Arial"/>
          <w:sz w:val="22"/>
          <w:szCs w:val="22"/>
        </w:rPr>
      </w:pPr>
    </w:p>
    <w:p w14:paraId="0C455E56" w14:textId="77777777" w:rsidR="00D85D70" w:rsidRDefault="00D85D70" w:rsidP="00070696">
      <w:pPr>
        <w:rPr>
          <w:rFonts w:ascii="Arial" w:hAnsi="Arial" w:cs="Arial"/>
          <w:sz w:val="22"/>
          <w:szCs w:val="22"/>
        </w:rPr>
      </w:pPr>
    </w:p>
    <w:p w14:paraId="3CE7B5BF" w14:textId="77777777" w:rsidR="00D85D70" w:rsidRDefault="00D85D70" w:rsidP="00070696">
      <w:pPr>
        <w:rPr>
          <w:rFonts w:ascii="Arial" w:hAnsi="Arial" w:cs="Arial"/>
          <w:sz w:val="22"/>
          <w:szCs w:val="22"/>
        </w:rPr>
      </w:pPr>
    </w:p>
    <w:p w14:paraId="0D3D852C" w14:textId="77777777" w:rsidR="00D85D70" w:rsidRDefault="00D85D70" w:rsidP="00070696">
      <w:pPr>
        <w:rPr>
          <w:rFonts w:ascii="Arial" w:hAnsi="Arial" w:cs="Arial"/>
          <w:sz w:val="22"/>
          <w:szCs w:val="22"/>
        </w:rPr>
      </w:pPr>
    </w:p>
    <w:p w14:paraId="57A1E4FB" w14:textId="77777777" w:rsidR="00D85D70" w:rsidRDefault="00D85D70" w:rsidP="00070696">
      <w:pPr>
        <w:rPr>
          <w:rFonts w:ascii="Arial" w:hAnsi="Arial" w:cs="Arial"/>
          <w:sz w:val="22"/>
          <w:szCs w:val="22"/>
        </w:rPr>
      </w:pPr>
    </w:p>
    <w:p w14:paraId="6B294394" w14:textId="77777777" w:rsidR="00D85D70" w:rsidRDefault="00D85D70" w:rsidP="00070696">
      <w:pPr>
        <w:rPr>
          <w:rFonts w:ascii="Arial" w:hAnsi="Arial" w:cs="Arial"/>
          <w:sz w:val="22"/>
          <w:szCs w:val="22"/>
        </w:rPr>
      </w:pPr>
    </w:p>
    <w:p w14:paraId="466CF0E0" w14:textId="77777777" w:rsidR="00D85D70" w:rsidRDefault="00D85D70" w:rsidP="00070696">
      <w:pPr>
        <w:rPr>
          <w:rFonts w:ascii="Arial" w:hAnsi="Arial" w:cs="Arial"/>
          <w:sz w:val="22"/>
          <w:szCs w:val="22"/>
        </w:rPr>
      </w:pPr>
    </w:p>
    <w:p w14:paraId="27B77CB7" w14:textId="77777777" w:rsidR="00D85D70" w:rsidRDefault="00D85D70" w:rsidP="00070696">
      <w:pPr>
        <w:rPr>
          <w:rFonts w:ascii="Arial" w:hAnsi="Arial" w:cs="Arial"/>
          <w:sz w:val="22"/>
          <w:szCs w:val="22"/>
        </w:rPr>
      </w:pPr>
    </w:p>
    <w:p w14:paraId="1925EEB8" w14:textId="77777777" w:rsidR="00D85D70" w:rsidRDefault="00D85D70" w:rsidP="00070696">
      <w:pPr>
        <w:rPr>
          <w:rFonts w:ascii="Arial" w:hAnsi="Arial" w:cs="Arial"/>
          <w:sz w:val="22"/>
          <w:szCs w:val="22"/>
        </w:rPr>
      </w:pPr>
    </w:p>
    <w:p w14:paraId="787B7693" w14:textId="41471B41" w:rsidR="00070696" w:rsidRPr="007B5A3D" w:rsidRDefault="00070696" w:rsidP="00070696">
      <w:pPr>
        <w:rPr>
          <w:rFonts w:ascii="Arial" w:hAnsi="Arial" w:cs="Arial"/>
          <w:b/>
          <w:bCs/>
          <w:color w:val="4C94D8" w:themeColor="text2" w:themeTint="80"/>
          <w:sz w:val="28"/>
          <w:szCs w:val="28"/>
          <w:u w:val="single"/>
        </w:rPr>
      </w:pPr>
      <w:r w:rsidRPr="007B5A3D">
        <w:rPr>
          <w:rFonts w:ascii="Arial" w:hAnsi="Arial" w:cs="Arial"/>
          <w:b/>
          <w:bCs/>
          <w:color w:val="4C94D8" w:themeColor="text2" w:themeTint="80"/>
          <w:sz w:val="28"/>
          <w:szCs w:val="28"/>
          <w:u w:val="single"/>
        </w:rPr>
        <w:t>Reference List (UWTSD Harvard Style)</w:t>
      </w:r>
    </w:p>
    <w:p w14:paraId="3380E408" w14:textId="77777777" w:rsidR="00070696" w:rsidRPr="00070696" w:rsidRDefault="00070696" w:rsidP="00070696">
      <w:pPr>
        <w:rPr>
          <w:rFonts w:ascii="Arial" w:hAnsi="Arial" w:cs="Arial"/>
          <w:sz w:val="22"/>
          <w:szCs w:val="22"/>
        </w:rPr>
      </w:pPr>
    </w:p>
    <w:p w14:paraId="72B8DFD8" w14:textId="77777777" w:rsidR="00070696" w:rsidRPr="00070696" w:rsidRDefault="00070696" w:rsidP="00070696">
      <w:pPr>
        <w:rPr>
          <w:rFonts w:ascii="Arial" w:hAnsi="Arial" w:cs="Arial"/>
          <w:sz w:val="22"/>
          <w:szCs w:val="22"/>
        </w:rPr>
      </w:pPr>
      <w:r w:rsidRPr="00070696">
        <w:rPr>
          <w:rFonts w:ascii="Arial" w:hAnsi="Arial" w:cs="Arial"/>
          <w:sz w:val="22"/>
          <w:szCs w:val="22"/>
        </w:rPr>
        <w:t xml:space="preserve">Beauchamp, T.L. and Childress, J.F. (2019) Principles of biomedical ethics. 8th </w:t>
      </w:r>
      <w:proofErr w:type="spellStart"/>
      <w:r w:rsidRPr="00070696">
        <w:rPr>
          <w:rFonts w:ascii="Arial" w:hAnsi="Arial" w:cs="Arial"/>
          <w:sz w:val="22"/>
          <w:szCs w:val="22"/>
        </w:rPr>
        <w:t>edn</w:t>
      </w:r>
      <w:proofErr w:type="spellEnd"/>
      <w:r w:rsidRPr="00070696">
        <w:rPr>
          <w:rFonts w:ascii="Arial" w:hAnsi="Arial" w:cs="Arial"/>
          <w:sz w:val="22"/>
          <w:szCs w:val="22"/>
        </w:rPr>
        <w:t>. Oxford: Oxford University Press.</w:t>
      </w:r>
    </w:p>
    <w:p w14:paraId="3970529C" w14:textId="77777777" w:rsidR="00070696" w:rsidRPr="00070696" w:rsidRDefault="00070696" w:rsidP="00070696">
      <w:pPr>
        <w:rPr>
          <w:rFonts w:ascii="Arial" w:hAnsi="Arial" w:cs="Arial"/>
          <w:sz w:val="22"/>
          <w:szCs w:val="22"/>
        </w:rPr>
      </w:pPr>
    </w:p>
    <w:p w14:paraId="251E0F4D" w14:textId="77777777" w:rsidR="00070696" w:rsidRPr="00070696" w:rsidRDefault="00070696" w:rsidP="00070696">
      <w:pPr>
        <w:rPr>
          <w:rFonts w:ascii="Arial" w:hAnsi="Arial" w:cs="Arial"/>
          <w:sz w:val="22"/>
          <w:szCs w:val="22"/>
        </w:rPr>
      </w:pPr>
      <w:r w:rsidRPr="00070696">
        <w:rPr>
          <w:rFonts w:ascii="Arial" w:hAnsi="Arial" w:cs="Arial"/>
          <w:sz w:val="22"/>
          <w:szCs w:val="22"/>
        </w:rPr>
        <w:t>Department for Constitutional Affairs (2005) Mental Capacity Act 2005: Code of Practice. London: HMSO.</w:t>
      </w:r>
    </w:p>
    <w:p w14:paraId="0D3DD4A4" w14:textId="77777777" w:rsidR="00070696" w:rsidRPr="00070696" w:rsidRDefault="00070696" w:rsidP="00070696">
      <w:pPr>
        <w:rPr>
          <w:rFonts w:ascii="Arial" w:hAnsi="Arial" w:cs="Arial"/>
          <w:sz w:val="22"/>
          <w:szCs w:val="22"/>
        </w:rPr>
      </w:pPr>
    </w:p>
    <w:p w14:paraId="18135EFD" w14:textId="77777777" w:rsidR="00070696" w:rsidRPr="00070696" w:rsidRDefault="00070696" w:rsidP="00070696">
      <w:pPr>
        <w:rPr>
          <w:rFonts w:ascii="Arial" w:hAnsi="Arial" w:cs="Arial"/>
          <w:sz w:val="22"/>
          <w:szCs w:val="22"/>
        </w:rPr>
      </w:pPr>
      <w:r w:rsidRPr="00070696">
        <w:rPr>
          <w:rFonts w:ascii="Arial" w:hAnsi="Arial" w:cs="Arial"/>
          <w:sz w:val="22"/>
          <w:szCs w:val="22"/>
        </w:rPr>
        <w:t>Department of Health and Social Care (2014) Care Act 2014. London: HMSO.</w:t>
      </w:r>
    </w:p>
    <w:p w14:paraId="3A2FC75C" w14:textId="77777777" w:rsidR="00070696" w:rsidRPr="00070696" w:rsidRDefault="00070696" w:rsidP="00070696">
      <w:pPr>
        <w:rPr>
          <w:rFonts w:ascii="Arial" w:hAnsi="Arial" w:cs="Arial"/>
          <w:sz w:val="22"/>
          <w:szCs w:val="22"/>
        </w:rPr>
      </w:pPr>
    </w:p>
    <w:p w14:paraId="55FFD7C8" w14:textId="77777777" w:rsidR="00070696" w:rsidRPr="00070696" w:rsidRDefault="00070696" w:rsidP="00070696">
      <w:pPr>
        <w:rPr>
          <w:rFonts w:ascii="Arial" w:hAnsi="Arial" w:cs="Arial"/>
          <w:sz w:val="22"/>
          <w:szCs w:val="22"/>
        </w:rPr>
      </w:pPr>
      <w:r w:rsidRPr="00070696">
        <w:rPr>
          <w:rFonts w:ascii="Arial" w:hAnsi="Arial" w:cs="Arial"/>
          <w:sz w:val="22"/>
          <w:szCs w:val="22"/>
        </w:rPr>
        <w:t>Gibbs, G. (1988) Learning by doing: A guide to teaching and learning methods. Oxford: Oxford Polytechnic.</w:t>
      </w:r>
    </w:p>
    <w:p w14:paraId="5305F8CF" w14:textId="77777777" w:rsidR="00070696" w:rsidRPr="00070696" w:rsidRDefault="00070696" w:rsidP="00070696">
      <w:pPr>
        <w:rPr>
          <w:rFonts w:ascii="Arial" w:hAnsi="Arial" w:cs="Arial"/>
          <w:sz w:val="22"/>
          <w:szCs w:val="22"/>
        </w:rPr>
      </w:pPr>
    </w:p>
    <w:p w14:paraId="2726FF48" w14:textId="77777777" w:rsidR="00070696" w:rsidRPr="00070696" w:rsidRDefault="00070696" w:rsidP="00070696">
      <w:pPr>
        <w:rPr>
          <w:rFonts w:ascii="Arial" w:hAnsi="Arial" w:cs="Arial"/>
          <w:sz w:val="22"/>
          <w:szCs w:val="22"/>
        </w:rPr>
      </w:pPr>
      <w:r w:rsidRPr="00070696">
        <w:rPr>
          <w:rFonts w:ascii="Arial" w:hAnsi="Arial" w:cs="Arial"/>
          <w:sz w:val="22"/>
          <w:szCs w:val="22"/>
        </w:rPr>
        <w:t xml:space="preserve">Glasby, J. and Dickinson, H. (2014) Partnership working in health and social care. 2nd </w:t>
      </w:r>
      <w:proofErr w:type="spellStart"/>
      <w:r w:rsidRPr="00070696">
        <w:rPr>
          <w:rFonts w:ascii="Arial" w:hAnsi="Arial" w:cs="Arial"/>
          <w:sz w:val="22"/>
          <w:szCs w:val="22"/>
        </w:rPr>
        <w:t>edn</w:t>
      </w:r>
      <w:proofErr w:type="spellEnd"/>
      <w:r w:rsidRPr="00070696">
        <w:rPr>
          <w:rFonts w:ascii="Arial" w:hAnsi="Arial" w:cs="Arial"/>
          <w:sz w:val="22"/>
          <w:szCs w:val="22"/>
        </w:rPr>
        <w:t>. Bristol: Policy Press.</w:t>
      </w:r>
    </w:p>
    <w:p w14:paraId="1E1C3E15" w14:textId="77777777" w:rsidR="00070696" w:rsidRPr="00070696" w:rsidRDefault="00070696" w:rsidP="00070696">
      <w:pPr>
        <w:rPr>
          <w:rFonts w:ascii="Arial" w:hAnsi="Arial" w:cs="Arial"/>
          <w:sz w:val="22"/>
          <w:szCs w:val="22"/>
        </w:rPr>
      </w:pPr>
    </w:p>
    <w:p w14:paraId="3C8665B3" w14:textId="77777777" w:rsidR="00070696" w:rsidRPr="00070696" w:rsidRDefault="00070696" w:rsidP="00070696">
      <w:pPr>
        <w:rPr>
          <w:rFonts w:ascii="Arial" w:hAnsi="Arial" w:cs="Arial"/>
          <w:sz w:val="22"/>
          <w:szCs w:val="22"/>
        </w:rPr>
      </w:pPr>
      <w:r w:rsidRPr="00070696">
        <w:rPr>
          <w:rFonts w:ascii="Arial" w:hAnsi="Arial" w:cs="Arial"/>
          <w:sz w:val="22"/>
          <w:szCs w:val="22"/>
        </w:rPr>
        <w:t>HM Government (2010) Equality Act 2010. London: The Stationery Office.</w:t>
      </w:r>
    </w:p>
    <w:p w14:paraId="0AF8551A" w14:textId="77777777" w:rsidR="00070696" w:rsidRPr="00070696" w:rsidRDefault="00070696" w:rsidP="00070696">
      <w:pPr>
        <w:rPr>
          <w:rFonts w:ascii="Arial" w:hAnsi="Arial" w:cs="Arial"/>
          <w:sz w:val="22"/>
          <w:szCs w:val="22"/>
        </w:rPr>
      </w:pPr>
    </w:p>
    <w:p w14:paraId="73E58E73" w14:textId="77777777" w:rsidR="00070696" w:rsidRPr="00070696" w:rsidRDefault="00070696" w:rsidP="00070696">
      <w:pPr>
        <w:rPr>
          <w:rFonts w:ascii="Arial" w:hAnsi="Arial" w:cs="Arial"/>
          <w:sz w:val="22"/>
          <w:szCs w:val="22"/>
        </w:rPr>
      </w:pPr>
      <w:proofErr w:type="spellStart"/>
      <w:r w:rsidRPr="00070696">
        <w:rPr>
          <w:rFonts w:ascii="Arial" w:hAnsi="Arial" w:cs="Arial"/>
          <w:sz w:val="22"/>
          <w:szCs w:val="22"/>
        </w:rPr>
        <w:t>Kitwood</w:t>
      </w:r>
      <w:proofErr w:type="spellEnd"/>
      <w:r w:rsidRPr="00070696">
        <w:rPr>
          <w:rFonts w:ascii="Arial" w:hAnsi="Arial" w:cs="Arial"/>
          <w:sz w:val="22"/>
          <w:szCs w:val="22"/>
        </w:rPr>
        <w:t>, T. (1997) Dementia reconsidered: The person comes first. Buckingham: Open University Press.</w:t>
      </w:r>
    </w:p>
    <w:p w14:paraId="4896C0F9" w14:textId="77777777" w:rsidR="00070696" w:rsidRPr="00070696" w:rsidRDefault="00070696" w:rsidP="00070696">
      <w:pPr>
        <w:rPr>
          <w:rFonts w:ascii="Arial" w:hAnsi="Arial" w:cs="Arial"/>
          <w:sz w:val="22"/>
          <w:szCs w:val="22"/>
        </w:rPr>
      </w:pPr>
    </w:p>
    <w:p w14:paraId="5A75D936" w14:textId="77777777" w:rsidR="00070696" w:rsidRPr="00070696" w:rsidRDefault="00070696" w:rsidP="00070696">
      <w:pPr>
        <w:rPr>
          <w:rFonts w:ascii="Arial" w:hAnsi="Arial" w:cs="Arial"/>
          <w:sz w:val="22"/>
          <w:szCs w:val="22"/>
        </w:rPr>
      </w:pPr>
      <w:r w:rsidRPr="00070696">
        <w:rPr>
          <w:rFonts w:ascii="Arial" w:hAnsi="Arial" w:cs="Arial"/>
          <w:sz w:val="22"/>
          <w:szCs w:val="22"/>
        </w:rPr>
        <w:t>NICE (2018) Dementia: Assessment, management and support for people living with dementia and their carers (NG97). London: National Institute for Health and Care Excellence.</w:t>
      </w:r>
    </w:p>
    <w:p w14:paraId="761AD4C4" w14:textId="77777777" w:rsidR="00070696" w:rsidRPr="00070696" w:rsidRDefault="00070696" w:rsidP="00070696">
      <w:pPr>
        <w:rPr>
          <w:rFonts w:ascii="Arial" w:hAnsi="Arial" w:cs="Arial"/>
          <w:sz w:val="22"/>
          <w:szCs w:val="22"/>
        </w:rPr>
      </w:pPr>
    </w:p>
    <w:p w14:paraId="7E614F79" w14:textId="77777777" w:rsidR="00070696" w:rsidRPr="00070696" w:rsidRDefault="00070696" w:rsidP="00070696">
      <w:pPr>
        <w:rPr>
          <w:rFonts w:ascii="Arial" w:hAnsi="Arial" w:cs="Arial"/>
          <w:sz w:val="22"/>
          <w:szCs w:val="22"/>
        </w:rPr>
      </w:pPr>
      <w:r w:rsidRPr="00070696">
        <w:rPr>
          <w:rFonts w:ascii="Arial" w:hAnsi="Arial" w:cs="Arial"/>
          <w:sz w:val="22"/>
          <w:szCs w:val="22"/>
        </w:rPr>
        <w:t>NHS England (2019) The NHS Long Term Plan. London: NHS England.</w:t>
      </w:r>
    </w:p>
    <w:p w14:paraId="7632C0ED" w14:textId="77777777" w:rsidR="00070696" w:rsidRPr="00070696" w:rsidRDefault="00070696" w:rsidP="00070696">
      <w:pPr>
        <w:rPr>
          <w:rFonts w:ascii="Arial" w:hAnsi="Arial" w:cs="Arial"/>
          <w:sz w:val="22"/>
          <w:szCs w:val="22"/>
        </w:rPr>
      </w:pPr>
    </w:p>
    <w:p w14:paraId="49BA7F54" w14:textId="5194CB26" w:rsidR="00070696" w:rsidRPr="00070696" w:rsidRDefault="00070696" w:rsidP="00070696">
      <w:pPr>
        <w:rPr>
          <w:rFonts w:ascii="Arial" w:hAnsi="Arial" w:cs="Arial"/>
          <w:sz w:val="22"/>
          <w:szCs w:val="22"/>
        </w:rPr>
      </w:pPr>
      <w:r w:rsidRPr="00070696">
        <w:rPr>
          <w:rFonts w:ascii="Arial" w:hAnsi="Arial" w:cs="Arial"/>
          <w:sz w:val="22"/>
          <w:szCs w:val="22"/>
        </w:rPr>
        <w:t>NMC (2018) The Code: Professional standards of practice and behaviour for nurses, midwives and nursing associates. London: Nursing and Midwifery Council.</w:t>
      </w:r>
    </w:p>
    <w:p w14:paraId="689C5C7B" w14:textId="5F43C622" w:rsidR="00070696" w:rsidRPr="00070696" w:rsidRDefault="00070696" w:rsidP="00070696">
      <w:pPr>
        <w:pStyle w:val="NoSpacing"/>
        <w:rPr>
          <w:rFonts w:ascii="Arial" w:hAnsi="Arial" w:cs="Arial"/>
          <w:sz w:val="22"/>
          <w:szCs w:val="22"/>
        </w:rPr>
      </w:pPr>
    </w:p>
    <w:sectPr w:rsidR="00070696" w:rsidRPr="0007069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5137C" w14:textId="77777777" w:rsidR="00A34ADA" w:rsidRDefault="00A34ADA" w:rsidP="00070696">
      <w:pPr>
        <w:spacing w:after="0" w:line="240" w:lineRule="auto"/>
      </w:pPr>
      <w:r>
        <w:separator/>
      </w:r>
    </w:p>
  </w:endnote>
  <w:endnote w:type="continuationSeparator" w:id="0">
    <w:p w14:paraId="178BA3B0" w14:textId="77777777" w:rsidR="00A34ADA" w:rsidRDefault="00A34ADA" w:rsidP="00070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925499"/>
      <w:docPartObj>
        <w:docPartGallery w:val="Page Numbers (Bottom of Page)"/>
        <w:docPartUnique/>
      </w:docPartObj>
    </w:sdtPr>
    <w:sdtContent>
      <w:p w14:paraId="098E03E1" w14:textId="779086DC" w:rsidR="00070696" w:rsidRDefault="00070696">
        <w:pPr>
          <w:pStyle w:val="Footer"/>
          <w:jc w:val="center"/>
        </w:pPr>
        <w:r>
          <w:fldChar w:fldCharType="begin"/>
        </w:r>
        <w:r>
          <w:instrText>PAGE   \* MERGEFORMAT</w:instrText>
        </w:r>
        <w:r>
          <w:fldChar w:fldCharType="separate"/>
        </w:r>
        <w:r>
          <w:t>2</w:t>
        </w:r>
        <w:r>
          <w:fldChar w:fldCharType="end"/>
        </w:r>
      </w:p>
    </w:sdtContent>
  </w:sdt>
  <w:p w14:paraId="2B455B49" w14:textId="77777777" w:rsidR="00070696" w:rsidRDefault="00070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CDEB32" w14:textId="77777777" w:rsidR="00A34ADA" w:rsidRDefault="00A34ADA" w:rsidP="00070696">
      <w:pPr>
        <w:spacing w:after="0" w:line="240" w:lineRule="auto"/>
      </w:pPr>
      <w:r>
        <w:separator/>
      </w:r>
    </w:p>
  </w:footnote>
  <w:footnote w:type="continuationSeparator" w:id="0">
    <w:p w14:paraId="7A45A0AB" w14:textId="77777777" w:rsidR="00A34ADA" w:rsidRDefault="00A34ADA" w:rsidP="000706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696"/>
    <w:rsid w:val="00065E2D"/>
    <w:rsid w:val="00070696"/>
    <w:rsid w:val="00071804"/>
    <w:rsid w:val="00366C88"/>
    <w:rsid w:val="005F6AEF"/>
    <w:rsid w:val="007B5A3D"/>
    <w:rsid w:val="008002A6"/>
    <w:rsid w:val="00820DDE"/>
    <w:rsid w:val="00890410"/>
    <w:rsid w:val="008E1BAC"/>
    <w:rsid w:val="009D157C"/>
    <w:rsid w:val="00A34ADA"/>
    <w:rsid w:val="00CE7DAA"/>
    <w:rsid w:val="00CF5AC3"/>
    <w:rsid w:val="00D85D70"/>
    <w:rsid w:val="00E14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03949"/>
  <w15:chartTrackingRefBased/>
  <w15:docId w15:val="{5589493A-CE86-4145-A04E-142280EA3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6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06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6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6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6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6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6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6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6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6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06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6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6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6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6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6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6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696"/>
    <w:rPr>
      <w:rFonts w:eastAsiaTheme="majorEastAsia" w:cstheme="majorBidi"/>
      <w:color w:val="272727" w:themeColor="text1" w:themeTint="D8"/>
    </w:rPr>
  </w:style>
  <w:style w:type="paragraph" w:styleId="Title">
    <w:name w:val="Title"/>
    <w:basedOn w:val="Normal"/>
    <w:next w:val="Normal"/>
    <w:link w:val="TitleChar"/>
    <w:uiPriority w:val="10"/>
    <w:qFormat/>
    <w:rsid w:val="000706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6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6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6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696"/>
    <w:pPr>
      <w:spacing w:before="160"/>
      <w:jc w:val="center"/>
    </w:pPr>
    <w:rPr>
      <w:i/>
      <w:iCs/>
      <w:color w:val="404040" w:themeColor="text1" w:themeTint="BF"/>
    </w:rPr>
  </w:style>
  <w:style w:type="character" w:customStyle="1" w:styleId="QuoteChar">
    <w:name w:val="Quote Char"/>
    <w:basedOn w:val="DefaultParagraphFont"/>
    <w:link w:val="Quote"/>
    <w:uiPriority w:val="29"/>
    <w:rsid w:val="00070696"/>
    <w:rPr>
      <w:i/>
      <w:iCs/>
      <w:color w:val="404040" w:themeColor="text1" w:themeTint="BF"/>
    </w:rPr>
  </w:style>
  <w:style w:type="paragraph" w:styleId="ListParagraph">
    <w:name w:val="List Paragraph"/>
    <w:basedOn w:val="Normal"/>
    <w:uiPriority w:val="34"/>
    <w:qFormat/>
    <w:rsid w:val="00070696"/>
    <w:pPr>
      <w:ind w:left="720"/>
      <w:contextualSpacing/>
    </w:pPr>
  </w:style>
  <w:style w:type="character" w:styleId="IntenseEmphasis">
    <w:name w:val="Intense Emphasis"/>
    <w:basedOn w:val="DefaultParagraphFont"/>
    <w:uiPriority w:val="21"/>
    <w:qFormat/>
    <w:rsid w:val="00070696"/>
    <w:rPr>
      <w:i/>
      <w:iCs/>
      <w:color w:val="0F4761" w:themeColor="accent1" w:themeShade="BF"/>
    </w:rPr>
  </w:style>
  <w:style w:type="paragraph" w:styleId="IntenseQuote">
    <w:name w:val="Intense Quote"/>
    <w:basedOn w:val="Normal"/>
    <w:next w:val="Normal"/>
    <w:link w:val="IntenseQuoteChar"/>
    <w:uiPriority w:val="30"/>
    <w:qFormat/>
    <w:rsid w:val="000706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696"/>
    <w:rPr>
      <w:i/>
      <w:iCs/>
      <w:color w:val="0F4761" w:themeColor="accent1" w:themeShade="BF"/>
    </w:rPr>
  </w:style>
  <w:style w:type="character" w:styleId="IntenseReference">
    <w:name w:val="Intense Reference"/>
    <w:basedOn w:val="DefaultParagraphFont"/>
    <w:uiPriority w:val="32"/>
    <w:qFormat/>
    <w:rsid w:val="00070696"/>
    <w:rPr>
      <w:b/>
      <w:bCs/>
      <w:smallCaps/>
      <w:color w:val="0F4761" w:themeColor="accent1" w:themeShade="BF"/>
      <w:spacing w:val="5"/>
    </w:rPr>
  </w:style>
  <w:style w:type="paragraph" w:styleId="Header">
    <w:name w:val="header"/>
    <w:basedOn w:val="Normal"/>
    <w:link w:val="HeaderChar"/>
    <w:uiPriority w:val="99"/>
    <w:unhideWhenUsed/>
    <w:rsid w:val="000706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696"/>
  </w:style>
  <w:style w:type="paragraph" w:styleId="Footer">
    <w:name w:val="footer"/>
    <w:basedOn w:val="Normal"/>
    <w:link w:val="FooterChar"/>
    <w:uiPriority w:val="99"/>
    <w:unhideWhenUsed/>
    <w:rsid w:val="000706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696"/>
  </w:style>
  <w:style w:type="paragraph" w:styleId="NoSpacing">
    <w:name w:val="No Spacing"/>
    <w:uiPriority w:val="1"/>
    <w:qFormat/>
    <w:rsid w:val="0007069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1" ma:contentTypeDescription="Create a new document." ma:contentTypeScope="" ma:versionID="3cb2d18e71592635197a39eca33aa3bc">
  <xsd:schema xmlns:xsd="http://www.w3.org/2001/XMLSchema" xmlns:xs="http://www.w3.org/2001/XMLSchema" xmlns:p="http://schemas.microsoft.com/office/2006/metadata/properties" xmlns:ns3="ccfc14db-0f45-423b-b2f5-752f8f8a0ada" targetNamespace="http://schemas.microsoft.com/office/2006/metadata/properties" ma:root="true" ma:fieldsID="141cf4f77934fd6fe877cc94efe979c6"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Locatio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DA6D551A-287F-4C32-AA41-61240B9A6D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AA3958-59DB-483F-B19A-7A7BFB2E9C8A}">
  <ds:schemaRefs>
    <ds:schemaRef ds:uri="http://schemas.microsoft.com/sharepoint/v3/contenttype/forms"/>
  </ds:schemaRefs>
</ds:datastoreItem>
</file>

<file path=customXml/itemProps3.xml><?xml version="1.0" encoding="utf-8"?>
<ds:datastoreItem xmlns:ds="http://schemas.openxmlformats.org/officeDocument/2006/customXml" ds:itemID="{42F8FEA6-2A31-415E-AAC2-DBCBBCB1573B}">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7</Pages>
  <Words>2060</Words>
  <Characters>12485</Characters>
  <Application>Microsoft Office Word</Application>
  <DocSecurity>0</DocSecurity>
  <Lines>283</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Semira Abdelkerim Zeinu (2427863)</dc:creator>
  <cp:keywords/>
  <dc:description/>
  <cp:lastModifiedBy>Semira Abdelkerim Zeinu (2427863)</cp:lastModifiedBy>
  <cp:revision>13</cp:revision>
  <dcterms:created xsi:type="dcterms:W3CDTF">2026-02-26T10:04:00Z</dcterms:created>
  <dcterms:modified xsi:type="dcterms:W3CDTF">2026-03-02T02:12:00Z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