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image/x-emf" Extension="em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hd w:fill="auto" w:val="clear"/>
        <w:spacing w:after="158" w:line="259" w:lineRule="auto"/>
        <w:ind w:left="49" w:firstLine="0"/>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2">
      <w:pPr>
        <w:shd w:fill="auto" w:val="clear"/>
        <w:spacing w:after="160" w:line="259" w:lineRule="auto"/>
        <w:ind w:left="49"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3">
      <w:pPr>
        <w:shd w:fill="auto" w:val="clear"/>
        <w:spacing w:after="158" w:line="259" w:lineRule="auto"/>
        <w:ind w:left="49" w:firstLine="0"/>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1980000" cy="8244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1980000" cy="824400"/>
                    </a:xfrm>
                    <a:prstGeom prst="rect"/>
                    <a:ln/>
                  </pic:spPr>
                </pic:pic>
              </a:graphicData>
            </a:graphic>
          </wp:inline>
        </w:drawing>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4">
      <w:pPr>
        <w:shd w:fill="auto" w:val="clear"/>
        <w:spacing w:after="160" w:line="259" w:lineRule="auto"/>
        <w:ind w:left="49"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INTEGRATED CARE MODELS FOR OLDER ADULTS WITH MULTIMORBIDITY AND FRAILTY IN THE UK: A SYSTEMATIC LITERATURE REVIEW</w:t>
      </w:r>
    </w:p>
    <w:p w:rsidR="00000000" w:rsidDel="00000000" w:rsidP="00000000" w:rsidRDefault="00000000" w:rsidRPr="00000000" w14:paraId="00000005">
      <w:pPr>
        <w:shd w:fill="auto" w:val="clear"/>
        <w:spacing w:after="160" w:line="259" w:lineRule="auto"/>
        <w:ind w:left="49"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shd w:fill="auto" w:val="clear"/>
        <w:spacing w:after="287" w:line="259" w:lineRule="auto"/>
        <w:ind w:left="49"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shd w:fill="auto" w:val="clear"/>
        <w:spacing w:after="42" w:line="259" w:lineRule="auto"/>
        <w:ind w:left="89" w:firstLine="0"/>
        <w:jc w:val="center"/>
        <w:rPr>
          <w:rFonts w:ascii="Arial" w:cs="Arial" w:eastAsia="Arial" w:hAnsi="Arial"/>
          <w:sz w:val="22"/>
          <w:szCs w:val="22"/>
        </w:rPr>
      </w:pPr>
      <w:r w:rsidDel="00000000" w:rsidR="00000000" w:rsidRPr="00000000">
        <w:rPr>
          <w:rFonts w:ascii="Arial" w:cs="Arial" w:eastAsia="Arial" w:hAnsi="Arial"/>
          <w:sz w:val="36"/>
          <w:szCs w:val="36"/>
          <w:rtl w:val="0"/>
        </w:rPr>
        <w:t xml:space="preserve"> </w:t>
      </w:r>
      <w:r w:rsidDel="00000000" w:rsidR="00000000" w:rsidRPr="00000000">
        <w:rPr>
          <w:rtl w:val="0"/>
        </w:rPr>
      </w:r>
    </w:p>
    <w:p w:rsidR="00000000" w:rsidDel="00000000" w:rsidP="00000000" w:rsidRDefault="00000000" w:rsidRPr="00000000" w14:paraId="00000008">
      <w:pPr>
        <w:shd w:fill="auto" w:val="clear"/>
        <w:spacing w:after="157" w:line="259" w:lineRule="auto"/>
        <w:ind w:left="2367" w:right="2358"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by </w:t>
      </w:r>
    </w:p>
    <w:p w:rsidR="00000000" w:rsidDel="00000000" w:rsidP="00000000" w:rsidRDefault="00000000" w:rsidRPr="00000000" w14:paraId="00000009">
      <w:pPr>
        <w:shd w:fill="auto" w:val="clear"/>
        <w:spacing w:after="158" w:line="259" w:lineRule="auto"/>
        <w:ind w:left="59"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A">
      <w:pPr>
        <w:shd w:fill="auto" w:val="clear"/>
        <w:spacing w:after="157" w:line="259" w:lineRule="auto"/>
        <w:ind w:left="2367" w:right="2359"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Salomiben Rasikbhai Khristi </w:t>
      </w:r>
    </w:p>
    <w:p w:rsidR="00000000" w:rsidDel="00000000" w:rsidP="00000000" w:rsidRDefault="00000000" w:rsidRPr="00000000" w14:paraId="0000000B">
      <w:pPr>
        <w:shd w:fill="auto" w:val="clear"/>
        <w:spacing w:after="158" w:line="259" w:lineRule="auto"/>
        <w:ind w:left="59"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C">
      <w:pPr>
        <w:shd w:fill="auto" w:val="clear"/>
        <w:spacing w:after="156" w:line="259" w:lineRule="auto"/>
        <w:ind w:left="59"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D">
      <w:pPr>
        <w:shd w:fill="auto" w:val="clear"/>
        <w:spacing w:after="158" w:line="259" w:lineRule="auto"/>
        <w:ind w:left="59"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E">
      <w:pPr>
        <w:shd w:fill="auto" w:val="clear"/>
        <w:spacing w:after="158" w:line="259" w:lineRule="auto"/>
        <w:ind w:left="59"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F">
      <w:pPr>
        <w:shd w:fill="auto" w:val="clear"/>
        <w:spacing w:after="158" w:line="259" w:lineRule="auto"/>
        <w:ind w:left="59"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10">
      <w:pPr>
        <w:shd w:fill="auto" w:val="clear"/>
        <w:spacing w:after="156" w:line="259" w:lineRule="auto"/>
        <w:ind w:left="59" w:firstLine="0"/>
        <w:jc w:val="center"/>
        <w:rPr>
          <w:rFonts w:ascii="Arial" w:cs="Arial" w:eastAsia="Arial" w:hAnsi="Arial"/>
        </w:rPr>
      </w:pPr>
      <w:r w:rsidDel="00000000" w:rsidR="00000000" w:rsidRPr="00000000">
        <w:rPr>
          <w:rFonts w:ascii="Arial" w:cs="Arial" w:eastAsia="Arial" w:hAnsi="Arial"/>
          <w:rtl w:val="0"/>
        </w:rPr>
        <w:t xml:space="preserve">A Dissertation submitted in partial fulfilment of the requirements for the degree of Masters of Science in Public Health and Social Care in Practice</w:t>
      </w:r>
    </w:p>
    <w:p w:rsidR="00000000" w:rsidDel="00000000" w:rsidP="00000000" w:rsidRDefault="00000000" w:rsidRPr="00000000" w14:paraId="00000011">
      <w:pPr>
        <w:shd w:fill="auto" w:val="clear"/>
        <w:spacing w:after="156" w:line="259" w:lineRule="auto"/>
        <w:ind w:left="59"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hd w:fill="auto" w:val="clear"/>
        <w:spacing w:after="169" w:line="259"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3">
      <w:pPr>
        <w:shd w:fill="auto" w:val="clear"/>
        <w:spacing w:after="169" w:line="259"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4">
      <w:pPr>
        <w:shd w:fill="auto" w:val="clear"/>
        <w:spacing w:after="169" w:line="259"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The Institute of Inner-City Learning</w:t>
      </w:r>
    </w:p>
    <w:p w:rsidR="00000000" w:rsidDel="00000000" w:rsidP="00000000" w:rsidRDefault="00000000" w:rsidRPr="00000000" w14:paraId="00000015">
      <w:pPr>
        <w:shd w:fill="auto" w:val="clear"/>
        <w:spacing w:after="169" w:line="259"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University of Wales Trinity Saint David – London Campus</w:t>
      </w:r>
    </w:p>
    <w:p w:rsidR="00000000" w:rsidDel="00000000" w:rsidP="00000000" w:rsidRDefault="00000000" w:rsidRPr="00000000" w14:paraId="00000016">
      <w:pPr>
        <w:shd w:fill="auto" w:val="clear"/>
        <w:spacing w:after="157" w:line="259" w:lineRule="auto"/>
        <w:ind w:left="2367" w:right="2357" w:firstLine="0"/>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17">
      <w:pPr>
        <w:shd w:fill="auto" w:val="clear"/>
        <w:spacing w:after="157" w:line="259" w:lineRule="auto"/>
        <w:ind w:left="2367" w:right="2357" w:firstLine="0"/>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18">
      <w:pPr>
        <w:shd w:fill="auto" w:val="clear"/>
        <w:spacing w:after="157" w:line="259" w:lineRule="auto"/>
        <w:ind w:left="2367" w:right="2357" w:firstLine="0"/>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19">
      <w:pPr>
        <w:shd w:fill="auto" w:val="clear"/>
        <w:spacing w:after="160" w:line="259" w:lineRule="auto"/>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A">
      <w:pPr>
        <w:spacing w:after="200" w:line="276"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DECLARATION</w:t>
      </w:r>
    </w:p>
    <w:p w:rsidR="00000000" w:rsidDel="00000000" w:rsidP="00000000" w:rsidRDefault="00000000" w:rsidRPr="00000000" w14:paraId="0000001B">
      <w:pPr>
        <w:spacing w:after="200" w:line="276"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1C">
      <w:pPr>
        <w:spacing w:after="200" w:line="276" w:lineRule="auto"/>
        <w:rPr>
          <w:rFonts w:ascii="Arial" w:cs="Arial" w:eastAsia="Arial" w:hAnsi="Arial"/>
          <w:color w:val="000000"/>
        </w:rPr>
      </w:pPr>
      <w:r w:rsidDel="00000000" w:rsidR="00000000" w:rsidRPr="00000000">
        <w:rPr>
          <w:rFonts w:ascii="Arial" w:cs="Arial" w:eastAsia="Arial" w:hAnsi="Arial"/>
          <w:color w:val="000000"/>
          <w:rtl w:val="0"/>
        </w:rPr>
        <w:t xml:space="preserve">I, Salomi Khristi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Del="00000000" w:rsidR="00000000" w:rsidRPr="00000000">
        <w:pict>
          <v:shape id="对象 4" style="position:absolute;margin-left:-127.85pt;margin-top:18.55pt;width:1.45pt;height:1.45pt;z-index:251659264;visibility:visible;mso-wrap-style:square;mso-wrap-distance-left:9pt;mso-wrap-distance-top:0;mso-wrap-distance-right:9pt;mso-wrap-distance-bottom:0;mso-position-horizontal:absolute;mso-position-horizontal-relative:margin;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">
            <o:lock v:ext="edit" selection="t"/>
          </v:shape>
        </w:pict>
      </w:r>
      <w:r w:rsidDel="00000000" w:rsidR="00000000" w:rsidRPr="00000000">
        <w:pict>
          <v:shape id="对象 5" style="position:absolute;margin-left:-146.6999212598425pt;margin-top:18.649921259842518pt;width:37.7pt;height:2.6pt;z-index:251660288;visibility:visible;mso-wrap-style:square;mso-wrap-distance-left:9pt;mso-wrap-distance-top:0;mso-wrap-distance-right:9pt;mso-wrap-distance-bottom:0;mso-position-horizontal:absolute;mso-position-horizontal-relative:margin;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">
            <v:imagedata r:id="rId1" o:title=""/>
            <o:lock v:ext="edit" selection="t"/>
          </v:shape>
        </w:pict>
      </w:r>
      <w:r w:rsidDel="00000000" w:rsidR="00000000" w:rsidRPr="00000000">
        <w:pict>
          <v:shape id="对象 6" style="position:absolute;margin-left:-127.85pt;margin-top:19.35pt;width:1.45pt;height:1.45pt;z-index:251661312;visibility:visible;mso-wrap-style:square;mso-wrap-distance-left:9pt;mso-wrap-distance-top:0;mso-wrap-distance-right:9pt;mso-wrap-distance-bottom:0;mso-position-horizontal:absolute;mso-position-horizontal-relative:margin;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">
            <o:lock v:ext="edit" selection="t"/>
          </v:shape>
        </w:pict>
      </w:r>
      <w:r w:rsidDel="00000000" w:rsidR="00000000" w:rsidRPr="00000000">
        <w:pict>
          <v:shape id="对象 7" style="position:absolute;margin-left:-152.4pt;margin-top:19.2pt;width:1.45pt;height:1.45pt;z-index:251662336;visibility:visible;mso-wrap-style:square;mso-wrap-distance-left:9pt;mso-wrap-distance-top:0;mso-wrap-distance-right:9pt;mso-wrap-distance-bottom:0;mso-position-horizontal:absolute;mso-position-horizontal-relative:margin;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">
            <o:lock v:ext="edit" selection="t"/>
          </v:shape>
        </w:pict>
      </w:r>
    </w:p>
    <w:p w:rsidR="00000000" w:rsidDel="00000000" w:rsidP="00000000" w:rsidRDefault="00000000" w:rsidRPr="00000000" w14:paraId="0000001D">
      <w:pPr>
        <w:spacing w:after="200" w:line="276"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1E">
      <w:pPr>
        <w:spacing w:after="200" w:line="276"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1F">
      <w:pPr>
        <w:spacing w:after="200" w:line="276" w:lineRule="auto"/>
        <w:rPr>
          <w:rFonts w:ascii="Arial" w:cs="Arial" w:eastAsia="Arial" w:hAnsi="Arial"/>
          <w:color w:val="000000"/>
        </w:rPr>
      </w:pPr>
      <w:r w:rsidDel="00000000" w:rsidR="00000000" w:rsidRPr="00000000">
        <w:rPr>
          <w:rFonts w:ascii="Arial" w:cs="Arial" w:eastAsia="Arial" w:hAnsi="Arial"/>
          <w:color w:val="000000"/>
          <w:rtl w:val="0"/>
        </w:rPr>
        <w:t xml:space="preserve">Signed: ……S.R.Khristi ……………………………………</w:t>
      </w:r>
    </w:p>
    <w:p w:rsidR="00000000" w:rsidDel="00000000" w:rsidP="00000000" w:rsidRDefault="00000000" w:rsidRPr="00000000" w14:paraId="00000020">
      <w:pPr>
        <w:spacing w:after="200" w:line="276"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21">
      <w:pPr>
        <w:spacing w:after="200" w:line="276" w:lineRule="auto"/>
        <w:rPr>
          <w:rFonts w:ascii="Arial" w:cs="Arial" w:eastAsia="Arial" w:hAnsi="Arial"/>
          <w:color w:val="000000"/>
        </w:rPr>
      </w:pPr>
      <w:r w:rsidDel="00000000" w:rsidR="00000000" w:rsidRPr="00000000">
        <w:rPr>
          <w:rFonts w:ascii="Arial" w:cs="Arial" w:eastAsia="Arial" w:hAnsi="Arial"/>
          <w:color w:val="000000"/>
          <w:rtl w:val="0"/>
        </w:rPr>
        <w:t xml:space="preserve">Date:...……24/09/2026…………………………………………</w:t>
      </w:r>
    </w:p>
    <w:p w:rsidR="00000000" w:rsidDel="00000000" w:rsidP="00000000" w:rsidRDefault="00000000" w:rsidRPr="00000000" w14:paraId="00000022">
      <w:pPr>
        <w:rPr>
          <w:rFonts w:ascii="Arial" w:cs="Arial" w:eastAsia="Arial" w:hAnsi="Arial"/>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3">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24">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25">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26">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bCs w:val="1"/>
          <w:color w:val="000000"/>
          <w:sz w:val="32"/>
          <w:szCs w:val="32"/>
        </w:rPr>
      </w:pPr>
      <w:r w:rsidDel="00000000" w:rsidR="00000000" w:rsidRPr="00000000">
        <w:rPr>
          <w:rFonts w:ascii="Arial" w:cs="Arial" w:eastAsia="Arial" w:hAnsi="Arial"/>
          <w:b w:val="1"/>
          <w:bCs w:val="1"/>
          <w:color w:val="000000"/>
          <w:sz w:val="32"/>
          <w:szCs w:val="32"/>
          <w:rtl w:val="0"/>
        </w:rPr>
        <w:t xml:space="preserve">Student Name : Salomiben Rasikbhai Khristi </w:t>
      </w:r>
    </w:p>
    <w:p w:rsidR="00000000" w:rsidDel="00000000" w:rsidP="00000000" w:rsidRDefault="00000000" w:rsidRPr="00000000" w14:paraId="00000028">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bCs w:val="1"/>
          <w:color w:val="000000"/>
          <w:sz w:val="32"/>
          <w:szCs w:val="32"/>
        </w:rPr>
      </w:pPr>
      <w:r w:rsidDel="00000000" w:rsidR="00000000" w:rsidRPr="00000000">
        <w:rPr>
          <w:rFonts w:ascii="Arial" w:cs="Arial" w:eastAsia="Arial" w:hAnsi="Arial"/>
          <w:b w:val="1"/>
          <w:bCs w:val="1"/>
          <w:color w:val="000000"/>
          <w:sz w:val="32"/>
          <w:szCs w:val="32"/>
          <w:rtl w:val="0"/>
        </w:rPr>
        <w:t xml:space="preserve">Student ID: 2433236</w:t>
      </w:r>
    </w:p>
    <w:p w:rsidR="00000000" w:rsidDel="00000000" w:rsidP="00000000" w:rsidRDefault="00000000" w:rsidRPr="00000000" w14:paraId="0000002A">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2B">
      <w:pPr>
        <w:jc w:val="center"/>
        <w:rPr>
          <w:rFonts w:ascii="Arial" w:cs="Arial" w:eastAsia="Arial" w:hAnsi="Arial"/>
          <w:b w:val="1"/>
          <w:bCs w:val="1"/>
          <w:color w:val="000000"/>
          <w:sz w:val="32"/>
          <w:szCs w:val="32"/>
        </w:rPr>
      </w:pPr>
      <w:r w:rsidDel="00000000" w:rsidR="00000000" w:rsidRPr="00000000">
        <w:rPr>
          <w:rFonts w:ascii="Arial" w:cs="Arial" w:eastAsia="Arial" w:hAnsi="Arial"/>
          <w:b w:val="1"/>
          <w:bCs w:val="1"/>
          <w:color w:val="000000"/>
          <w:sz w:val="32"/>
          <w:szCs w:val="32"/>
          <w:rtl w:val="0"/>
        </w:rPr>
        <w:t xml:space="preserve">Course Name: MSc in Public Health and Social Care Practice </w:t>
      </w:r>
    </w:p>
    <w:p w:rsidR="00000000" w:rsidDel="00000000" w:rsidP="00000000" w:rsidRDefault="00000000" w:rsidRPr="00000000" w14:paraId="0000002C">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2D">
      <w:pPr>
        <w:jc w:val="center"/>
        <w:rPr>
          <w:rFonts w:ascii="Arial" w:cs="Arial" w:eastAsia="Arial" w:hAnsi="Arial"/>
          <w:b w:val="1"/>
          <w:bCs w:val="1"/>
          <w:color w:val="000000"/>
          <w:sz w:val="32"/>
          <w:szCs w:val="32"/>
        </w:rPr>
      </w:pPr>
      <w:r w:rsidDel="00000000" w:rsidR="00000000" w:rsidRPr="00000000">
        <w:rPr>
          <w:rFonts w:ascii="Arial" w:cs="Arial" w:eastAsia="Arial" w:hAnsi="Arial"/>
          <w:b w:val="1"/>
          <w:bCs w:val="1"/>
          <w:color w:val="000000"/>
          <w:sz w:val="32"/>
          <w:szCs w:val="32"/>
          <w:rtl w:val="0"/>
        </w:rPr>
        <w:t xml:space="preserve">Module Name: Public Health and Social Care Dissertation</w:t>
      </w:r>
    </w:p>
    <w:p w:rsidR="00000000" w:rsidDel="00000000" w:rsidP="00000000" w:rsidRDefault="00000000" w:rsidRPr="00000000" w14:paraId="0000002E">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2F">
      <w:pPr>
        <w:jc w:val="center"/>
        <w:rPr>
          <w:rFonts w:ascii="Arial" w:cs="Arial" w:eastAsia="Arial" w:hAnsi="Arial"/>
          <w:b w:val="1"/>
          <w:bCs w:val="1"/>
          <w:color w:val="000000"/>
          <w:sz w:val="32"/>
          <w:szCs w:val="32"/>
        </w:rPr>
      </w:pPr>
      <w:r w:rsidDel="00000000" w:rsidR="00000000" w:rsidRPr="00000000">
        <w:rPr>
          <w:rFonts w:ascii="Arial" w:cs="Arial" w:eastAsia="Arial" w:hAnsi="Arial"/>
          <w:b w:val="1"/>
          <w:bCs w:val="1"/>
          <w:color w:val="000000"/>
          <w:sz w:val="32"/>
          <w:szCs w:val="32"/>
          <w:rtl w:val="0"/>
        </w:rPr>
        <w:t xml:space="preserve">Supervisor Name : Odette Jack</w:t>
      </w:r>
    </w:p>
    <w:p w:rsidR="00000000" w:rsidDel="00000000" w:rsidP="00000000" w:rsidRDefault="00000000" w:rsidRPr="00000000" w14:paraId="00000030">
      <w:pPr>
        <w:jc w:val="center"/>
        <w:rPr>
          <w:rFonts w:ascii="Arial" w:cs="Arial" w:eastAsia="Arial" w:hAnsi="Arial"/>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1">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32">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33">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34">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35">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36">
      <w:pPr>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37">
      <w:pPr>
        <w:jc w:val="center"/>
        <w:rPr>
          <w:rFonts w:ascii="Arial" w:cs="Arial" w:eastAsia="Arial" w:hAnsi="Arial"/>
          <w:b w:val="1"/>
          <w:bCs w:val="1"/>
          <w:color w:val="000000"/>
          <w:sz w:val="28"/>
          <w:szCs w:val="28"/>
        </w:rPr>
      </w:pPr>
      <w:r w:rsidDel="00000000" w:rsidR="00000000" w:rsidRPr="00000000">
        <w:rPr>
          <w:rFonts w:ascii="Arial" w:cs="Arial" w:eastAsia="Arial" w:hAnsi="Arial"/>
          <w:b w:val="1"/>
          <w:bCs w:val="1"/>
          <w:color w:val="000000"/>
          <w:sz w:val="28"/>
          <w:szCs w:val="28"/>
          <w:rtl w:val="0"/>
        </w:rPr>
        <w:t xml:space="preserve">INTEGRATED CARE MODELS FOR OLDER ADULTS WITH MULTIMORBIDITY AND FRAILTY IN THE UK: A SYSTEMATIC LITERATURE REVIEW</w:t>
      </w:r>
    </w:p>
    <w:p w:rsidR="00000000" w:rsidDel="00000000" w:rsidP="00000000" w:rsidRDefault="00000000" w:rsidRPr="00000000" w14:paraId="00000038">
      <w:pPr>
        <w:rPr>
          <w:rFonts w:ascii="Arial" w:cs="Arial" w:eastAsia="Arial" w:hAnsi="Arial"/>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9">
      <w:pPr>
        <w:jc w:val="center"/>
        <w:rPr>
          <w:rFonts w:ascii="Arial" w:cs="Arial" w:eastAsia="Arial" w:hAnsi="Arial"/>
          <w:b w:val="1"/>
          <w:bCs w:val="1"/>
          <w:color w:val="000000"/>
          <w:sz w:val="28"/>
          <w:szCs w:val="28"/>
        </w:rPr>
      </w:pPr>
      <w:r w:rsidDel="00000000" w:rsidR="00000000" w:rsidRPr="00000000">
        <w:rPr>
          <w:rFonts w:ascii="Arial" w:cs="Arial" w:eastAsia="Arial" w:hAnsi="Arial"/>
          <w:b w:val="1"/>
          <w:bCs w:val="1"/>
          <w:color w:val="000000"/>
          <w:sz w:val="28"/>
          <w:szCs w:val="28"/>
          <w:rtl w:val="0"/>
        </w:rPr>
        <w:t xml:space="preserve">Acknowledgement </w:t>
      </w:r>
    </w:p>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I want to sincerely thank my supervisor for all of their helpful advice, helpful criticism, and unwavering support during this research. I am also appreciative of my institution for providing the facilities and academic resources needed to finish my program. I am grateful to the scholars whose published papers served as the foundation for our thorough literature evaluation. Lastly, I want to express my gratitude to my family and friends for their support, encouragement, and tolerance during the research process. </w:t>
      </w:r>
      <w:r w:rsidDel="00000000" w:rsidR="00000000" w:rsidRPr="00000000">
        <w:br w:type="page"/>
      </w:r>
      <w:r w:rsidDel="00000000" w:rsidR="00000000" w:rsidRPr="00000000">
        <w:rPr>
          <w:rtl w:val="0"/>
        </w:rPr>
      </w:r>
    </w:p>
    <w:p w:rsidR="00000000" w:rsidDel="00000000" w:rsidP="00000000" w:rsidRDefault="00000000" w:rsidRPr="00000000" w14:paraId="0000003B">
      <w:pPr>
        <w:jc w:val="center"/>
        <w:rPr>
          <w:rFonts w:ascii="Arial" w:cs="Arial" w:eastAsia="Arial" w:hAnsi="Arial"/>
          <w:b w:val="1"/>
          <w:bCs w:val="1"/>
          <w:color w:val="000000"/>
          <w:sz w:val="28"/>
          <w:szCs w:val="28"/>
        </w:rPr>
      </w:pPr>
      <w:r w:rsidDel="00000000" w:rsidR="00000000" w:rsidRPr="00000000">
        <w:rPr>
          <w:rFonts w:ascii="Arial" w:cs="Arial" w:eastAsia="Arial" w:hAnsi="Arial"/>
          <w:b w:val="1"/>
          <w:bCs w:val="1"/>
          <w:color w:val="000000"/>
          <w:sz w:val="28"/>
          <w:szCs w:val="28"/>
          <w:rtl w:val="0"/>
        </w:rPr>
        <w:t xml:space="preserve">Abstract</w:t>
      </w:r>
    </w:p>
    <w:p w:rsidR="00000000" w:rsidDel="00000000" w:rsidP="00000000" w:rsidRDefault="00000000" w:rsidRPr="00000000" w14:paraId="0000003C">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research is giving supporting decision-making for the future organisation of services for the ageing population. Systematic literature review identifies evidence for the integrated care model for older adults who are living with multimorbidity and frailty in the UK. Integrated care models have achieved increasing importance within the UK health policy and service delivery. Therefore, the research is rational for identifying the existing integrated care model in the UK and critical synthesizing of the evidence concerning its effectiveness, outcomes, and implementation challenges.  </w:t>
      </w:r>
    </w:p>
    <w:p w:rsidR="00000000" w:rsidDel="00000000" w:rsidP="00000000" w:rsidRDefault="00000000" w:rsidRPr="00000000" w14:paraId="0000003D">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literature review examines integrated care models through their components, implementation across UK settings, and effects on clinical, functional, service and cost-related outcomes. It also takes into account organisational, workforce, patient and system level barriers and enablers. The review is based on the Social Ecological Model to gain insight into the influence of individual, interpersonal, organisational, community and policy factors on integrated care for older people.</w:t>
      </w:r>
    </w:p>
    <w:p w:rsidR="00000000" w:rsidDel="00000000" w:rsidP="00000000" w:rsidRDefault="00000000" w:rsidRPr="00000000" w14:paraId="0000003E">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For data collection PubMed was selected as a database because it provides extensive coverage of biomedical, healthcare, and clinical research which is justified for integrated care. After the database search, the PRISMA 2020 guideline was followed for the selection of the studies. CASP checklist was used for critical appraisal. </w:t>
      </w:r>
    </w:p>
    <w:p w:rsidR="00000000" w:rsidDel="00000000" w:rsidP="00000000" w:rsidRDefault="00000000" w:rsidRPr="00000000" w14:paraId="0000003F">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findings chapter represents the thematic findings of the systematic literature review. 6 themes were identified regarding integrated care approaches, patient-centred coordination, and health outcome implementation factors, which include personalized care and digital outcomes for older adults with frailty and multimorbidity. Overall, the chapter indicates that integrated care can improve coordination quality and experience, but it depends on appropriate design, implementation, and individual requirements. </w:t>
      </w:r>
    </w:p>
    <w:p w:rsidR="00000000" w:rsidDel="00000000" w:rsidP="00000000" w:rsidRDefault="00000000" w:rsidRPr="00000000" w14:paraId="00000040">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discussion interprets these findings through the Social Ecological Model, showing that care experience and functional wellbeing improve, though hospital use does not. The study concludes that effectiveness depends on local implementation conditions, and recommends closer alignment between policy, workforce capacity, and digital support.</w:t>
      </w:r>
    </w:p>
    <w:p w:rsidR="00000000" w:rsidDel="00000000" w:rsidP="00000000" w:rsidRDefault="00000000" w:rsidRPr="00000000" w14:paraId="00000041">
      <w:pPr>
        <w:rPr>
          <w:rFonts w:ascii="Arial" w:cs="Arial" w:eastAsia="Arial" w:hAnsi="Arial"/>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2">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259" w:lineRule="auto"/>
        <w:ind w:left="0" w:right="0" w:firstLine="0"/>
        <w:jc w:val="center"/>
        <w:rPr>
          <w:rFonts w:ascii="Calibri" w:cs="Calibri" w:eastAsia="Calibri" w:hAnsi="Calibri"/>
          <w:b w:val="1"/>
          <w:bCs w:val="1"/>
          <w:i w:val="0"/>
          <w:iCs w:val="0"/>
          <w:smallCaps w:val="0"/>
          <w:strike w:val="0"/>
          <w:color w:val="366091"/>
          <w:sz w:val="32"/>
          <w:szCs w:val="32"/>
          <w:u w:val="none"/>
          <w:shd w:fill="auto" w:val="clear"/>
          <w:vertAlign w:val="baseline"/>
        </w:rPr>
      </w:pPr>
      <w:r w:rsidDel="00000000" w:rsidR="00000000" w:rsidRPr="00000000">
        <w:rPr>
          <w:rFonts w:ascii="Calibri" w:cs="Calibri" w:eastAsia="Calibri" w:hAnsi="Calibri"/>
          <w:b w:val="1"/>
          <w:bCs w:val="1"/>
          <w:i w:val="0"/>
          <w:iCs w:val="0"/>
          <w:smallCaps w:val="0"/>
          <w:strike w:val="0"/>
          <w:color w:val="366091"/>
          <w:sz w:val="32"/>
          <w:szCs w:val="32"/>
          <w:u w:val="none"/>
          <w:shd w:fill="auto" w:val="clear"/>
          <w:vertAlign w:val="baseline"/>
          <w:rtl w:val="0"/>
        </w:rPr>
        <w:t xml:space="preserve">Table of Contents</w:t>
      </w:r>
    </w:p>
    <w:sdt>
      <w:sdtPr>
        <w:id w:val="-54726442"/>
        <w:docPartObj>
          <w:docPartGallery w:val="Table of Contents"/>
          <w:docPartUnique w:val="1"/>
        </w:docPartObj>
      </w:sdtPr>
      <w:sdtContent>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okmhsl2ly6k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Chapter 1: Introduction</w:t>
              <w:tab/>
              <w:t xml:space="preserve">12</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tqjxzwzuw0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 Introduction</w:t>
              <w:tab/>
              <w:t xml:space="preserve">12</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c5u2mokypp9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 Background</w:t>
              <w:tab/>
              <w:t xml:space="preserve">12</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ca7ni62slxp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1.3 Statement of the Problem</w:t>
              <w:tab/>
              <w:t xml:space="preserve">14</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bizcv6k47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1.4 Rationale of Research</w:t>
              <w:tab/>
              <w:t xml:space="preserve">14</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1scihs9lee4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1.5 Research Question</w:t>
              <w:tab/>
              <w:t xml:space="preserve">16</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46uaht91c2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1.6 Research Aim</w:t>
              <w:tab/>
              <w:t xml:space="preserve">16</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uk5c1tmcdt6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1.7 Research Objectives</w:t>
              <w:tab/>
              <w:t xml:space="preserve">16</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ly7bto0ivk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1.8 Dissertation outline</w:t>
              <w:tab/>
              <w:t xml:space="preserve">17</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jbvxg3tilmi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1.9 Summary of Chapter</w:t>
              <w:tab/>
              <w:t xml:space="preserve">17</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o84hrnoexvl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Chapter 2: Literature Review</w:t>
              <w:tab/>
              <w:t xml:space="preserve">18</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ipaatnunmhh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Chapter Introduction</w:t>
              <w:tab/>
              <w:t xml:space="preserve">18</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ijab2iamudy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Models of Integrated Care for Older Adults with Multimorbidity and Frailty</w:t>
              <w:tab/>
              <w:t xml:space="preserve">18</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my02r1e3y9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2.2.1 Types and Components of Integrated Care Models Used in the UK</w:t>
              <w:tab/>
              <w:t xml:space="preserve">18</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1lboytrqi4y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2.2.2 Variation in Implementation Across Settings and Populations</w:t>
              <w:tab/>
              <w:t xml:space="preserve">19</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a1s1qbh2m5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Effectiveness of Integrated Care Models on Health and Care Outcomes</w:t>
              <w:tab/>
              <w:t xml:space="preserve">20</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myc1ranjy7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2.3.1 Clinical and Functional Outcomes</w:t>
              <w:tab/>
              <w:t xml:space="preserve">20</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ud7v4oteqb8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2.3.2 Service-Level and Cost-Related Outcomes</w:t>
              <w:tab/>
              <w:t xml:space="preserve">21</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bkihu32ck7j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Facilitators and Barriers to Implementation</w:t>
              <w:tab/>
              <w:t xml:space="preserve">23</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ihldojsiso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2.4.1 Organisational and Workforce Facilitators/Barriers</w:t>
              <w:tab/>
              <w:t xml:space="preserve">23</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gf85cymnfo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2.4.2 Patient-Level and System-Level Facilitators/Barriers</w:t>
              <w:tab/>
              <w:t xml:space="preserve">24</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7q8wdp1cgbh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 Person-Centred and Multidisciplinary Approaches in Integrated Care</w:t>
              <w:tab/>
              <w:t xml:space="preserve">25</w:t>
            </w:r>
          </w:hyperlink>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zxlgi7fusu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2.5.1 Multidisciplinary Team Working and Care Coordination</w:t>
              <w:tab/>
              <w:t xml:space="preserve">25</w:t>
            </w:r>
          </w:hyperlink>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xzfezlp3qp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2.5.2 Person-Centred Planning and Patient/Carer Involvement</w:t>
              <w:tab/>
              <w:t xml:space="preserve">26</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kaxrdp29lg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2.6 Theoretical Framework</w:t>
              <w:tab/>
              <w:t xml:space="preserve">27</w:t>
            </w:r>
          </w:hyperlink>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wt4ssz8y9ei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2.7 Conceptual Framework</w:t>
              <w:tab/>
              <w:t xml:space="preserve">28</w:t>
            </w:r>
          </w:hyperlink>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5apzpm2iov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2.8 Literature Gap</w:t>
              <w:tab/>
              <w:t xml:space="preserve">28</w:t>
            </w:r>
          </w:hyperlink>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don749ggaon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2.8 Chapter Summary</w:t>
              <w:tab/>
              <w:t xml:space="preserve">29</w:t>
            </w:r>
          </w:hyperlink>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dz1emudn2g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Chapter 3: Methodology</w:t>
              <w:tab/>
              <w:t xml:space="preserve">30</w:t>
            </w:r>
          </w:hyperlink>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zbx27v2r4h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Introduction to the Methodology</w:t>
              <w:tab/>
              <w:t xml:space="preserve">30</w:t>
            </w:r>
          </w:hyperlink>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a38jadipq6n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Study Design</w:t>
              <w:tab/>
              <w:t xml:space="preserve">30</w:t>
            </w:r>
          </w:hyperlink>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9pe5eqpmb0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 Search Strategy</w:t>
              <w:tab/>
              <w:t xml:space="preserve">30</w:t>
            </w:r>
          </w:hyperlink>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7yn35j7u8me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3.3.1 Search Terms</w:t>
              <w:tab/>
              <w:t xml:space="preserve">31</w:t>
            </w:r>
          </w:hyperlink>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zekusqh66wj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3.3.2 Databases</w:t>
              <w:tab/>
              <w:t xml:space="preserve">31</w:t>
            </w:r>
          </w:hyperlink>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gkk9zuivymm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3.4 Screening Process</w:t>
              <w:tab/>
              <w:t xml:space="preserve">32</w:t>
            </w:r>
          </w:hyperlink>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432myby0dpr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3.4.1 Inclusion and Exclusion Criteria</w:t>
              <w:tab/>
              <w:t xml:space="preserve">33</w:t>
            </w:r>
          </w:hyperlink>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q767oeatvin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3.5 Study Selection</w:t>
              <w:tab/>
              <w:t xml:space="preserve">33</w:t>
            </w:r>
          </w:hyperlink>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dnb93jg81o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3.6 Critical Appraisal</w:t>
              <w:tab/>
              <w:t xml:space="preserve">35</w:t>
            </w:r>
          </w:hyperlink>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siru47hv19m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3.7 Data Extraction</w:t>
              <w:tab/>
              <w:t xml:space="preserve">35</w:t>
            </w:r>
          </w:hyperlink>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4n5dop2zfya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3.8 Data Analysis</w:t>
              <w:tab/>
              <w:t xml:space="preserve">36</w:t>
            </w:r>
          </w:hyperlink>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0225kbzbg9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3.9 Ethical Considerations</w:t>
              <w:tab/>
              <w:t xml:space="preserve">37</w:t>
            </w:r>
          </w:hyperlink>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uzdg714wwg3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3.10 Chapter Summary</w:t>
              <w:tab/>
              <w:t xml:space="preserve">37</w:t>
            </w:r>
          </w:hyperlink>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c64sxhkbg8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Chapter 4: Findings</w:t>
              <w:tab/>
              <w:t xml:space="preserve">38</w:t>
            </w:r>
          </w:hyperlink>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lx8z0zh84p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Introduction</w:t>
              <w:tab/>
              <w:t xml:space="preserve">38</w:t>
            </w:r>
          </w:hyperlink>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agyh84ducm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Thematic analysis</w:t>
              <w:tab/>
              <w:t xml:space="preserve">38</w:t>
            </w:r>
          </w:hyperlink>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il5w9f8cf8u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Theme 1: Integrated care models relates health and social care by different forms of coordination care for older adults with multimorbidity and frailty</w:t>
              <w:tab/>
              <w:t xml:space="preserve">39</w:t>
            </w:r>
          </w:hyperlink>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kharekfmoaj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Theme 2: Integrated care can enhance health, functional, and care outcomes for older adults</w:t>
              <w:tab/>
              <w:t xml:space="preserve">40</w:t>
            </w:r>
          </w:hyperlink>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uaisqvr9pj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Theme 3: Person-centred coordination increase continuity and responsiveness to individual requirements for older adults with multimorbidity and frailty.</w:t>
              <w:tab/>
              <w:t xml:space="preserve">41</w:t>
            </w:r>
          </w:hyperlink>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c6aup5h9wgd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Theme 4: Organisational, workforce and system conditions are the determents of successful implementation</w:t>
              <w:tab/>
              <w:t xml:space="preserve">43</w:t>
            </w:r>
          </w:hyperlink>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f5p78uzctak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Theme 5: Integrated care effectiveness depends on combining the model to frailty, multimorbidity and local context</w:t>
              <w:tab/>
              <w:t xml:space="preserve">44</w:t>
            </w:r>
          </w:hyperlink>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yngl2w1kdbs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Theme 6: Digital access and user-centred technology are multidisciplinary conditions for fair integrated care</w:t>
              <w:tab/>
              <w:t xml:space="preserve">45</w:t>
            </w:r>
          </w:hyperlink>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kcrpiews7k7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Chapter 5: Discussion</w:t>
              <w:tab/>
              <w:t xml:space="preserve">47</w:t>
            </w:r>
          </w:hyperlink>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cutc6p9f8u9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5.1 Introduction</w:t>
              <w:tab/>
              <w:t xml:space="preserve">47</w:t>
            </w:r>
          </w:hyperlink>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dzfef89bst9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5.2 Interpretation of the Integrated Care Models Used to Support Older Adults</w:t>
              <w:tab/>
              <w:t xml:space="preserve">47</w:t>
            </w:r>
          </w:hyperlink>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qcq91wmdbwd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5.3 Interpretation of the Effectiveness of Integrated Care Models</w:t>
              <w:tab/>
              <w:t xml:space="preserve">48</w:t>
            </w:r>
          </w:hyperlink>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gd8p2puocg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5.4 Interpretation of Facilitators and Barriers to Implementation</w:t>
              <w:tab/>
              <w:t xml:space="preserve">49</w:t>
            </w:r>
          </w:hyperlink>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pg9pubiv2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5.5 Interpretation of Future Integrated Care Development</w:t>
              <w:tab/>
              <w:t xml:space="preserve">49</w:t>
            </w:r>
          </w:hyperlink>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9y2yuxmt4m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5.6 Chapter Summary</w:t>
              <w:tab/>
              <w:t xml:space="preserve">50</w:t>
            </w:r>
          </w:hyperlink>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702kkjhzojs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Chapter 6: Conclusion</w:t>
              <w:tab/>
              <w:t xml:space="preserve">51</w:t>
            </w:r>
          </w:hyperlink>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d3j2d6uqvx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6.1 Overall Summary</w:t>
              <w:tab/>
              <w:t xml:space="preserve">51</w:t>
            </w:r>
          </w:hyperlink>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1msuqavtcyb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 Linking with Objectives</w:t>
              <w:tab/>
              <w:t xml:space="preserve">51</w:t>
            </w:r>
          </w:hyperlink>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bo5vra7u2of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6.3 Recommendations</w:t>
              <w:tab/>
              <w:t xml:space="preserve">52</w:t>
            </w:r>
          </w:hyperlink>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ylflw37g2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6.4 Limitations of the Study</w:t>
              <w:tab/>
              <w:t xml:space="preserve">53</w:t>
            </w:r>
          </w:hyperlink>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yhpnwmjt5ux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6.5 Future Scope</w:t>
              <w:tab/>
              <w:t xml:space="preserve">53</w:t>
            </w:r>
          </w:hyperlink>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qunijdynrm5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w:t>
              <w:tab/>
              <w:t xml:space="preserve">53</w:t>
            </w:r>
          </w:hyperlink>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brdozk8a22b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Appendices</w:t>
              <w:tab/>
              <w:t xml:space="preserve">64</w:t>
            </w:r>
          </w:hyperlink>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x96mvxe49l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Appendix 1: Data extraction table</w:t>
              <w:tab/>
              <w:t xml:space="preserve">64</w:t>
            </w:r>
          </w:hyperlink>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f24m4hq1ac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Appendix 2: CASP checklist for qualitative and other studies</w:t>
              <w:tab/>
              <w:t xml:space="preserve">69</w:t>
            </w:r>
          </w:hyperlink>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uwzhxn7qt1v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Appendix 3: CASP checklist for Cohort studies</w:t>
              <w:tab/>
              <w:t xml:space="preserve">75</w:t>
            </w:r>
          </w:hyperlink>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dot"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4wsgqvk88uu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Appendix 4: CASP checklist for analytical cross-sectional studies</w:t>
              <w:tab/>
              <w:t xml:space="preserve">77</w:t>
            </w:r>
          </w:hyperlink>
          <w:r w:rsidDel="00000000" w:rsidR="00000000" w:rsidRPr="00000000">
            <w:rPr>
              <w:rtl w:val="0"/>
            </w:rPr>
          </w:r>
        </w:p>
        <w:p w:rsidR="00000000" w:rsidDel="00000000" w:rsidP="00000000" w:rsidRDefault="00000000" w:rsidRPr="00000000" w14:paraId="00000089">
          <w:pPr>
            <w:rPr>
              <w:rFonts w:ascii="Arial" w:cs="Arial" w:eastAsia="Arial" w:hAnsi="Arial"/>
              <w:color w:val="000000"/>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8A">
      <w:pP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8B">
      <w:pPr>
        <w:jc w:val="center"/>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8C">
      <w:pPr>
        <w:jc w:val="center"/>
        <w:rPr>
          <w:rFonts w:ascii="Arial" w:cs="Arial" w:eastAsia="Arial" w:hAnsi="Arial"/>
          <w:b w:val="1"/>
          <w:bCs w:val="1"/>
          <w:sz w:val="22"/>
          <w:szCs w:val="22"/>
        </w:rPr>
      </w:pPr>
      <w:bookmarkStart w:colFirst="0" w:colLast="0" w:name="_zebe883c0dyq" w:id="0"/>
      <w:bookmarkEnd w:id="0"/>
      <w:r w:rsidDel="00000000" w:rsidR="00000000" w:rsidRPr="00000000">
        <w:rPr>
          <w:rFonts w:ascii="Arial" w:cs="Arial" w:eastAsia="Arial" w:hAnsi="Arial"/>
          <w:b w:val="1"/>
          <w:bCs w:val="1"/>
          <w:sz w:val="22"/>
          <w:szCs w:val="22"/>
          <w:rtl w:val="0"/>
        </w:rPr>
        <w:t xml:space="preserve">List of figures</w:t>
      </w:r>
    </w:p>
    <w:sdt>
      <w:sdtPr>
        <w:id w:val="-419875743"/>
        <w:docPartObj>
          <w:docPartGallery w:val="Table of Contents"/>
          <w:docPartUnique w:val="1"/>
        </w:docPartObj>
      </w:sdtPr>
      <w:sdtContent>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5aj7mdo6ka7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1.1: Prevalence of multimorbidity by age</w:t>
              <w:tab/>
              <w:t xml:space="preserve">13</w:t>
            </w:r>
          </w:hyperlink>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yb1z3jm0g2k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1.2: UK analysis of population</w:t>
              <w:tab/>
              <w:t xml:space="preserve">15</w:t>
            </w:r>
          </w:hyperlink>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5dutew8qv7a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2.1: Social Ecological Model</w:t>
              <w:tab/>
              <w:t xml:space="preserve">27</w:t>
            </w:r>
          </w:hyperlink>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p8jl9luoewo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2.2: Conceptual Framework</w:t>
              <w:tab/>
              <w:t xml:space="preserve">28</w:t>
            </w:r>
          </w:hyperlink>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azu6o4q18mk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3.1: PRISMA framework</w:t>
              <w:tab/>
              <w:t xml:space="preserve">34</w:t>
            </w:r>
          </w:hyperlink>
          <w:r w:rsidDel="00000000" w:rsidR="00000000" w:rsidRPr="00000000">
            <w:rPr>
              <w:rtl w:val="0"/>
            </w:rPr>
          </w:r>
        </w:p>
        <w:p w:rsidR="00000000" w:rsidDel="00000000" w:rsidP="00000000" w:rsidRDefault="00000000" w:rsidRPr="00000000" w14:paraId="00000092">
          <w:pPr>
            <w:jc w:val="center"/>
            <w:rPr>
              <w:rFonts w:ascii="Arial" w:cs="Arial" w:eastAsia="Arial" w:hAnsi="Arial"/>
              <w:b w:val="1"/>
              <w:bCs w:val="1"/>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93">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9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List of tables</w:t>
      </w:r>
    </w:p>
    <w:sdt>
      <w:sdtPr>
        <w:id w:val="1548663622"/>
        <w:docPartObj>
          <w:docPartGallery w:val="Table of Contents"/>
          <w:docPartUnique w:val="1"/>
        </w:docPartObj>
      </w:sdtPr>
      <w:sdtContent>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25dbhrjd051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Table 3.1: Search terms</w:t>
              <w:tab/>
              <w:t xml:space="preserve">31</w:t>
            </w:r>
          </w:hyperlink>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gu3jbow6ckl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Table 3.2: Database searched</w:t>
              <w:tab/>
              <w:t xml:space="preserve">32</w:t>
            </w:r>
          </w:hyperlink>
          <w:r w:rsidDel="00000000" w:rsidR="00000000" w:rsidRPr="00000000">
            <w:rPr>
              <w:rtl w:val="0"/>
            </w:rPr>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j4zl7zg0d0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Table 3.3: Inclusion and exclusion criteria</w:t>
              <w:tab/>
              <w:t xml:space="preserve">33</w:t>
            </w:r>
          </w:hyperlink>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dzd0g4p0nfq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Table 4.1: Theme development</w:t>
              <w:tab/>
              <w:t xml:space="preserve">39</w:t>
            </w:r>
          </w:hyperlink>
          <w:r w:rsidDel="00000000" w:rsidR="00000000" w:rsidRPr="00000000">
            <w:rPr>
              <w:rtl w:val="0"/>
            </w:rPr>
          </w:r>
        </w:p>
        <w:p w:rsidR="00000000" w:rsidDel="00000000" w:rsidP="00000000" w:rsidRDefault="00000000" w:rsidRPr="00000000" w14:paraId="00000099">
          <w:pPr>
            <w:jc w:val="center"/>
            <w:rPr>
              <w:rFonts w:ascii="Arial" w:cs="Arial" w:eastAsia="Arial" w:hAnsi="Arial"/>
              <w:b w:val="1"/>
              <w:bCs w:val="1"/>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9A">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9B">
      <w:pPr>
        <w:pStyle w:val="Heading1"/>
        <w:rPr/>
      </w:pPr>
      <w:bookmarkStart w:colFirst="0" w:colLast="0" w:name="_okmhsl2ly6k5" w:id="1"/>
      <w:bookmarkEnd w:id="1"/>
      <w:r w:rsidDel="00000000" w:rsidR="00000000" w:rsidRPr="00000000">
        <w:rPr>
          <w:rtl w:val="0"/>
        </w:rPr>
        <w:t xml:space="preserve">Chapter 1: Introduction </w:t>
      </w:r>
    </w:p>
    <w:p w:rsidR="00000000" w:rsidDel="00000000" w:rsidP="00000000" w:rsidRDefault="00000000" w:rsidRPr="00000000" w14:paraId="0000009C">
      <w:pPr>
        <w:pStyle w:val="Heading2"/>
        <w:rPr/>
      </w:pPr>
      <w:bookmarkStart w:colFirst="0" w:colLast="0" w:name="_nlmweeabl3lq" w:id="2"/>
      <w:bookmarkEnd w:id="2"/>
      <w:r w:rsidDel="00000000" w:rsidR="00000000" w:rsidRPr="00000000">
        <w:rPr>
          <w:rtl w:val="0"/>
        </w:rPr>
        <w:t xml:space="preserve">1.1 Introduction</w:t>
      </w:r>
    </w:p>
    <w:p w:rsidR="00000000" w:rsidDel="00000000" w:rsidP="00000000" w:rsidRDefault="00000000" w:rsidRPr="00000000" w14:paraId="0000009D">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synthesizes the existing academic and health care evidence for developing the structure understanding of how integrated services address the complicated and overlapping requirements for older people instead of identifying a single intervention or Health Care Organisation. Multidisciplinary working and care coordination, person-centred planning, and collaboration between the health and social care services are different approaches to care integration (Hartikainen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In addition to this, the growing prevalence of multimorbidity and frailty continuously pressures the National Health Services and social care services, which are traditionally organised around the management of single diseases instead of complex conditions. Older adults with multimorbidity and frailty often need coordinated support from the primary care team. Hence, the study gives a consolidated overview of integrated care within the specific context of multimorbidity and frailty.</w:t>
      </w:r>
    </w:p>
    <w:p w:rsidR="00000000" w:rsidDel="00000000" w:rsidP="00000000" w:rsidRDefault="00000000" w:rsidRPr="00000000" w14:paraId="0000009E">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Although integrated care is increasingly focused within the UK health policy, the uncertainty remains regarding the effectiveness and practical implementation for older adults in a complicated need (Jindal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However, fragmentation between the services can result in poor communication, duplicate assessment, and delayed intervention. The systematic literature review is there for important for identifying the existing evidence, identifying the areas of consistency and disagreement, and determining the gaps within the current knowledge. The chapter introduced the study of the integrated care model for older adults who are experiencing multimorbidity and frailty in the UK. It developed the context of the research and identified the problem rationale. It also presents the research aim, objectives, and questions. The chapter outlines the significance and overall structure of the dissertation. </w:t>
      </w:r>
    </w:p>
    <w:p w:rsidR="00000000" w:rsidDel="00000000" w:rsidP="00000000" w:rsidRDefault="00000000" w:rsidRPr="00000000" w14:paraId="0000009F">
      <w:pPr>
        <w:pStyle w:val="Heading2"/>
        <w:rPr/>
      </w:pPr>
      <w:bookmarkStart w:colFirst="0" w:colLast="0" w:name="_c5u2mokypp9p" w:id="3"/>
      <w:bookmarkEnd w:id="3"/>
      <w:r w:rsidDel="00000000" w:rsidR="00000000" w:rsidRPr="00000000">
        <w:rPr>
          <w:rtl w:val="0"/>
        </w:rPr>
        <w:t xml:space="preserve">1.2 Background</w:t>
      </w:r>
    </w:p>
    <w:p w:rsidR="00000000" w:rsidDel="00000000" w:rsidP="00000000" w:rsidRDefault="00000000" w:rsidRPr="00000000" w14:paraId="000000A0">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UK is experiencing significant demographic aging, which is an important implication for the organisation and sustainability of the health and social care service. Changes are particularly significant for health and social care, as increasing longevity can be supported through good functional, clinical, and social care. Recent statistics estimate that 625000 people aged 90 years and over were living in the UK in 2024. This highlights a 53.7% increase after 2004 (ONS, 2025). The growth of this older age group they are for increase the requirement for health and social care services that can respond to complex and continuing needs. Population aging is a major health and social care challenge in the United Kingdom, particularly for older adults (</w:t>
      </w:r>
      <w:r w:rsidDel="00000000" w:rsidR="00000000" w:rsidRPr="00000000">
        <w:rPr>
          <w:rFonts w:ascii="Arial" w:cs="Arial" w:eastAsia="Arial" w:hAnsi="Arial"/>
          <w:sz w:val="22"/>
          <w:szCs w:val="22"/>
          <w:highlight w:val="white"/>
          <w:rtl w:val="0"/>
        </w:rPr>
        <w:t xml:space="preserve">Glasby, 2026</w:t>
      </w:r>
      <w:r w:rsidDel="00000000" w:rsidR="00000000" w:rsidRPr="00000000">
        <w:rPr>
          <w:rFonts w:ascii="Arial" w:cs="Arial" w:eastAsia="Arial" w:hAnsi="Arial"/>
          <w:sz w:val="22"/>
          <w:szCs w:val="22"/>
          <w:rtl w:val="0"/>
        </w:rPr>
        <w:t xml:space="preserve">). This is because they are living with complicated and interrelated health conditions. Multi-morbidity is commonly understood as the coexistence of two or more long-term conditions, which are prevalent among the older population and often interact with frailty in complex ways (</w:t>
      </w:r>
      <w:r w:rsidDel="00000000" w:rsidR="00000000" w:rsidRPr="00000000">
        <w:rPr>
          <w:rFonts w:ascii="Arial" w:cs="Arial" w:eastAsia="Arial" w:hAnsi="Arial"/>
          <w:sz w:val="22"/>
          <w:szCs w:val="22"/>
          <w:highlight w:val="white"/>
          <w:rtl w:val="0"/>
        </w:rPr>
        <w:t xml:space="preserve">Umegaki, 2025</w:t>
      </w:r>
      <w:r w:rsidDel="00000000" w:rsidR="00000000" w:rsidRPr="00000000">
        <w:rPr>
          <w:rFonts w:ascii="Arial" w:cs="Arial" w:eastAsia="Arial" w:hAnsi="Arial"/>
          <w:sz w:val="22"/>
          <w:szCs w:val="22"/>
          <w:rtl w:val="0"/>
        </w:rPr>
        <w:t xml:space="preserve">). This increases vulnerability to adverse health outcomes. It is identified that more than two-thirds of the people aged over 74 have two or more long-term conditions. 50% of people aged over 85 live with frailty (Bgs, 2025). An individual with severe frailty is 5 times more likely to die within 1 year than older adults without frailty.</w:t>
      </w:r>
    </w:p>
    <w:p w:rsidR="00000000" w:rsidDel="00000000" w:rsidP="00000000" w:rsidRDefault="00000000" w:rsidRPr="00000000" w14:paraId="000000A1">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The epidemiology of multimorbidity reflects a clear relationship with increasing Age. The primary care of the UK reflects that it is increasingly prevalent across adulthood and reaches particularly high levels among older people. Frailty adds further complication, as decreased psychological reserve increases vulnerability to relatively minor health changes and functional deterioration.  Multimorbidity and frailty can also occur along with polypharmacy, disability, and social care needs (Banzato and Boccuzzo,  2026). Older adults need support from several Health and care professionals instead of treatment for individual diseases alone. These developed good demand for coordinator service for the primary care, hospitals, community health services, and social care. </w:t>
      </w:r>
    </w:p>
    <w:p w:rsidR="00000000" w:rsidDel="00000000" w:rsidP="00000000" w:rsidRDefault="00000000" w:rsidRPr="00000000" w14:paraId="000000A2">
      <w:pPr>
        <w:shd w:fill="auto" w:val="clear"/>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4190365" cy="3340735"/>
            <wp:effectExtent b="0" l="0" r="0" t="0"/>
            <wp:docPr id="3"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4190365" cy="3340735"/>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pStyle w:val="Heading4"/>
        <w:rPr>
          <w:rFonts w:ascii="Arial" w:cs="Arial" w:eastAsia="Arial" w:hAnsi="Arial"/>
          <w:color w:val="000000"/>
          <w:sz w:val="22"/>
          <w:szCs w:val="22"/>
        </w:rPr>
      </w:pPr>
      <w:bookmarkStart w:colFirst="0" w:colLast="0" w:name="_5aj7mdo6ka74" w:id="4"/>
      <w:bookmarkEnd w:id="4"/>
      <w:r w:rsidDel="00000000" w:rsidR="00000000" w:rsidRPr="00000000">
        <w:rPr>
          <w:rFonts w:ascii="Arial" w:cs="Arial" w:eastAsia="Arial" w:hAnsi="Arial"/>
          <w:color w:val="000000"/>
          <w:sz w:val="22"/>
          <w:szCs w:val="22"/>
          <w:rtl w:val="0"/>
        </w:rPr>
        <w:t xml:space="preserve">Figure 1.1: Prevalence of multimorbidity by age</w:t>
      </w:r>
    </w:p>
    <w:p w:rsidR="00000000" w:rsidDel="00000000" w:rsidP="00000000" w:rsidRDefault="00000000" w:rsidRPr="00000000" w14:paraId="000000A4">
      <w:pPr>
        <w:shd w:fill="auto" w:val="clea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MacRae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w:t>
      </w:r>
    </w:p>
    <w:p w:rsidR="00000000" w:rsidDel="00000000" w:rsidP="00000000" w:rsidRDefault="00000000" w:rsidRPr="00000000" w14:paraId="000000A5">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From the above image, it is clear that a relatively slow increase has been seen in the youngest, a rapid increase in adulthood, and flattening in the latter life (MacRae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Different stages of multimorbidity are strongly connected with the oldest age.  In addition, the coexistence of multimorbidity and frailty poses significant challenges for the conventional Healthcare system, which has historically been structured around the treatment of individual diseases (</w:t>
      </w:r>
      <w:r w:rsidDel="00000000" w:rsidR="00000000" w:rsidRPr="00000000">
        <w:rPr>
          <w:rFonts w:ascii="Arial" w:cs="Arial" w:eastAsia="Arial" w:hAnsi="Arial"/>
          <w:sz w:val="22"/>
          <w:szCs w:val="22"/>
          <w:highlight w:val="white"/>
          <w:rtl w:val="0"/>
        </w:rPr>
        <w:t xml:space="preserve">Umegaki, 2025</w:t>
      </w:r>
      <w:r w:rsidDel="00000000" w:rsidR="00000000" w:rsidRPr="00000000">
        <w:rPr>
          <w:rFonts w:ascii="Arial" w:cs="Arial" w:eastAsia="Arial" w:hAnsi="Arial"/>
          <w:sz w:val="22"/>
          <w:szCs w:val="22"/>
          <w:rtl w:val="0"/>
        </w:rPr>
        <w:t xml:space="preserve">). Older adults with complicated requirement can need input from the primary care hospital, community health service, social care, and voluntary organisations (</w:t>
      </w:r>
      <w:r w:rsidDel="00000000" w:rsidR="00000000" w:rsidRPr="00000000">
        <w:rPr>
          <w:rFonts w:ascii="Arial" w:cs="Arial" w:eastAsia="Arial" w:hAnsi="Arial"/>
          <w:sz w:val="22"/>
          <w:szCs w:val="22"/>
          <w:highlight w:val="white"/>
          <w:rtl w:val="0"/>
        </w:rPr>
        <w:t xml:space="preserve">World Health Organisation, 2025</w:t>
      </w:r>
      <w:r w:rsidDel="00000000" w:rsidR="00000000" w:rsidRPr="00000000">
        <w:rPr>
          <w:rFonts w:ascii="Arial" w:cs="Arial" w:eastAsia="Arial" w:hAnsi="Arial"/>
          <w:sz w:val="22"/>
          <w:szCs w:val="22"/>
          <w:rtl w:val="0"/>
        </w:rPr>
        <w:t xml:space="preserve">). However, poor coordination between services can develop fragmented care, repeated assessment, and difficulties in maintaining continuity. It is identified that the health and social care system in England is described as fragmented, particularly as services prepare for transformation from hospital-based provision towards neighbourhood care (</w:t>
      </w:r>
      <w:r w:rsidDel="00000000" w:rsidR="00000000" w:rsidRPr="00000000">
        <w:rPr>
          <w:rFonts w:ascii="Arial" w:cs="Arial" w:eastAsia="Arial" w:hAnsi="Arial"/>
          <w:sz w:val="22"/>
          <w:szCs w:val="22"/>
          <w:highlight w:val="white"/>
          <w:rtl w:val="0"/>
        </w:rPr>
        <w:t xml:space="preserve">Atella, 2025</w:t>
      </w:r>
      <w:r w:rsidDel="00000000" w:rsidR="00000000" w:rsidRPr="00000000">
        <w:rPr>
          <w:rFonts w:ascii="Arial" w:cs="Arial" w:eastAsia="Arial" w:hAnsi="Arial"/>
          <w:sz w:val="22"/>
          <w:szCs w:val="22"/>
          <w:rtl w:val="0"/>
        </w:rPr>
        <w:t xml:space="preserve">). In 2025, the 10-year health plan for England focuses on the strategic transition from hospital to continuity care and from sickness treatment to prevention (</w:t>
      </w:r>
      <w:r w:rsidDel="00000000" w:rsidR="00000000" w:rsidRPr="00000000">
        <w:rPr>
          <w:rFonts w:ascii="Arial" w:cs="Arial" w:eastAsia="Arial" w:hAnsi="Arial"/>
          <w:sz w:val="22"/>
          <w:szCs w:val="22"/>
          <w:highlight w:val="white"/>
          <w:rtl w:val="0"/>
        </w:rPr>
        <w:t xml:space="preserve">Sinnott </w:t>
      </w:r>
      <w:r w:rsidDel="00000000" w:rsidR="00000000" w:rsidRPr="00000000">
        <w:rPr>
          <w:rFonts w:ascii="Arial" w:cs="Arial" w:eastAsia="Arial" w:hAnsi="Arial"/>
          <w:i w:val="1"/>
          <w:iCs w:val="1"/>
          <w:sz w:val="22"/>
          <w:szCs w:val="22"/>
          <w:highlight w:val="white"/>
          <w:rtl w:val="0"/>
        </w:rPr>
        <w:t xml:space="preserve">et al.</w:t>
      </w:r>
      <w:r w:rsidDel="00000000" w:rsidR="00000000" w:rsidRPr="00000000">
        <w:rPr>
          <w:rFonts w:ascii="Arial" w:cs="Arial" w:eastAsia="Arial" w:hAnsi="Arial"/>
          <w:sz w:val="22"/>
          <w:szCs w:val="22"/>
          <w:highlight w:val="white"/>
          <w:rtl w:val="0"/>
        </w:rPr>
        <w:t xml:space="preserve"> 2026</w:t>
      </w:r>
      <w:r w:rsidDel="00000000" w:rsidR="00000000" w:rsidRPr="00000000">
        <w:rPr>
          <w:rFonts w:ascii="Arial" w:cs="Arial" w:eastAsia="Arial" w:hAnsi="Arial"/>
          <w:sz w:val="22"/>
          <w:szCs w:val="22"/>
          <w:rtl w:val="0"/>
        </w:rPr>
        <w:t xml:space="preserve">). Identification of an integrated care model for older adults with multi-morbidity and frailty is significant for understanding the contribution to coordinated person-centred and sustainable care within the dynamic UK health and social care system. </w:t>
      </w:r>
    </w:p>
    <w:p w:rsidR="00000000" w:rsidDel="00000000" w:rsidP="00000000" w:rsidRDefault="00000000" w:rsidRPr="00000000" w14:paraId="000000A6">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Integrated care has become an important approach for responding to complicated needs. It consists of Health and Care Organisations working together for giving coordinator service for the needs of individuals instead of managing conditions separately. In England, the integrated care system brings together NHS organisations, local authorities, social care providers, and voluntary organisations (Long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2026). This is to increase population health, decrease inequalities, and to transition towards multidisciplinary working, prevention, and community-based care with person-centred support. Integrated care is particularly significant for older adults with multimorbidity and frailty due to the need to frequently cross professional and organisational boundaries. </w:t>
      </w:r>
    </w:p>
    <w:p w:rsidR="00000000" w:rsidDel="00000000" w:rsidP="00000000" w:rsidRDefault="00000000" w:rsidRPr="00000000" w14:paraId="000000A7">
      <w:pPr>
        <w:pStyle w:val="Heading2"/>
        <w:rPr/>
      </w:pPr>
      <w:bookmarkStart w:colFirst="0" w:colLast="0" w:name="_ca7ni62slxpb" w:id="5"/>
      <w:bookmarkEnd w:id="5"/>
      <w:r w:rsidDel="00000000" w:rsidR="00000000" w:rsidRPr="00000000">
        <w:rPr>
          <w:rtl w:val="0"/>
        </w:rPr>
        <w:t xml:space="preserve">1.3 Statement of the Problem</w:t>
      </w:r>
    </w:p>
    <w:p w:rsidR="00000000" w:rsidDel="00000000" w:rsidP="00000000" w:rsidRDefault="00000000" w:rsidRPr="00000000" w14:paraId="000000A8">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Older adults with multimorbidity and frailty need coordinated health and social care for their complicated healthcare needs. Although integrated care model is a key priority within the UK Healthcare system, the existing evidence regarding its effectiveness remains fragmented and inconsistent. Previous studies have identified different model populations and outcome measures, which makes it difficult to identify which appropriate approach gives the greatest benefit for the population. In addition, limited evidence on the sizes of implementation challenges, facilitators, and outcomes of integrated care models specifically for older people. Hence, a systematic literature review is required for critical analysis of current evidence and identifying meaning research gaps.  </w:t>
      </w:r>
    </w:p>
    <w:p w:rsidR="00000000" w:rsidDel="00000000" w:rsidP="00000000" w:rsidRDefault="00000000" w:rsidRPr="00000000" w14:paraId="000000A9">
      <w:pPr>
        <w:pStyle w:val="Heading2"/>
        <w:rPr/>
      </w:pPr>
      <w:bookmarkStart w:colFirst="0" w:colLast="0" w:name="_bizcv6k47h" w:id="6"/>
      <w:bookmarkEnd w:id="6"/>
      <w:r w:rsidDel="00000000" w:rsidR="00000000" w:rsidRPr="00000000">
        <w:rPr>
          <w:rtl w:val="0"/>
        </w:rPr>
        <w:t xml:space="preserve">1.4 Rationale of Research</w:t>
      </w:r>
    </w:p>
    <w:p w:rsidR="00000000" w:rsidDel="00000000" w:rsidP="00000000" w:rsidRDefault="00000000" w:rsidRPr="00000000" w14:paraId="000000AA">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The rationale of the research developed from elaborating the mismatch between the complicated care needs of the older adult and the capacity of fragmented health and social care services to give coordinated support. Multimorbidity and frailty do not exist as isolated clinical problems (</w:t>
      </w:r>
      <w:r w:rsidDel="00000000" w:rsidR="00000000" w:rsidRPr="00000000">
        <w:rPr>
          <w:rFonts w:ascii="Arial" w:cs="Arial" w:eastAsia="Arial" w:hAnsi="Arial"/>
          <w:sz w:val="22"/>
          <w:szCs w:val="22"/>
          <w:highlight w:val="white"/>
          <w:rtl w:val="0"/>
        </w:rPr>
        <w:t xml:space="preserve">Zhao </w:t>
      </w:r>
      <w:r w:rsidDel="00000000" w:rsidR="00000000" w:rsidRPr="00000000">
        <w:rPr>
          <w:rFonts w:ascii="Arial" w:cs="Arial" w:eastAsia="Arial" w:hAnsi="Arial"/>
          <w:i w:val="1"/>
          <w:iCs w:val="1"/>
          <w:sz w:val="22"/>
          <w:szCs w:val="22"/>
          <w:highlight w:val="white"/>
          <w:rtl w:val="0"/>
        </w:rPr>
        <w:t xml:space="preserve">et al. </w:t>
      </w:r>
      <w:r w:rsidDel="00000000" w:rsidR="00000000" w:rsidRPr="00000000">
        <w:rPr>
          <w:rFonts w:ascii="Arial" w:cs="Arial" w:eastAsia="Arial" w:hAnsi="Arial"/>
          <w:sz w:val="22"/>
          <w:szCs w:val="22"/>
          <w:highlight w:val="white"/>
          <w:rtl w:val="0"/>
        </w:rPr>
        <w:t xml:space="preserve">2025</w:t>
      </w:r>
      <w:r w:rsidDel="00000000" w:rsidR="00000000" w:rsidRPr="00000000">
        <w:rPr>
          <w:rFonts w:ascii="Arial" w:cs="Arial" w:eastAsia="Arial" w:hAnsi="Arial"/>
          <w:sz w:val="22"/>
          <w:szCs w:val="22"/>
          <w:rtl w:val="0"/>
        </w:rPr>
        <w:t xml:space="preserve">). Rather, they interact with functional decline, medication burden, and social care requirements.</w:t>
      </w:r>
    </w:p>
    <w:p w:rsidR="00000000" w:rsidDel="00000000" w:rsidP="00000000" w:rsidRDefault="00000000" w:rsidRPr="00000000" w14:paraId="000000AB">
      <w:pPr>
        <w:shd w:fill="auto" w:val="clear"/>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5947410" cy="3427095"/>
            <wp:effectExtent b="0" l="0" r="0" t="0"/>
            <wp:docPr id="2"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7410" cy="3427095"/>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pStyle w:val="Heading4"/>
        <w:rPr>
          <w:rFonts w:ascii="Arial" w:cs="Arial" w:eastAsia="Arial" w:hAnsi="Arial"/>
          <w:color w:val="000000"/>
          <w:sz w:val="22"/>
          <w:szCs w:val="22"/>
        </w:rPr>
      </w:pPr>
      <w:bookmarkStart w:colFirst="0" w:colLast="0" w:name="_yb1z3jm0g2kq" w:id="7"/>
      <w:bookmarkEnd w:id="7"/>
      <w:r w:rsidDel="00000000" w:rsidR="00000000" w:rsidRPr="00000000">
        <w:rPr>
          <w:rFonts w:ascii="Arial" w:cs="Arial" w:eastAsia="Arial" w:hAnsi="Arial"/>
          <w:color w:val="000000"/>
          <w:sz w:val="22"/>
          <w:szCs w:val="22"/>
          <w:rtl w:val="0"/>
        </w:rPr>
        <w:t xml:space="preserve">Figure 1.2: UK analysis of population</w:t>
      </w:r>
    </w:p>
    <w:p w:rsidR="00000000" w:rsidDel="00000000" w:rsidP="00000000" w:rsidRDefault="00000000" w:rsidRPr="00000000" w14:paraId="000000AD">
      <w:pPr>
        <w:shd w:fill="auto" w:val="clea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Reeves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w:t>
      </w:r>
    </w:p>
    <w:p w:rsidR="00000000" w:rsidDel="00000000" w:rsidP="00000000" w:rsidRDefault="00000000" w:rsidRPr="00000000" w14:paraId="000000AE">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From the above, it is seen that there is a growing concern that is increasing, as England has an estimated 22.3 million people aged over 50 in 2025, reflecting 38% of the population (Reeves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This is projected to reach 26.6 million by the end of 2045 (Reeves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Current pressure on the care service for the reflect the requirement for identifying integrated approaches. The State of Health and Care of Older People in England 2025 has reported that 372,113 adults were waiting for a social care assessment and the commencement of care, or a care-plan review in March 2025 (Ageuk, 2025). These delays are particularly harmful to the older adult, for whom deterioration can rapidly increase dependence on health care utilisation.</w:t>
      </w:r>
    </w:p>
    <w:p w:rsidR="00000000" w:rsidDel="00000000" w:rsidP="00000000" w:rsidRDefault="00000000" w:rsidRPr="00000000" w14:paraId="000000AF">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It is also identified that 532,451 people experienced wait times of 12 hours or more from the decision to admit to the hospital in 2024 and 2025 (Ageuk, 2025). This is a 525-fold increase over the previous decades (Ageuk, 2025). The figure reflects the systematic pressure that cannot be addressed properly by the expansion of hospital-based care. However, existing evidence does not give sufficient clear picture of which integrated approaches are the most justified for older adults who are experiencing both multimorbidity and frailty. Previous reviews identify multimorbidity and frailty separately by using different outcome measures and including populations outside the UK. These developed uncertainty about the transferability of findings to UK health and social care. Differences between the model and the reported outcome also make difficulty in interpretation of the effectiveness. The integrated care model gives a potentially important response by connecting primary care, community health, social care, mental health, and acute services around the individual's needs (</w:t>
      </w:r>
      <w:r w:rsidDel="00000000" w:rsidR="00000000" w:rsidRPr="00000000">
        <w:rPr>
          <w:rFonts w:ascii="Arial" w:cs="Arial" w:eastAsia="Arial" w:hAnsi="Arial"/>
          <w:sz w:val="22"/>
          <w:szCs w:val="22"/>
          <w:highlight w:val="white"/>
          <w:rtl w:val="0"/>
        </w:rPr>
        <w:t xml:space="preserve">Matos </w:t>
      </w:r>
      <w:r w:rsidDel="00000000" w:rsidR="00000000" w:rsidRPr="00000000">
        <w:rPr>
          <w:rFonts w:ascii="Arial" w:cs="Arial" w:eastAsia="Arial" w:hAnsi="Arial"/>
          <w:i w:val="1"/>
          <w:iCs w:val="1"/>
          <w:sz w:val="22"/>
          <w:szCs w:val="22"/>
          <w:highlight w:val="white"/>
          <w:rtl w:val="0"/>
        </w:rPr>
        <w:t xml:space="preserve">et al. </w:t>
      </w:r>
      <w:r w:rsidDel="00000000" w:rsidR="00000000" w:rsidRPr="00000000">
        <w:rPr>
          <w:rFonts w:ascii="Arial" w:cs="Arial" w:eastAsia="Arial" w:hAnsi="Arial"/>
          <w:sz w:val="22"/>
          <w:szCs w:val="22"/>
          <w:highlight w:val="white"/>
          <w:rtl w:val="0"/>
        </w:rPr>
        <w:t xml:space="preserve">2025</w:t>
      </w:r>
      <w:r w:rsidDel="00000000" w:rsidR="00000000" w:rsidRPr="00000000">
        <w:rPr>
          <w:rFonts w:ascii="Arial" w:cs="Arial" w:eastAsia="Arial" w:hAnsi="Arial"/>
          <w:sz w:val="22"/>
          <w:szCs w:val="22"/>
          <w:rtl w:val="0"/>
        </w:rPr>
        <w:t xml:space="preserve">). National Health Service England 2025 frailty pathway specifically showcases the transition care from hospital towards the community and neighbourhood settings (</w:t>
      </w:r>
      <w:r w:rsidDel="00000000" w:rsidR="00000000" w:rsidRPr="00000000">
        <w:rPr>
          <w:rFonts w:ascii="Arial" w:cs="Arial" w:eastAsia="Arial" w:hAnsi="Arial"/>
          <w:sz w:val="22"/>
          <w:szCs w:val="22"/>
          <w:highlight w:val="white"/>
          <w:rtl w:val="0"/>
        </w:rPr>
        <w:t xml:space="preserve">Fox</w:t>
      </w:r>
      <w:r w:rsidDel="00000000" w:rsidR="00000000" w:rsidRPr="00000000">
        <w:rPr>
          <w:rFonts w:ascii="Arial" w:cs="Arial" w:eastAsia="Arial" w:hAnsi="Arial"/>
          <w:i w:val="1"/>
          <w:iCs w:val="1"/>
          <w:sz w:val="22"/>
          <w:szCs w:val="22"/>
          <w:highlight w:val="white"/>
          <w:rtl w:val="0"/>
        </w:rPr>
        <w:t xml:space="preserve"> et al.</w:t>
      </w:r>
      <w:r w:rsidDel="00000000" w:rsidR="00000000" w:rsidRPr="00000000">
        <w:rPr>
          <w:rFonts w:ascii="Arial" w:cs="Arial" w:eastAsia="Arial" w:hAnsi="Arial"/>
          <w:sz w:val="22"/>
          <w:szCs w:val="22"/>
          <w:highlight w:val="white"/>
          <w:rtl w:val="0"/>
        </w:rPr>
        <w:t xml:space="preserve"> 2025</w:t>
      </w:r>
      <w:r w:rsidDel="00000000" w:rsidR="00000000" w:rsidRPr="00000000">
        <w:rPr>
          <w:rFonts w:ascii="Arial" w:cs="Arial" w:eastAsia="Arial" w:hAnsi="Arial"/>
          <w:sz w:val="22"/>
          <w:szCs w:val="22"/>
          <w:rtl w:val="0"/>
        </w:rPr>
        <w:t xml:space="preserve">). They identified multidisciplinary and integrated intermediate care as a core component of the transition. The existence of different models, local implementation approaches, and outcome pressure creates uncertainty, which leads to integration as the most effective for older adults experiencing both multimorbidity and frailty. Hence, a systematic literature review is needed to bring fragmented evidence together to give a focused assessment of integrated care in the UK. The review has identified models currently used and evaluated the reported health and care outcomes to assess the barriers and facilitators impacting the implementation process. It has also identified the limitations and gaps of the existing evidence. The synthesis can provide clear evidence based for the researcher and health care professional considering future integrated care development for older adults with multimorbidity and frailty.   The uncertainty concerning the effectiveness and implementation of different integrated are also present. The uncertainty is justified, as decisions about integrated care need evidence that is relevant to the UK context and the specific needs of older adults with multimorbidity and frailty. A focused synthesis can help in identifying effective approaches from those with Limited evidence and reflect focus for future service development.</w:t>
      </w:r>
    </w:p>
    <w:p w:rsidR="00000000" w:rsidDel="00000000" w:rsidP="00000000" w:rsidRDefault="00000000" w:rsidRPr="00000000" w14:paraId="000000B0">
      <w:pPr>
        <w:pStyle w:val="Heading2"/>
        <w:rPr/>
      </w:pPr>
      <w:bookmarkStart w:colFirst="0" w:colLast="0" w:name="_1scihs9lee4a" w:id="8"/>
      <w:bookmarkEnd w:id="8"/>
      <w:r w:rsidDel="00000000" w:rsidR="00000000" w:rsidRPr="00000000">
        <w:rPr>
          <w:rtl w:val="0"/>
        </w:rPr>
        <w:t xml:space="preserve">1.5 Research Question</w:t>
      </w:r>
    </w:p>
    <w:p w:rsidR="00000000" w:rsidDel="00000000" w:rsidP="00000000" w:rsidRDefault="00000000" w:rsidRPr="00000000" w14:paraId="000000B1">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How effective are integrated care models in improving health and care outcomes for older adults with multimorbidity and frailty in the UK?</w:t>
      </w:r>
    </w:p>
    <w:p w:rsidR="00000000" w:rsidDel="00000000" w:rsidP="00000000" w:rsidRDefault="00000000" w:rsidRPr="00000000" w14:paraId="000000B2">
      <w:pPr>
        <w:pStyle w:val="Heading2"/>
        <w:rPr/>
      </w:pPr>
      <w:bookmarkStart w:colFirst="0" w:colLast="0" w:name="_v46uaht91c2p" w:id="9"/>
      <w:bookmarkEnd w:id="9"/>
      <w:r w:rsidDel="00000000" w:rsidR="00000000" w:rsidRPr="00000000">
        <w:rPr>
          <w:rtl w:val="0"/>
        </w:rPr>
        <w:t xml:space="preserve">1.6 Research Aim</w:t>
      </w:r>
    </w:p>
    <w:p w:rsidR="00000000" w:rsidDel="00000000" w:rsidP="00000000" w:rsidRDefault="00000000" w:rsidRPr="00000000" w14:paraId="000000B3">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To systematically examine the effectiveness of integrated care models in improving health and care outcomes for older adults with multimorbidity and Frailty in the UK.</w:t>
      </w:r>
    </w:p>
    <w:p w:rsidR="00000000" w:rsidDel="00000000" w:rsidP="00000000" w:rsidRDefault="00000000" w:rsidRPr="00000000" w14:paraId="000000B4">
      <w:pPr>
        <w:pStyle w:val="Heading2"/>
        <w:rPr/>
      </w:pPr>
      <w:bookmarkStart w:colFirst="0" w:colLast="0" w:name="_uk5c1tmcdt6u" w:id="10"/>
      <w:bookmarkEnd w:id="10"/>
      <w:r w:rsidDel="00000000" w:rsidR="00000000" w:rsidRPr="00000000">
        <w:rPr>
          <w:rtl w:val="0"/>
        </w:rPr>
        <w:t xml:space="preserve">1.7 Research Objectives</w:t>
      </w:r>
    </w:p>
    <w:p w:rsidR="00000000" w:rsidDel="00000000" w:rsidP="00000000" w:rsidRDefault="00000000" w:rsidRPr="00000000" w14:paraId="000000B5">
      <w:pPr>
        <w:numPr>
          <w:ilvl w:val="0"/>
          <w:numId w:val="1"/>
        </w:numPr>
        <w:shd w:fill="auto" w:val="clear"/>
        <w:spacing w:after="0" w:lineRule="auto"/>
        <w:ind w:left="720" w:hanging="360"/>
        <w:rPr/>
      </w:pPr>
      <w:r w:rsidDel="00000000" w:rsidR="00000000" w:rsidRPr="00000000">
        <w:rPr>
          <w:rFonts w:ascii="Arial" w:cs="Arial" w:eastAsia="Arial" w:hAnsi="Arial"/>
          <w:sz w:val="22"/>
          <w:szCs w:val="22"/>
          <w:rtl w:val="0"/>
        </w:rPr>
        <w:t xml:space="preserve">To identify the integrated care models used to support older adults with multimorbidity and frailty in the UK.</w:t>
      </w:r>
    </w:p>
    <w:p w:rsidR="00000000" w:rsidDel="00000000" w:rsidP="00000000" w:rsidRDefault="00000000" w:rsidRPr="00000000" w14:paraId="000000B6">
      <w:pPr>
        <w:numPr>
          <w:ilvl w:val="0"/>
          <w:numId w:val="1"/>
        </w:numPr>
        <w:shd w:fill="auto" w:val="clear"/>
        <w:spacing w:after="0" w:lineRule="auto"/>
        <w:ind w:left="720" w:hanging="360"/>
        <w:rPr/>
      </w:pPr>
      <w:r w:rsidDel="00000000" w:rsidR="00000000" w:rsidRPr="00000000">
        <w:rPr>
          <w:rFonts w:ascii="Arial" w:cs="Arial" w:eastAsia="Arial" w:hAnsi="Arial"/>
          <w:sz w:val="22"/>
          <w:szCs w:val="22"/>
          <w:rtl w:val="0"/>
        </w:rPr>
        <w:t xml:space="preserve">To examine the effectiveness of integrated care models in improving health and social care outcomes among older adults with Multimorbidity and frailty.</w:t>
      </w:r>
    </w:p>
    <w:p w:rsidR="00000000" w:rsidDel="00000000" w:rsidP="00000000" w:rsidRDefault="00000000" w:rsidRPr="00000000" w14:paraId="000000B7">
      <w:pPr>
        <w:numPr>
          <w:ilvl w:val="0"/>
          <w:numId w:val="1"/>
        </w:numPr>
        <w:shd w:fill="auto" w:val="clear"/>
        <w:spacing w:after="0" w:lineRule="auto"/>
        <w:ind w:left="720" w:hanging="360"/>
        <w:rPr/>
      </w:pPr>
      <w:r w:rsidDel="00000000" w:rsidR="00000000" w:rsidRPr="00000000">
        <w:rPr>
          <w:rFonts w:ascii="Arial" w:cs="Arial" w:eastAsia="Arial" w:hAnsi="Arial"/>
          <w:sz w:val="22"/>
          <w:szCs w:val="22"/>
          <w:rtl w:val="0"/>
        </w:rPr>
        <w:t xml:space="preserve">To critically examine the facilitators and barriers to implementing integrated care models for older adults with multimorbidity and frailty in the UK.</w:t>
      </w:r>
    </w:p>
    <w:p w:rsidR="00000000" w:rsidDel="00000000" w:rsidP="00000000" w:rsidRDefault="00000000" w:rsidRPr="00000000" w14:paraId="000000B8">
      <w:pPr>
        <w:numPr>
          <w:ilvl w:val="0"/>
          <w:numId w:val="1"/>
        </w:numPr>
        <w:shd w:fill="auto" w:val="clear"/>
        <w:ind w:left="720" w:hanging="360"/>
        <w:rPr/>
      </w:pPr>
      <w:r w:rsidDel="00000000" w:rsidR="00000000" w:rsidRPr="00000000">
        <w:rPr>
          <w:rFonts w:ascii="Arial" w:cs="Arial" w:eastAsia="Arial" w:hAnsi="Arial"/>
          <w:sz w:val="22"/>
          <w:szCs w:val="22"/>
          <w:rtl w:val="0"/>
        </w:rPr>
        <w:t xml:space="preserve">To identify gaps in the existing evidence and develop evidence-based Recommendations for future research, policy, and practice.</w:t>
      </w:r>
    </w:p>
    <w:p w:rsidR="00000000" w:rsidDel="00000000" w:rsidP="00000000" w:rsidRDefault="00000000" w:rsidRPr="00000000" w14:paraId="000000B9">
      <w:pPr>
        <w:pStyle w:val="Heading2"/>
        <w:rPr/>
      </w:pPr>
      <w:bookmarkStart w:colFirst="0" w:colLast="0" w:name="_ely7bto0ivkf" w:id="11"/>
      <w:bookmarkEnd w:id="11"/>
      <w:r w:rsidDel="00000000" w:rsidR="00000000" w:rsidRPr="00000000">
        <w:rPr>
          <w:rtl w:val="0"/>
        </w:rPr>
        <w:t xml:space="preserve">1.8 Dissertation outline </w:t>
      </w:r>
    </w:p>
    <w:p w:rsidR="00000000" w:rsidDel="00000000" w:rsidP="00000000" w:rsidRDefault="00000000" w:rsidRPr="00000000" w14:paraId="000000BA">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The dissertation consists of 5 chapters to systematically address the research aim and objectives. </w:t>
      </w:r>
      <w:r w:rsidDel="00000000" w:rsidR="00000000" w:rsidRPr="00000000">
        <w:rPr>
          <w:rFonts w:ascii="Arial" w:cs="Arial" w:eastAsia="Arial" w:hAnsi="Arial"/>
          <w:b w:val="1"/>
          <w:bCs w:val="1"/>
          <w:i w:val="1"/>
          <w:iCs w:val="1"/>
          <w:sz w:val="22"/>
          <w:szCs w:val="22"/>
          <w:rtl w:val="0"/>
        </w:rPr>
        <w:t xml:space="preserve">Chapter 1 represents the introduction</w:t>
      </w:r>
      <w:r w:rsidDel="00000000" w:rsidR="00000000" w:rsidRPr="00000000">
        <w:rPr>
          <w:rFonts w:ascii="Arial" w:cs="Arial" w:eastAsia="Arial" w:hAnsi="Arial"/>
          <w:sz w:val="22"/>
          <w:szCs w:val="22"/>
          <w:rtl w:val="0"/>
        </w:rPr>
        <w:t xml:space="preserve">, which outlines the research background rationally aim, the objectives, the research question, the significance, and the proposed methodology.</w:t>
      </w:r>
      <w:r w:rsidDel="00000000" w:rsidR="00000000" w:rsidRPr="00000000">
        <w:rPr>
          <w:rFonts w:ascii="Arial" w:cs="Arial" w:eastAsia="Arial" w:hAnsi="Arial"/>
          <w:b w:val="1"/>
          <w:bCs w:val="1"/>
          <w:i w:val="1"/>
          <w:iCs w:val="1"/>
          <w:sz w:val="22"/>
          <w:szCs w:val="22"/>
          <w:rtl w:val="0"/>
        </w:rPr>
        <w:t xml:space="preserve"> Chapter 2 is the literature review</w:t>
      </w:r>
      <w:r w:rsidDel="00000000" w:rsidR="00000000" w:rsidRPr="00000000">
        <w:rPr>
          <w:rFonts w:ascii="Arial" w:cs="Arial" w:eastAsia="Arial" w:hAnsi="Arial"/>
          <w:sz w:val="22"/>
          <w:szCs w:val="22"/>
          <w:rtl w:val="0"/>
        </w:rPr>
        <w:t xml:space="preserve">, which critically identifies the existing evidence concerning multimorbidity, frailty, and integrated care models for older adults within the UK. It also identifies different concept databases and gaps in the current literature. </w:t>
      </w:r>
      <w:r w:rsidDel="00000000" w:rsidR="00000000" w:rsidRPr="00000000">
        <w:rPr>
          <w:rFonts w:ascii="Arial" w:cs="Arial" w:eastAsia="Arial" w:hAnsi="Arial"/>
          <w:b w:val="1"/>
          <w:bCs w:val="1"/>
          <w:i w:val="1"/>
          <w:iCs w:val="1"/>
          <w:sz w:val="22"/>
          <w:szCs w:val="22"/>
          <w:rtl w:val="0"/>
        </w:rPr>
        <w:t xml:space="preserve">Chapter 3 is the research methodology</w:t>
      </w:r>
      <w:r w:rsidDel="00000000" w:rsidR="00000000" w:rsidRPr="00000000">
        <w:rPr>
          <w:rFonts w:ascii="Arial" w:cs="Arial" w:eastAsia="Arial" w:hAnsi="Arial"/>
          <w:sz w:val="22"/>
          <w:szCs w:val="22"/>
          <w:rtl w:val="0"/>
        </w:rPr>
        <w:t xml:space="preserve">, which adapts the systematic literature review, including the search strategy, eligibility criteria, study selection, data extraction, analysis, and ethical considerations. </w:t>
      </w:r>
      <w:r w:rsidDel="00000000" w:rsidR="00000000" w:rsidRPr="00000000">
        <w:rPr>
          <w:rFonts w:ascii="Arial" w:cs="Arial" w:eastAsia="Arial" w:hAnsi="Arial"/>
          <w:b w:val="1"/>
          <w:bCs w:val="1"/>
          <w:i w:val="1"/>
          <w:iCs w:val="1"/>
          <w:sz w:val="22"/>
          <w:szCs w:val="22"/>
          <w:rtl w:val="0"/>
        </w:rPr>
        <w:t xml:space="preserve">Chapter 4 represents the results and discussion</w:t>
      </w:r>
      <w:r w:rsidDel="00000000" w:rsidR="00000000" w:rsidRPr="00000000">
        <w:rPr>
          <w:rFonts w:ascii="Arial" w:cs="Arial" w:eastAsia="Arial" w:hAnsi="Arial"/>
          <w:sz w:val="22"/>
          <w:szCs w:val="22"/>
          <w:rtl w:val="0"/>
        </w:rPr>
        <w:t xml:space="preserve">, which synthesizes the findings for the selected study and critically interprets the major themes in relation to the existing evidence. Lastly, </w:t>
      </w:r>
      <w:r w:rsidDel="00000000" w:rsidR="00000000" w:rsidRPr="00000000">
        <w:rPr>
          <w:rFonts w:ascii="Arial" w:cs="Arial" w:eastAsia="Arial" w:hAnsi="Arial"/>
          <w:b w:val="1"/>
          <w:bCs w:val="1"/>
          <w:i w:val="1"/>
          <w:iCs w:val="1"/>
          <w:sz w:val="22"/>
          <w:szCs w:val="22"/>
          <w:rtl w:val="0"/>
        </w:rPr>
        <w:t xml:space="preserve">Chapter 5 gives the Conclusion and Recommendation</w:t>
      </w:r>
      <w:r w:rsidDel="00000000" w:rsidR="00000000" w:rsidRPr="00000000">
        <w:rPr>
          <w:rFonts w:ascii="Arial" w:cs="Arial" w:eastAsia="Arial" w:hAnsi="Arial"/>
          <w:sz w:val="22"/>
          <w:szCs w:val="22"/>
          <w:rtl w:val="0"/>
        </w:rPr>
        <w:t xml:space="preserve">, summarising the principal findings and identifying the research limitations and proposing the implications for future research. </w:t>
      </w:r>
    </w:p>
    <w:p w:rsidR="00000000" w:rsidDel="00000000" w:rsidP="00000000" w:rsidRDefault="00000000" w:rsidRPr="00000000" w14:paraId="000000BB">
      <w:pPr>
        <w:pStyle w:val="Heading2"/>
        <w:rPr/>
      </w:pPr>
      <w:bookmarkStart w:colFirst="0" w:colLast="0" w:name="_jbvxg3tilmio" w:id="12"/>
      <w:bookmarkEnd w:id="12"/>
      <w:r w:rsidDel="00000000" w:rsidR="00000000" w:rsidRPr="00000000">
        <w:rPr>
          <w:rtl w:val="0"/>
        </w:rPr>
        <w:t xml:space="preserve">1.9 Summary of Chapter</w:t>
      </w:r>
    </w:p>
    <w:p w:rsidR="00000000" w:rsidDel="00000000" w:rsidP="00000000" w:rsidRDefault="00000000" w:rsidRPr="00000000" w14:paraId="000000BC">
      <w:pPr>
        <w:shd w:fill="auto" w:val="clear"/>
        <w:rPr>
          <w:rFonts w:ascii="Arial" w:cs="Arial" w:eastAsia="Arial" w:hAnsi="Arial"/>
          <w:sz w:val="22"/>
          <w:szCs w:val="22"/>
        </w:rPr>
      </w:pPr>
      <w:r w:rsidDel="00000000" w:rsidR="00000000" w:rsidRPr="00000000">
        <w:rPr>
          <w:rFonts w:ascii="Arial" w:cs="Arial" w:eastAsia="Arial" w:hAnsi="Arial"/>
          <w:sz w:val="22"/>
          <w:szCs w:val="22"/>
          <w:rtl w:val="0"/>
        </w:rPr>
        <w:t xml:space="preserve">From the above, it is summarized that the chapter introduced the research topic by outlining the challenges of multimorbidity and frailty among older adults in the UK. It is identified that integrated care for older people with multimorbidity is extremely important as it can improve healthcare delivery, supporting sustainable and high-quality care for an ageing population.  The chapter also developed the requirement for identifying integrated care through a systematic review of the available UK evidence. The background highlighted the increased complications of care requirements connected with population aging, multimorbidity, and frailty. The research aim, question, and objective were developed to address the issues by identifying existing models and evaluate in Health and care outcomes. The proposed systematic literature review methodology and overall dissertation structure give a clear foundation for the subsequent study.</w:t>
      </w:r>
    </w:p>
    <w:p w:rsidR="00000000" w:rsidDel="00000000" w:rsidP="00000000" w:rsidRDefault="00000000" w:rsidRPr="00000000" w14:paraId="000000BD">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BE">
      <w:pPr>
        <w:pStyle w:val="Heading1"/>
        <w:rPr/>
      </w:pPr>
      <w:bookmarkStart w:colFirst="0" w:colLast="0" w:name="_le7viqy2bm1c" w:id="13"/>
      <w:bookmarkEnd w:id="13"/>
      <w:r w:rsidDel="00000000" w:rsidR="00000000" w:rsidRPr="00000000">
        <w:rPr>
          <w:rtl w:val="0"/>
        </w:rPr>
        <w:t xml:space="preserve">Chapter 2: Literature Review</w:t>
      </w:r>
    </w:p>
    <w:p w:rsidR="00000000" w:rsidDel="00000000" w:rsidP="00000000" w:rsidRDefault="00000000" w:rsidRPr="00000000" w14:paraId="000000BF">
      <w:pPr>
        <w:pStyle w:val="Heading2"/>
        <w:rPr/>
      </w:pPr>
      <w:bookmarkStart w:colFirst="0" w:colLast="0" w:name="_dyopedb47qxb" w:id="14"/>
      <w:bookmarkEnd w:id="14"/>
      <w:r w:rsidDel="00000000" w:rsidR="00000000" w:rsidRPr="00000000">
        <w:rPr>
          <w:rtl w:val="0"/>
        </w:rPr>
        <w:t xml:space="preserve">2.1 Chapter Introduction</w:t>
      </w:r>
    </w:p>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This chapter critically examines the literature on integrated care for older adults living with multimorbidity and frailty in the UK. Their health and social care needs are complex, and therefore the importance of coordinated and person-centred approaches is growing. The chapter therefore begins by reviewing the various models of integrated care and the implementation of integrated care in the UK context. It then reviews information on their health, functional, service, and cost outcomes, and discusses factors that support or hinder implementation. Specific focus is drawn to the principles of multidisciplinary working, care co-ordination, and person-centred approaches. The chapter provides a broader overview of the existing literature, highlighting areas of agreement, disagreement, and uncertainty rather than presenting the findings of the systematic review.</w:t>
      </w:r>
    </w:p>
    <w:p w:rsidR="00000000" w:rsidDel="00000000" w:rsidP="00000000" w:rsidRDefault="00000000" w:rsidRPr="00000000" w14:paraId="000000C1">
      <w:pPr>
        <w:pStyle w:val="Heading2"/>
        <w:rPr/>
      </w:pPr>
      <w:bookmarkStart w:colFirst="0" w:colLast="0" w:name="_4enb4xpzb7p6" w:id="15"/>
      <w:bookmarkEnd w:id="15"/>
      <w:r w:rsidDel="00000000" w:rsidR="00000000" w:rsidRPr="00000000">
        <w:rPr>
          <w:rtl w:val="0"/>
        </w:rPr>
        <w:t xml:space="preserve">2.2 Models of Integrated Care for Older Adults with Multimorbidity and Frailty</w:t>
      </w:r>
    </w:p>
    <w:p w:rsidR="00000000" w:rsidDel="00000000" w:rsidP="00000000" w:rsidRDefault="00000000" w:rsidRPr="00000000" w14:paraId="000000C2">
      <w:pPr>
        <w:pStyle w:val="Heading3"/>
        <w:rPr>
          <w:rFonts w:ascii="Arial" w:cs="Arial" w:eastAsia="Arial" w:hAnsi="Arial"/>
          <w:sz w:val="22"/>
          <w:szCs w:val="22"/>
        </w:rPr>
      </w:pPr>
      <w:bookmarkStart w:colFirst="0" w:colLast="0" w:name="_pk300mtex4lf" w:id="16"/>
      <w:bookmarkEnd w:id="16"/>
      <w:r w:rsidDel="00000000" w:rsidR="00000000" w:rsidRPr="00000000">
        <w:rPr>
          <w:rFonts w:ascii="Arial" w:cs="Arial" w:eastAsia="Arial" w:hAnsi="Arial"/>
          <w:sz w:val="22"/>
          <w:szCs w:val="22"/>
          <w:rtl w:val="0"/>
        </w:rPr>
        <w:t xml:space="preserve">2.2.1 Types and Components of Integrated Care Models Used in the UK</w:t>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There are different models for the integration of care in the UK that coordinate and link health, social, and community services for older adults with multimorbidity and frailty. It is important to distinguish integrated care models or approaches from the components through which integration is delivered. Case management gives a general framework to help organise care, while care coordination, shared assessment, information sharing and multidisciplinary working are some of the operating elements for different integrated care approaches. This distinction should be taken into account when making comparisons to the broader evidence as not all the studies employ consistent language with regards to integrated care. Some are used to describe the whole service provision; others are used to assess specific aspects or elements of a service provision. Thus, if components are similar, it does not imply that the approaches are equal. An appreciation of this variation also allows preventing the inferring of effectiveness of one component to the effectiveness of an integrated care model. Dambha-Miller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employed a scoping review to perform a map of primary care and social-service integration for older adults with multimorbidity. They list the shared assessment, care planning, communication and multidisciplinary collaboration as recurrent features in their evidence. A similar study by Hodgson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looks at the issue of integration between primary care and social care but has a stronger attention to the policy and organisational environment that facilitates collaborative working. These thoughts are therefore not mutually exclusive, but are reflective of one another. Together, they suggest that ongoing integration of social care services often happens at the level of GP-led primary care within the UK care system. </w:t>
      </w:r>
    </w:p>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Case management is a more formalised approach to integrated care with a well-defined level of responsibility for coordinating various aspects of care.  In a Cochrane systematic review, Sadler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reviewed the use of case management in older people with frailty in community homes. Their evidence shows a great deal of variation in intervention design and the uncertainty of overall effectiveness. This is a more conservative study than the wide-range mapping of integration pathways carried out by Dambha-Miller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The differential is key since formal case management involves more clearly defined coordinating responsibilities, while broader integration can be based on professionalism, shared responsibilities and relationships. Thus, having a designated coordinator does not mandate greater effectiveness of integration for older adults with complex and multiple care needs. </w:t>
      </w:r>
    </w:p>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Another approach is the community-based, multidisciplinary model. Hayes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undertook a systematic review and meta-analysis of community-based integrated care that included GP involvement. Their synthesis is more robust than with case management and offers more support for the evaluation of multidisciplinary community approaches. However, the review is predominantly focused on older adults in general and does not allow for direct generalisation to those who have multimorbidity and the frailty syndrome. As a result, methodological and population validity are not synonymous. These models are embedded in the UK structures of Integrated Care Systems, Primary Care Networks, and neighbourhood services. Overall, the wider literature identifies case management and community-based multidisciplinary care as integrated care approaches, while care coordination, shared assessment, information sharing and multidisciplinary working are recurring components within these approaches. This differentiation is crucial since components of each model or approach to integrated care may be the same yet organised and delivered in different ways.</w:t>
      </w:r>
    </w:p>
    <w:p w:rsidR="00000000" w:rsidDel="00000000" w:rsidP="00000000" w:rsidRDefault="00000000" w:rsidRPr="00000000" w14:paraId="000000C6">
      <w:pPr>
        <w:pStyle w:val="Heading3"/>
        <w:rPr>
          <w:rFonts w:ascii="Arial" w:cs="Arial" w:eastAsia="Arial" w:hAnsi="Arial"/>
          <w:sz w:val="22"/>
          <w:szCs w:val="22"/>
        </w:rPr>
      </w:pPr>
      <w:bookmarkStart w:colFirst="0" w:colLast="0" w:name="_ivougwin9xu" w:id="17"/>
      <w:bookmarkEnd w:id="17"/>
      <w:r w:rsidDel="00000000" w:rsidR="00000000" w:rsidRPr="00000000">
        <w:rPr>
          <w:rFonts w:ascii="Arial" w:cs="Arial" w:eastAsia="Arial" w:hAnsi="Arial"/>
          <w:sz w:val="22"/>
          <w:szCs w:val="22"/>
          <w:rtl w:val="0"/>
        </w:rPr>
        <w:t xml:space="preserve">2.2.2 Variation in Implementation Across Settings and Populations</w:t>
      </w:r>
    </w:p>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National policy is seen locally in different health and social care settings, so there is no one-size-fits-all model for implementing integrated care for older adults with multimorbidity and frailty. Khan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illustrate this through their examination national frailty policy in Luton. They found that their study of services revealed adaptations to meet varying levels of frailty among older adults and prevailing conditions. There is also some variation in the level of vertical integration between primary care and acute hospitals. Sidhu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identified that the nature of the current organisational relationship shaped the nature of integration across settings. These two studies both show that implementation is affected by local context, but they have focused on different mechanisms. However, the literature is generally in support that implementation is influenced by local context, with a range of differently understood mechanisms. While Khan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emphasize patient needs, particularly those associated with different levels of frailty, Sidhu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point to the relationships in the organisation and the nature of professionals interacting.</w:t>
      </w:r>
    </w:p>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These differences suggest that there are other factors besides just the formal design of the model that influence implementation for older adults with complex and multiple care needs. Co-ordination may be affected at the interpersonal level through workforce relationships, professional trust, and patient needs. Organisational levels are influenced by organisational structure, leadership, and governance. There is also some variation at the community level with local service availability and characteristics of the population. </w:t>
      </w:r>
    </w:p>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The specificity of the local context is also apparent in integrated programmes for older adults. Seamer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suggest that implementation effects can vary by programme evolution in specific local health economies. This mirrors Thomson and Chatterjee (2024), who have isolated workforce capacity, leadership, funding, organisational culture, and infrastructure of information-sharing as recurring factors. It is generally agreed that structural change is necessary but not sufficient for implementation. However, these variables are also represented in various ways and assigned varying degrees of importance in the literature. There is some evidence that highlights workforce capacity, resources, or population needs, and other evidence that highlights organisational relationships. Thus, although the overall literature suggests that contextual conditions impact implementation, there is not a consistent agreement regarding what factors are most salient.</w:t>
      </w:r>
    </w:p>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However, in comparing settings, there are further complications due to levels of implementation maturity. Older programs can have more cohesive professional relationships and better coordination than newer programs. But data from specific programmes can't prove the same conditions apply to other health economies in the UK. Most literature is local, with a lack of clarity on national scalability. This restricts the generalizability within the wider UK integrated care system from individual local programmes. Variation in context, organisational capacity, and population needs, therefore, remains central to an understanding of the transferability of the models of integrated care for older adults with multimorbidity and frailty across the UK. </w:t>
      </w:r>
    </w:p>
    <w:p w:rsidR="00000000" w:rsidDel="00000000" w:rsidP="00000000" w:rsidRDefault="00000000" w:rsidRPr="00000000" w14:paraId="000000CB">
      <w:pPr>
        <w:pStyle w:val="Heading2"/>
        <w:rPr/>
      </w:pPr>
      <w:bookmarkStart w:colFirst="0" w:colLast="0" w:name="_lknfwlqnuxtw" w:id="18"/>
      <w:bookmarkEnd w:id="18"/>
      <w:r w:rsidDel="00000000" w:rsidR="00000000" w:rsidRPr="00000000">
        <w:rPr>
          <w:rtl w:val="0"/>
        </w:rPr>
        <w:t xml:space="preserve">2.3 Effectiveness of Integrated Care Models on Health and Care Outcomes</w:t>
      </w:r>
    </w:p>
    <w:p w:rsidR="00000000" w:rsidDel="00000000" w:rsidP="00000000" w:rsidRDefault="00000000" w:rsidRPr="00000000" w14:paraId="000000CC">
      <w:pPr>
        <w:pStyle w:val="Heading3"/>
        <w:rPr>
          <w:rFonts w:ascii="Arial" w:cs="Arial" w:eastAsia="Arial" w:hAnsi="Arial"/>
          <w:sz w:val="22"/>
          <w:szCs w:val="22"/>
        </w:rPr>
      </w:pPr>
      <w:bookmarkStart w:colFirst="0" w:colLast="0" w:name="_snzmeel5zqks" w:id="19"/>
      <w:bookmarkEnd w:id="19"/>
      <w:r w:rsidDel="00000000" w:rsidR="00000000" w:rsidRPr="00000000">
        <w:rPr>
          <w:rFonts w:ascii="Arial" w:cs="Arial" w:eastAsia="Arial" w:hAnsi="Arial"/>
          <w:sz w:val="22"/>
          <w:szCs w:val="22"/>
          <w:rtl w:val="0"/>
        </w:rPr>
        <w:t xml:space="preserve">2.3.1 Clinical and Functional Outcomes</w:t>
      </w:r>
    </w:p>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The wider literature presents both positive and negative or mixed results on the effectiveness of integrated care for older adults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with multimorbidity and frailty in the UK. Hayes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highlight that community-based, multidisciplinary, GP-led care may offer potential benefits, especially through coordinated support outside of acute care. This positive evidence stands in contrast to results from Morciano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who reported on non-homogeneous decreases in emergency admissions for UK national integration programmes. Integrated care shows a stronger contrast in the study of Piroddi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which examined effects in a disadvantaged English community, in which the group had a slight rise in emergency admissions but no survival improvement. Overall, there is no clear link between increased integration and decreased hospitalizations for older adults with multiple care needs.</w:t>
      </w:r>
    </w:p>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These disparities in the broader literature indicate that the success of integrating may be influenced by the level of complexity and context of patients' needs. The study by Piroddi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is important in particular because the intervention was undertaken for a population of disadvantaged people in which socioeconomic factors could have a negative interaction with multimorbidity, frailty and health needs. Coordination in a Social Determinants of Health context may be less impactful if broader deprivation persists in its impact on health and service use. There is a contrast to the more positive view of multidisciplinary community care by Hayes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which indicates that the impact on clinical change may depend on the environment of the population. The wider evidence on mortality is also not conclusive. Piroddi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showed no difference in survival after reducing fragmentation, thus contradicting the notion that a smaller size of fragments generates superior long-term clinical results. The outcomes achieved in the service vary from one integration programme to another, showing that the results are influenced by the type of configuration and maturity of the service (Morciano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Thus, the literature indicates more consensus about the varying impacts on outcomes across the different types of integrated care programmes than about the consistent mortality benefit of integrated care for older people with multimorbidity and frailty.</w:t>
      </w:r>
    </w:p>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The functional outcomes offer a more comprehensive view of good outcomes. Leithaus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identify transitional-care elements that link services in hospitals with services in home settings in frail older populations. This continuity can help to maintain independence and recovery, even if a person hasn't been moved to a hospital or died. This extends the assessment of the integrated care beyond the acute use of services. The overall body of literature suggests that coordinated and continuous care provides potential benefits, but gains are not consistent across clinical studies. An unfilled gap therefore exists in determining which aspects of integrated care are linked to sustained clinical and functional outcomes in the varying populations and contexts in the UK.</w:t>
      </w:r>
    </w:p>
    <w:p w:rsidR="00000000" w:rsidDel="00000000" w:rsidP="00000000" w:rsidRDefault="00000000" w:rsidRPr="00000000" w14:paraId="000000D0">
      <w:pPr>
        <w:pStyle w:val="Heading3"/>
        <w:rPr>
          <w:rFonts w:ascii="Arial" w:cs="Arial" w:eastAsia="Arial" w:hAnsi="Arial"/>
          <w:sz w:val="22"/>
          <w:szCs w:val="22"/>
        </w:rPr>
      </w:pPr>
      <w:bookmarkStart w:colFirst="0" w:colLast="0" w:name="_7zjh4pdardh" w:id="20"/>
      <w:bookmarkEnd w:id="20"/>
      <w:r w:rsidDel="00000000" w:rsidR="00000000" w:rsidRPr="00000000">
        <w:rPr>
          <w:rFonts w:ascii="Arial" w:cs="Arial" w:eastAsia="Arial" w:hAnsi="Arial"/>
          <w:sz w:val="22"/>
          <w:szCs w:val="22"/>
          <w:rtl w:val="0"/>
        </w:rPr>
        <w:t xml:space="preserve">2.3.2 Service-Level and Cost-Related Outcomes</w:t>
      </w:r>
    </w:p>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At the service level, integrated care should optimize efficiency through the co-ordination of demand across health and social care for older adults with multimorbidity and frailty. The larger body of the literature, however, suggests inconclusive results regarding whether integration always leads to more efficient delivery of services or to decreases in hospital use. Seamer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found that emergency admissions eventually declined, but this occurred only after several years. This lagged impact is in contrast to the finding of no reduction in hospital activity reported by Georghiou and Keeble (2019). Their evaluation, in contrast, suggests that personalised integrated care may highlight previously unmet needs and possibly augment the use of appropriate services. The combined findings from these studies indicate conflict within the current evidence regarding the impact of integrated care in reducing service utilization; increased rates of utilization sometimes mean that services are being provided for needs that may not have been met.</w:t>
      </w:r>
    </w:p>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These same uncertainties apply to waiting times and responsiveness of service. Csontos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identify some evidence that multidisciplinary teams, integrated pathways, and care coordination can improve waiting times. But the evidence is much more limited when it comes to routine or elective waiting lists than to specific processes like ER visits and surgery wait times. This distinction is important as better coordination can have benefits for specific stages of a pathway, but not necessarily for the whole system. The broader evidence includes a range of service performance indicators such as admissions, waiting times, length of stay and/or service use patterns. This variation can make it difficult to directly compare between different approaches to integrated care, especially if programmes vary in length, population demographics and the type and availability of services in the area. This means that any differences in efficiency on the surface may represent variations in the design of the integrated care as well as how the outcomes for the different service levels are defined, measured and evaluated in the various studies. Therefore, no single indicator of service utilities can be used to measure the quantity or quality of integrated care. Establishing cost implications is also a challenge. There may be added savings from reduced emergency admissions; however, these can be offset by increased hospital length of stay, workforce needs, and work costs for additional community services. In delivering integration, UK Integrated Care Systems face significant workforce and financial pressures as outlined by the NHS Confederation (2022). This introduces a paradox between the hope that integration will free up resources and the cost of investment to support integration.</w:t>
      </w:r>
    </w:p>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sz w:val="22"/>
          <w:szCs w:val="22"/>
          <w:rtl w:val="0"/>
        </w:rPr>
        <w:t xml:space="preserve">There is, therefore, more consensus in the literature in relation to the possibility of improving services than reducing costs. Redeployment of demand between services does not necessarily mean the reduction of demand. Its impact is also time-dependent and subject to local capacity as well as the needs of the older people served. But there are still some missing links in the broader evidence around how service improvement influences the cost-benefits of services in a sustainable and consistent way across the UK. The existing literature thus argues that cost-effectiveness should be evaluated based not just on decreases in hospital activity, but on reductions in health care utilization and impacts on outcomes.</w:t>
      </w:r>
    </w:p>
    <w:p w:rsidR="00000000" w:rsidDel="00000000" w:rsidP="00000000" w:rsidRDefault="00000000" w:rsidRPr="00000000" w14:paraId="000000D4">
      <w:pPr>
        <w:pStyle w:val="Heading2"/>
        <w:rPr/>
      </w:pPr>
      <w:bookmarkStart w:colFirst="0" w:colLast="0" w:name="_w7qlxcqt9lf2" w:id="21"/>
      <w:bookmarkEnd w:id="21"/>
      <w:r w:rsidDel="00000000" w:rsidR="00000000" w:rsidRPr="00000000">
        <w:rPr>
          <w:rtl w:val="0"/>
        </w:rPr>
        <w:t xml:space="preserve">2.4 Facilitators and Barriers to Implementation</w:t>
      </w:r>
    </w:p>
    <w:p w:rsidR="00000000" w:rsidDel="00000000" w:rsidP="00000000" w:rsidRDefault="00000000" w:rsidRPr="00000000" w14:paraId="000000D5">
      <w:pPr>
        <w:pStyle w:val="Heading3"/>
        <w:rPr>
          <w:rFonts w:ascii="Arial" w:cs="Arial" w:eastAsia="Arial" w:hAnsi="Arial"/>
          <w:sz w:val="22"/>
          <w:szCs w:val="22"/>
        </w:rPr>
      </w:pPr>
      <w:bookmarkStart w:colFirst="0" w:colLast="0" w:name="_6nk3hsft2bsd" w:id="22"/>
      <w:bookmarkEnd w:id="22"/>
      <w:r w:rsidDel="00000000" w:rsidR="00000000" w:rsidRPr="00000000">
        <w:rPr>
          <w:rFonts w:ascii="Arial" w:cs="Arial" w:eastAsia="Arial" w:hAnsi="Arial"/>
          <w:sz w:val="22"/>
          <w:szCs w:val="22"/>
          <w:rtl w:val="0"/>
        </w:rPr>
        <w:t xml:space="preserve">2.4.1 Organisational and Workforce Facilitators/Barriers</w:t>
      </w:r>
    </w:p>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sz w:val="22"/>
          <w:szCs w:val="22"/>
          <w:rtl w:val="0"/>
        </w:rPr>
        <w:t xml:space="preserve">The potential for integrated care to progress from formal partnership toward more ongoing collaboration is strongly contingent on the local conditions of the organisations. Leadership, communication, shared governance, and organisational culture are recognised as significant enablers (Thomson and Chatterjee 2024). The NHS Confederation (2022) also points to the importance of effective working across Integrated Care Systems, noting that workforce shortages and resource pressures remain constraints. The wider literature therefore suggests that organisational commitment can be a source of support for integration, but that structural ambitions may be hard to continue if staff capacity is restricted.</w:t>
      </w:r>
    </w:p>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There's also workforce capability, noted as another critical implementation determinant. However, Barraclough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highlight the need for workforce development, interprofessional learning, and shared competencies as issues that must be addressed as part of the fundamentals of integrated working. Brooks and Gillon (2025), however, give greater focus to communication, role definition, and interpersonal relationships in relation to urgent community responses and intermediate care. Both studies have indicated that besides knowledge and skills, the ability of the Workforce is also influenced by the clarity of role and working relationships. However, they also show an uneasy balance and identify a possibility of tension as the increasing integration of multi-professional working does not eliminate professional boundaries. If roles overlap and no clear accountability exists, collaboration can lead to greater coordination demands.</w:t>
      </w:r>
    </w:p>
    <w:p w:rsidR="00000000" w:rsidDel="00000000" w:rsidP="00000000" w:rsidRDefault="00000000" w:rsidRPr="00000000" w14:paraId="000000D8">
      <w:pPr>
        <w:rPr>
          <w:rFonts w:ascii="Arial" w:cs="Arial" w:eastAsia="Arial" w:hAnsi="Arial"/>
          <w:sz w:val="22"/>
          <w:szCs w:val="22"/>
        </w:rPr>
      </w:pPr>
      <w:r w:rsidDel="00000000" w:rsidR="00000000" w:rsidRPr="00000000">
        <w:rPr>
          <w:rFonts w:ascii="Arial" w:cs="Arial" w:eastAsia="Arial" w:hAnsi="Arial"/>
          <w:sz w:val="22"/>
          <w:szCs w:val="22"/>
          <w:rtl w:val="0"/>
        </w:rPr>
        <w:t xml:space="preserve">These factors are more relevant to those older adults who are both multimorbid and frail. Their needs often span primary, community, and social care or hospital services, and require information sharing and coordination by professionals. Thomson and Chatterjee (2024) identify fragmented communication and organisational boundaries as recurring barriers, while Barraclough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suggest that workforce preparation can strengthen professionals’ ability to work across these boundaries. Combined, the broader literature confirms the need for organizational readiness, as well as the need for workforce capability; however, neither factor alone is able to ensure successful integration. The evidence in relation to the interplay of leadership, resources, workforce development and role clarity does not yet clarify which mix leads to sustainable integration in various UK settings. This is especially important for interpreting the possible differences in how similar integrated care models are implemented in various local health economies.</w:t>
      </w:r>
    </w:p>
    <w:p w:rsidR="00000000" w:rsidDel="00000000" w:rsidP="00000000" w:rsidRDefault="00000000" w:rsidRPr="00000000" w14:paraId="000000D9">
      <w:pPr>
        <w:pStyle w:val="Heading3"/>
        <w:rPr>
          <w:rFonts w:ascii="Arial" w:cs="Arial" w:eastAsia="Arial" w:hAnsi="Arial"/>
          <w:sz w:val="22"/>
          <w:szCs w:val="22"/>
        </w:rPr>
      </w:pPr>
      <w:bookmarkStart w:colFirst="0" w:colLast="0" w:name="_f80cevsuv25a" w:id="23"/>
      <w:bookmarkEnd w:id="23"/>
      <w:r w:rsidDel="00000000" w:rsidR="00000000" w:rsidRPr="00000000">
        <w:rPr>
          <w:rFonts w:ascii="Arial" w:cs="Arial" w:eastAsia="Arial" w:hAnsi="Arial"/>
          <w:sz w:val="22"/>
          <w:szCs w:val="22"/>
          <w:rtl w:val="0"/>
        </w:rPr>
        <w:t xml:space="preserve">2.4.2 Patient-Level and System-Level Facilitators/Barriers</w:t>
      </w:r>
    </w:p>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As integrated care continues evolving and relying more heavily on digital communication and access to services, patient engagement becomes ever more paramount. Ahmed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highlight the concerns of older adults from South Asian, Black African, and Caribbean communities about digital access, confidence, and usefulness of primary care technologies. These worries highlight that when services are expected to assume that patients have similar levels of digital capacity, this can introduce new barriers to digital integration. Wale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also identify digital exclusion as a major challenge for older adults and highlight the benefits that digital support might bring for older adults. Altogether, this broader literature points to digital exclusion as a constant issue and recommends that this support may differ in type and level of need across patient groups.</w:t>
      </w:r>
    </w:p>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However, patient-level barriers do not always refer to an individual's shortcomings. Wilson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highlight the need for user-centred service design, digital support, and empowerment of patients in the design of digital health systems. This takes away the responsibility of care from the patient and onto healthcare organisations and systems. Vannini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build on this by pointing to the value of caring networks as a way to tackle digital inequalities. They believe in relationships and indicate that support systems, including family and community structures, organizations, and other at-risk persons, can overcome individual barriers. This is in contrast with models of digital exclusion that focus mainly on skill deficits among patients. The patient-systems interaction is then also vital to integrated care. Increased use of technology services might present challenges for accessing services for older adults with language and socioeconomic or digital barriers (Ahmed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Wilson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On the other hand, flexible support networks can benefit participation and decrease exclusion (Vannini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This broader evidence moves beyond an individual responsibility focus towards understanding the importance of service design and available support. Digital confidence can affect engagement but organisational access and support within communities can determine whether older people are able to gain from integrated services. Therefore, barriers faced by patients may relate not just to any one service, but to interaction between a patient's circumstances and service structures, where care is required in several settings.</w:t>
      </w:r>
    </w:p>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However, there is limited existing evidence about the intersections of patient-level inequalities and broader system conditions during the implementation of integrated care. Wilson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emphasise accessibility at the system level and the need for patients' involvement, and Ahmed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draw attention to differences in digital experiences between ethnic groups. Vannini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also illustrate the potential role of caring networks in combating digital inequalities. The broader literature indicates that the patient's context and social networks and systems' accessibility must be examined as a package rather than as instances of an independent effect on integrated care. However, the nature of the interplay between these factors in integrated care for older people with multimorbidity and frailty is still unclear. This represents an important gap in the existing literature on barriers and facilitators to integrated care for this population.</w:t>
      </w:r>
    </w:p>
    <w:p w:rsidR="00000000" w:rsidDel="00000000" w:rsidP="00000000" w:rsidRDefault="00000000" w:rsidRPr="00000000" w14:paraId="000000DD">
      <w:pPr>
        <w:pStyle w:val="Heading2"/>
        <w:rPr/>
      </w:pPr>
      <w:bookmarkStart w:colFirst="0" w:colLast="0" w:name="_8tggoh1qecrs" w:id="24"/>
      <w:bookmarkEnd w:id="24"/>
      <w:r w:rsidDel="00000000" w:rsidR="00000000" w:rsidRPr="00000000">
        <w:rPr>
          <w:rtl w:val="0"/>
        </w:rPr>
        <w:t xml:space="preserve">2.5 Person-Centred and Multidisciplinary Approaches in Integrated Care</w:t>
      </w:r>
    </w:p>
    <w:p w:rsidR="00000000" w:rsidDel="00000000" w:rsidP="00000000" w:rsidRDefault="00000000" w:rsidRPr="00000000" w14:paraId="000000DE">
      <w:pPr>
        <w:pStyle w:val="Heading3"/>
        <w:keepNext w:val="0"/>
        <w:keepLines w:val="0"/>
        <w:spacing w:before="280" w:lineRule="auto"/>
        <w:rPr>
          <w:rFonts w:ascii="Arial" w:cs="Arial" w:eastAsia="Arial" w:hAnsi="Arial"/>
          <w:sz w:val="22"/>
          <w:szCs w:val="22"/>
        </w:rPr>
      </w:pPr>
      <w:bookmarkStart w:colFirst="0" w:colLast="0" w:name="_nl82l032a70c" w:id="25"/>
      <w:bookmarkEnd w:id="25"/>
      <w:r w:rsidDel="00000000" w:rsidR="00000000" w:rsidRPr="00000000">
        <w:rPr>
          <w:rFonts w:ascii="Arial" w:cs="Arial" w:eastAsia="Arial" w:hAnsi="Arial"/>
          <w:sz w:val="22"/>
          <w:szCs w:val="22"/>
          <w:rtl w:val="0"/>
        </w:rPr>
        <w:t xml:space="preserve">2.5.1 Multidisciplinary Team Working and Care Coordination</w:t>
      </w:r>
    </w:p>
    <w:p w:rsidR="00000000" w:rsidDel="00000000" w:rsidP="00000000" w:rsidRDefault="00000000" w:rsidRPr="00000000" w14:paraId="000000DF">
      <w:pPr>
        <w:rPr>
          <w:rFonts w:ascii="Arial" w:cs="Arial" w:eastAsia="Arial" w:hAnsi="Arial"/>
          <w:sz w:val="22"/>
          <w:szCs w:val="22"/>
        </w:rPr>
      </w:pPr>
      <w:r w:rsidDel="00000000" w:rsidR="00000000" w:rsidRPr="00000000">
        <w:rPr>
          <w:rFonts w:ascii="Arial" w:cs="Arial" w:eastAsia="Arial" w:hAnsi="Arial"/>
          <w:sz w:val="22"/>
          <w:szCs w:val="22"/>
          <w:rtl w:val="0"/>
        </w:rPr>
        <w:t xml:space="preserve">Multidisciplinary team working and care co-ordination are widely reported characteristics of integrated working in older people with multimorbidity and frailty. Khan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and Barber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agree that coordination requires professionals to share information, communicate effectively, and develop common approaches to care. Their focus is different, however. While coordination between services and adaptation to various levels of frailty are taken as a priority by Khan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(2023), professional collaboration and shared working practice hold more importance for Barber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These studies indicated general consensus of the need for coordination, but varied on the emphasis on service-level integration and relationship between practitioners.</w:t>
      </w:r>
    </w:p>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The broader body of published research is less clear on the relationship between multidisciplinary working and patient outcomes. Proactive multidisciplinary care (PMC) for older people with severe frailty is associated with wellbeing and quality of life outcomes (Murtagh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Ruiz-Grao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however conclude that there are no consistent benefits on adverse events or quality of life for multidisciplinary home-based interventions across the board when it comes to frail older people. Collectively, this evidence indicates that taking a multi-disciplinary approach does not uniformly lead to better outcomes and that the impact may be dependent on the manner in which care is organised around the patient's needs.</w:t>
      </w:r>
    </w:p>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This is a significant distinction for integrated care provision in the UK, where older people with multimorbidity and frailty often need help from both primary, community, hospital, and social care services. Khan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show evidence that coordination should be flexible depending on varying degrees of frailty, and Barber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depict the relational arrangements required by staff to engage in effective teamwork. The broader literature confirms the value of multi-disciplinary working and care co-ordination as central aspects of integrated care, with less consensus regarding the effect of these on the outcome of care. This is still a longstanding gap in knowledge around which forms of multidisciplinary organisation and coordination are successful for older adults with multimorbidity and frailty.</w:t>
      </w:r>
    </w:p>
    <w:p w:rsidR="00000000" w:rsidDel="00000000" w:rsidP="00000000" w:rsidRDefault="00000000" w:rsidRPr="00000000" w14:paraId="000000E2">
      <w:pPr>
        <w:pStyle w:val="Heading3"/>
        <w:rPr>
          <w:rFonts w:ascii="Arial" w:cs="Arial" w:eastAsia="Arial" w:hAnsi="Arial"/>
          <w:sz w:val="22"/>
          <w:szCs w:val="22"/>
        </w:rPr>
      </w:pPr>
      <w:bookmarkStart w:colFirst="0" w:colLast="0" w:name="_3zb7pwcs3ffi" w:id="26"/>
      <w:bookmarkEnd w:id="26"/>
      <w:r w:rsidDel="00000000" w:rsidR="00000000" w:rsidRPr="00000000">
        <w:rPr>
          <w:rFonts w:ascii="Arial" w:cs="Arial" w:eastAsia="Arial" w:hAnsi="Arial"/>
          <w:sz w:val="22"/>
          <w:szCs w:val="22"/>
          <w:rtl w:val="0"/>
        </w:rPr>
        <w:t xml:space="preserve">2.5.2 Person-Centred Planning and Patient/Carer Involvement</w:t>
      </w:r>
    </w:p>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The purpose of person-centred planning is to provide older people with more choice about their care. For Damant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and Smith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planning person-centred care in English care homes is all about understanding individual preferences. The wider literature, however, places different emphasis on how this should be implemented. Leadership, communication, and planning resources are highlighted among important conditions by Damant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while Smith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focus more on care staff experiences and the practical challenges of maintaining person-based approaches. The studies complement each other in recognizing the role of individual preference, but they also emphasize the need for organizational and workforce conditions to implement these preferences as a part of their daily care.</w:t>
      </w:r>
    </w:p>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 involvement is a more contested point at transitions in care. Halamová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identify both meaningful involvement and exclusion of older adults in UK decisions about transitions into care settings. Involving the family in decision-making can be supportive, but it can also shape decisions when the preferences of the older person differ to that of the family or professionals. This makes it difficult to assume that providing greater participation equals greater person-centredness in care. Conversely, Lorber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examine how person-centred care relates to psychological well-being, reinforcing the importance of care that caters to elderly people's psychological and emotional needs. However, this evidence is not UK-specific, limiting its direct applicability to UK integrated-care services. The differences indicates that person centredness is not limited to giving opportunities for participation. The broader context of evidence questions whose opinions are heard in decision-making and how conflicting opinions are co-managed and how long involvement is maintained when the person transitions among the services. This is especially important for individuals with multimorbidity and frailty, who will also have multiple health professionals and carers interacting. So, sustained meaningful engagement requires to keep the preferences of the older person consistent in a range of how relationships, places and care phases are delivered.</w:t>
      </w:r>
    </w:p>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The general literature is broadly supportive of patient and carer involvement, but there was less consensus within it about how meaningful involvement is achieved in various care settings. Damant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emphasise organisational conditions, while Halamová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highlight the complexity of decision-making relationships. These relationships are especially significant for older people with multimorbidity and frailty, where multiple professionals and family members may be involved in decisions regarding care. There is a lack of broader evidence about the sustainability of more meaningful involvement of patients and carers throughout complex integrated care pathways across the UK for older people with multimorbidity and frailty.</w:t>
      </w:r>
    </w:p>
    <w:p w:rsidR="00000000" w:rsidDel="00000000" w:rsidP="00000000" w:rsidRDefault="00000000" w:rsidRPr="00000000" w14:paraId="000000E6">
      <w:pPr>
        <w:pStyle w:val="Heading2"/>
        <w:rPr/>
      </w:pPr>
      <w:bookmarkStart w:colFirst="0" w:colLast="0" w:name="_47veaqbi73ge" w:id="27"/>
      <w:bookmarkEnd w:id="27"/>
      <w:r w:rsidDel="00000000" w:rsidR="00000000" w:rsidRPr="00000000">
        <w:rPr>
          <w:rtl w:val="0"/>
        </w:rPr>
        <w:t xml:space="preserve">2.6 Theoretical Framework</w:t>
      </w:r>
    </w:p>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The Social Ecological Model (SEM) has its roots in Bronfenbrenner's ecological systems theory, which is used to explain behaviour as a result of the interaction between individuals and their environments (Bronfenbrenner, 1994). This approach can be relevant to exploring the UK situation for integrated care of older people with multimorbidity and frailty as care is influenced at multiple levels. Individual factors include multimorbidity, frailty, and personal care needs. Interpersonal factors involve relationships between older adults, carers, and healthcare professionals. Organisational factors include multidisciplinary working, leadership, and care coordination. Community factors relate to the services available within the local community and policy factors relate to wider health and social care policies in the UK. Using SEM therefore enables this research to examine how these levels interact to influence implementation, outcomes, facilitators, and barriers, rather than viewing integrated care as a single organisational intervention. The SEM will apply as an interpretive lens around the findings of the systematic review to understand how the results of the systematic review relate to influences at individual, interpersonal, organisational, community, and wider systems and policy levels.</w:t>
      </w:r>
    </w:p>
    <w:p w:rsidR="00000000" w:rsidDel="00000000" w:rsidP="00000000" w:rsidRDefault="00000000" w:rsidRPr="00000000" w14:paraId="000000E8">
      <w:pPr>
        <w:jc w:val="center"/>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3343275" cy="3199109"/>
            <wp:effectExtent b="0" l="0" r="0" t="0"/>
            <wp:docPr id="5"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3343275" cy="3199109"/>
                    </a:xfrm>
                    <a:prstGeom prst="rect"/>
                    <a:ln/>
                  </pic:spPr>
                </pic:pic>
              </a:graphicData>
            </a:graphic>
          </wp:inline>
        </w:drawing>
      </w:r>
      <w:r w:rsidDel="00000000" w:rsidR="00000000" w:rsidRPr="00000000">
        <w:rPr>
          <w:rtl w:val="0"/>
        </w:rPr>
      </w:r>
    </w:p>
    <w:p w:rsidR="00000000" w:rsidDel="00000000" w:rsidP="00000000" w:rsidRDefault="00000000" w:rsidRPr="00000000" w14:paraId="000000E9">
      <w:pPr>
        <w:pStyle w:val="Heading4"/>
        <w:rPr>
          <w:rFonts w:ascii="Arial" w:cs="Arial" w:eastAsia="Arial" w:hAnsi="Arial"/>
          <w:color w:val="000000"/>
          <w:sz w:val="22"/>
          <w:szCs w:val="22"/>
        </w:rPr>
      </w:pPr>
      <w:bookmarkStart w:colFirst="0" w:colLast="0" w:name="_5dutew8qv7ai" w:id="28"/>
      <w:bookmarkEnd w:id="28"/>
      <w:r w:rsidDel="00000000" w:rsidR="00000000" w:rsidRPr="00000000">
        <w:rPr>
          <w:rFonts w:ascii="Arial" w:cs="Arial" w:eastAsia="Arial" w:hAnsi="Arial"/>
          <w:color w:val="000000"/>
          <w:sz w:val="22"/>
          <w:szCs w:val="22"/>
          <w:rtl w:val="0"/>
        </w:rPr>
        <w:t xml:space="preserve">Figure 2.1: Social Ecological Model</w:t>
      </w:r>
    </w:p>
    <w:p w:rsidR="00000000" w:rsidDel="00000000" w:rsidP="00000000" w:rsidRDefault="00000000" w:rsidRPr="00000000" w14:paraId="000000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Lee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2017)</w:t>
      </w:r>
    </w:p>
    <w:p w:rsidR="00000000" w:rsidDel="00000000" w:rsidP="00000000" w:rsidRDefault="00000000" w:rsidRPr="00000000" w14:paraId="000000EB">
      <w:pPr>
        <w:pStyle w:val="Heading2"/>
        <w:rPr/>
      </w:pPr>
      <w:bookmarkStart w:colFirst="0" w:colLast="0" w:name="_1v6ou8vcsxco" w:id="29"/>
      <w:bookmarkEnd w:id="29"/>
      <w:r w:rsidDel="00000000" w:rsidR="00000000" w:rsidRPr="00000000">
        <w:rPr>
          <w:rtl w:val="0"/>
        </w:rPr>
        <w:t xml:space="preserve">2.7 Conceptual Framework</w:t>
      </w:r>
    </w:p>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5062658" cy="3375106"/>
            <wp:effectExtent b="12700" l="12700" r="12700" t="12700"/>
            <wp:docPr id="4"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062658" cy="3375106"/>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ED">
      <w:pPr>
        <w:pStyle w:val="Heading4"/>
        <w:rPr>
          <w:rFonts w:ascii="Arial" w:cs="Arial" w:eastAsia="Arial" w:hAnsi="Arial"/>
          <w:color w:val="000000"/>
          <w:sz w:val="22"/>
          <w:szCs w:val="22"/>
        </w:rPr>
      </w:pPr>
      <w:bookmarkStart w:colFirst="0" w:colLast="0" w:name="_p8jl9luoewo1" w:id="30"/>
      <w:bookmarkEnd w:id="30"/>
      <w:r w:rsidDel="00000000" w:rsidR="00000000" w:rsidRPr="00000000">
        <w:rPr>
          <w:rFonts w:ascii="Arial" w:cs="Arial" w:eastAsia="Arial" w:hAnsi="Arial"/>
          <w:color w:val="000000"/>
          <w:sz w:val="22"/>
          <w:szCs w:val="22"/>
          <w:rtl w:val="0"/>
        </w:rPr>
        <w:t xml:space="preserve">Figure 2.2: Conceptual Framework</w:t>
      </w:r>
    </w:p>
    <w:p w:rsidR="00000000" w:rsidDel="00000000" w:rsidP="00000000" w:rsidRDefault="00000000" w:rsidRPr="00000000" w14:paraId="000000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Self-Created)</w:t>
      </w:r>
    </w:p>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The conceptual framework elaborated for this study will provide the foundation for a more critical analysis of the integrated care in the UK of the older people with multimorbidity and frailty. It compiles essential dimensions found in the literature, and offers a framework for understanding the linkages between integrated care and outcomes. The framework also acknowledges the broader social, organisational and policy context to integrated care. This helps with a wider discussion of effectiveness beyond clinical outcomes and acknowledges contextual factors which impact the work towards implementation. Thus, the integrated-care framework offers a cohesive analytical perspective which can be used to combine evidence and draw conclusions about differences across integrated-care experiences and outcomes in the UK.</w:t>
      </w:r>
    </w:p>
    <w:p w:rsidR="00000000" w:rsidDel="00000000" w:rsidP="00000000" w:rsidRDefault="00000000" w:rsidRPr="00000000" w14:paraId="000000F0">
      <w:pPr>
        <w:pStyle w:val="Heading2"/>
        <w:rPr/>
      </w:pPr>
      <w:bookmarkStart w:colFirst="0" w:colLast="0" w:name="_vdcrvfo9ghv6" w:id="31"/>
      <w:bookmarkEnd w:id="31"/>
      <w:r w:rsidDel="00000000" w:rsidR="00000000" w:rsidRPr="00000000">
        <w:rPr>
          <w:rtl w:val="0"/>
        </w:rPr>
        <w:t xml:space="preserve">2.8 Literature Gap</w:t>
      </w:r>
    </w:p>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This study builds on previous studies which have investigated various factors related to the integrated approach to care for older adults suffering from multimorbidity and frailty in the United Kingdom. The studies do not uniformly identify the most appropriate components of integrated care for the population who have both multimorbidity and frailty. Variations in local health economies also make it challenging to understand if approaches developed in one area can be transferred to the broader UK context. Additionally, organisational coordination and service utilisation have been studied extensively, and there is less consistency when it comes to patients and carers involvement. The correlation between use of the hospital and relationship to the use of the integrated care system is also unclear, especially when there is no reduction in hospital use in conjunction with an improvement in the integrated care coordination. Greater disparities can exacerbate access to the different services, especially for older adults who are not using digital media (Thomson and Chatterjee, 2024). </w:t>
      </w:r>
    </w:p>
    <w:p w:rsidR="00000000" w:rsidDel="00000000" w:rsidP="00000000" w:rsidRDefault="00000000" w:rsidRPr="00000000" w14:paraId="000000F2">
      <w:pPr>
        <w:pStyle w:val="Heading2"/>
        <w:rPr/>
      </w:pPr>
      <w:bookmarkStart w:colFirst="0" w:colLast="0" w:name="_5vxocqw3nv38" w:id="32"/>
      <w:bookmarkEnd w:id="32"/>
      <w:r w:rsidDel="00000000" w:rsidR="00000000" w:rsidRPr="00000000">
        <w:rPr>
          <w:rtl w:val="0"/>
        </w:rPr>
        <w:t xml:space="preserve">2.8 Chapter Summary</w:t>
      </w:r>
    </w:p>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This chapter reviewed integrated care for older adults with multimorbidity and frailty in the UK. It considered the main integrated-care models and their implementation across different settings and populations. Clinical, functional, service-related and cost-related outcomes were then reviewed. Multidisciplinary working, care coordination, person centred planning and patient involvement were also explored with facilitators and barriers. The theoretical background for explaining these issues at various levels was the Social Ecological Model. These areas were integrated into a conceptual framework that was used for the rest of the dissertation.</w:t>
      </w:r>
    </w:p>
    <w:p w:rsidR="00000000" w:rsidDel="00000000" w:rsidP="00000000" w:rsidRDefault="00000000" w:rsidRPr="00000000" w14:paraId="000000F4">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F5">
      <w:pPr>
        <w:pStyle w:val="Heading1"/>
        <w:rPr/>
      </w:pPr>
      <w:bookmarkStart w:colFirst="0" w:colLast="0" w:name="_ldz1emudn2gj" w:id="33"/>
      <w:bookmarkEnd w:id="33"/>
      <w:r w:rsidDel="00000000" w:rsidR="00000000" w:rsidRPr="00000000">
        <w:rPr>
          <w:rtl w:val="0"/>
        </w:rPr>
        <w:t xml:space="preserve">Chapter 3: Methodology </w:t>
      </w:r>
    </w:p>
    <w:p w:rsidR="00000000" w:rsidDel="00000000" w:rsidP="00000000" w:rsidRDefault="00000000" w:rsidRPr="00000000" w14:paraId="000000F6">
      <w:pPr>
        <w:pStyle w:val="Heading2"/>
        <w:rPr/>
      </w:pPr>
      <w:bookmarkStart w:colFirst="0" w:colLast="0" w:name="_6zbx27v2r4h4" w:id="34"/>
      <w:bookmarkEnd w:id="34"/>
      <w:r w:rsidDel="00000000" w:rsidR="00000000" w:rsidRPr="00000000">
        <w:rPr>
          <w:rtl w:val="0"/>
        </w:rPr>
        <w:t xml:space="preserve">3.1 Introduction to the Methodology </w:t>
      </w:r>
    </w:p>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sz w:val="22"/>
          <w:szCs w:val="22"/>
          <w:rtl w:val="0"/>
        </w:rPr>
        <w:t xml:space="preserve">The methodology chapter evaluates and investigates the integrated care model for older adults with multimorbidity and frailty in the UK. The researcher has used a systematic literature review as the method. The systematic literature review identifies and synthesises existing evidence on the research topic. The chapter analyses the procedure used to identify, select, critically appraise, and analyse the relevant studies for the systematic literature review. It represents the search strategy and database and screening process, study selection, critical appraisal, data extraction, and analysis method. The methodology is structured to confirm the review process is transparent, systematic, and concrete. The ethical considerations related to the use and reporting of the published evidence are also discussed below.  </w:t>
      </w:r>
    </w:p>
    <w:p w:rsidR="00000000" w:rsidDel="00000000" w:rsidP="00000000" w:rsidRDefault="00000000" w:rsidRPr="00000000" w14:paraId="000000F8">
      <w:pPr>
        <w:pStyle w:val="Heading2"/>
        <w:rPr/>
      </w:pPr>
      <w:bookmarkStart w:colFirst="0" w:colLast="0" w:name="_a38jadipq6nx" w:id="35"/>
      <w:bookmarkEnd w:id="35"/>
      <w:r w:rsidDel="00000000" w:rsidR="00000000" w:rsidRPr="00000000">
        <w:rPr>
          <w:rtl w:val="0"/>
        </w:rPr>
        <w:t xml:space="preserve">3.2 Study Design </w:t>
      </w:r>
    </w:p>
    <w:p w:rsidR="00000000" w:rsidDel="00000000" w:rsidP="00000000" w:rsidRDefault="00000000" w:rsidRPr="00000000" w14:paraId="000000F9">
      <w:pPr>
        <w:rPr>
          <w:rFonts w:ascii="Arial" w:cs="Arial" w:eastAsia="Arial" w:hAnsi="Arial"/>
          <w:sz w:val="22"/>
          <w:szCs w:val="22"/>
        </w:rPr>
      </w:pPr>
      <w:r w:rsidDel="00000000" w:rsidR="00000000" w:rsidRPr="00000000">
        <w:rPr>
          <w:rFonts w:ascii="Arial" w:cs="Arial" w:eastAsia="Arial" w:hAnsi="Arial"/>
          <w:sz w:val="22"/>
          <w:szCs w:val="22"/>
          <w:rtl w:val="0"/>
        </w:rPr>
        <w:t xml:space="preserve">The systematic literature review is a structured approach that identify analyse and discusses relevant evidence by using a predefined and transparent procedure (Orsitto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The study adopted SLR as the research question focuses on understanding the effectiveness of the existing integrated care model for older adults with multimorbidity and frailty in the UK. The approach allows evidence from reference studies to be gathered together and critically compared instead of depending on findings from a single study or care model. The main strength of the systematic literature review is the systematic process, which consists of eligibility criteria, critical appraisal, and transparent synthesis. This systematic search process can decrease selection error and improve the reliability of the findings (Vizcarra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In addition, the critical analysis of different literature makes the results more informative as well. However, SLRs can be affected by differences in study design, population, and intervention with outcome measures (Tachdjian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2026). Publication and database selection bias can also impact the available evidence. Despite the limitations, the systematic literature review is justified for identifying pattern inconsistencies and evidence gaps in the existing literature. The review has followed PRISMA 2020 guidance to support transparent reporting and systematic documentation for the identification, screening, eligibility, and inclusion of studies. </w:t>
      </w:r>
    </w:p>
    <w:p w:rsidR="00000000" w:rsidDel="00000000" w:rsidP="00000000" w:rsidRDefault="00000000" w:rsidRPr="00000000" w14:paraId="000000FA">
      <w:pPr>
        <w:pStyle w:val="Heading2"/>
        <w:rPr/>
      </w:pPr>
      <w:bookmarkStart w:colFirst="0" w:colLast="0" w:name="_39pe5eqpmb0d" w:id="36"/>
      <w:bookmarkEnd w:id="36"/>
      <w:r w:rsidDel="00000000" w:rsidR="00000000" w:rsidRPr="00000000">
        <w:rPr>
          <w:rtl w:val="0"/>
        </w:rPr>
        <w:t xml:space="preserve">3.3 Search Strategy </w:t>
      </w:r>
    </w:p>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22"/>
          <w:szCs w:val="22"/>
          <w:rtl w:val="0"/>
        </w:rPr>
        <w:t xml:space="preserve">A structured and systematic search strategy has been developed in line with the Research question and objective (Cajal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The search was generally conducted using PubMed and CINAHL. The literature search was conducted over 10 days. From 2nd  August to 12th August 2026. The literature was connected by key concepts related to older adults, multimorbidity, frailty, integrated care, and the UK, using the Boolean operators AND, OR, phrase searching, truncation and brackets.  The searches were limited to English-language publications which are published in last 5 years. The strategy was developed systematically to support transparency, consistency, and reproducibility.  </w:t>
      </w:r>
    </w:p>
    <w:p w:rsidR="00000000" w:rsidDel="00000000" w:rsidP="00000000" w:rsidRDefault="00000000" w:rsidRPr="00000000" w14:paraId="000000FC">
      <w:pPr>
        <w:pStyle w:val="Heading3"/>
        <w:rPr>
          <w:rFonts w:ascii="Arial" w:cs="Arial" w:eastAsia="Arial" w:hAnsi="Arial"/>
          <w:sz w:val="22"/>
          <w:szCs w:val="22"/>
        </w:rPr>
      </w:pPr>
      <w:bookmarkStart w:colFirst="0" w:colLast="0" w:name="_7yn35j7u8met" w:id="37"/>
      <w:bookmarkEnd w:id="37"/>
      <w:r w:rsidDel="00000000" w:rsidR="00000000" w:rsidRPr="00000000">
        <w:rPr>
          <w:rFonts w:ascii="Arial" w:cs="Arial" w:eastAsia="Arial" w:hAnsi="Arial"/>
          <w:sz w:val="22"/>
          <w:szCs w:val="22"/>
          <w:rtl w:val="0"/>
        </w:rPr>
        <w:t xml:space="preserve">3.3.1 Search Terms</w:t>
      </w:r>
    </w:p>
    <w:p w:rsidR="00000000" w:rsidDel="00000000" w:rsidP="00000000" w:rsidRDefault="00000000" w:rsidRPr="00000000" w14:paraId="000000FD">
      <w:pPr>
        <w:rPr>
          <w:rFonts w:ascii="Arial" w:cs="Arial" w:eastAsia="Arial" w:hAnsi="Arial"/>
          <w:sz w:val="22"/>
          <w:szCs w:val="22"/>
        </w:rPr>
      </w:pPr>
      <w:r w:rsidDel="00000000" w:rsidR="00000000" w:rsidRPr="00000000">
        <w:rPr>
          <w:rFonts w:ascii="Arial" w:cs="Arial" w:eastAsia="Arial" w:hAnsi="Arial"/>
          <w:sz w:val="22"/>
          <w:szCs w:val="22"/>
          <w:rtl w:val="0"/>
        </w:rPr>
        <w:t xml:space="preserve">The search terms have been developed from the main concept in the research question, such as older adults, multimorbidity, frailty, integrated care, and the UK. Synonyms and related terms have been included to capture differences in terminology in different studies. Phrase searching has been used for terms like “integrated care” and “older adults”. In addition, truncation has been applied where appropriate in the search. Boolean operator  AND, OR very useful to structure the search (Williamson and Yoder, 2026). So these have been used in this research. An example of the search string: " </w:t>
      </w:r>
      <w:r w:rsidDel="00000000" w:rsidR="00000000" w:rsidRPr="00000000">
        <w:rPr>
          <w:rFonts w:ascii="Arial" w:cs="Arial" w:eastAsia="Arial" w:hAnsi="Arial"/>
          <w:i w:val="1"/>
          <w:iCs w:val="1"/>
          <w:sz w:val="22"/>
          <w:szCs w:val="22"/>
          <w:rtl w:val="0"/>
        </w:rPr>
        <w:t xml:space="preserve">"</w:t>
      </w:r>
      <w:r w:rsidDel="00000000" w:rsidR="00000000" w:rsidRPr="00000000">
        <w:rPr>
          <w:rFonts w:ascii="Arial" w:cs="Arial" w:eastAsia="Arial" w:hAnsi="Arial"/>
          <w:sz w:val="22"/>
          <w:szCs w:val="22"/>
          <w:rtl w:val="0"/>
        </w:rPr>
        <w:t xml:space="preserve">Older adults</w:t>
      </w:r>
      <w:r w:rsidDel="00000000" w:rsidR="00000000" w:rsidRPr="00000000">
        <w:rPr>
          <w:rFonts w:ascii="Arial" w:cs="Arial" w:eastAsia="Arial" w:hAnsi="Arial"/>
          <w:i w:val="1"/>
          <w:iCs w:val="1"/>
          <w:sz w:val="22"/>
          <w:szCs w:val="22"/>
          <w:rtl w:val="0"/>
        </w:rPr>
        <w:t xml:space="preserve">" OR </w:t>
      </w:r>
      <w:r w:rsidDel="00000000" w:rsidR="00000000" w:rsidRPr="00000000">
        <w:rPr>
          <w:rFonts w:ascii="Arial" w:cs="Arial" w:eastAsia="Arial" w:hAnsi="Arial"/>
          <w:sz w:val="22"/>
          <w:szCs w:val="22"/>
          <w:rtl w:val="0"/>
        </w:rPr>
        <w:t xml:space="preserve">"elderly people"</w:t>
      </w:r>
      <w:r w:rsidDel="00000000" w:rsidR="00000000" w:rsidRPr="00000000">
        <w:rPr>
          <w:rFonts w:ascii="Arial" w:cs="Arial" w:eastAsia="Arial" w:hAnsi="Arial"/>
          <w:i w:val="1"/>
          <w:iCs w:val="1"/>
          <w:sz w:val="22"/>
          <w:szCs w:val="22"/>
          <w:rtl w:val="0"/>
        </w:rPr>
        <w:t xml:space="preserve"> AND </w:t>
      </w:r>
      <w:r w:rsidDel="00000000" w:rsidR="00000000" w:rsidRPr="00000000">
        <w:rPr>
          <w:rFonts w:ascii="Arial" w:cs="Arial" w:eastAsia="Arial" w:hAnsi="Arial"/>
          <w:sz w:val="22"/>
          <w:szCs w:val="22"/>
          <w:rtl w:val="0"/>
        </w:rPr>
        <w:t xml:space="preserve">“multimorbidity” OR "multiple chronic condition" AND “frail” OR "frail elderly" AND "integrated care" OR "integrated healthcare outcome" AND "United Kingdom" OR “UK”.</w:t>
      </w:r>
    </w:p>
    <w:tbl>
      <w:tblPr>
        <w:tblStyle w:val="Table1"/>
        <w:tblW w:w="9006.0" w:type="dxa"/>
        <w:jc w:val="center"/>
        <w:tblLayout w:type="fixed"/>
        <w:tblLook w:val="0400"/>
      </w:tblPr>
      <w:tblGrid>
        <w:gridCol w:w="2203"/>
        <w:gridCol w:w="6803"/>
        <w:tblGridChange w:id="0">
          <w:tblGrid>
            <w:gridCol w:w="2203"/>
            <w:gridCol w:w="6803"/>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95b3d7" w:val="clear"/>
            <w:tcMar>
              <w:top w:w="100.0" w:type="dxa"/>
              <w:left w:w="100.0" w:type="dxa"/>
              <w:bottom w:w="100.0" w:type="dxa"/>
              <w:right w:w="100.0" w:type="dxa"/>
            </w:tcMar>
          </w:tcPr>
          <w:p w:rsidR="00000000" w:rsidDel="00000000" w:rsidP="00000000" w:rsidRDefault="00000000" w:rsidRPr="00000000" w14:paraId="000000FE">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Concept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95b3d7" w:val="clear"/>
            <w:tcMar>
              <w:top w:w="100.0" w:type="dxa"/>
              <w:left w:w="100.0" w:type="dxa"/>
              <w:bottom w:w="100.0" w:type="dxa"/>
              <w:right w:w="100.0" w:type="dxa"/>
            </w:tcMar>
          </w:tcPr>
          <w:p w:rsidR="00000000" w:rsidDel="00000000" w:rsidP="00000000" w:rsidRDefault="00000000" w:rsidRPr="00000000" w14:paraId="000000FF">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Search terms</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0">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Older adults, older individual</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sz w:val="22"/>
                <w:szCs w:val="22"/>
                <w:rtl w:val="0"/>
              </w:rPr>
              <w:t xml:space="preserve">Multimorbidity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3">
            <w:pPr>
              <w:rPr>
                <w:rFonts w:ascii="Arial" w:cs="Arial" w:eastAsia="Arial" w:hAnsi="Arial"/>
                <w:sz w:val="22"/>
                <w:szCs w:val="22"/>
              </w:rPr>
            </w:pPr>
            <w:r w:rsidDel="00000000" w:rsidR="00000000" w:rsidRPr="00000000">
              <w:rPr>
                <w:rFonts w:ascii="Arial" w:cs="Arial" w:eastAsia="Arial" w:hAnsi="Arial"/>
                <w:sz w:val="22"/>
                <w:szCs w:val="22"/>
                <w:rtl w:val="0"/>
              </w:rPr>
              <w:t xml:space="preserve">Multimorbidity,  multiple chronic conditions</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sz w:val="22"/>
                <w:szCs w:val="22"/>
                <w:rtl w:val="0"/>
              </w:rPr>
              <w:t xml:space="preserve">Frailty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5">
            <w:pPr>
              <w:rPr>
                <w:rFonts w:ascii="Arial" w:cs="Arial" w:eastAsia="Arial" w:hAnsi="Arial"/>
                <w:sz w:val="22"/>
                <w:szCs w:val="22"/>
              </w:rPr>
            </w:pPr>
            <w:r w:rsidDel="00000000" w:rsidR="00000000" w:rsidRPr="00000000">
              <w:rPr>
                <w:rFonts w:ascii="Arial" w:cs="Arial" w:eastAsia="Arial" w:hAnsi="Arial"/>
                <w:sz w:val="22"/>
                <w:szCs w:val="22"/>
                <w:rtl w:val="0"/>
              </w:rPr>
              <w:t xml:space="preserve">Frailty, frail elderly</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sz w:val="22"/>
                <w:szCs w:val="22"/>
                <w:rtl w:val="0"/>
              </w:rPr>
              <w:t xml:space="preserve">Integrated care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7">
            <w:pPr>
              <w:rPr>
                <w:rFonts w:ascii="Arial" w:cs="Arial" w:eastAsia="Arial" w:hAnsi="Arial"/>
                <w:sz w:val="22"/>
                <w:szCs w:val="22"/>
              </w:rPr>
            </w:pPr>
            <w:r w:rsidDel="00000000" w:rsidR="00000000" w:rsidRPr="00000000">
              <w:rPr>
                <w:rFonts w:ascii="Arial" w:cs="Arial" w:eastAsia="Arial" w:hAnsi="Arial"/>
                <w:sz w:val="22"/>
                <w:szCs w:val="22"/>
                <w:rtl w:val="0"/>
              </w:rPr>
              <w:t xml:space="preserve">Integrated care, coordinated care, comprehensive care</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8">
            <w:pPr>
              <w:rPr>
                <w:rFonts w:ascii="Arial" w:cs="Arial" w:eastAsia="Arial" w:hAnsi="Arial"/>
                <w:sz w:val="22"/>
                <w:szCs w:val="22"/>
              </w:rPr>
            </w:pPr>
            <w:r w:rsidDel="00000000" w:rsidR="00000000" w:rsidRPr="00000000">
              <w:rPr>
                <w:rFonts w:ascii="Arial" w:cs="Arial" w:eastAsia="Arial" w:hAnsi="Arial"/>
                <w:sz w:val="22"/>
                <w:szCs w:val="22"/>
                <w:rtl w:val="0"/>
              </w:rPr>
              <w:t xml:space="preserve">Outcome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sz w:val="22"/>
                <w:szCs w:val="22"/>
                <w:rtl w:val="0"/>
              </w:rPr>
              <w:t xml:space="preserve">Health outcome, functional outcome</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Location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United Kingdom OR UK</w:t>
            </w:r>
          </w:p>
        </w:tc>
      </w:tr>
    </w:tbl>
    <w:p w:rsidR="00000000" w:rsidDel="00000000" w:rsidP="00000000" w:rsidRDefault="00000000" w:rsidRPr="00000000" w14:paraId="0000010C">
      <w:pPr>
        <w:pStyle w:val="Heading5"/>
        <w:rPr>
          <w:rFonts w:ascii="Arial" w:cs="Arial" w:eastAsia="Arial" w:hAnsi="Arial"/>
          <w:color w:val="000000"/>
          <w:sz w:val="22"/>
          <w:szCs w:val="22"/>
        </w:rPr>
      </w:pPr>
      <w:bookmarkStart w:colFirst="0" w:colLast="0" w:name="_25dbhrjd051h" w:id="38"/>
      <w:bookmarkEnd w:id="38"/>
      <w:r w:rsidDel="00000000" w:rsidR="00000000" w:rsidRPr="00000000">
        <w:rPr>
          <w:rFonts w:ascii="Arial" w:cs="Arial" w:eastAsia="Arial" w:hAnsi="Arial"/>
          <w:color w:val="000000"/>
          <w:sz w:val="22"/>
          <w:szCs w:val="22"/>
          <w:rtl w:val="0"/>
        </w:rPr>
        <w:t xml:space="preserve">Table 3.1: Search terms</w:t>
      </w:r>
    </w:p>
    <w:p w:rsidR="00000000" w:rsidDel="00000000" w:rsidP="00000000" w:rsidRDefault="00000000" w:rsidRPr="00000000" w14:paraId="000001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Self-created)</w:t>
      </w:r>
    </w:p>
    <w:p w:rsidR="00000000" w:rsidDel="00000000" w:rsidP="00000000" w:rsidRDefault="00000000" w:rsidRPr="00000000" w14:paraId="0000010E">
      <w:pPr>
        <w:pStyle w:val="Heading3"/>
        <w:rPr>
          <w:rFonts w:ascii="Arial" w:cs="Arial" w:eastAsia="Arial" w:hAnsi="Arial"/>
          <w:sz w:val="22"/>
          <w:szCs w:val="22"/>
        </w:rPr>
      </w:pPr>
      <w:bookmarkStart w:colFirst="0" w:colLast="0" w:name="_zekusqh66wj9" w:id="39"/>
      <w:bookmarkEnd w:id="39"/>
      <w:r w:rsidDel="00000000" w:rsidR="00000000" w:rsidRPr="00000000">
        <w:rPr>
          <w:rFonts w:ascii="Arial" w:cs="Arial" w:eastAsia="Arial" w:hAnsi="Arial"/>
          <w:sz w:val="22"/>
          <w:szCs w:val="22"/>
          <w:rtl w:val="0"/>
        </w:rPr>
        <w:t xml:space="preserve">3.3.2 Databases</w:t>
      </w:r>
    </w:p>
    <w:p w:rsidR="00000000" w:rsidDel="00000000" w:rsidP="00000000" w:rsidRDefault="00000000" w:rsidRPr="00000000" w14:paraId="0000010F">
      <w:pPr>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evidence on integrated care models for older adults with multimorbidity and frailty in the UK, a targeted literature search was conducted using PubMed and CINAHL. PubMed was selected because it provides comprehensive coverage of biomedical, clinical, geriatric, and healthcare research (Sebo and Sebo,2026). Its coverage supported the identification of studies on multimorbidity, frailty, integrated care, and other care models. Using a single-focus database enabled the research process to produce a consistent and clear document of results (Arnold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The database was searched using predefined search terms and  Boolean operators.</w:t>
      </w:r>
    </w:p>
    <w:tbl>
      <w:tblPr>
        <w:tblStyle w:val="Table2"/>
        <w:tblW w:w="9006.0" w:type="dxa"/>
        <w:jc w:val="center"/>
        <w:tblLayout w:type="fixed"/>
        <w:tblLook w:val="0400"/>
      </w:tblPr>
      <w:tblGrid>
        <w:gridCol w:w="1179"/>
        <w:gridCol w:w="1919"/>
        <w:gridCol w:w="5908"/>
        <w:tblGridChange w:id="0">
          <w:tblGrid>
            <w:gridCol w:w="1179"/>
            <w:gridCol w:w="1919"/>
            <w:gridCol w:w="5908"/>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d6e3bc" w:val="clear"/>
            <w:tcMar>
              <w:top w:w="100.0" w:type="dxa"/>
              <w:left w:w="100.0" w:type="dxa"/>
              <w:bottom w:w="100.0" w:type="dxa"/>
              <w:right w:w="100.0" w:type="dxa"/>
            </w:tcMar>
          </w:tcPr>
          <w:p w:rsidR="00000000" w:rsidDel="00000000" w:rsidP="00000000" w:rsidRDefault="00000000" w:rsidRPr="00000000" w14:paraId="00000110">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Database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6e3bc" w:val="clear"/>
            <w:tcMar>
              <w:top w:w="100.0" w:type="dxa"/>
              <w:left w:w="100.0" w:type="dxa"/>
              <w:bottom w:w="100.0" w:type="dxa"/>
              <w:right w:w="100.0" w:type="dxa"/>
            </w:tcMar>
          </w:tcPr>
          <w:p w:rsidR="00000000" w:rsidDel="00000000" w:rsidP="00000000" w:rsidRDefault="00000000" w:rsidRPr="00000000" w14:paraId="00000111">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Focused area</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6e3bc" w:val="clear"/>
            <w:tcMar>
              <w:top w:w="100.0" w:type="dxa"/>
              <w:left w:w="100.0" w:type="dxa"/>
              <w:bottom w:w="100.0" w:type="dxa"/>
              <w:right w:w="100.0" w:type="dxa"/>
            </w:tcMar>
          </w:tcPr>
          <w:p w:rsidR="00000000" w:rsidDel="00000000" w:rsidP="00000000" w:rsidRDefault="00000000" w:rsidRPr="00000000" w14:paraId="00000112">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Description</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3">
            <w:pPr>
              <w:rPr>
                <w:rFonts w:ascii="Arial" w:cs="Arial" w:eastAsia="Arial" w:hAnsi="Arial"/>
                <w:sz w:val="22"/>
                <w:szCs w:val="22"/>
              </w:rPr>
            </w:pPr>
            <w:r w:rsidDel="00000000" w:rsidR="00000000" w:rsidRPr="00000000">
              <w:rPr>
                <w:rFonts w:ascii="Arial" w:cs="Arial" w:eastAsia="Arial" w:hAnsi="Arial"/>
                <w:sz w:val="22"/>
                <w:szCs w:val="22"/>
                <w:rtl w:val="0"/>
              </w:rPr>
              <w:t xml:space="preserve">PubMed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sz w:val="22"/>
                <w:szCs w:val="22"/>
                <w:rtl w:val="0"/>
              </w:rPr>
              <w:t xml:space="preserve">Biomedical, clinical, integrated care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5">
            <w:pPr>
              <w:rPr>
                <w:rFonts w:ascii="Arial" w:cs="Arial" w:eastAsia="Arial" w:hAnsi="Arial"/>
                <w:sz w:val="22"/>
                <w:szCs w:val="22"/>
              </w:rPr>
            </w:pPr>
            <w:r w:rsidDel="00000000" w:rsidR="00000000" w:rsidRPr="00000000">
              <w:rPr>
                <w:rFonts w:ascii="Arial" w:cs="Arial" w:eastAsia="Arial" w:hAnsi="Arial"/>
                <w:sz w:val="22"/>
                <w:szCs w:val="22"/>
                <w:rtl w:val="0"/>
              </w:rPr>
              <w:t xml:space="preserve">A good, concrete database which gives accessibility to biomedical and related literature. This includes results related to older adults, multimorbidity, frailty, and healthcare delivery.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6">
            <w:pPr>
              <w:rPr>
                <w:rFonts w:ascii="Arial" w:cs="Arial" w:eastAsia="Arial" w:hAnsi="Arial"/>
                <w:sz w:val="22"/>
                <w:szCs w:val="22"/>
              </w:rPr>
            </w:pPr>
            <w:r w:rsidDel="00000000" w:rsidR="00000000" w:rsidRPr="00000000">
              <w:rPr>
                <w:rFonts w:ascii="Arial" w:cs="Arial" w:eastAsia="Arial" w:hAnsi="Arial"/>
                <w:sz w:val="22"/>
                <w:szCs w:val="22"/>
                <w:rtl w:val="0"/>
              </w:rPr>
              <w:t xml:space="preserve">CINAHL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7">
            <w:pPr>
              <w:rPr>
                <w:rFonts w:ascii="Arial" w:cs="Arial" w:eastAsia="Arial" w:hAnsi="Arial"/>
                <w:sz w:val="22"/>
                <w:szCs w:val="22"/>
              </w:rPr>
            </w:pPr>
            <w:r w:rsidDel="00000000" w:rsidR="00000000" w:rsidRPr="00000000">
              <w:rPr>
                <w:rFonts w:ascii="Arial" w:cs="Arial" w:eastAsia="Arial" w:hAnsi="Arial"/>
                <w:sz w:val="22"/>
                <w:szCs w:val="22"/>
                <w:rtl w:val="0"/>
              </w:rPr>
              <w:t xml:space="preserve">Social care and healthcare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8">
            <w:pPr>
              <w:rPr>
                <w:rFonts w:ascii="Arial" w:cs="Arial" w:eastAsia="Arial" w:hAnsi="Arial"/>
                <w:sz w:val="22"/>
                <w:szCs w:val="22"/>
              </w:rPr>
            </w:pPr>
            <w:r w:rsidDel="00000000" w:rsidR="00000000" w:rsidRPr="00000000">
              <w:rPr>
                <w:rFonts w:ascii="Arial" w:cs="Arial" w:eastAsia="Arial" w:hAnsi="Arial"/>
                <w:sz w:val="22"/>
                <w:szCs w:val="22"/>
                <w:rtl w:val="0"/>
              </w:rPr>
              <w:t xml:space="preserve">A database which give addition evidence on care delivery, integrated services, patient-centred care.</w:t>
            </w:r>
          </w:p>
        </w:tc>
      </w:tr>
    </w:tbl>
    <w:p w:rsidR="00000000" w:rsidDel="00000000" w:rsidP="00000000" w:rsidRDefault="00000000" w:rsidRPr="00000000" w14:paraId="00000119">
      <w:pPr>
        <w:pStyle w:val="Heading5"/>
        <w:rPr>
          <w:rFonts w:ascii="Arial" w:cs="Arial" w:eastAsia="Arial" w:hAnsi="Arial"/>
          <w:color w:val="000000"/>
          <w:sz w:val="22"/>
          <w:szCs w:val="22"/>
        </w:rPr>
      </w:pPr>
      <w:bookmarkStart w:colFirst="0" w:colLast="0" w:name="_gu3jbow6cklh" w:id="40"/>
      <w:bookmarkEnd w:id="40"/>
      <w:r w:rsidDel="00000000" w:rsidR="00000000" w:rsidRPr="00000000">
        <w:rPr>
          <w:rFonts w:ascii="Arial" w:cs="Arial" w:eastAsia="Arial" w:hAnsi="Arial"/>
          <w:color w:val="000000"/>
          <w:sz w:val="22"/>
          <w:szCs w:val="22"/>
          <w:rtl w:val="0"/>
        </w:rPr>
        <w:t xml:space="preserve">Table 3.2: Database searched</w:t>
      </w:r>
    </w:p>
    <w:p w:rsidR="00000000" w:rsidDel="00000000" w:rsidP="00000000" w:rsidRDefault="00000000" w:rsidRPr="00000000" w14:paraId="0000011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Self-created)</w:t>
      </w:r>
    </w:p>
    <w:p w:rsidR="00000000" w:rsidDel="00000000" w:rsidP="00000000" w:rsidRDefault="00000000" w:rsidRPr="00000000" w14:paraId="0000011B">
      <w:pPr>
        <w:pStyle w:val="Heading2"/>
        <w:rPr/>
      </w:pPr>
      <w:bookmarkStart w:colFirst="0" w:colLast="0" w:name="_gkk9zuivymma" w:id="41"/>
      <w:bookmarkEnd w:id="41"/>
      <w:r w:rsidDel="00000000" w:rsidR="00000000" w:rsidRPr="00000000">
        <w:rPr>
          <w:rtl w:val="0"/>
        </w:rPr>
        <w:t xml:space="preserve">3.4 Screening Process </w:t>
      </w:r>
    </w:p>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sz w:val="22"/>
          <w:szCs w:val="22"/>
          <w:rtl w:val="0"/>
        </w:rPr>
        <w:t xml:space="preserve">The identified studies have been screened to identify the relationship between the research question and the eligibility criteria (Aboagye and Sharifi, 2026). The study identification and screening followed the PRISMA 2020 process. In the PRISMA 2020 process, first the duplicate records were removed to prevent repeat assessment of the same studies (Lee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The remaining studies underwent title screening, which was followed by abstract screening, to identify studies that were not related to the research topic. Relevant studies then proceeded to the full-text screening. At the full-text stage, each study assist for the predefined inclusion and exclusion criteria related to the population, intervention, outcome, geographical setting, language, and publication year. The studies which are fail to meet the criteria were excluded, and the reasons for exclusion were recorded where appropriate. The screening process confirmed that only studies directly related to the integrated care model for older adult multimorbidity and frailty in the UK were selected at the selection stage. The complete screening process will be presented in the PRISMA flow diagram.  </w:t>
      </w:r>
    </w:p>
    <w:p w:rsidR="00000000" w:rsidDel="00000000" w:rsidP="00000000" w:rsidRDefault="00000000" w:rsidRPr="00000000" w14:paraId="0000011D">
      <w:pPr>
        <w:pStyle w:val="Heading3"/>
        <w:rPr>
          <w:rFonts w:ascii="Arial" w:cs="Arial" w:eastAsia="Arial" w:hAnsi="Arial"/>
          <w:sz w:val="22"/>
          <w:szCs w:val="22"/>
        </w:rPr>
      </w:pPr>
      <w:bookmarkStart w:colFirst="0" w:colLast="0" w:name="_432myby0dpr1" w:id="42"/>
      <w:bookmarkEnd w:id="42"/>
      <w:r w:rsidDel="00000000" w:rsidR="00000000" w:rsidRPr="00000000">
        <w:rPr>
          <w:rFonts w:ascii="Arial" w:cs="Arial" w:eastAsia="Arial" w:hAnsi="Arial"/>
          <w:sz w:val="22"/>
          <w:szCs w:val="22"/>
          <w:rtl w:val="0"/>
        </w:rPr>
        <w:t xml:space="preserve">3.4.1 Inclusion and Exclusion Criteria</w:t>
      </w:r>
    </w:p>
    <w:p w:rsidR="00000000" w:rsidDel="00000000" w:rsidP="00000000" w:rsidRDefault="00000000" w:rsidRPr="00000000" w14:paraId="0000011E">
      <w:pPr>
        <w:rPr>
          <w:rFonts w:ascii="Arial" w:cs="Arial" w:eastAsia="Arial" w:hAnsi="Arial"/>
          <w:sz w:val="22"/>
          <w:szCs w:val="22"/>
        </w:rPr>
      </w:pPr>
      <w:r w:rsidDel="00000000" w:rsidR="00000000" w:rsidRPr="00000000">
        <w:rPr>
          <w:rFonts w:ascii="Arial" w:cs="Arial" w:eastAsia="Arial" w:hAnsi="Arial"/>
          <w:sz w:val="22"/>
          <w:szCs w:val="22"/>
          <w:rtl w:val="0"/>
        </w:rPr>
        <w:t xml:space="preserve">The pre-defined inclusion and exclusion criteria have been developed to confirm that selected studies are directly connected to the research questions (Khalil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2026). The criteria are based on the population, integrated care intervention, outcome, UK settings, study design, publication year, and language. The criteria help to maintain consistency for the screening and also prevent the inclusion of irrelevant evidence.  </w:t>
      </w:r>
    </w:p>
    <w:tbl>
      <w:tblPr>
        <w:tblStyle w:val="Table3"/>
        <w:tblW w:w="9006.0" w:type="dxa"/>
        <w:jc w:val="center"/>
        <w:tblLayout w:type="fixed"/>
        <w:tblLook w:val="0400"/>
      </w:tblPr>
      <w:tblGrid>
        <w:gridCol w:w="2112"/>
        <w:gridCol w:w="3275"/>
        <w:gridCol w:w="3619"/>
        <w:tblGridChange w:id="0">
          <w:tblGrid>
            <w:gridCol w:w="2112"/>
            <w:gridCol w:w="3275"/>
            <w:gridCol w:w="3619"/>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ccc0d9" w:val="clear"/>
            <w:tcMar>
              <w:top w:w="100.0" w:type="dxa"/>
              <w:left w:w="100.0" w:type="dxa"/>
              <w:bottom w:w="100.0" w:type="dxa"/>
              <w:right w:w="100.0" w:type="dxa"/>
            </w:tcMar>
          </w:tcPr>
          <w:p w:rsidR="00000000" w:rsidDel="00000000" w:rsidP="00000000" w:rsidRDefault="00000000" w:rsidRPr="00000000" w14:paraId="0000011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Criteria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ccc0d9" w:val="clear"/>
            <w:tcMar>
              <w:top w:w="100.0" w:type="dxa"/>
              <w:left w:w="100.0" w:type="dxa"/>
              <w:bottom w:w="100.0" w:type="dxa"/>
              <w:right w:w="100.0" w:type="dxa"/>
            </w:tcMar>
          </w:tcPr>
          <w:p w:rsidR="00000000" w:rsidDel="00000000" w:rsidP="00000000" w:rsidRDefault="00000000" w:rsidRPr="00000000" w14:paraId="0000012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Inclusion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ccc0d9" w:val="clear"/>
            <w:tcMar>
              <w:top w:w="100.0" w:type="dxa"/>
              <w:left w:w="100.0" w:type="dxa"/>
              <w:bottom w:w="100.0" w:type="dxa"/>
              <w:right w:w="100.0" w:type="dxa"/>
            </w:tcMar>
          </w:tcPr>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Exclusion </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2">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3">
            <w:pPr>
              <w:rPr>
                <w:rFonts w:ascii="Arial" w:cs="Arial" w:eastAsia="Arial" w:hAnsi="Arial"/>
                <w:sz w:val="22"/>
                <w:szCs w:val="22"/>
              </w:rPr>
            </w:pPr>
            <w:r w:rsidDel="00000000" w:rsidR="00000000" w:rsidRPr="00000000">
              <w:rPr>
                <w:rFonts w:ascii="Arial" w:cs="Arial" w:eastAsia="Arial" w:hAnsi="Arial"/>
                <w:sz w:val="22"/>
                <w:szCs w:val="22"/>
                <w:rtl w:val="0"/>
              </w:rPr>
              <w:t xml:space="preserve">Older adults with multimorbidity and frailty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4">
            <w:pPr>
              <w:rPr>
                <w:rFonts w:ascii="Arial" w:cs="Arial" w:eastAsia="Arial" w:hAnsi="Arial"/>
                <w:sz w:val="22"/>
                <w:szCs w:val="22"/>
              </w:rPr>
            </w:pPr>
            <w:r w:rsidDel="00000000" w:rsidR="00000000" w:rsidRPr="00000000">
              <w:rPr>
                <w:rFonts w:ascii="Arial" w:cs="Arial" w:eastAsia="Arial" w:hAnsi="Arial"/>
                <w:sz w:val="22"/>
                <w:szCs w:val="22"/>
                <w:rtl w:val="0"/>
              </w:rPr>
              <w:t xml:space="preserve">Younger individuals, children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5">
            <w:pPr>
              <w:rPr>
                <w:rFonts w:ascii="Arial" w:cs="Arial" w:eastAsia="Arial" w:hAnsi="Arial"/>
                <w:sz w:val="22"/>
                <w:szCs w:val="22"/>
              </w:rPr>
            </w:pPr>
            <w:r w:rsidDel="00000000" w:rsidR="00000000" w:rsidRPr="00000000">
              <w:rPr>
                <w:rFonts w:ascii="Arial" w:cs="Arial" w:eastAsia="Arial" w:hAnsi="Arial"/>
                <w:sz w:val="22"/>
                <w:szCs w:val="22"/>
                <w:rtl w:val="0"/>
              </w:rPr>
              <w:t xml:space="preserve">Intervention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Integrated care model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7">
            <w:pPr>
              <w:rPr>
                <w:rFonts w:ascii="Arial" w:cs="Arial" w:eastAsia="Arial" w:hAnsi="Arial"/>
                <w:sz w:val="22"/>
                <w:szCs w:val="22"/>
              </w:rPr>
            </w:pPr>
            <w:r w:rsidDel="00000000" w:rsidR="00000000" w:rsidRPr="00000000">
              <w:rPr>
                <w:rFonts w:ascii="Arial" w:cs="Arial" w:eastAsia="Arial" w:hAnsi="Arial"/>
                <w:sz w:val="22"/>
                <w:szCs w:val="22"/>
                <w:rtl w:val="0"/>
              </w:rPr>
              <w:t xml:space="preserve">Single disease intervention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8">
            <w:pPr>
              <w:rPr>
                <w:rFonts w:ascii="Arial" w:cs="Arial" w:eastAsia="Arial" w:hAnsi="Arial"/>
                <w:sz w:val="22"/>
                <w:szCs w:val="22"/>
              </w:rPr>
            </w:pPr>
            <w:r w:rsidDel="00000000" w:rsidR="00000000" w:rsidRPr="00000000">
              <w:rPr>
                <w:rFonts w:ascii="Arial" w:cs="Arial" w:eastAsia="Arial" w:hAnsi="Arial"/>
                <w:sz w:val="22"/>
                <w:szCs w:val="22"/>
                <w:rtl w:val="0"/>
              </w:rPr>
              <w:t xml:space="preserve">Outcome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Health, functional outcome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A">
            <w:pPr>
              <w:rPr>
                <w:rFonts w:ascii="Arial" w:cs="Arial" w:eastAsia="Arial" w:hAnsi="Arial"/>
                <w:sz w:val="22"/>
                <w:szCs w:val="22"/>
              </w:rPr>
            </w:pPr>
            <w:r w:rsidDel="00000000" w:rsidR="00000000" w:rsidRPr="00000000">
              <w:rPr>
                <w:rFonts w:ascii="Arial" w:cs="Arial" w:eastAsia="Arial" w:hAnsi="Arial"/>
                <w:sz w:val="22"/>
                <w:szCs w:val="22"/>
                <w:rtl w:val="0"/>
              </w:rPr>
              <w:t xml:space="preserve">Studies without irrelevant outcomes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B">
            <w:pPr>
              <w:rPr>
                <w:rFonts w:ascii="Arial" w:cs="Arial" w:eastAsia="Arial" w:hAnsi="Arial"/>
                <w:sz w:val="22"/>
                <w:szCs w:val="22"/>
              </w:rPr>
            </w:pPr>
            <w:r w:rsidDel="00000000" w:rsidR="00000000" w:rsidRPr="00000000">
              <w:rPr>
                <w:rFonts w:ascii="Arial" w:cs="Arial" w:eastAsia="Arial" w:hAnsi="Arial"/>
                <w:sz w:val="22"/>
                <w:szCs w:val="22"/>
                <w:rtl w:val="0"/>
              </w:rPr>
              <w:t xml:space="preserve">Country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C">
            <w:pPr>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Studies conducted outside the UK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E">
            <w:pPr>
              <w:rPr>
                <w:rFonts w:ascii="Arial" w:cs="Arial" w:eastAsia="Arial" w:hAnsi="Arial"/>
                <w:sz w:val="22"/>
                <w:szCs w:val="22"/>
              </w:rPr>
            </w:pPr>
            <w:r w:rsidDel="00000000" w:rsidR="00000000" w:rsidRPr="00000000">
              <w:rPr>
                <w:rFonts w:ascii="Arial" w:cs="Arial" w:eastAsia="Arial" w:hAnsi="Arial"/>
                <w:sz w:val="22"/>
                <w:szCs w:val="22"/>
                <w:rtl w:val="0"/>
              </w:rPr>
              <w:t xml:space="preserve">Study design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sz w:val="22"/>
                <w:szCs w:val="22"/>
                <w:rtl w:val="0"/>
              </w:rPr>
              <w:t xml:space="preserve">Peer-reviewed studies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0">
            <w:pPr>
              <w:rPr>
                <w:rFonts w:ascii="Arial" w:cs="Arial" w:eastAsia="Arial" w:hAnsi="Arial"/>
                <w:sz w:val="22"/>
                <w:szCs w:val="22"/>
              </w:rPr>
            </w:pPr>
            <w:r w:rsidDel="00000000" w:rsidR="00000000" w:rsidRPr="00000000">
              <w:rPr>
                <w:rFonts w:ascii="Arial" w:cs="Arial" w:eastAsia="Arial" w:hAnsi="Arial"/>
                <w:sz w:val="22"/>
                <w:szCs w:val="22"/>
                <w:rtl w:val="0"/>
              </w:rPr>
              <w:t xml:space="preserve">Editorials, opinion papers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year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Published in last 5 years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3">
            <w:pPr>
              <w:rPr>
                <w:rFonts w:ascii="Arial" w:cs="Arial" w:eastAsia="Arial" w:hAnsi="Arial"/>
                <w:sz w:val="22"/>
                <w:szCs w:val="22"/>
              </w:rPr>
            </w:pPr>
            <w:r w:rsidDel="00000000" w:rsidR="00000000" w:rsidRPr="00000000">
              <w:rPr>
                <w:rFonts w:ascii="Arial" w:cs="Arial" w:eastAsia="Arial" w:hAnsi="Arial"/>
                <w:sz w:val="22"/>
                <w:szCs w:val="22"/>
                <w:rtl w:val="0"/>
              </w:rPr>
              <w:t xml:space="preserve">Published before 2021</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4">
            <w:pPr>
              <w:rPr>
                <w:rFonts w:ascii="Arial" w:cs="Arial" w:eastAsia="Arial" w:hAnsi="Arial"/>
                <w:sz w:val="22"/>
                <w:szCs w:val="22"/>
              </w:rPr>
            </w:pPr>
            <w:r w:rsidDel="00000000" w:rsidR="00000000" w:rsidRPr="00000000">
              <w:rPr>
                <w:rFonts w:ascii="Arial" w:cs="Arial" w:eastAsia="Arial" w:hAnsi="Arial"/>
                <w:sz w:val="22"/>
                <w:szCs w:val="22"/>
                <w:rtl w:val="0"/>
              </w:rPr>
              <w:t xml:space="preserve">Language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English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Non-English publications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7">
            <w:pPr>
              <w:rPr>
                <w:rFonts w:ascii="Arial" w:cs="Arial" w:eastAsia="Arial" w:hAnsi="Arial"/>
                <w:sz w:val="22"/>
                <w:szCs w:val="22"/>
              </w:rPr>
            </w:pPr>
            <w:r w:rsidDel="00000000" w:rsidR="00000000" w:rsidRPr="00000000">
              <w:rPr>
                <w:rFonts w:ascii="Arial" w:cs="Arial" w:eastAsia="Arial" w:hAnsi="Arial"/>
                <w:sz w:val="22"/>
                <w:szCs w:val="22"/>
                <w:rtl w:val="0"/>
              </w:rPr>
              <w:t xml:space="preserve">Accessibility and format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Studies available by open-access sources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Studies not available by open-access sources</w:t>
            </w:r>
          </w:p>
        </w:tc>
      </w:tr>
    </w:tbl>
    <w:p w:rsidR="00000000" w:rsidDel="00000000" w:rsidP="00000000" w:rsidRDefault="00000000" w:rsidRPr="00000000" w14:paraId="0000013A">
      <w:pPr>
        <w:pStyle w:val="Heading5"/>
        <w:rPr>
          <w:rFonts w:ascii="Arial" w:cs="Arial" w:eastAsia="Arial" w:hAnsi="Arial"/>
          <w:color w:val="000000"/>
          <w:sz w:val="22"/>
          <w:szCs w:val="22"/>
        </w:rPr>
      </w:pPr>
      <w:bookmarkStart w:colFirst="0" w:colLast="0" w:name="_j4zl7zg0d0n" w:id="43"/>
      <w:bookmarkEnd w:id="43"/>
      <w:r w:rsidDel="00000000" w:rsidR="00000000" w:rsidRPr="00000000">
        <w:rPr>
          <w:rFonts w:ascii="Arial" w:cs="Arial" w:eastAsia="Arial" w:hAnsi="Arial"/>
          <w:color w:val="000000"/>
          <w:sz w:val="22"/>
          <w:szCs w:val="22"/>
          <w:rtl w:val="0"/>
        </w:rPr>
        <w:t xml:space="preserve">Table 3.3: Inclusion and exclusion criteria</w:t>
      </w:r>
    </w:p>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Self-created)</w:t>
      </w:r>
    </w:p>
    <w:p w:rsidR="00000000" w:rsidDel="00000000" w:rsidP="00000000" w:rsidRDefault="00000000" w:rsidRPr="00000000" w14:paraId="0000013C">
      <w:pPr>
        <w:pStyle w:val="Heading2"/>
        <w:rPr/>
      </w:pPr>
      <w:bookmarkStart w:colFirst="0" w:colLast="0" w:name="_q767oeatvint" w:id="44"/>
      <w:bookmarkEnd w:id="44"/>
      <w:r w:rsidDel="00000000" w:rsidR="00000000" w:rsidRPr="00000000">
        <w:rPr>
          <w:rtl w:val="0"/>
        </w:rPr>
        <w:t xml:space="preserve">3.5 Study Selection </w:t>
      </w:r>
    </w:p>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5943600" cy="6826885"/>
            <wp:effectExtent b="0" l="0" r="0" t="0"/>
            <wp:docPr id="6"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5943600" cy="6826885"/>
                    </a:xfrm>
                    <a:prstGeom prst="rect"/>
                    <a:ln/>
                  </pic:spPr>
                </pic:pic>
              </a:graphicData>
            </a:graphic>
          </wp:inline>
        </w:drawing>
      </w:r>
      <w:r w:rsidDel="00000000" w:rsidR="00000000" w:rsidRPr="00000000">
        <w:rPr>
          <w:rtl w:val="0"/>
        </w:rPr>
      </w:r>
    </w:p>
    <w:p w:rsidR="00000000" w:rsidDel="00000000" w:rsidP="00000000" w:rsidRDefault="00000000" w:rsidRPr="00000000" w14:paraId="0000013E">
      <w:pPr>
        <w:pStyle w:val="Heading4"/>
        <w:rPr>
          <w:rFonts w:ascii="Arial" w:cs="Arial" w:eastAsia="Arial" w:hAnsi="Arial"/>
          <w:color w:val="000000"/>
          <w:sz w:val="22"/>
          <w:szCs w:val="22"/>
        </w:rPr>
      </w:pPr>
      <w:bookmarkStart w:colFirst="0" w:colLast="0" w:name="_azu6o4q18mkn" w:id="45"/>
      <w:bookmarkEnd w:id="45"/>
      <w:r w:rsidDel="00000000" w:rsidR="00000000" w:rsidRPr="00000000">
        <w:rPr>
          <w:rFonts w:ascii="Arial" w:cs="Arial" w:eastAsia="Arial" w:hAnsi="Arial"/>
          <w:color w:val="000000"/>
          <w:sz w:val="22"/>
          <w:szCs w:val="22"/>
          <w:rtl w:val="0"/>
        </w:rPr>
        <w:t xml:space="preserve">Figure 3.1: PRISMA framework</w:t>
      </w:r>
    </w:p>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Self-developed)</w:t>
      </w:r>
    </w:p>
    <w:p w:rsidR="00000000" w:rsidDel="00000000" w:rsidP="00000000" w:rsidRDefault="00000000" w:rsidRPr="00000000" w14:paraId="00000140">
      <w:pPr>
        <w:rPr>
          <w:rFonts w:ascii="Arial" w:cs="Arial" w:eastAsia="Arial" w:hAnsi="Arial"/>
          <w:sz w:val="22"/>
          <w:szCs w:val="22"/>
        </w:rPr>
      </w:pPr>
      <w:r w:rsidDel="00000000" w:rsidR="00000000" w:rsidRPr="00000000">
        <w:rPr>
          <w:rFonts w:ascii="Arial" w:cs="Arial" w:eastAsia="Arial" w:hAnsi="Arial"/>
          <w:sz w:val="22"/>
          <w:szCs w:val="22"/>
          <w:rtl w:val="0"/>
        </w:rPr>
        <w:t xml:space="preserve">The identification, screening, eligibility assessment, and final inclusion of the studies are reflected in the above PRISMA flow diagram. PRISMA is a structured approach for reporting the systematic review and documenting the identification, screening, eligibility, and inclusion of the selected studies (Carvalho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2026). PRISMA helps improve transparency by clearly reflecting how records move through each stage of the review process and helps readers to understand how the final evidence base has been developed (Sánchez-Martín</w:t>
      </w:r>
      <w:r w:rsidDel="00000000" w:rsidR="00000000" w:rsidRPr="00000000">
        <w:rPr>
          <w:rFonts w:ascii="Arial" w:cs="Arial" w:eastAsia="Arial" w:hAnsi="Arial"/>
          <w:i w:val="1"/>
          <w:iCs w:val="1"/>
          <w:sz w:val="22"/>
          <w:szCs w:val="22"/>
          <w:rtl w:val="0"/>
        </w:rPr>
        <w:t xml:space="preserve"> et al.</w:t>
      </w:r>
      <w:r w:rsidDel="00000000" w:rsidR="00000000" w:rsidRPr="00000000">
        <w:rPr>
          <w:rFonts w:ascii="Arial" w:cs="Arial" w:eastAsia="Arial" w:hAnsi="Arial"/>
          <w:sz w:val="22"/>
          <w:szCs w:val="22"/>
          <w:rtl w:val="0"/>
        </w:rPr>
        <w:t xml:space="preserve"> 2026). Here, the selection process of the study followed the predefined screening and eligibility procedure. A total of 739 studies were identified by the academic database search, while a further 46 studies were identified by the reference list search. After application of the initial search filter, 674 studies remained for screening. During title screening, 449 studies were considered for the first assessment, while 212 studies were excluded depending on their title. The remaining 237 studies underwent abstract screening, which result exclusion of 50 studies as they did not meet the relevant requirement. At the stage 129 studies has been discarded as they did not meet the eligibility requirement which leaves 58 studies for the further consideration during the study selection process. Following the complete selection process, 20 studies have been included in the final systematic literature review. The process confirms that the final studies met the criteria and has been justified in relation to the research questions.  </w:t>
      </w:r>
    </w:p>
    <w:p w:rsidR="00000000" w:rsidDel="00000000" w:rsidP="00000000" w:rsidRDefault="00000000" w:rsidRPr="00000000" w14:paraId="00000141">
      <w:pPr>
        <w:pStyle w:val="Heading2"/>
        <w:rPr/>
      </w:pPr>
      <w:bookmarkStart w:colFirst="0" w:colLast="0" w:name="_rdnb93jg81o9" w:id="46"/>
      <w:bookmarkEnd w:id="46"/>
      <w:r w:rsidDel="00000000" w:rsidR="00000000" w:rsidRPr="00000000">
        <w:rPr>
          <w:rtl w:val="0"/>
        </w:rPr>
        <w:t xml:space="preserve">3.6 Critical Appraisal </w:t>
      </w:r>
    </w:p>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Critical appraisal has been undertaken for identifying the methodological quality, credibility, and justification of the studies included in the systematic literature review (Jia and Stern, 2026). The critical appraisal skills program checklist was used for the systematic literature review. The CASP checklist was selected to provide structured criteria for meeting different types of research evidence. The review consists qualitative, cohort, cross-sectional, systematic, scoping, realist and intervention studies, each identified using an appropriate design-specific appraisal checklist. The appropriate CASP checklist was selected as per the design of each included study, which help assessment of the issues like study validity, methodology, results, and applicability. CASP has been considered justified as the review includes qualitative, quantitative, and mixed-methods evidence concerning integrated care models (Boyce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2026). The appraisal findings boost the inform decision about the credibility and relevance of the evidence for the synthesis and interpretation. The studies were not excluded solely based on appraisal and weakness, but methodological limitations have been considered for interpreting the findings. Overall, the approach help in confirm in that conclusion are depending on the strength and quality of the available evidence </w:t>
      </w:r>
      <w:r w:rsidDel="00000000" w:rsidR="00000000" w:rsidRPr="00000000">
        <w:rPr>
          <w:rFonts w:ascii="Arial" w:cs="Arial" w:eastAsia="Arial" w:hAnsi="Arial"/>
          <w:b w:val="1"/>
          <w:bCs w:val="1"/>
          <w:i w:val="1"/>
          <w:iCs w:val="1"/>
          <w:sz w:val="22"/>
          <w:szCs w:val="22"/>
          <w:rtl w:val="0"/>
        </w:rPr>
        <w:t xml:space="preserve">[Refer to appendix 2,3 &amp;4]</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43">
      <w:pPr>
        <w:pStyle w:val="Heading2"/>
        <w:rPr/>
      </w:pPr>
      <w:bookmarkStart w:colFirst="0" w:colLast="0" w:name="_siru47hv19m7" w:id="47"/>
      <w:bookmarkEnd w:id="47"/>
      <w:r w:rsidDel="00000000" w:rsidR="00000000" w:rsidRPr="00000000">
        <w:rPr>
          <w:rtl w:val="0"/>
        </w:rPr>
        <w:t xml:space="preserve">3.7 Data Extraction </w:t>
      </w:r>
    </w:p>
    <w:p w:rsidR="00000000" w:rsidDel="00000000" w:rsidP="00000000" w:rsidRDefault="00000000" w:rsidRPr="00000000" w14:paraId="00000144">
      <w:pPr>
        <w:rPr>
          <w:rFonts w:ascii="Arial" w:cs="Arial" w:eastAsia="Arial" w:hAnsi="Arial"/>
          <w:sz w:val="22"/>
          <w:szCs w:val="22"/>
        </w:rPr>
      </w:pPr>
      <w:r w:rsidDel="00000000" w:rsidR="00000000" w:rsidRPr="00000000">
        <w:rPr>
          <w:rFonts w:ascii="Arial" w:cs="Arial" w:eastAsia="Arial" w:hAnsi="Arial"/>
          <w:sz w:val="22"/>
          <w:szCs w:val="22"/>
          <w:rtl w:val="0"/>
        </w:rPr>
        <w:t xml:space="preserve">Standardise data extraction table was used to systematically record important information from each study that met the inclusion criteria for the extraction (Huang and Agarwal, 2026). A framework was developed to confirm that information relevant to the research question and objectives was captured consistently across the included studies. The key variables extracted are the author, publication year, country, study design, sample characteristics, study aim, integrated care model or intervention, reported findings, and study limitations. Information that concerns health and social care outcome implementation challenges and facilitators has also been recorded. Each included study has been reviewed carefully, and the relevant information was incorporated into the extraction table before being compared across different studies. Consistency in recording information supported the systematic comparison of the evidence (Uchida, 2026). It also helped in identifying the similarities and the differences between the integrated care models and their reported outcomes. Overall, the completed extraction table, given as per the organisation of the evidence, supported the subsequent thematic analysis and interpretation of the findings </w:t>
      </w:r>
      <w:r w:rsidDel="00000000" w:rsidR="00000000" w:rsidRPr="00000000">
        <w:rPr>
          <w:rFonts w:ascii="Arial" w:cs="Arial" w:eastAsia="Arial" w:hAnsi="Arial"/>
          <w:b w:val="1"/>
          <w:bCs w:val="1"/>
          <w:i w:val="1"/>
          <w:iCs w:val="1"/>
          <w:sz w:val="22"/>
          <w:szCs w:val="22"/>
          <w:rtl w:val="0"/>
        </w:rPr>
        <w:t xml:space="preserve">[Refer to appendix 1]</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145">
      <w:pPr>
        <w:pStyle w:val="Heading2"/>
        <w:rPr/>
      </w:pPr>
      <w:bookmarkStart w:colFirst="0" w:colLast="0" w:name="_4n5dop2zfyaq" w:id="48"/>
      <w:bookmarkEnd w:id="48"/>
      <w:r w:rsidDel="00000000" w:rsidR="00000000" w:rsidRPr="00000000">
        <w:rPr>
          <w:rtl w:val="0"/>
        </w:rPr>
        <w:t xml:space="preserve">3.8 Data Analysis </w:t>
      </w:r>
    </w:p>
    <w:p w:rsidR="00000000" w:rsidDel="00000000" w:rsidP="00000000" w:rsidRDefault="00000000" w:rsidRPr="00000000" w14:paraId="00000146">
      <w:pPr>
        <w:rPr>
          <w:rFonts w:ascii="Arial" w:cs="Arial" w:eastAsia="Arial" w:hAnsi="Arial"/>
          <w:sz w:val="22"/>
          <w:szCs w:val="22"/>
        </w:rPr>
      </w:pPr>
      <w:r w:rsidDel="00000000" w:rsidR="00000000" w:rsidRPr="00000000">
        <w:rPr>
          <w:rFonts w:ascii="Arial" w:cs="Arial" w:eastAsia="Arial" w:hAnsi="Arial"/>
          <w:sz w:val="22"/>
          <w:szCs w:val="22"/>
          <w:rtl w:val="0"/>
        </w:rPr>
        <w:t xml:space="preserve">Thematic analysis has been used for identifying findings from the included studies. Thematic analysis helps in the identification, analysis, and reporting of patterns in the evidence (Padiyath and Nelson-Fromm, 2026). Thematic analysis suitable for the systematic literature review, particularly as the included studies can use different research designs (Tejera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The reports also can very outcome concerning integrated care, multimorbidity, and frailty, which makes thematic analysis significant for this research.  The thematic analysis approach has been combined with the inductive approach, which allows themes to emerge directly from the extracted findings instead of being predetermined by existing theoretical categories.  </w:t>
      </w:r>
    </w:p>
    <w:p w:rsidR="00000000" w:rsidDel="00000000" w:rsidP="00000000" w:rsidRDefault="00000000" w:rsidRPr="00000000" w14:paraId="00000147">
      <w:pPr>
        <w:numPr>
          <w:ilvl w:val="0"/>
          <w:numId w:val="2"/>
        </w:numPr>
        <w:ind w:left="720" w:hanging="360"/>
        <w:rPr/>
      </w:pPr>
      <w:r w:rsidDel="00000000" w:rsidR="00000000" w:rsidRPr="00000000">
        <w:rPr>
          <w:rFonts w:ascii="Arial" w:cs="Arial" w:eastAsia="Arial" w:hAnsi="Arial"/>
          <w:sz w:val="22"/>
          <w:szCs w:val="22"/>
          <w:rtl w:val="0"/>
        </w:rPr>
        <w:t xml:space="preserve">First, the researcher has been reading and re-reading the extracted data to become familiar with the evidence and identify the initial pattern that is justified by the research question.</w:t>
      </w:r>
    </w:p>
    <w:p w:rsidR="00000000" w:rsidDel="00000000" w:rsidP="00000000" w:rsidRDefault="00000000" w:rsidRPr="00000000" w14:paraId="00000148">
      <w:pPr>
        <w:numPr>
          <w:ilvl w:val="0"/>
          <w:numId w:val="2"/>
        </w:numPr>
        <w:ind w:left="720" w:hanging="360"/>
        <w:rPr/>
      </w:pPr>
      <w:r w:rsidDel="00000000" w:rsidR="00000000" w:rsidRPr="00000000">
        <w:rPr>
          <w:rFonts w:ascii="Arial" w:cs="Arial" w:eastAsia="Arial" w:hAnsi="Arial"/>
          <w:sz w:val="22"/>
          <w:szCs w:val="22"/>
          <w:rtl w:val="0"/>
        </w:rPr>
        <w:t xml:space="preserve">Second, the relevant studies have been systematically coded across the included studies</w:t>
      </w:r>
    </w:p>
    <w:p w:rsidR="00000000" w:rsidDel="00000000" w:rsidP="00000000" w:rsidRDefault="00000000" w:rsidRPr="00000000" w14:paraId="00000149">
      <w:pPr>
        <w:numPr>
          <w:ilvl w:val="0"/>
          <w:numId w:val="2"/>
        </w:numPr>
        <w:ind w:left="720" w:hanging="360"/>
        <w:rPr/>
      </w:pPr>
      <w:r w:rsidDel="00000000" w:rsidR="00000000" w:rsidRPr="00000000">
        <w:rPr>
          <w:rFonts w:ascii="Arial" w:cs="Arial" w:eastAsia="Arial" w:hAnsi="Arial"/>
          <w:sz w:val="22"/>
          <w:szCs w:val="22"/>
          <w:rtl w:val="0"/>
        </w:rPr>
        <w:t xml:space="preserve">3rd, the related quotes have been collated to identify potential themes.</w:t>
      </w:r>
    </w:p>
    <w:p w:rsidR="00000000" w:rsidDel="00000000" w:rsidP="00000000" w:rsidRDefault="00000000" w:rsidRPr="00000000" w14:paraId="0000014A">
      <w:pPr>
        <w:numPr>
          <w:ilvl w:val="0"/>
          <w:numId w:val="2"/>
        </w:numPr>
        <w:ind w:left="720" w:hanging="360"/>
        <w:rPr/>
      </w:pPr>
      <w:r w:rsidDel="00000000" w:rsidR="00000000" w:rsidRPr="00000000">
        <w:rPr>
          <w:rFonts w:ascii="Arial" w:cs="Arial" w:eastAsia="Arial" w:hAnsi="Arial"/>
          <w:sz w:val="22"/>
          <w:szCs w:val="22"/>
          <w:rtl w:val="0"/>
        </w:rPr>
        <w:t xml:space="preserve">In the 4th stage, potential themes were reviewed against the coded findings and the overall data set to confirm coherence.</w:t>
      </w:r>
    </w:p>
    <w:p w:rsidR="00000000" w:rsidDel="00000000" w:rsidP="00000000" w:rsidRDefault="00000000" w:rsidRPr="00000000" w14:paraId="0000014B">
      <w:pPr>
        <w:numPr>
          <w:ilvl w:val="0"/>
          <w:numId w:val="2"/>
        </w:numPr>
        <w:ind w:left="720" w:hanging="360"/>
        <w:rPr/>
      </w:pPr>
      <w:r w:rsidDel="00000000" w:rsidR="00000000" w:rsidRPr="00000000">
        <w:rPr>
          <w:rFonts w:ascii="Arial" w:cs="Arial" w:eastAsia="Arial" w:hAnsi="Arial"/>
          <w:sz w:val="22"/>
          <w:szCs w:val="22"/>
          <w:rtl w:val="0"/>
        </w:rPr>
        <w:t xml:space="preserve">In the fifth stage, the themes have been clearly defined and named according to the central meaning and relevance to the research objective.</w:t>
      </w:r>
    </w:p>
    <w:p w:rsidR="00000000" w:rsidDel="00000000" w:rsidP="00000000" w:rsidRDefault="00000000" w:rsidRPr="00000000" w14:paraId="0000014C">
      <w:pPr>
        <w:numPr>
          <w:ilvl w:val="0"/>
          <w:numId w:val="2"/>
        </w:numPr>
        <w:ind w:left="720" w:hanging="360"/>
        <w:rPr/>
      </w:pPr>
      <w:r w:rsidDel="00000000" w:rsidR="00000000" w:rsidRPr="00000000">
        <w:rPr>
          <w:rFonts w:ascii="Arial" w:cs="Arial" w:eastAsia="Arial" w:hAnsi="Arial"/>
          <w:sz w:val="22"/>
          <w:szCs w:val="22"/>
          <w:rtl w:val="0"/>
        </w:rPr>
        <w:t xml:space="preserve">Finally has been produced that integrates thematic findings within the Research question and objective. The actual themes and findings will be presented in Chapter 4.</w:t>
      </w:r>
    </w:p>
    <w:p w:rsidR="00000000" w:rsidDel="00000000" w:rsidP="00000000" w:rsidRDefault="00000000" w:rsidRPr="00000000" w14:paraId="0000014D">
      <w:pPr>
        <w:pStyle w:val="Heading2"/>
        <w:rPr/>
      </w:pPr>
      <w:bookmarkStart w:colFirst="0" w:colLast="0" w:name="_20225kbzbg9c" w:id="49"/>
      <w:bookmarkEnd w:id="49"/>
      <w:r w:rsidDel="00000000" w:rsidR="00000000" w:rsidRPr="00000000">
        <w:rPr>
          <w:rtl w:val="0"/>
        </w:rPr>
        <w:t xml:space="preserve">3.9 Ethical Considerations </w:t>
      </w:r>
    </w:p>
    <w:p w:rsidR="00000000" w:rsidDel="00000000" w:rsidP="00000000" w:rsidRDefault="00000000" w:rsidRPr="00000000" w14:paraId="0000014E">
      <w:pPr>
        <w:rPr>
          <w:rFonts w:ascii="Arial" w:cs="Arial" w:eastAsia="Arial" w:hAnsi="Arial"/>
          <w:sz w:val="22"/>
          <w:szCs w:val="22"/>
        </w:rPr>
      </w:pPr>
      <w:r w:rsidDel="00000000" w:rsidR="00000000" w:rsidRPr="00000000">
        <w:rPr>
          <w:rFonts w:ascii="Arial" w:cs="Arial" w:eastAsia="Arial" w:hAnsi="Arial"/>
          <w:sz w:val="22"/>
          <w:szCs w:val="22"/>
          <w:rtl w:val="0"/>
        </w:rPr>
        <w:t xml:space="preserve">The systematic literature review did not consist of the collection of primary data from human participants (Peng and Raman, 2026). They were no detect participant related challenges inform concentrate requirement or confidentially concern develop from the data collection. As the study used previously published literature, formal ethical approval is normally not needed. However, the researcher has followed the ethical requirements and guidance of the university throughout the research process. Ethical principles have been maintained by accurate, honest, and transparent reporting of the evidence (Indoria, 2026). Findings from the included studies have been represented fairly without delivery changing and reducing or by interpreting information to support the expectation of the researcher full struck justify the academic respringing has been used to acknowledge all sources and avoid plagiarism. For more ethical concreteness in the research university ethical approval process was completed properly. </w:t>
      </w:r>
    </w:p>
    <w:p w:rsidR="00000000" w:rsidDel="00000000" w:rsidP="00000000" w:rsidRDefault="00000000" w:rsidRPr="00000000" w14:paraId="0000014F">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has also confirmed that ideas, findings, and interpretations taken from the published studies were clearly distinguished from the researcher's own analysis of the researcher. Transparency has been maintained throughout the review process by clearly reporting the search strategy (Pérez-Pérez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The eligibility criteria, screening process, critical appraisal, data extraction, and analysis procedure were also maintained. The PRISMA Framework has supported the transparent reporting of the study identification and selection. Any limitation in the available evidence has been acknowledged instead of ignored. These measures support academic integrity and responsible use of published evidence and the credibility of the overall research process.  </w:t>
      </w:r>
    </w:p>
    <w:p w:rsidR="00000000" w:rsidDel="00000000" w:rsidP="00000000" w:rsidRDefault="00000000" w:rsidRPr="00000000" w14:paraId="00000150">
      <w:pPr>
        <w:pStyle w:val="Heading2"/>
        <w:rPr/>
      </w:pPr>
      <w:bookmarkStart w:colFirst="0" w:colLast="0" w:name="_uzdg714wwg3h" w:id="50"/>
      <w:bookmarkEnd w:id="50"/>
      <w:r w:rsidDel="00000000" w:rsidR="00000000" w:rsidRPr="00000000">
        <w:rPr>
          <w:rtl w:val="0"/>
        </w:rPr>
        <w:t xml:space="preserve">3.10 Chapter Summary </w:t>
      </w:r>
    </w:p>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The chapter outlined the study design, search strategy, databases, screening process, eligibility criteria, study selection, critical appraisal, data extraction, and thematic analysis. The following chapter presents and discusses the findings throughout the systematic review. </w:t>
      </w:r>
    </w:p>
    <w:p w:rsidR="00000000" w:rsidDel="00000000" w:rsidP="00000000" w:rsidRDefault="00000000" w:rsidRPr="00000000" w14:paraId="00000152">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53">
      <w:pPr>
        <w:pStyle w:val="Heading1"/>
        <w:rPr/>
      </w:pPr>
      <w:bookmarkStart w:colFirst="0" w:colLast="0" w:name="_nc64sxhkbg8o" w:id="51"/>
      <w:bookmarkEnd w:id="51"/>
      <w:r w:rsidDel="00000000" w:rsidR="00000000" w:rsidRPr="00000000">
        <w:rPr>
          <w:rtl w:val="0"/>
        </w:rPr>
        <w:t xml:space="preserve">Chapter 4: Findings</w:t>
      </w:r>
    </w:p>
    <w:p w:rsidR="00000000" w:rsidDel="00000000" w:rsidP="00000000" w:rsidRDefault="00000000" w:rsidRPr="00000000" w14:paraId="00000154">
      <w:pPr>
        <w:pStyle w:val="Heading2"/>
        <w:rPr/>
      </w:pPr>
      <w:bookmarkStart w:colFirst="0" w:colLast="0" w:name="_plx8z0zh84pu" w:id="52"/>
      <w:bookmarkEnd w:id="52"/>
      <w:r w:rsidDel="00000000" w:rsidR="00000000" w:rsidRPr="00000000">
        <w:rPr>
          <w:rtl w:val="0"/>
        </w:rPr>
        <w:t xml:space="preserve">4.1 Introduction </w:t>
      </w:r>
    </w:p>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The chapter highlights the findings from the systematic literature review by identifying integrated care models for older adults with multimorbidity and frailty in the UK. The findings are organised in themes developed inductively from the included studies. The chapter gives an overview of the selected evidence before presenting the main themes. It brings together the studies addressing similar issues to identify areas of agreement and contradiction. Evidence such as sample characteristics, reported outcomes, and relevant study finding our presented where available. The strengths and limitations are also considered in assessing the reliability of the evidence. </w:t>
      </w:r>
    </w:p>
    <w:p w:rsidR="00000000" w:rsidDel="00000000" w:rsidP="00000000" w:rsidRDefault="00000000" w:rsidRPr="00000000" w14:paraId="00000156">
      <w:pPr>
        <w:pStyle w:val="Heading2"/>
        <w:rPr/>
      </w:pPr>
      <w:bookmarkStart w:colFirst="0" w:colLast="0" w:name="_pagyh84ducml" w:id="53"/>
      <w:bookmarkEnd w:id="53"/>
      <w:r w:rsidDel="00000000" w:rsidR="00000000" w:rsidRPr="00000000">
        <w:rPr>
          <w:rtl w:val="0"/>
        </w:rPr>
        <w:t xml:space="preserve">4.2 Thematic analysis </w:t>
      </w:r>
    </w:p>
    <w:tbl>
      <w:tblPr>
        <w:tblStyle w:val="Table4"/>
        <w:tblW w:w="9006.0" w:type="dxa"/>
        <w:jc w:val="center"/>
        <w:tblLayout w:type="fixed"/>
        <w:tblLook w:val="0400"/>
      </w:tblPr>
      <w:tblGrid>
        <w:gridCol w:w="4741"/>
        <w:gridCol w:w="4265"/>
        <w:tblGridChange w:id="0">
          <w:tblGrid>
            <w:gridCol w:w="4741"/>
            <w:gridCol w:w="4265"/>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a2c4c9" w:val="clear"/>
            <w:tcMar>
              <w:top w:w="100.0" w:type="dxa"/>
              <w:left w:w="100.0" w:type="dxa"/>
              <w:bottom w:w="100.0" w:type="dxa"/>
              <w:right w:w="100.0" w:type="dxa"/>
            </w:tcMa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Themes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2c4c9" w:val="clear"/>
            <w:tcMar>
              <w:top w:w="100.0" w:type="dxa"/>
              <w:left w:w="100.0" w:type="dxa"/>
              <w:bottom w:w="100.0" w:type="dxa"/>
              <w:right w:w="100.0" w:type="dxa"/>
            </w:tcMa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Extracted from</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Theme 1: Integrated care models give several approaches to connecting health and social care for older adults with multimorbidity and frailty.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A">
            <w:pPr>
              <w:rPr>
                <w:rFonts w:ascii="Arial" w:cs="Arial" w:eastAsia="Arial" w:hAnsi="Arial"/>
                <w:sz w:val="22"/>
                <w:szCs w:val="22"/>
              </w:rPr>
            </w:pPr>
            <w:r w:rsidDel="00000000" w:rsidR="00000000" w:rsidRPr="00000000">
              <w:rPr>
                <w:rFonts w:ascii="Arial" w:cs="Arial" w:eastAsia="Arial" w:hAnsi="Arial"/>
                <w:sz w:val="22"/>
                <w:szCs w:val="22"/>
                <w:rtl w:val="0"/>
              </w:rPr>
              <w:t xml:space="preserve">Khan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Dambha-Miller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Karacsony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Tops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Theme 2: Integrated care can enhance health, functional, and care outcomes for older adults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Karacsony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Tops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Murtagh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Boyce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Wilson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D">
            <w:pPr>
              <w:rPr>
                <w:rFonts w:ascii="Arial" w:cs="Arial" w:eastAsia="Arial" w:hAnsi="Arial"/>
                <w:sz w:val="22"/>
                <w:szCs w:val="22"/>
              </w:rPr>
            </w:pPr>
            <w:r w:rsidDel="00000000" w:rsidR="00000000" w:rsidRPr="00000000">
              <w:rPr>
                <w:rFonts w:ascii="Arial" w:cs="Arial" w:eastAsia="Arial" w:hAnsi="Arial"/>
                <w:sz w:val="22"/>
                <w:szCs w:val="22"/>
                <w:rtl w:val="0"/>
              </w:rPr>
              <w:t xml:space="preserve">Theme 3: Patient-centred working can increase and strengthen coordination, continuity and quality of care for older adults with multimorbidity and frailty.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sz w:val="22"/>
                <w:szCs w:val="22"/>
                <w:rtl w:val="0"/>
              </w:rPr>
              <w:t xml:space="preserve">Murphy </w:t>
            </w:r>
            <w:r w:rsidDel="00000000" w:rsidR="00000000" w:rsidRPr="00000000">
              <w:rPr>
                <w:rFonts w:ascii="Arial" w:cs="Arial" w:eastAsia="Arial" w:hAnsi="Arial"/>
                <w:i w:val="1"/>
                <w:iCs w:val="1"/>
                <w:sz w:val="22"/>
                <w:szCs w:val="22"/>
                <w:rtl w:val="0"/>
              </w:rPr>
              <w:t xml:space="preserve">et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al.</w:t>
            </w:r>
            <w:r w:rsidDel="00000000" w:rsidR="00000000" w:rsidRPr="00000000">
              <w:rPr>
                <w:rFonts w:ascii="Arial" w:cs="Arial" w:eastAsia="Arial" w:hAnsi="Arial"/>
                <w:sz w:val="22"/>
                <w:szCs w:val="22"/>
                <w:rtl w:val="0"/>
              </w:rPr>
              <w:t xml:space="preserve"> (2025), Stray </w:t>
            </w:r>
            <w:r w:rsidDel="00000000" w:rsidR="00000000" w:rsidRPr="00000000">
              <w:rPr>
                <w:rFonts w:ascii="Arial" w:cs="Arial" w:eastAsia="Arial" w:hAnsi="Arial"/>
                <w:i w:val="1"/>
                <w:iCs w:val="1"/>
                <w:sz w:val="22"/>
                <w:szCs w:val="22"/>
                <w:rtl w:val="0"/>
              </w:rPr>
              <w:t xml:space="preserve">et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al.</w:t>
            </w:r>
            <w:r w:rsidDel="00000000" w:rsidR="00000000" w:rsidRPr="00000000">
              <w:rPr>
                <w:rFonts w:ascii="Arial" w:cs="Arial" w:eastAsia="Arial" w:hAnsi="Arial"/>
                <w:sz w:val="22"/>
                <w:szCs w:val="22"/>
                <w:rtl w:val="0"/>
              </w:rPr>
              <w:t xml:space="preserve"> (2024), Murtagh </w:t>
            </w:r>
            <w:r w:rsidDel="00000000" w:rsidR="00000000" w:rsidRPr="00000000">
              <w:rPr>
                <w:rFonts w:ascii="Arial" w:cs="Arial" w:eastAsia="Arial" w:hAnsi="Arial"/>
                <w:i w:val="1"/>
                <w:iCs w:val="1"/>
                <w:sz w:val="22"/>
                <w:szCs w:val="22"/>
                <w:rtl w:val="0"/>
              </w:rPr>
              <w:t xml:space="preserve">et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al.</w:t>
            </w:r>
            <w:r w:rsidDel="00000000" w:rsidR="00000000" w:rsidRPr="00000000">
              <w:rPr>
                <w:rFonts w:ascii="Arial" w:cs="Arial" w:eastAsia="Arial" w:hAnsi="Arial"/>
                <w:sz w:val="22"/>
                <w:szCs w:val="22"/>
                <w:rtl w:val="0"/>
              </w:rPr>
              <w:t xml:space="preserve"> (2023), Green </w:t>
            </w:r>
            <w:r w:rsidDel="00000000" w:rsidR="00000000" w:rsidRPr="00000000">
              <w:rPr>
                <w:rFonts w:ascii="Arial" w:cs="Arial" w:eastAsia="Arial" w:hAnsi="Arial"/>
                <w:i w:val="1"/>
                <w:iCs w:val="1"/>
                <w:sz w:val="22"/>
                <w:szCs w:val="22"/>
                <w:rtl w:val="0"/>
              </w:rPr>
              <w:t xml:space="preserve">et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al.</w:t>
            </w:r>
            <w:r w:rsidDel="00000000" w:rsidR="00000000" w:rsidRPr="00000000">
              <w:rPr>
                <w:rFonts w:ascii="Arial" w:cs="Arial" w:eastAsia="Arial" w:hAnsi="Arial"/>
                <w:sz w:val="22"/>
                <w:szCs w:val="22"/>
                <w:rtl w:val="0"/>
              </w:rPr>
              <w:t xml:space="preserve"> (2025), Wu </w:t>
            </w:r>
            <w:r w:rsidDel="00000000" w:rsidR="00000000" w:rsidRPr="00000000">
              <w:rPr>
                <w:rFonts w:ascii="Arial" w:cs="Arial" w:eastAsia="Arial" w:hAnsi="Arial"/>
                <w:i w:val="1"/>
                <w:iCs w:val="1"/>
                <w:sz w:val="22"/>
                <w:szCs w:val="22"/>
                <w:rtl w:val="0"/>
              </w:rPr>
              <w:t xml:space="preserve">et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al.</w:t>
            </w:r>
            <w:r w:rsidDel="00000000" w:rsidR="00000000" w:rsidRPr="00000000">
              <w:rPr>
                <w:rFonts w:ascii="Arial" w:cs="Arial" w:eastAsia="Arial" w:hAnsi="Arial"/>
                <w:sz w:val="22"/>
                <w:szCs w:val="22"/>
                <w:rtl w:val="0"/>
              </w:rPr>
              <w:t xml:space="preserve"> (2023), Barber </w:t>
            </w:r>
            <w:r w:rsidDel="00000000" w:rsidR="00000000" w:rsidRPr="00000000">
              <w:rPr>
                <w:rFonts w:ascii="Arial" w:cs="Arial" w:eastAsia="Arial" w:hAnsi="Arial"/>
                <w:i w:val="1"/>
                <w:iCs w:val="1"/>
                <w:sz w:val="22"/>
                <w:szCs w:val="22"/>
                <w:rtl w:val="0"/>
              </w:rPr>
              <w:t xml:space="preserve">et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al.</w:t>
            </w:r>
            <w:r w:rsidDel="00000000" w:rsidR="00000000" w:rsidRPr="00000000">
              <w:rPr>
                <w:rFonts w:ascii="Arial" w:cs="Arial" w:eastAsia="Arial" w:hAnsi="Arial"/>
                <w:sz w:val="22"/>
                <w:szCs w:val="22"/>
                <w:rtl w:val="0"/>
              </w:rPr>
              <w:t xml:space="preserve"> (2023), Wilson </w:t>
            </w:r>
            <w:r w:rsidDel="00000000" w:rsidR="00000000" w:rsidRPr="00000000">
              <w:rPr>
                <w:rFonts w:ascii="Arial" w:cs="Arial" w:eastAsia="Arial" w:hAnsi="Arial"/>
                <w:i w:val="1"/>
                <w:iCs w:val="1"/>
                <w:sz w:val="22"/>
                <w:szCs w:val="22"/>
                <w:rtl w:val="0"/>
              </w:rPr>
              <w:t xml:space="preserve">et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al.</w:t>
            </w:r>
            <w:r w:rsidDel="00000000" w:rsidR="00000000" w:rsidRPr="00000000">
              <w:rPr>
                <w:rFonts w:ascii="Arial" w:cs="Arial" w:eastAsia="Arial" w:hAnsi="Arial"/>
                <w:sz w:val="22"/>
                <w:szCs w:val="22"/>
                <w:rtl w:val="0"/>
              </w:rPr>
              <w:t xml:space="preserve"> (2023)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Theme 4: Organisational, professional, financial, and technological factors can either support or hinder the implementation of integrated care.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sz w:val="22"/>
                <w:szCs w:val="22"/>
                <w:rtl w:val="0"/>
              </w:rPr>
              <w:t xml:space="preserve">Khan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Barber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Green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Ahmed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McGill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Hendry and Law (2024)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Theme 5: The effectiveness of integrated care depends on the design and implementation of individuals' multimorbidity and frailty situation.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McGill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Hendry and Law (2024), Sadler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Christensen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3">
            <w:pPr>
              <w:rPr>
                <w:rFonts w:ascii="Arial" w:cs="Arial" w:eastAsia="Arial" w:hAnsi="Arial"/>
                <w:sz w:val="22"/>
                <w:szCs w:val="22"/>
              </w:rPr>
            </w:pPr>
            <w:r w:rsidDel="00000000" w:rsidR="00000000" w:rsidRPr="00000000">
              <w:rPr>
                <w:rFonts w:ascii="Arial" w:cs="Arial" w:eastAsia="Arial" w:hAnsi="Arial"/>
                <w:sz w:val="22"/>
                <w:szCs w:val="22"/>
                <w:rtl w:val="0"/>
              </w:rPr>
              <w:t xml:space="preserve">Theme 6: User-centred service design and empowerment of patients work as a way to tackle digital inequalities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4">
            <w:pPr>
              <w:rPr>
                <w:rFonts w:ascii="Arial" w:cs="Arial" w:eastAsia="Arial" w:hAnsi="Arial"/>
                <w:sz w:val="22"/>
                <w:szCs w:val="22"/>
              </w:rPr>
            </w:pPr>
            <w:r w:rsidDel="00000000" w:rsidR="00000000" w:rsidRPr="00000000">
              <w:rPr>
                <w:rFonts w:ascii="Arial" w:cs="Arial" w:eastAsia="Arial" w:hAnsi="Arial"/>
                <w:sz w:val="22"/>
                <w:szCs w:val="22"/>
                <w:rtl w:val="0"/>
              </w:rPr>
              <w:t xml:space="preserve">Stray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Money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(2024), Casselden (2023), Green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Honinx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w:t>
            </w:r>
          </w:p>
        </w:tc>
      </w:tr>
    </w:tbl>
    <w:p w:rsidR="00000000" w:rsidDel="00000000" w:rsidP="00000000" w:rsidRDefault="00000000" w:rsidRPr="00000000" w14:paraId="00000165">
      <w:pPr>
        <w:pStyle w:val="Heading5"/>
        <w:rPr>
          <w:rFonts w:ascii="Arial" w:cs="Arial" w:eastAsia="Arial" w:hAnsi="Arial"/>
          <w:color w:val="000000"/>
          <w:sz w:val="22"/>
          <w:szCs w:val="22"/>
        </w:rPr>
      </w:pPr>
      <w:bookmarkStart w:colFirst="0" w:colLast="0" w:name="_dzd0g4p0nfqj" w:id="54"/>
      <w:bookmarkEnd w:id="54"/>
      <w:r w:rsidDel="00000000" w:rsidR="00000000" w:rsidRPr="00000000">
        <w:rPr>
          <w:rFonts w:ascii="Arial" w:cs="Arial" w:eastAsia="Arial" w:hAnsi="Arial"/>
          <w:color w:val="000000"/>
          <w:sz w:val="22"/>
          <w:szCs w:val="22"/>
          <w:rtl w:val="0"/>
        </w:rPr>
        <w:t xml:space="preserve">Table 4.1: Theme development </w:t>
      </w:r>
    </w:p>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self-developed)</w:t>
      </w:r>
    </w:p>
    <w:p w:rsidR="00000000" w:rsidDel="00000000" w:rsidP="00000000" w:rsidRDefault="00000000" w:rsidRPr="00000000" w14:paraId="00000167">
      <w:pPr>
        <w:pStyle w:val="Heading3"/>
        <w:rPr>
          <w:rFonts w:ascii="Arial" w:cs="Arial" w:eastAsia="Arial" w:hAnsi="Arial"/>
          <w:sz w:val="22"/>
          <w:szCs w:val="22"/>
        </w:rPr>
      </w:pPr>
      <w:bookmarkStart w:colFirst="0" w:colLast="0" w:name="_il5w9f8cf8uv" w:id="55"/>
      <w:bookmarkEnd w:id="55"/>
      <w:r w:rsidDel="00000000" w:rsidR="00000000" w:rsidRPr="00000000">
        <w:rPr>
          <w:rFonts w:ascii="Arial" w:cs="Arial" w:eastAsia="Arial" w:hAnsi="Arial"/>
          <w:sz w:val="22"/>
          <w:szCs w:val="22"/>
          <w:rtl w:val="0"/>
        </w:rPr>
        <w:t xml:space="preserve">Theme 1: Integrated care models relates health and social care by different forms of coordination care for older adults with multimorbidity and frailty</w:t>
      </w:r>
    </w:p>
    <w:p w:rsidR="00000000" w:rsidDel="00000000" w:rsidP="00000000" w:rsidRDefault="00000000" w:rsidRPr="00000000" w14:paraId="00000168">
      <w:pPr>
        <w:rPr>
          <w:rFonts w:ascii="Arial" w:cs="Arial" w:eastAsia="Arial" w:hAnsi="Arial"/>
          <w:sz w:val="22"/>
          <w:szCs w:val="22"/>
        </w:rPr>
      </w:pPr>
      <w:r w:rsidDel="00000000" w:rsidR="00000000" w:rsidRPr="00000000">
        <w:rPr>
          <w:rFonts w:ascii="Arial" w:cs="Arial" w:eastAsia="Arial" w:hAnsi="Arial"/>
          <w:sz w:val="22"/>
          <w:szCs w:val="22"/>
          <w:rtl w:val="0"/>
        </w:rPr>
        <w:t xml:space="preserve">The evidence from the five selected studies reflected that integrated care for older adults with multimorbidity and frailty requires different approaches to connect health, social, and community services. Instead of following one fixed model, integrated care can include multidisciplinary team working, personalized care planning, a case management coordinator, primary and social care, shared information, and strong communication between professionals. However, the evidence also reflects that the degree of integration is different between the models and the local settings. Khan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identified the implementation of integrated care for older people with different frailty levels in Luton, England. The study reflecting structure approach in which care was adopted according to the individual frailty status. Personalised care, case management, and multidisciplinary working were important components in this approach. However, implementation differs between local areas due to variations in professional engagement organisation arrangement and information systems. This highlight the integrated care model needs to be flexible enough to respond to local service structures while maintaining a common focus on older people's requirements. The interview and document analysis design give useful real-life evidence but it focus on single local program which limit generalizability to other UK settings. Dambha-Miller</w:t>
      </w:r>
      <w:r w:rsidDel="00000000" w:rsidR="00000000" w:rsidRPr="00000000">
        <w:rPr>
          <w:rFonts w:ascii="Arial" w:cs="Arial" w:eastAsia="Arial" w:hAnsi="Arial"/>
          <w:i w:val="1"/>
          <w:iCs w:val="1"/>
          <w:sz w:val="22"/>
          <w:szCs w:val="22"/>
          <w:rtl w:val="0"/>
        </w:rPr>
        <w:t xml:space="preserve"> et al.</w:t>
      </w:r>
      <w:r w:rsidDel="00000000" w:rsidR="00000000" w:rsidRPr="00000000">
        <w:rPr>
          <w:rFonts w:ascii="Arial" w:cs="Arial" w:eastAsia="Arial" w:hAnsi="Arial"/>
          <w:sz w:val="22"/>
          <w:szCs w:val="22"/>
          <w:rtl w:val="0"/>
        </w:rPr>
        <w:t xml:space="preserve"> (2021) give evidence specifically concerning older adults with multimorbidity. The qualitative study included 37 stakeholders, which included professionals from primary care, social care, secondary care, local government, and voluntary services, as well as patients and carers. The findings identify that leadership influences the role and co-location as factors supporting integration. Professional tensions organisation interiors and difficulties with Information sharing can restrict collaboration as well. This situation reflects that health and social care connectivity need organisation interpersonal cooperation rather than simply creating new services. The literature used in the study concentrated on individual-level care. This suggests that patient-level coordination is more developed than integration across organisations and the wider system. The review also found that integrated care requires time, resources, and flexibility to reflect local circumstances.  The qualitative design give the detailed stakeholder perspective but the absence of outcome measurement limit the ability to assess whether integration produce measurable improvement or not. Karacsony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further reflecting that potential social and clinical value of integrated care. The qualitative systematic review identified 11 peer-reviewed studies from the evidence reviewed. The findings indicate that integrated approaches can support social participation motivation will being an engagement with health goals. However, the review also identifying limitation of outcome and limited representation of older people's perspectives. This suggests that integration should not be only about service coordination but also about whether it enhances the experience and outcomes for older adults. Tops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identify 38 studies that describe 13 integrated care models for older adults with depression and physical frailty. All models involved a multidisciplinary team, while personalised care continuity, a holistic assessment, individualise planning and coordination were common components. The clinical outcomes were reported most frequently. The organisational outcome which reflect evidence concerning how integrated models operate in practice. Overall, the five studies reflect considerable agreement that effective integrated care depends on coordinated working, personalised support, and communication across service boundaries. How is what the difference is in implementation and even quality, reflecting that no single model can yet be considered effective. The scoping review identify wide range of integrated care model but variation in population intervention and reported outcome limit the direct comparison between models.</w:t>
      </w:r>
    </w:p>
    <w:p w:rsidR="00000000" w:rsidDel="00000000" w:rsidP="00000000" w:rsidRDefault="00000000" w:rsidRPr="00000000" w14:paraId="00000169">
      <w:pPr>
        <w:pStyle w:val="Heading3"/>
        <w:rPr>
          <w:rFonts w:ascii="Arial" w:cs="Arial" w:eastAsia="Arial" w:hAnsi="Arial"/>
          <w:sz w:val="22"/>
          <w:szCs w:val="22"/>
        </w:rPr>
      </w:pPr>
      <w:bookmarkStart w:colFirst="0" w:colLast="0" w:name="_kharekfmoaj7" w:id="56"/>
      <w:bookmarkEnd w:id="56"/>
      <w:r w:rsidDel="00000000" w:rsidR="00000000" w:rsidRPr="00000000">
        <w:rPr>
          <w:rFonts w:ascii="Arial" w:cs="Arial" w:eastAsia="Arial" w:hAnsi="Arial"/>
          <w:sz w:val="22"/>
          <w:szCs w:val="22"/>
          <w:rtl w:val="0"/>
        </w:rPr>
        <w:t xml:space="preserve">Theme 2: Integrated care can enhance health, functional, and care outcomes for older adults</w:t>
      </w:r>
    </w:p>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The evidence reflects that integrated care can increase health, functional wellbeing, and care experience among older adults with frailty. But the strength of the evidence is different between the studies. Overall findings are supportive but not conclusive. Murtagh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identified that proactive multidisciplinary care intervention using a non-randomised control design. The intervention included proactive identification, assessment, personalized care planning, and multidisciplinary support. Compared with usual care, the study's assessment was more efficient. However, the non-randomised control design help comparison with usual care but possible selection bias and confounding mean that improvement cannot be attributed internally to the intervention. </w:t>
      </w:r>
    </w:p>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On the other hand, Boyce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provide good evidence through a systematic review and mixed-methods synthesis of the integrate it care and quality of life among community-dwelling older adults with frailty. The review highlighted that integrated care can easily improve quality of life and some aspects of social functioning. Impact was not consistently significant across all outcomes. Differences in the intervention model and outcome measures also limit the comparison. Thus, integrated care is appearing as Beneficial, but its effects are not always uniform. The systematic review gives stronger competitive evidence but high heterogeneity and inconsistent impact across outcome limiting the confidence in a uniform clinical benefit. </w:t>
      </w:r>
    </w:p>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Wilson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identified that older adults experienced a novel integrated service for people at risk of frailty. Participants generally reported a positive experience, as the service considered wider health and social requirements rather than one clinical Problem. However, participants in the study wanted longer follow-up and stronger links with other services. These develop an important critical distinction. Positive care experiences do not necessarily demonstrate measurable improvement in health or functional outcomes; the qualitative design gives valuable patient perspectives but cannot develop casual effectiveness. Tops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highlight 38 studies that describe older adults with depression and physical comorbidity. All the models involve a multidisciplinary team, person-centred care, continuity, holistic assessment, individualised planning, and coordination as common features. These findings support the significance of coordinated approaches. However, clinical outcome where reported more frequently than organisation outcome. This is reduced uncertainity about long-term implementation and sustainability that integrated care can improve health quality of life, functional well-being, and care experience. The main consistency in the study design, population, and outcome measures is hampering. Therefore, integrated care appears promising, but outcomes depend on the intervention mode,  implementation conditions, and individual requirements for older adults.</w:t>
      </w:r>
    </w:p>
    <w:p w:rsidR="00000000" w:rsidDel="00000000" w:rsidP="00000000" w:rsidRDefault="00000000" w:rsidRPr="00000000" w14:paraId="0000016D">
      <w:pPr>
        <w:pStyle w:val="Heading3"/>
        <w:rPr>
          <w:rFonts w:ascii="Arial" w:cs="Arial" w:eastAsia="Arial" w:hAnsi="Arial"/>
          <w:sz w:val="22"/>
          <w:szCs w:val="22"/>
        </w:rPr>
      </w:pPr>
      <w:bookmarkStart w:colFirst="0" w:colLast="0" w:name="_6uaisqvr9pjb" w:id="57"/>
      <w:bookmarkEnd w:id="57"/>
      <w:r w:rsidDel="00000000" w:rsidR="00000000" w:rsidRPr="00000000">
        <w:rPr>
          <w:rFonts w:ascii="Arial" w:cs="Arial" w:eastAsia="Arial" w:hAnsi="Arial"/>
          <w:sz w:val="22"/>
          <w:szCs w:val="22"/>
          <w:rtl w:val="0"/>
        </w:rPr>
        <w:t xml:space="preserve">Theme 3: Person-centred coordination increase continuity and responsiveness to individual requirements for older adults with multimorbidity and frailty. </w:t>
      </w:r>
    </w:p>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sz w:val="22"/>
          <w:szCs w:val="22"/>
          <w:rtl w:val="0"/>
        </w:rPr>
        <w:t xml:space="preserve">The evidence supports patient-centred working, which can increase the strength of integrated care by confirming that older adults' individual requirements, preferences, and experiences are considered along with the clinical requirements. Across different studies, patients entered an approach were connected with better communication, multidisciplinary coordination, continuity, and more Holistic care. The evidence also shows that patient-centred care totally depends ons on effective professional connection and sufficient time with resources. Murphy</w:t>
      </w:r>
      <w:r w:rsidDel="00000000" w:rsidR="00000000" w:rsidRPr="00000000">
        <w:rPr>
          <w:rFonts w:ascii="Arial" w:cs="Arial" w:eastAsia="Arial" w:hAnsi="Arial"/>
          <w:i w:val="1"/>
          <w:iCs w:val="1"/>
          <w:sz w:val="22"/>
          <w:szCs w:val="22"/>
          <w:rtl w:val="0"/>
        </w:rPr>
        <w:t xml:space="preserve"> et al.</w:t>
      </w:r>
      <w:r w:rsidDel="00000000" w:rsidR="00000000" w:rsidRPr="00000000">
        <w:rPr>
          <w:rFonts w:ascii="Arial" w:cs="Arial" w:eastAsia="Arial" w:hAnsi="Arial"/>
          <w:sz w:val="22"/>
          <w:szCs w:val="22"/>
          <w:rtl w:val="0"/>
        </w:rPr>
        <w:t xml:space="preserve"> (2025) found that older people's experiences of person-centred integrated care are shaped by coordination, continuity, communication, involvement in decision-making, and holistic support. The study indicates that older adults value care that considers the wider circumstances rather than separate conditions. Evidence also identifies challenges like fragmented services and workforce pressure unless organisations support professionals to work across service boundaries. The integrative review give large evidence about person centred care but conceptual variation between the included studies limit the direct comparisons of finding. Stray</w:t>
      </w:r>
      <w:r w:rsidDel="00000000" w:rsidR="00000000" w:rsidRPr="00000000">
        <w:rPr>
          <w:rFonts w:ascii="Arial" w:cs="Arial" w:eastAsia="Arial" w:hAnsi="Arial"/>
          <w:i w:val="1"/>
          <w:iCs w:val="1"/>
          <w:sz w:val="22"/>
          <w:szCs w:val="22"/>
          <w:rtl w:val="0"/>
        </w:rPr>
        <w:t xml:space="preserve"> et al.</w:t>
      </w:r>
      <w:r w:rsidDel="00000000" w:rsidR="00000000" w:rsidRPr="00000000">
        <w:rPr>
          <w:rFonts w:ascii="Arial" w:cs="Arial" w:eastAsia="Arial" w:hAnsi="Arial"/>
          <w:sz w:val="22"/>
          <w:szCs w:val="22"/>
          <w:rtl w:val="0"/>
        </w:rPr>
        <w:t xml:space="preserve"> (2024) similarly found that the significance of interpretational communication can be integrated into primary health care. The older adult experience a reflecting communication between professionals can impact the perception of continuity and coordination. Effective information exchange helps in developing a more coherent care pathway, whereas poor communication can make services appear fragmented. The qualitative maybe density valuable information for the patient experience; between the studies include meta-ethnography, limiting direct comparison. </w:t>
      </w:r>
    </w:p>
    <w:p w:rsidR="00000000" w:rsidDel="00000000" w:rsidP="00000000" w:rsidRDefault="00000000" w:rsidRPr="00000000" w14:paraId="0000016F">
      <w:pPr>
        <w:rPr>
          <w:rFonts w:ascii="Arial" w:cs="Arial" w:eastAsia="Arial" w:hAnsi="Arial"/>
          <w:sz w:val="22"/>
          <w:szCs w:val="22"/>
        </w:rPr>
      </w:pPr>
      <w:r w:rsidDel="00000000" w:rsidR="00000000" w:rsidRPr="00000000">
        <w:rPr>
          <w:rFonts w:ascii="Arial" w:cs="Arial" w:eastAsia="Arial" w:hAnsi="Arial"/>
          <w:sz w:val="22"/>
          <w:szCs w:val="22"/>
          <w:rtl w:val="0"/>
        </w:rPr>
        <w:t xml:space="preserve">On the other hand, Murtagh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(2023) give complementary evidence from a proactive multidisciplinary intervention for older people who are leaving with frailty. Personalized assessment and care planning were developed and significant part of the intervention. The support the argument that patient-centred care can connect different professionals around individual requirements. As the study used a non-randomised design, the findings cannot demonstrate that patient-centred care alone leads to cost improvement. The England-wide survey give a large coverage of community service but the observational design limit the ability to develop a causal relationship between service integration and patient outcome.</w:t>
      </w:r>
    </w:p>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Here, Wu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(2023) identified that integrated care can improve aspects of quality of life among older adults with frailty and multimorbidity through continuity of care. But the impact varies across the outcome and intervention models. Coordination can contribute to better wellbeing, but patient-centred integration should not be assumed to improve every outcome. Evidence from Green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further adds that the importance of the connection between continuity and service for older people living with severe frailty is huge. Barber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found that MDT-focused training improved professionals' knowledge, confidence, and understanding of roles, supporting stronger collaborative working. But professional outcomes do not automatically improve patient outcomes. Wilson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argued that older adults generally value the novel integrated service at each address a larger health and social requirements. Participants also wanted longer follow-up and a strong connection with other services. Experience can coexist with gaps in care quality. Overall, the evidence supports patients entering working as an important mechanism for enhancing coordination, continuity, and care quality. But success depends on communication, multidisciplinary collaboration, organisational support, and sustained follow-up.  The qualitative approach capture valuable patient experience. But the finding cannot develop whether positive experience translate into measurable long term improvement in care quality or not. </w:t>
      </w:r>
    </w:p>
    <w:p w:rsidR="00000000" w:rsidDel="00000000" w:rsidP="00000000" w:rsidRDefault="00000000" w:rsidRPr="00000000" w14:paraId="00000171">
      <w:pPr>
        <w:pStyle w:val="Heading3"/>
        <w:rPr>
          <w:rFonts w:ascii="Arial" w:cs="Arial" w:eastAsia="Arial" w:hAnsi="Arial"/>
          <w:sz w:val="22"/>
          <w:szCs w:val="22"/>
        </w:rPr>
      </w:pPr>
      <w:bookmarkStart w:colFirst="0" w:colLast="0" w:name="_c6aup5h9wgdr" w:id="58"/>
      <w:bookmarkEnd w:id="58"/>
      <w:r w:rsidDel="00000000" w:rsidR="00000000" w:rsidRPr="00000000">
        <w:rPr>
          <w:rFonts w:ascii="Arial" w:cs="Arial" w:eastAsia="Arial" w:hAnsi="Arial"/>
          <w:sz w:val="22"/>
          <w:szCs w:val="22"/>
          <w:rtl w:val="0"/>
        </w:rPr>
        <w:t xml:space="preserve">Theme 4: Organisational, workforce and system conditions are the determents of successful implementation </w:t>
      </w:r>
    </w:p>
    <w:p w:rsidR="00000000" w:rsidDel="00000000" w:rsidP="00000000" w:rsidRDefault="00000000" w:rsidRPr="00000000" w14:paraId="00000172">
      <w:pPr>
        <w:rPr>
          <w:rFonts w:ascii="Arial" w:cs="Arial" w:eastAsia="Arial" w:hAnsi="Arial"/>
          <w:sz w:val="22"/>
          <w:szCs w:val="22"/>
        </w:rPr>
      </w:pPr>
      <w:r w:rsidDel="00000000" w:rsidR="00000000" w:rsidRPr="00000000">
        <w:rPr>
          <w:rFonts w:ascii="Arial" w:cs="Arial" w:eastAsia="Arial" w:hAnsi="Arial"/>
          <w:sz w:val="22"/>
          <w:szCs w:val="22"/>
          <w:rtl w:val="0"/>
        </w:rPr>
        <w:t xml:space="preserve">The evidence highlights that the implementation of integrated care totally depends on organisation profession and financial, and technological conditions. Across different studies, leadership, multidisciplinary working, resource communication, information systems, and local service structure influenced how integrated care was delivered. However, these factors also create different challenges to consistency and implementation of the care process. Here, Khan</w:t>
      </w:r>
      <w:r w:rsidDel="00000000" w:rsidR="00000000" w:rsidRPr="00000000">
        <w:rPr>
          <w:rFonts w:ascii="Arial" w:cs="Arial" w:eastAsia="Arial" w:hAnsi="Arial"/>
          <w:i w:val="1"/>
          <w:iCs w:val="1"/>
          <w:sz w:val="22"/>
          <w:szCs w:val="22"/>
          <w:rtl w:val="0"/>
        </w:rPr>
        <w:t xml:space="preserve"> et al.</w:t>
      </w:r>
      <w:r w:rsidDel="00000000" w:rsidR="00000000" w:rsidRPr="00000000">
        <w:rPr>
          <w:rFonts w:ascii="Arial" w:cs="Arial" w:eastAsia="Arial" w:hAnsi="Arial"/>
          <w:sz w:val="22"/>
          <w:szCs w:val="22"/>
          <w:rtl w:val="0"/>
        </w:rPr>
        <w:t xml:space="preserve"> (2023) identified that implementation of integrated frailty care in Luton different as the differences in local structure, professional engagement, and information systems. However, the national Framework gives common direction for local delivery, but policy guidance alone cannot guarantee consist of and implementation if organisations have different resources and working practices. On the other hand, Barber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highlighted the professional dimensions. The intervention process in the study involved 15 participants from 5 primary care networks and focused on working with people with frailty. Training improves professional knowledge, confidence, and understanding of the professional rules. Improved professional capability does not necessarily confirm sustained integration if workload and organisational pressure remain. Green</w:t>
      </w:r>
      <w:r w:rsidDel="00000000" w:rsidR="00000000" w:rsidRPr="00000000">
        <w:rPr>
          <w:rFonts w:ascii="Arial" w:cs="Arial" w:eastAsia="Arial" w:hAnsi="Arial"/>
          <w:i w:val="1"/>
          <w:iCs w:val="1"/>
          <w:sz w:val="22"/>
          <w:szCs w:val="22"/>
          <w:rtl w:val="0"/>
        </w:rPr>
        <w:t xml:space="preserve"> et al. </w:t>
      </w:r>
      <w:r w:rsidDel="00000000" w:rsidR="00000000" w:rsidRPr="00000000">
        <w:rPr>
          <w:rFonts w:ascii="Arial" w:cs="Arial" w:eastAsia="Arial" w:hAnsi="Arial"/>
          <w:sz w:val="22"/>
          <w:szCs w:val="22"/>
          <w:rtl w:val="0"/>
        </w:rPr>
        <w:t xml:space="preserve">(2025) give England-wide evidence on community service provision for older people with severe frailty. The findings reflect variation in how services are organised and connected across the local system. Geographical and Organisation different can impact access to co-ordinated care. Patients can experience different levels of integration depending on the local service environment. On the other hand, Ahmed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(2021) give larger explanation through a rapid realistic review. The review reflects that integrated care outcomes totally depend on the interaction between the intervention and the context. Professional relationship organisation arrangement and available resources can impact the implementation process of integrated care. This creates challenges in assuming that the same integrated care model will give integral outcome actress sitting. The rapid realistic review help in explaining how context influences implementation. But the review based design and variation between context limit the ability to identify in one universally effective implementation strategy. McGill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(2024) further focus on the system design by functional modelling of community-based integrated care. The work highlights different functional professionals and processes required to connect effectively to give coordinator service. This reflecting organisational and technological systems need to support information flow and collaboration instead of operating separately. Another study by Hendry and Law (2024) argued for the evidence for proactive frailty care and coordinated multidisciplinary working.  There are practical challenges connected with work capacity and wider system change.  For these reasons, professional commitment needs to be supported by appropriate organisational requirements. Overall, the studies show that implementation is impacted by interconnected organisational, professional, financial and technological factors. </w:t>
      </w:r>
    </w:p>
    <w:p w:rsidR="00000000" w:rsidDel="00000000" w:rsidP="00000000" w:rsidRDefault="00000000" w:rsidRPr="00000000" w14:paraId="00000173">
      <w:pPr>
        <w:pStyle w:val="Heading3"/>
        <w:rPr>
          <w:rFonts w:ascii="Arial" w:cs="Arial" w:eastAsia="Arial" w:hAnsi="Arial"/>
          <w:sz w:val="22"/>
          <w:szCs w:val="22"/>
        </w:rPr>
      </w:pPr>
      <w:bookmarkStart w:colFirst="0" w:colLast="0" w:name="_f5p78uzctaki" w:id="59"/>
      <w:bookmarkEnd w:id="59"/>
      <w:r w:rsidDel="00000000" w:rsidR="00000000" w:rsidRPr="00000000">
        <w:rPr>
          <w:rFonts w:ascii="Arial" w:cs="Arial" w:eastAsia="Arial" w:hAnsi="Arial"/>
          <w:sz w:val="22"/>
          <w:szCs w:val="22"/>
          <w:rtl w:val="0"/>
        </w:rPr>
        <w:t xml:space="preserve">Theme 5: Integrated care effectiveness depends on combining the model to frailty, multimorbidity and local context </w:t>
      </w:r>
    </w:p>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Integrated care is unlikely to be equally effective for all older adults with frailty and multimorbidity. The effectiveness depends on how the service is developed, designed, coordinated, and adapted to individual circumstances. Personalized case management, proactive intervention, and appropriate service coordination emerge as important features. Implementation challenges are also present for decreasing the benefits of a well-designed model. McGill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focus on the significance of developing community-based integrated care for the functions needed by older people and the professionals supporting them. The functional modelling approach reflects the effective integration needed for a clear connection between the different actors, processes, and services. This reflected model needs to be developed as a connected system instead of a separate service. The functional modelling primary identifying how the system should operate and does not itself determine whether a particular design produces better patient outcomes or not. Hendry and Law (2024) highlight that proactive care for frailty needs early identification, personalised assessment, and coordination. The approach is particularly justified where older adults have changing and complicated names reactive service is to respond before problems become more severe. The implementation depends on workforce capacity, professional collaboration, and wider system support. Hence, the individualised design cannot succeed without suitable organisational conditions. Christensen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(2025) give evidence from service users, carers and providers about factors impacting integrated care for older people with frailty. The review identifies that communication, coordination, relationships between professionals, and involvement of service users are important facilitators. On the other hand, fragmented services, poor communication, organisation, and challenges can hinder the implementation as well. On the other hand, Sadler</w:t>
      </w:r>
      <w:r w:rsidDel="00000000" w:rsidR="00000000" w:rsidRPr="00000000">
        <w:rPr>
          <w:rFonts w:ascii="Arial" w:cs="Arial" w:eastAsia="Arial" w:hAnsi="Arial"/>
          <w:i w:val="1"/>
          <w:iCs w:val="1"/>
          <w:sz w:val="22"/>
          <w:szCs w:val="22"/>
          <w:rtl w:val="0"/>
        </w:rPr>
        <w:t xml:space="preserve"> et al.</w:t>
      </w:r>
      <w:r w:rsidDel="00000000" w:rsidR="00000000" w:rsidRPr="00000000">
        <w:rPr>
          <w:rFonts w:ascii="Arial" w:cs="Arial" w:eastAsia="Arial" w:hAnsi="Arial"/>
          <w:sz w:val="22"/>
          <w:szCs w:val="22"/>
          <w:rtl w:val="0"/>
        </w:rPr>
        <w:t xml:space="preserve"> (2023) identified case management for integrated care of older adults with frailty in community settings. Case management can give us a structured mechanism for identifying care planning, coordination, and follow-up. This is justified for individuals who need to cross different health and social care services. However, the evidence Syndicate different between the case management model, and it suggests that effectiveness depends on how the intervention is organised and delivered in daily practice, rather than simply on whether case management is present. Overall, the studies suggested that integrated care needs to be tailored to individual requirements instead of being delivered by a uniform model. Proactive assessment, case management coordination, and patient-centred design can increase the strength of care. But the effectiveness depends on the implementation conditions and the complications of individual needs. The evidence then supports flexible, personalized model.</w:t>
      </w:r>
    </w:p>
    <w:p w:rsidR="00000000" w:rsidDel="00000000" w:rsidP="00000000" w:rsidRDefault="00000000" w:rsidRPr="00000000" w14:paraId="00000175">
      <w:pPr>
        <w:pStyle w:val="Heading3"/>
        <w:rPr>
          <w:rFonts w:ascii="Arial" w:cs="Arial" w:eastAsia="Arial" w:hAnsi="Arial"/>
          <w:sz w:val="22"/>
          <w:szCs w:val="22"/>
        </w:rPr>
      </w:pPr>
      <w:bookmarkStart w:colFirst="0" w:colLast="0" w:name="_yngl2w1kdbsh" w:id="60"/>
      <w:bookmarkEnd w:id="60"/>
      <w:r w:rsidDel="00000000" w:rsidR="00000000" w:rsidRPr="00000000">
        <w:rPr>
          <w:rFonts w:ascii="Arial" w:cs="Arial" w:eastAsia="Arial" w:hAnsi="Arial"/>
          <w:sz w:val="22"/>
          <w:szCs w:val="22"/>
          <w:rtl w:val="0"/>
        </w:rPr>
        <w:t xml:space="preserve">Theme 6: Digital access and user-centred technology are multidisciplinary conditions for fair integrated care </w:t>
      </w:r>
    </w:p>
    <w:p w:rsidR="00000000" w:rsidDel="00000000" w:rsidP="00000000" w:rsidRDefault="00000000" w:rsidRPr="00000000" w14:paraId="00000176">
      <w:pPr>
        <w:rPr>
          <w:rFonts w:ascii="Arial" w:cs="Arial" w:eastAsia="Arial" w:hAnsi="Arial"/>
          <w:sz w:val="22"/>
          <w:szCs w:val="22"/>
        </w:rPr>
      </w:pPr>
      <w:r w:rsidDel="00000000" w:rsidR="00000000" w:rsidRPr="00000000">
        <w:rPr>
          <w:rFonts w:ascii="Arial" w:cs="Arial" w:eastAsia="Arial" w:hAnsi="Arial"/>
          <w:sz w:val="22"/>
          <w:szCs w:val="22"/>
          <w:rtl w:val="0"/>
        </w:rPr>
        <w:t xml:space="preserve">The digital technology has an increasing role in communication information sharing and access to integrated health and social care. However the evidence indicating that digitalization can support the integration only when services are developed around the capabilities and needs for older adult. Limited digital skill confidence and access to technology and availability of human assistance can develop barriers to participation. A user-centred approach can help in decreasing the digital inequalities among older adults by identifying differences in digital skill confidence, access, and support. Meaningful involvement of older people, accessible service design, interpersonal support, and Co-creation at the important factors here. The evidence also suggests that digital solutions need to complement, instead of replacing, human support, particularly for older people experiencing frailty and multimorbidity. Stray</w:t>
      </w:r>
      <w:r w:rsidDel="00000000" w:rsidR="00000000" w:rsidRPr="00000000">
        <w:rPr>
          <w:rFonts w:ascii="Arial" w:cs="Arial" w:eastAsia="Arial" w:hAnsi="Arial"/>
          <w:i w:val="1"/>
          <w:iCs w:val="1"/>
          <w:sz w:val="22"/>
          <w:szCs w:val="22"/>
          <w:rtl w:val="0"/>
        </w:rPr>
        <w:t xml:space="preserve"> et al.</w:t>
      </w:r>
      <w:r w:rsidDel="00000000" w:rsidR="00000000" w:rsidRPr="00000000">
        <w:rPr>
          <w:rFonts w:ascii="Arial" w:cs="Arial" w:eastAsia="Arial" w:hAnsi="Arial"/>
          <w:sz w:val="22"/>
          <w:szCs w:val="22"/>
          <w:rtl w:val="0"/>
        </w:rPr>
        <w:t xml:space="preserve"> (2024) highlight the significance of communication between professionals and integrated Primary Health Care. The meta-ethnography proves that outcomes of integrated care are impacted by how effectively professionals communicate and share information. Poor communication can make care fragmented, while clear communication can increase the strength of continuity and understanding. It implies that technology cannot compensate for poor communication between professionals. Hence, the digital system needs to be supported instead of replacing interpersonal communication. Money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Provide contextual evidence on digital inequalities. Challenges include limited digital skills, lack of confidence, difficulties with access, and the requirement for assistance. The findings indicate that older people need appropriate support instead of simply being expected to use digital services independently.  This in turn proving that the user-centred approach in the service or visa and around actual capabilities and preferences.</w:t>
      </w:r>
    </w:p>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Similarly, Casselden (2023) identified digital inclusion among older people and found that public libraries can provide practical support through access to technology, internet connectivity, and personalized support. Digital empowerment can be increased by human support and opportunities to develop confidence. However, the intervention depended on the library sector instead of integrated health and social care. The finding their forgive useful evidence for Digital inclusion but have limited direct transferability to integrate into care settings. On the other hand, Green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(2025) give an England-wide perspective on community service provision for older people who live with severe frailty and multimorbidity. The findings reflect variation in community service and the significance of connections between services.  the support the requirement for an accessible and coordinated system that can respond to the complicated needs of older people. Digital employment which limiting its ability to develop specific relationships between digital design and a decrease in equality. Honinx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 increase the strength of the user-centred argument by a co-creation approach to developing an ethical process guide for caring technology in older adult care. The study reflects on the significance of involving users and stakeholder Technology development so that ethical and practical individual requirements are considered. Cooperation does not automatically guarantee successful implementation or improved outcomes. Hence, it is proven that digital transformation must remain flexible, accessible, and supported by human interaction instead of assuming that technology alone will improve integrated care for older adults.</w:t>
      </w:r>
      <w:r w:rsidDel="00000000" w:rsidR="00000000" w:rsidRPr="00000000">
        <w:br w:type="page"/>
      </w:r>
      <w:r w:rsidDel="00000000" w:rsidR="00000000" w:rsidRPr="00000000">
        <w:rPr>
          <w:rtl w:val="0"/>
        </w:rPr>
      </w:r>
    </w:p>
    <w:p w:rsidR="00000000" w:rsidDel="00000000" w:rsidP="00000000" w:rsidRDefault="00000000" w:rsidRPr="00000000" w14:paraId="00000178">
      <w:pPr>
        <w:pStyle w:val="Heading1"/>
        <w:rPr/>
      </w:pPr>
      <w:bookmarkStart w:colFirst="0" w:colLast="0" w:name="_kcrpiews7k7c" w:id="61"/>
      <w:bookmarkEnd w:id="61"/>
      <w:r w:rsidDel="00000000" w:rsidR="00000000" w:rsidRPr="00000000">
        <w:rPr>
          <w:rtl w:val="0"/>
        </w:rPr>
        <w:t xml:space="preserve">Chapter 5: Discussion</w:t>
      </w:r>
    </w:p>
    <w:p w:rsidR="00000000" w:rsidDel="00000000" w:rsidP="00000000" w:rsidRDefault="00000000" w:rsidRPr="00000000" w14:paraId="00000179">
      <w:pPr>
        <w:pStyle w:val="Heading2"/>
        <w:rPr/>
      </w:pPr>
      <w:bookmarkStart w:colFirst="0" w:colLast="0" w:name="_cutc6p9f8u9t" w:id="62"/>
      <w:bookmarkEnd w:id="62"/>
      <w:r w:rsidDel="00000000" w:rsidR="00000000" w:rsidRPr="00000000">
        <w:rPr>
          <w:rtl w:val="0"/>
        </w:rPr>
        <w:t xml:space="preserve">5.1 Introduction</w:t>
      </w:r>
    </w:p>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sz w:val="22"/>
          <w:szCs w:val="22"/>
          <w:rtl w:val="0"/>
        </w:rPr>
        <w:t xml:space="preserve">This chapter interprets what the review findings mean for integrated care in the UK. It starts by discussing the findings under the four research objectives. This framework links the identified care models to outcomes, conditions for implementation and future development. The discussion makes a comparison and contrast between the findings and compiled evidence from Literature Review within each objective. Using the Social Ecological Model, the areas of agreement and disagreement are explained. This connects individual care experiences to the impact of interpersonal, organizational, community, and policy factors.</w:t>
      </w:r>
    </w:p>
    <w:p w:rsidR="00000000" w:rsidDel="00000000" w:rsidP="00000000" w:rsidRDefault="00000000" w:rsidRPr="00000000" w14:paraId="0000017B">
      <w:pPr>
        <w:pStyle w:val="Heading2"/>
        <w:rPr/>
      </w:pPr>
      <w:bookmarkStart w:colFirst="0" w:colLast="0" w:name="_dzfef89bst9h" w:id="63"/>
      <w:bookmarkEnd w:id="63"/>
      <w:r w:rsidDel="00000000" w:rsidR="00000000" w:rsidRPr="00000000">
        <w:rPr>
          <w:rtl w:val="0"/>
        </w:rPr>
        <w:t xml:space="preserve">5.2 Interpretation of the Integrated Care Models Used to Support Older Adults</w:t>
      </w:r>
    </w:p>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The findings suggest that integrated care for older adults with multimorbidity and frailty in the UK needs to be very flexible as they may have needs across primary, hospital, community and social care at the same time. The findings presented do not indicate one "best" model, but suggest that several coordinating components need to work together. This interpretation is further supported by wider literature of Dambha-Miller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and Hodgson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which outlines evidence of shared assessment and organisational collaboration. In the wider literature, evidence appears stronger for community multidisciplinary care than formal case management (Hayes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Sadler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However, this difference is not a clear indicator of multidisciplinary superiority. Older adults in general were included in Hayes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and varied frailty-specific case-management interventions were studied by Sadler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The difference in the contrast, therefore, could be due to population or intervention, not to the coordinating mechanism. It is important because the target population is multimorbid and frail and evidence on one or the other alone is unable to identify the best configuration to manage this complex population in the UK.</w:t>
      </w:r>
    </w:p>
    <w:p w:rsidR="00000000" w:rsidDel="00000000" w:rsidP="00000000" w:rsidRDefault="00000000" w:rsidRPr="00000000" w14:paraId="0000017D">
      <w:pPr>
        <w:rPr>
          <w:rFonts w:ascii="Arial" w:cs="Arial" w:eastAsia="Arial" w:hAnsi="Arial"/>
          <w:sz w:val="22"/>
          <w:szCs w:val="22"/>
        </w:rPr>
      </w:pPr>
      <w:r w:rsidDel="00000000" w:rsidR="00000000" w:rsidRPr="00000000">
        <w:rPr>
          <w:rFonts w:ascii="Arial" w:cs="Arial" w:eastAsia="Arial" w:hAnsi="Arial"/>
          <w:sz w:val="22"/>
          <w:szCs w:val="22"/>
          <w:rtl w:val="0"/>
        </w:rPr>
        <w:t xml:space="preserve">The Social Ecological Model can be useful to understand how the same elements can have varying effects in different contexts. The same approach places different demands on individuals depending on the severity of multimorbidity and frailty, and its delivery then depends on the relationships between older adults, carers and professionals. However when organisational information systems are poorly developed or are not available and community social care is lacking, there may be little or nothing to coordinate. The degrees of effectiveness, therefore, seem to lie in how the levels are aligned, rather than in the model itself, helping to account for the variations in integration that have been found in the UK. The interpretation is supported by agreement across included studies and reviews from different stakeholder groups, but its applicability is limited: few studies examined both conditions and models were defined differently. This undermines the conviction that a particular mix is effective for the specified audience.</w:t>
      </w:r>
    </w:p>
    <w:p w:rsidR="00000000" w:rsidDel="00000000" w:rsidP="00000000" w:rsidRDefault="00000000" w:rsidRPr="00000000" w14:paraId="0000017E">
      <w:pPr>
        <w:pStyle w:val="Heading2"/>
        <w:rPr/>
      </w:pPr>
      <w:bookmarkStart w:colFirst="0" w:colLast="0" w:name="_qcq91wmdbwdk" w:id="64"/>
      <w:bookmarkEnd w:id="64"/>
      <w:r w:rsidDel="00000000" w:rsidR="00000000" w:rsidRPr="00000000">
        <w:rPr>
          <w:rtl w:val="0"/>
        </w:rPr>
        <w:t xml:space="preserve">5.3 Interpretation of the Effectiveness of Integrated Care Models</w:t>
      </w:r>
    </w:p>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results suggest that integrated care generates more consistent benefits for care-related outcomes than for clinical health outcomes. This interpretation combines functional and experiential evidence (Murtagh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Wilson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This conclusion is reinforced by the elements of social participation, since the integration between care and daily life is beneficial (Karacsony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These findings combine to suggest an impact on the organisation and experience of care as a result of integration. This is corroborated by wider literature, but with a different range of examples. Community care and transitional continuity can facilitate functioning and independence (Hayes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Leithaus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This agreement indicates that integrated models may supplement interconnected health, functional, and social supports. However, Hayes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provided a more generic coverage of older adults, thus reducing direct applicability for older adults with both multimorbidity and frailty.</w:t>
      </w:r>
    </w:p>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However, UK programme evaluations have revealed that admissions were also not evenly distributed and survival rates remained the same (Morciano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Piroddi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This conflicts with the more positive care experiences and functional pattern in the review findings. However, the disagreement concerns the outcome assessed, rather than providing a direct contradiction. Integrated teams can directly influence proximal outcomes such as care experience, continuity and social participation. Disease severity, deprivation, service capacity and time are all distal factors influencing hospitalisation and mortality. Non-randomised evidence weakens causal attribution without removing this pattern (Murtagh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w:t>
      </w:r>
    </w:p>
    <w:p w:rsidR="00000000" w:rsidDel="00000000" w:rsidP="00000000" w:rsidRDefault="00000000" w:rsidRPr="00000000" w14:paraId="00000181">
      <w:pPr>
        <w:rPr>
          <w:rFonts w:ascii="Arial" w:cs="Arial" w:eastAsia="Arial" w:hAnsi="Arial"/>
          <w:sz w:val="22"/>
          <w:szCs w:val="22"/>
        </w:rPr>
      </w:pPr>
      <w:r w:rsidDel="00000000" w:rsidR="00000000" w:rsidRPr="00000000">
        <w:rPr>
          <w:rFonts w:ascii="Arial" w:cs="Arial" w:eastAsia="Arial" w:hAnsi="Arial"/>
          <w:sz w:val="22"/>
          <w:szCs w:val="22"/>
          <w:rtl w:val="0"/>
        </w:rPr>
        <w:t xml:space="preserve">The Social Ecological Model is useful to remember when thinking about how enhancements in care-related outcomes can correspond with differential clinical outcomes. Interpersonal relationships can foster common planning and decisions can be reinforced through organisational integration. Increased coordination, however, can still limit health outcomes at the individual level on top of multimorbidity and frailty. Even when it is integrated at the policy level, community service shortages may limit the ability of referral to create accessible support. Thus, effectiveness does not result merely from the integrated-care model; it emerges from the relationships between the levels. This is particularly applicable to disadvantaged communities which experienced both organisational integration and deprivation (Piroddi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The review so far provides a conditional answer to the research question – evidence on hospital use, mortality, and other clinical outcomes is mixed, while the evidence for coordination, continuity, and care experience is more consistent.</w:t>
      </w:r>
    </w:p>
    <w:p w:rsidR="00000000" w:rsidDel="00000000" w:rsidP="00000000" w:rsidRDefault="00000000" w:rsidRPr="00000000" w14:paraId="00000182">
      <w:pPr>
        <w:pStyle w:val="Heading2"/>
        <w:rPr/>
      </w:pPr>
      <w:bookmarkStart w:colFirst="0" w:colLast="0" w:name="_rgd8p2puocgp" w:id="65"/>
      <w:bookmarkEnd w:id="65"/>
      <w:r w:rsidDel="00000000" w:rsidR="00000000" w:rsidRPr="00000000">
        <w:rPr>
          <w:rtl w:val="0"/>
        </w:rPr>
        <w:t xml:space="preserve">5.4 Interpretation of Facilitators and Barriers to Implementation</w:t>
      </w:r>
    </w:p>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results demonstrate that leadership, workforce development, information systems and technology were not always conducive. They had an impact based on the stability of relationships, staffing, capacity, and time of the organisation. This conditionality is evidenced through variation in services provisioned from within the Luton and English community (Khan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Green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This is consistent with literature that correlates these elements of sustained collaboration with governance, communication and organisational culture (Thomson and Chatterjee, 2024). Role clarity and relationships (Brooks and Gillon, 2025; Barraclough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also contribute to workforce capability. Such factors then seem to be dependent on the operational context and not to be a facilitator or barrier to operations.</w:t>
      </w:r>
    </w:p>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This conditionality could be attributed to implementation burden. Integrated working incorporates communication, sharing of information, negotiation and a shared sense of responsibility, that could become added work and more coercion rather than good practice if is badly managed. The Social Ecological Model suggests that changes at the one level can either facilitate or impede others. The implementation of a digital system can allow the exchange of information in an organisation, while transferring navigation functions to older people and carers. This aligns with the accompanying study by Money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that identified a connection between digital engagement and service design and support, and various other work indicating that individual-deficit explanations are not sufficient (Ahmed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Wale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This burden can be mitigated by caring networks, which may help to account for the variation of participation by the same type of technology, (Vannini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2026).</w:t>
      </w:r>
    </w:p>
    <w:p w:rsidR="00000000" w:rsidDel="00000000" w:rsidP="00000000" w:rsidRDefault="00000000" w:rsidRPr="00000000" w14:paraId="00000185">
      <w:pPr>
        <w:rPr>
          <w:rFonts w:ascii="Arial" w:cs="Arial" w:eastAsia="Arial" w:hAnsi="Arial"/>
          <w:sz w:val="22"/>
          <w:szCs w:val="22"/>
        </w:rPr>
      </w:pPr>
      <w:r w:rsidDel="00000000" w:rsidR="00000000" w:rsidRPr="00000000">
        <w:rPr>
          <w:rFonts w:ascii="Arial" w:cs="Arial" w:eastAsia="Arial" w:hAnsi="Arial"/>
          <w:sz w:val="22"/>
          <w:szCs w:val="22"/>
          <w:rtl w:val="0"/>
        </w:rPr>
        <w:t xml:space="preserve">This could be important for older people with multimorbidity and frailty who rely on a combination of services – as problems can build up along the care journey, such as repeated assessment, multiple places of support, and miscommunication about who is responsible when information sharing is poor. The formal design of a model can then be mediated by implementation and this may account for the variability experienced across UK settings. Nevertheless, the majority of the studies included are qualitative or local based, and therefore are not able to confirm the causal effect of any specific condition. They are consistent with this relational interpretation but don't confirm it.</w:t>
      </w:r>
    </w:p>
    <w:p w:rsidR="00000000" w:rsidDel="00000000" w:rsidP="00000000" w:rsidRDefault="00000000" w:rsidRPr="00000000" w14:paraId="00000186">
      <w:pPr>
        <w:pStyle w:val="Heading2"/>
        <w:rPr/>
      </w:pPr>
      <w:bookmarkStart w:colFirst="0" w:colLast="0" w:name="_lpg9pubiv23" w:id="66"/>
      <w:bookmarkEnd w:id="66"/>
      <w:r w:rsidDel="00000000" w:rsidR="00000000" w:rsidRPr="00000000">
        <w:rPr>
          <w:rtl w:val="0"/>
        </w:rPr>
        <w:t xml:space="preserve">5.5 Interpretation of Future Integrated Care Development </w:t>
      </w:r>
    </w:p>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sz w:val="22"/>
          <w:szCs w:val="22"/>
          <w:rtl w:val="0"/>
        </w:rPr>
        <w:t xml:space="preserve">Fixed pathways are difficult to maintain for older people with multimorbidity and frailty whose needs evolve over time. The accompanying studies indicate that proactive assessment, personalised coordination combined with connected functions (Hendry and Law, 2024; McGill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make integration more a repetitive activity. Other literature also correlates programme development with capacity, and implementation (Seamer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Thomson and Chatterjee 2024). The review results indicate that, in addition to system architecture, adaptability also relies on practice as a normal activity; rather than being an add-on, user involvement, technology support and human support are components of systems integration. There is more recent distributed evidence on digital inequality relating to accessibility (Wilson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Ahmed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and also, the integrated study by Stray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indicates that technology can possibly not replace poor job relationships. Digital development must thus be understood in conjunction with the professional relationships and service conditions for continuity.</w:t>
      </w:r>
    </w:p>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This can be attributed to the context-dependent nature of the Social Ecological Model in regard to the effects of the same digital innovation on inequalities. Exclusion can happen when access to the organisation and community support is not adequate: organisational and community shortcomings will become evident in individual difficulties, and fragmentation can also occur even with technological progress. Thus, development can construe as a reciprocal adaptation between services and older adults, not the adaptation of older adults to pre-designed services. However, given local evaluations, diverse populations and varied results, these adaptations cannot be assumed to be effective across all UK contexts.</w:t>
      </w:r>
    </w:p>
    <w:p w:rsidR="00000000" w:rsidDel="00000000" w:rsidP="00000000" w:rsidRDefault="00000000" w:rsidRPr="00000000" w14:paraId="00000189">
      <w:pPr>
        <w:pStyle w:val="Heading2"/>
        <w:rPr/>
      </w:pPr>
      <w:bookmarkStart w:colFirst="0" w:colLast="0" w:name="_l9y2yuxmt4m6" w:id="67"/>
      <w:bookmarkEnd w:id="67"/>
      <w:r w:rsidDel="00000000" w:rsidR="00000000" w:rsidRPr="00000000">
        <w:rPr>
          <w:rtl w:val="0"/>
        </w:rPr>
        <w:t xml:space="preserve">5.6 Chapter Summary</w:t>
      </w:r>
    </w:p>
    <w:p w:rsidR="00000000" w:rsidDel="00000000" w:rsidP="00000000" w:rsidRDefault="00000000" w:rsidRPr="00000000" w14:paraId="0000018A">
      <w:pPr>
        <w:rPr>
          <w:rFonts w:ascii="Arial" w:cs="Arial" w:eastAsia="Arial" w:hAnsi="Arial"/>
          <w:sz w:val="22"/>
          <w:szCs w:val="22"/>
        </w:rPr>
      </w:pPr>
      <w:r w:rsidDel="00000000" w:rsidR="00000000" w:rsidRPr="00000000">
        <w:rPr>
          <w:rFonts w:ascii="Arial" w:cs="Arial" w:eastAsia="Arial" w:hAnsi="Arial"/>
          <w:sz w:val="22"/>
          <w:szCs w:val="22"/>
          <w:rtl w:val="0"/>
        </w:rPr>
        <w:t xml:space="preserve">This chapter analysed their review results with the research aims from the perspective of the Social Ecological Model. Altogether, the evidence does not provide a clear indication of one model of integrated care that is consistently superior. Case management, multidisciplinary working and personalised planning were seen as overlapping elements that had different degrees of importance depending on frailty status, local resources and population and few studies tackled the concept of multimorbidity and frailty concurrently. There was generally more robust evidence on care-related outcomes, e.g. on coordination, continuity and experience, than on clinical outcomes, for which evidence of hospital use and mortality was primarily drawn from the wider literature and was mixed. Leadership, staff capacity, and digital support and information systems were suggested to affect the implementation conditions for whether models were translated into benefit, although the qualitative and nonrandomised included studies are mostly noncausal. In relation to the research question, integrated care therefore appears promising for care experience and coordination, but its effectiveness for older adults with multimorbidity and frailty in the UK is conditional on implementation and context.</w:t>
      </w:r>
      <w:r w:rsidDel="00000000" w:rsidR="00000000" w:rsidRPr="00000000">
        <w:br w:type="page"/>
      </w:r>
      <w:r w:rsidDel="00000000" w:rsidR="00000000" w:rsidRPr="00000000">
        <w:rPr>
          <w:rtl w:val="0"/>
        </w:rPr>
      </w:r>
    </w:p>
    <w:p w:rsidR="00000000" w:rsidDel="00000000" w:rsidP="00000000" w:rsidRDefault="00000000" w:rsidRPr="00000000" w14:paraId="0000018B">
      <w:pPr>
        <w:pStyle w:val="Heading1"/>
        <w:rPr/>
      </w:pPr>
      <w:bookmarkStart w:colFirst="0" w:colLast="0" w:name="_702kkjhzojsn" w:id="68"/>
      <w:bookmarkEnd w:id="68"/>
      <w:r w:rsidDel="00000000" w:rsidR="00000000" w:rsidRPr="00000000">
        <w:rPr>
          <w:rtl w:val="0"/>
        </w:rPr>
        <w:t xml:space="preserve">Chapter 6: Conclusion</w:t>
      </w:r>
    </w:p>
    <w:p w:rsidR="00000000" w:rsidDel="00000000" w:rsidP="00000000" w:rsidRDefault="00000000" w:rsidRPr="00000000" w14:paraId="0000018C">
      <w:pPr>
        <w:pStyle w:val="Heading2"/>
        <w:rPr/>
      </w:pPr>
      <w:bookmarkStart w:colFirst="0" w:colLast="0" w:name="_5d3j2d6uqvxy" w:id="69"/>
      <w:bookmarkEnd w:id="69"/>
      <w:r w:rsidDel="00000000" w:rsidR="00000000" w:rsidRPr="00000000">
        <w:rPr>
          <w:rtl w:val="0"/>
        </w:rPr>
        <w:t xml:space="preserve">6.1 Overall Summary</w:t>
      </w:r>
    </w:p>
    <w:p w:rsidR="00000000" w:rsidDel="00000000" w:rsidP="00000000" w:rsidRDefault="00000000" w:rsidRPr="00000000" w14:paraId="0000018D">
      <w:pPr>
        <w:rPr>
          <w:rFonts w:ascii="Arial" w:cs="Arial" w:eastAsia="Arial" w:hAnsi="Arial"/>
          <w:sz w:val="22"/>
          <w:szCs w:val="22"/>
        </w:rPr>
      </w:pPr>
      <w:r w:rsidDel="00000000" w:rsidR="00000000" w:rsidRPr="00000000">
        <w:rPr>
          <w:rFonts w:ascii="Arial" w:cs="Arial" w:eastAsia="Arial" w:hAnsi="Arial"/>
          <w:sz w:val="22"/>
          <w:szCs w:val="22"/>
          <w:rtl w:val="0"/>
        </w:rPr>
        <w:t xml:space="preserve">This study set out to systematically examine the effectiveness of integrated care models in improving health and care outcomes for older adults with multimorbidity and Frailty in the UK. To address this aim, the chapter represents the methodology used to conduct the systematic literature review on an integrated care model for older adults with multimorbidity and frailty in the UK. A systematic and transparent procedure has been applied throughout the review to improve consistency and decrease potential bias. The use of predefined criteria and PRISMA 2020 guidance supported the structure and reproducible review process. A total of 739 studies were identified by the academic database search, while a further 46 studies were identified by the reference list search. Following the complete selection process, 20 studies have been included in the final systematic literature review. The synthesis of this evidence shows that integrated care can provide a more coordinated and person-centred approach for older adults with multimorbidity and frailty. The findings highlight the significance of connecting health and social care service by multi-disciplinary teams, personalised planning, and effective communication. Integrated care can improve the quality of life, care experience, and function allowed come. Organisational resources and professional collaboration, technology, and local implementation conditions strongly impact effectiveness. User involvement and accessible digital services can decrease digital inequalities. However, strong consistency and a strategic approach are needed for developing a situation in which integrated-care models provide the best outcomes. Overall, as concluded in the discussion, integration was not a particular fixed model, but rather a flexible process of care. Its effectiveness depended on personalised coordination, multidisciplinary relationships, service continuity, and alignment with changing individual needs. There were some key differences in implementation between organisations and local care systems, which contributed to variability in clinical and service outcomes. Overall, there was no strong evidence for any effectiveness of integrated care.</w:t>
      </w:r>
    </w:p>
    <w:p w:rsidR="00000000" w:rsidDel="00000000" w:rsidP="00000000" w:rsidRDefault="00000000" w:rsidRPr="00000000" w14:paraId="0000018E">
      <w:pPr>
        <w:pStyle w:val="Heading2"/>
        <w:rPr/>
      </w:pPr>
      <w:bookmarkStart w:colFirst="0" w:colLast="0" w:name="_1msuqavtcyb8" w:id="70"/>
      <w:bookmarkEnd w:id="70"/>
      <w:r w:rsidDel="00000000" w:rsidR="00000000" w:rsidRPr="00000000">
        <w:rPr>
          <w:rtl w:val="0"/>
        </w:rPr>
        <w:t xml:space="preserve">6.2 Linking with Objectives</w:t>
      </w:r>
    </w:p>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For Objective 1, the findings indicate that integrated care for UK older adults with multimorbidity and frailty needs to be very flexible. Case management, multidisciplinary working and personalised planning are therefore complementary rather than competing care mechanisms and are therefore not mutually exclusive. The review results conclude, however, that the workable combination is attributable to the frailty status and local resources available (Khan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Overall, the evidence suggests that it is not possible to isolate from local implementation conditions the effectiveness of the models. There are variations across UK settings, which mean it is difficult to draw conclusive findings, and not one model is seen to be effective across all settings. This is in line with the previous finding that the five studies offer a broad pattern of agreement around the need for co-ordinated working, tailored support and communication between services. The broader literature is also characterized by GP-led co-ordination between primary and social care in terms of integration in the UK.</w:t>
      </w:r>
    </w:p>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For Objective 2, the results suggest that integrated care generates better evidence of care outcomes than clinical health outcomes. There is greater acceptance across literature for these benefits on the level of quality of life, hospitalisation, and survival. No consistent results were found for quality of life or adverse event benefits with multidisciplinary home-based interventions. Integrated care can, therefore, enhance care provision for daily living needs without the speedy transformation of clinical care. Overall, integrated care can credibly improve the coordination, experience, social participation and selected functional outcomes. It does not consistently improve hospital use, deaths, or other health-related outcomes in the United Kingdom.</w:t>
      </w:r>
    </w:p>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With respect to Objective 3, the results demonstrate that enabling conditions are not just static factors; they are conditions that must align. Training helped to build confidence, but workload did not allow for sustained integration (Barber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Organisational readiness is not another facilitator; it makes other facilitators usable. Facilitators are conditions that allow organisations to take up coordination needs and keep continuity. Barriers emerge when such demands burden professionals, older people, carers or services within the community that they can't reach.</w:t>
      </w:r>
    </w:p>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22"/>
          <w:szCs w:val="22"/>
          <w:rtl w:val="0"/>
        </w:rPr>
        <w:t xml:space="preserve">Regarding Objective 4, the literature is, however, varied and disjointed with regard to models, settings, and outcomes. The gaps highlighted here reflect a need for greater integration between the models, implementation factors and outcomes within the context of the UK. These results suggest that rather than the new labels, it is adaptive capacity that is most important for future development of integrated care. Therefore, a single future model cannot answer the research question. Effectiveness depends upon the integration's ability to sustain itself over time as needs and contexts evolve.</w:t>
      </w:r>
    </w:p>
    <w:p w:rsidR="00000000" w:rsidDel="00000000" w:rsidP="00000000" w:rsidRDefault="00000000" w:rsidRPr="00000000" w14:paraId="00000193">
      <w:pPr>
        <w:pStyle w:val="Heading2"/>
        <w:rPr/>
      </w:pPr>
      <w:bookmarkStart w:colFirst="0" w:colLast="0" w:name="_bo5vra7u2of5" w:id="71"/>
      <w:bookmarkEnd w:id="71"/>
      <w:r w:rsidDel="00000000" w:rsidR="00000000" w:rsidRPr="00000000">
        <w:rPr>
          <w:rtl w:val="0"/>
        </w:rPr>
        <w:t xml:space="preserve">6.3 Recommendations </w:t>
      </w:r>
    </w:p>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Based on the findings, several recommendations are proposed. Policies must include additional investment in community care capacity and shared information systems for the NHS pathway and ICS to coordinate provision, and support National frameworks to provide care rather than assuming this will happen through the natural evolution of organisational structure (Fox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Commissioning guidance should identify older people with combined multimorbidity and frailty as a special group, with a different commissioning approach. In practice, organisations need to ensure that the workforce is adequately trained and that there is an appropriate level of working capacity, so that improved knowledge and confidence can be maintained in everyday working and service pressures do not undermine this. When introducing digital skills for coordination, access to an alternative and more human approach should not be taken away, otherwise this may make older people with limited digital skills or confidence even less capable; and multidisciplinary case management should be adjusted to the frailty status and availability of resources in the respective location. </w:t>
      </w:r>
    </w:p>
    <w:p w:rsidR="00000000" w:rsidDel="00000000" w:rsidP="00000000" w:rsidRDefault="00000000" w:rsidRPr="00000000" w14:paraId="00000195">
      <w:pPr>
        <w:pStyle w:val="Heading2"/>
        <w:rPr/>
      </w:pPr>
      <w:bookmarkStart w:colFirst="0" w:colLast="0" w:name="_2ylflw37g2i" w:id="72"/>
      <w:bookmarkEnd w:id="72"/>
      <w:r w:rsidDel="00000000" w:rsidR="00000000" w:rsidRPr="00000000">
        <w:rPr>
          <w:rtl w:val="0"/>
        </w:rPr>
        <w:t xml:space="preserve">6.4 Limitations of the Study</w:t>
      </w:r>
    </w:p>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sz w:val="22"/>
          <w:szCs w:val="22"/>
          <w:rtl w:val="0"/>
        </w:rPr>
        <w:t xml:space="preserve">Two databases (PubMed and CINAHL) were included in the review, which could have led to the omission of relevant evidence from other databases. Review included only evidence that was in the English language in the last five years. The majority of studies included in this systematic review employed qualitative or non-randomised designs allowing limited conclusions on the causal association between multimorbidity and frailty, and few studies addressed multimorbidity and frailty simultaneously. </w:t>
      </w:r>
    </w:p>
    <w:p w:rsidR="00000000" w:rsidDel="00000000" w:rsidP="00000000" w:rsidRDefault="00000000" w:rsidRPr="00000000" w14:paraId="00000197">
      <w:pPr>
        <w:pStyle w:val="Heading2"/>
        <w:rPr/>
      </w:pPr>
      <w:bookmarkStart w:colFirst="0" w:colLast="0" w:name="_yhpnwmjt5ux6" w:id="73"/>
      <w:bookmarkEnd w:id="73"/>
      <w:r w:rsidDel="00000000" w:rsidR="00000000" w:rsidRPr="00000000">
        <w:rPr>
          <w:rtl w:val="0"/>
        </w:rPr>
        <w:t xml:space="preserve">6.5 Future Scope</w:t>
      </w:r>
    </w:p>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Future studies should focus on older adults with combined multimorbidity and frailty with predefined outcome variables and not rely on the measures used in the studies. More comprehensive prospective or controlled designs and better patient and caregiver engagement are also required, as are studies of how digital inclusion can be sustained with human support in integrated care. </w:t>
      </w:r>
    </w:p>
    <w:p w:rsidR="00000000" w:rsidDel="00000000" w:rsidP="00000000" w:rsidRDefault="00000000" w:rsidRPr="00000000" w14:paraId="000001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B">
      <w:pPr>
        <w:pStyle w:val="Heading1"/>
        <w:rPr/>
      </w:pPr>
      <w:bookmarkStart w:colFirst="0" w:colLast="0" w:name="_qunijdynrm5s" w:id="74"/>
      <w:bookmarkEnd w:id="74"/>
      <w:r w:rsidDel="00000000" w:rsidR="00000000" w:rsidRPr="00000000">
        <w:rPr>
          <w:rtl w:val="0"/>
        </w:rPr>
        <w:t xml:space="preserve">Reference</w:t>
      </w:r>
    </w:p>
    <w:p w:rsidR="00000000" w:rsidDel="00000000" w:rsidP="00000000" w:rsidRDefault="00000000" w:rsidRPr="00000000" w14:paraId="0000019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Aboagye, P.D. and Sharifi, A., 2026. Urban climate action planning case studies: A review of trends, approaches, and reported barriers and drivers. </w:t>
      </w:r>
      <w:r w:rsidDel="00000000" w:rsidR="00000000" w:rsidRPr="00000000">
        <w:rPr>
          <w:rFonts w:ascii="Arial" w:cs="Arial" w:eastAsia="Arial" w:hAnsi="Arial"/>
          <w:i w:val="1"/>
          <w:iCs w:val="1"/>
          <w:sz w:val="22"/>
          <w:szCs w:val="22"/>
          <w:rtl w:val="0"/>
        </w:rPr>
        <w:t xml:space="preserve">Journal of Environmental Management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397</w:t>
      </w:r>
      <w:r w:rsidDel="00000000" w:rsidR="00000000" w:rsidRPr="00000000">
        <w:rPr>
          <w:rFonts w:ascii="Arial" w:cs="Arial" w:eastAsia="Arial" w:hAnsi="Arial"/>
          <w:sz w:val="22"/>
          <w:szCs w:val="22"/>
          <w:rtl w:val="0"/>
        </w:rPr>
        <w:t xml:space="preserve">, p.128269. Available at: </w:t>
      </w:r>
      <w:hyperlink r:id="rId13">
        <w:r w:rsidDel="00000000" w:rsidR="00000000" w:rsidRPr="00000000">
          <w:rPr>
            <w:rFonts w:ascii="Arial" w:cs="Arial" w:eastAsia="Arial" w:hAnsi="Arial"/>
            <w:color w:val="0000ff"/>
            <w:sz w:val="22"/>
            <w:szCs w:val="22"/>
            <w:u w:val="single"/>
            <w:rtl w:val="0"/>
          </w:rPr>
          <w:t xml:space="preserve">https://doi.org/10.1016/j.jenvman.2025.128269</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9D">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Ageuk (2025). </w:t>
      </w:r>
      <w:r w:rsidDel="00000000" w:rsidR="00000000" w:rsidRPr="00000000">
        <w:rPr>
          <w:rFonts w:ascii="Arial" w:cs="Arial" w:eastAsia="Arial" w:hAnsi="Arial"/>
          <w:i w:val="1"/>
          <w:iCs w:val="1"/>
          <w:color w:val="000000"/>
          <w:sz w:val="22"/>
          <w:szCs w:val="22"/>
          <w:rtl w:val="0"/>
        </w:rPr>
        <w:t xml:space="preserve">The State of Health and Care of Older People in England 2025 </w:t>
      </w:r>
      <w:r w:rsidDel="00000000" w:rsidR="00000000" w:rsidRPr="00000000">
        <w:rPr>
          <w:rFonts w:ascii="Arial" w:cs="Arial" w:eastAsia="Arial" w:hAnsi="Arial"/>
          <w:color w:val="000000"/>
          <w:sz w:val="22"/>
          <w:szCs w:val="22"/>
          <w:rtl w:val="0"/>
        </w:rPr>
        <w:t xml:space="preserve">[Online] Available at: </w:t>
      </w:r>
      <w:hyperlink r:id="rId14">
        <w:r w:rsidDel="00000000" w:rsidR="00000000" w:rsidRPr="00000000">
          <w:rPr>
            <w:rFonts w:ascii="Arial" w:cs="Arial" w:eastAsia="Arial" w:hAnsi="Arial"/>
            <w:color w:val="0000ff"/>
            <w:sz w:val="22"/>
            <w:szCs w:val="22"/>
            <w:u w:val="single"/>
            <w:rtl w:val="0"/>
          </w:rPr>
          <w:t xml:space="preserve">https://www.ageuk.org.uk/bp-assets/globalassets/birmingham/original-blocks/about-us/latest-news/2025/key-facts---state-for-health-and-care-2025.pdf</w:t>
        </w:r>
      </w:hyperlink>
      <w:r w:rsidDel="00000000" w:rsidR="00000000" w:rsidRPr="00000000">
        <w:rPr>
          <w:rFonts w:ascii="Arial" w:cs="Arial" w:eastAsia="Arial" w:hAnsi="Arial"/>
          <w:color w:val="000000"/>
          <w:sz w:val="22"/>
          <w:szCs w:val="22"/>
          <w:rtl w:val="0"/>
        </w:rPr>
        <w:t xml:space="preserve"> [Accessed on: 1.07.2026]</w:t>
      </w:r>
    </w:p>
    <w:p w:rsidR="00000000" w:rsidDel="00000000" w:rsidP="00000000" w:rsidRDefault="00000000" w:rsidRPr="00000000" w14:paraId="0000019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Ahmed, A., van den Muijsenbergh, M.E., Mewes, J.C., Wodchis, W.P. and Vrijhoef, H.J., 2021. Untangling the inter-relatedness within integrated care programmes for community-dwelling frail older people: a rapid realist review. </w:t>
      </w:r>
      <w:r w:rsidDel="00000000" w:rsidR="00000000" w:rsidRPr="00000000">
        <w:rPr>
          <w:rFonts w:ascii="Arial" w:cs="Arial" w:eastAsia="Arial" w:hAnsi="Arial"/>
          <w:i w:val="1"/>
          <w:iCs w:val="1"/>
          <w:sz w:val="22"/>
          <w:szCs w:val="22"/>
          <w:rtl w:val="0"/>
        </w:rPr>
        <w:t xml:space="preserve">BMJ open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11</w:t>
      </w:r>
      <w:r w:rsidDel="00000000" w:rsidR="00000000" w:rsidRPr="00000000">
        <w:rPr>
          <w:rFonts w:ascii="Arial" w:cs="Arial" w:eastAsia="Arial" w:hAnsi="Arial"/>
          <w:sz w:val="22"/>
          <w:szCs w:val="22"/>
          <w:rtl w:val="0"/>
        </w:rPr>
        <w:t xml:space="preserve">(4), p.e043280. Available at: </w:t>
      </w:r>
      <w:hyperlink r:id="rId15">
        <w:r w:rsidDel="00000000" w:rsidR="00000000" w:rsidRPr="00000000">
          <w:rPr>
            <w:rFonts w:ascii="Arial" w:cs="Arial" w:eastAsia="Arial" w:hAnsi="Arial"/>
            <w:color w:val="0000ff"/>
            <w:sz w:val="22"/>
            <w:szCs w:val="22"/>
            <w:u w:val="single"/>
            <w:rtl w:val="0"/>
          </w:rPr>
          <w:t xml:space="preserve">https://scholar.google.com/scholar?output=instlink&amp;q=info:aVBWHvlIb60J:scholar.google.com/&amp;hl=en&amp;as_sdt=0,5&amp;scillfp=9924550568595731938&amp;oi=lle</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9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Ahmed, N., Hall, A., Poku, B., McDermott, J., Astbury, J. and Todd, C. (2024). Experiences and views of older adults of South Asian, Black African, and Caribbean backgrounds about the digitalization of primary care services since the COVID-19 pandemic: qualitative focus group study. </w:t>
      </w:r>
      <w:r w:rsidDel="00000000" w:rsidR="00000000" w:rsidRPr="00000000">
        <w:rPr>
          <w:rFonts w:ascii="Arial" w:cs="Arial" w:eastAsia="Arial" w:hAnsi="Arial"/>
          <w:i w:val="1"/>
          <w:iCs w:val="1"/>
          <w:sz w:val="22"/>
          <w:szCs w:val="22"/>
          <w:rtl w:val="0"/>
        </w:rPr>
        <w:t xml:space="preserve">JMIR Formative Research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8</w:t>
      </w:r>
      <w:r w:rsidDel="00000000" w:rsidR="00000000" w:rsidRPr="00000000">
        <w:rPr>
          <w:rFonts w:ascii="Arial" w:cs="Arial" w:eastAsia="Arial" w:hAnsi="Arial"/>
          <w:sz w:val="22"/>
          <w:szCs w:val="22"/>
          <w:rtl w:val="0"/>
        </w:rPr>
        <w:t xml:space="preserve">, p.e57580. </w:t>
      </w:r>
      <w:hyperlink r:id="rId16">
        <w:r w:rsidDel="00000000" w:rsidR="00000000" w:rsidRPr="00000000">
          <w:rPr>
            <w:rFonts w:ascii="Arial" w:cs="Arial" w:eastAsia="Arial" w:hAnsi="Arial"/>
            <w:color w:val="0000ff"/>
            <w:sz w:val="22"/>
            <w:szCs w:val="22"/>
            <w:u w:val="single"/>
            <w:rtl w:val="0"/>
          </w:rPr>
          <w:t xml:space="preserve">https://doi.org/10.2196/57580</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Arnold, L., Papadas, D. and Huang, I.Y., 2026. A global systematic map of Pedagogic Action Research in higher education and future research agenda. </w:t>
      </w:r>
      <w:r w:rsidDel="00000000" w:rsidR="00000000" w:rsidRPr="00000000">
        <w:rPr>
          <w:rFonts w:ascii="Arial" w:cs="Arial" w:eastAsia="Arial" w:hAnsi="Arial"/>
          <w:i w:val="1"/>
          <w:iCs w:val="1"/>
          <w:sz w:val="22"/>
          <w:szCs w:val="22"/>
          <w:rtl w:val="0"/>
        </w:rPr>
        <w:t xml:space="preserve">Educational Action Research</w:t>
      </w:r>
      <w:r w:rsidDel="00000000" w:rsidR="00000000" w:rsidRPr="00000000">
        <w:rPr>
          <w:rFonts w:ascii="Arial" w:cs="Arial" w:eastAsia="Arial" w:hAnsi="Arial"/>
          <w:sz w:val="22"/>
          <w:szCs w:val="22"/>
          <w:rtl w:val="0"/>
        </w:rPr>
        <w:t xml:space="preserve">, pp.1-26. Available at: </w:t>
      </w:r>
      <w:hyperlink r:id="rId17">
        <w:r w:rsidDel="00000000" w:rsidR="00000000" w:rsidRPr="00000000">
          <w:rPr>
            <w:rFonts w:ascii="Arial" w:cs="Arial" w:eastAsia="Arial" w:hAnsi="Arial"/>
            <w:color w:val="0000ff"/>
            <w:sz w:val="22"/>
            <w:szCs w:val="22"/>
            <w:u w:val="single"/>
            <w:rtl w:val="0"/>
          </w:rPr>
          <w:t xml:space="preserve">https://doi.org/10.1080/09650792.2026.2664803</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1">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highlight w:val="white"/>
          <w:rtl w:val="0"/>
        </w:rPr>
        <w:t xml:space="preserve">Atella, V. (2025). The Urgent Need for an NHS Reform: Adapting to Overlooked Years of Transformation in Healthcare.</w:t>
      </w:r>
      <w:r w:rsidDel="00000000" w:rsidR="00000000" w:rsidRPr="00000000">
        <w:rPr>
          <w:rFonts w:ascii="Arial" w:cs="Arial" w:eastAsia="Arial" w:hAnsi="Arial"/>
          <w:color w:val="000000"/>
          <w:sz w:val="22"/>
          <w:szCs w:val="22"/>
          <w:rtl w:val="0"/>
        </w:rPr>
        <w:t xml:space="preserve"> Available at: </w:t>
      </w:r>
      <w:hyperlink r:id="rId18">
        <w:r w:rsidDel="00000000" w:rsidR="00000000" w:rsidRPr="00000000">
          <w:rPr>
            <w:rFonts w:ascii="Arial" w:cs="Arial" w:eastAsia="Arial" w:hAnsi="Arial"/>
            <w:color w:val="0000ff"/>
            <w:sz w:val="22"/>
            <w:szCs w:val="22"/>
            <w:u w:val="single"/>
            <w:rtl w:val="0"/>
          </w:rPr>
          <w:t xml:space="preserve">https://grins.it/sites/default/files/2025-12/The_urgent_need_for_an_nhs_reform__adapting_to_overlooked_years_of_transformation_in_healthcare.pdf</w:t>
        </w:r>
      </w:hyperlink>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1A2">
      <w:pPr>
        <w:rPr>
          <w:rFonts w:ascii="Arial" w:cs="Arial" w:eastAsia="Arial" w:hAnsi="Arial"/>
          <w:sz w:val="22"/>
          <w:szCs w:val="22"/>
        </w:rPr>
      </w:pPr>
      <w:r w:rsidDel="00000000" w:rsidR="00000000" w:rsidRPr="00000000">
        <w:rPr>
          <w:rFonts w:ascii="Arial" w:cs="Arial" w:eastAsia="Arial" w:hAnsi="Arial"/>
          <w:sz w:val="22"/>
          <w:szCs w:val="22"/>
          <w:rtl w:val="0"/>
        </w:rPr>
        <w:t xml:space="preserve">Banzato, E. and Boccuzzo, G. (2026). Multimorbidity as a Complex Network: Exploring Disease Interactions for Assessing Frailty-Related Vulnerability. </w:t>
      </w:r>
      <w:r w:rsidDel="00000000" w:rsidR="00000000" w:rsidRPr="00000000">
        <w:rPr>
          <w:rFonts w:ascii="Arial" w:cs="Arial" w:eastAsia="Arial" w:hAnsi="Arial"/>
          <w:i w:val="1"/>
          <w:iCs w:val="1"/>
          <w:sz w:val="22"/>
          <w:szCs w:val="22"/>
          <w:rtl w:val="0"/>
        </w:rPr>
        <w:t xml:space="preserve">Social Indicators Research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184</w:t>
      </w:r>
      <w:r w:rsidDel="00000000" w:rsidR="00000000" w:rsidRPr="00000000">
        <w:rPr>
          <w:rFonts w:ascii="Arial" w:cs="Arial" w:eastAsia="Arial" w:hAnsi="Arial"/>
          <w:sz w:val="22"/>
          <w:szCs w:val="22"/>
          <w:rtl w:val="0"/>
        </w:rPr>
        <w:t xml:space="preserve">(1), p.13.  Available at: </w:t>
      </w:r>
      <w:hyperlink r:id="rId19">
        <w:r w:rsidDel="00000000" w:rsidR="00000000" w:rsidRPr="00000000">
          <w:rPr>
            <w:rFonts w:ascii="Arial" w:cs="Arial" w:eastAsia="Arial" w:hAnsi="Arial"/>
            <w:color w:val="0000ff"/>
            <w:sz w:val="22"/>
            <w:szCs w:val="22"/>
            <w:u w:val="single"/>
            <w:rtl w:val="0"/>
          </w:rPr>
          <w:t xml:space="preserve">https://doi.org/10.1007/s11205-026-03904-x</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Barber, S., Otis, M., Greenfield, G., Razzaq, N., Solanki, D., Norton, J., Richardson, S. and Hayhoe, B.W. (2023). Improving multidisciplinary team working to support integrated care for people with frailty amidst the COVID-19 pandemic. </w:t>
      </w:r>
      <w:r w:rsidDel="00000000" w:rsidR="00000000" w:rsidRPr="00000000">
        <w:rPr>
          <w:rFonts w:ascii="Arial" w:cs="Arial" w:eastAsia="Arial" w:hAnsi="Arial"/>
          <w:i w:val="1"/>
          <w:iCs w:val="1"/>
          <w:sz w:val="22"/>
          <w:szCs w:val="22"/>
          <w:rtl w:val="0"/>
        </w:rPr>
        <w:t xml:space="preserve">International Journal of Integrated Care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23</w:t>
      </w:r>
      <w:r w:rsidDel="00000000" w:rsidR="00000000" w:rsidRPr="00000000">
        <w:rPr>
          <w:rFonts w:ascii="Arial" w:cs="Arial" w:eastAsia="Arial" w:hAnsi="Arial"/>
          <w:sz w:val="22"/>
          <w:szCs w:val="22"/>
          <w:rtl w:val="0"/>
        </w:rPr>
        <w:t xml:space="preserve">(1), pp.23-23. </w:t>
      </w:r>
      <w:hyperlink r:id="rId20">
        <w:r w:rsidDel="00000000" w:rsidR="00000000" w:rsidRPr="00000000">
          <w:rPr>
            <w:rFonts w:ascii="Arial" w:cs="Arial" w:eastAsia="Arial" w:hAnsi="Arial"/>
            <w:color w:val="0000ff"/>
            <w:sz w:val="22"/>
            <w:szCs w:val="22"/>
            <w:u w:val="single"/>
            <w:rtl w:val="0"/>
          </w:rPr>
          <w:t xml:space="preserve">https://doi.org/10.5334/ijic.7022</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Barraclough, F., Smith-Merry, J., Stein, V. and Pit, S. (2021). Workforce development in integrated care: a scoping review. </w:t>
      </w:r>
      <w:r w:rsidDel="00000000" w:rsidR="00000000" w:rsidRPr="00000000">
        <w:rPr>
          <w:rFonts w:ascii="Arial" w:cs="Arial" w:eastAsia="Arial" w:hAnsi="Arial"/>
          <w:i w:val="1"/>
          <w:iCs w:val="1"/>
          <w:sz w:val="22"/>
          <w:szCs w:val="22"/>
          <w:rtl w:val="0"/>
        </w:rPr>
        <w:t xml:space="preserve">International journal of integrated care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21</w:t>
      </w:r>
      <w:r w:rsidDel="00000000" w:rsidR="00000000" w:rsidRPr="00000000">
        <w:rPr>
          <w:rFonts w:ascii="Arial" w:cs="Arial" w:eastAsia="Arial" w:hAnsi="Arial"/>
          <w:sz w:val="22"/>
          <w:szCs w:val="22"/>
          <w:rtl w:val="0"/>
        </w:rPr>
        <w:t xml:space="preserve">(4), pp.23-23. </w:t>
      </w:r>
      <w:hyperlink r:id="rId21">
        <w:r w:rsidDel="00000000" w:rsidR="00000000" w:rsidRPr="00000000">
          <w:rPr>
            <w:rFonts w:ascii="Arial" w:cs="Arial" w:eastAsia="Arial" w:hAnsi="Arial"/>
            <w:color w:val="0000ff"/>
            <w:sz w:val="22"/>
            <w:szCs w:val="22"/>
            <w:u w:val="single"/>
            <w:rtl w:val="0"/>
          </w:rPr>
          <w:t xml:space="preserve">https://doi.org/10.5334/ijic.6004</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5">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Bgs (2025). </w:t>
      </w:r>
      <w:r w:rsidDel="00000000" w:rsidR="00000000" w:rsidRPr="00000000">
        <w:rPr>
          <w:rFonts w:ascii="Arial" w:cs="Arial" w:eastAsia="Arial" w:hAnsi="Arial"/>
          <w:i w:val="1"/>
          <w:iCs w:val="1"/>
          <w:color w:val="000000"/>
          <w:sz w:val="22"/>
          <w:szCs w:val="22"/>
          <w:rtl w:val="0"/>
        </w:rPr>
        <w:t xml:space="preserve">BGS key messages: End of life care</w:t>
      </w:r>
      <w:r w:rsidDel="00000000" w:rsidR="00000000" w:rsidRPr="00000000">
        <w:rPr>
          <w:rFonts w:ascii="Arial" w:cs="Arial" w:eastAsia="Arial" w:hAnsi="Arial"/>
          <w:color w:val="000000"/>
          <w:sz w:val="22"/>
          <w:szCs w:val="22"/>
          <w:rtl w:val="0"/>
        </w:rPr>
        <w:t xml:space="preserve"> [Online] Available at: </w:t>
      </w:r>
      <w:hyperlink r:id="rId22">
        <w:r w:rsidDel="00000000" w:rsidR="00000000" w:rsidRPr="00000000">
          <w:rPr>
            <w:rFonts w:ascii="Arial" w:cs="Arial" w:eastAsia="Arial" w:hAnsi="Arial"/>
            <w:color w:val="0000ff"/>
            <w:sz w:val="22"/>
            <w:szCs w:val="22"/>
            <w:u w:val="single"/>
            <w:rtl w:val="0"/>
          </w:rPr>
          <w:t xml:space="preserve">https://www.bgs.org.uk/bgs-key-messages-end-of-life-care</w:t>
        </w:r>
      </w:hyperlink>
      <w:r w:rsidDel="00000000" w:rsidR="00000000" w:rsidRPr="00000000">
        <w:rPr>
          <w:rFonts w:ascii="Arial" w:cs="Arial" w:eastAsia="Arial" w:hAnsi="Arial"/>
          <w:color w:val="000000"/>
          <w:sz w:val="22"/>
          <w:szCs w:val="22"/>
          <w:rtl w:val="0"/>
        </w:rPr>
        <w:t xml:space="preserve"> [Accessed on: 1.07.2026]</w:t>
      </w:r>
    </w:p>
    <w:p w:rsidR="00000000" w:rsidDel="00000000" w:rsidP="00000000" w:rsidRDefault="00000000" w:rsidRPr="00000000" w14:paraId="000001A6">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MacRae, C., Mercer, S.W., Henderson, D., McMinn, M., Morales, D.R., Jefferson, E., Lyons, R.A., Lyons, J., Dibben, C., McAllister, D.A. and Guthrie, B. (2023). Age, sex, and socioeconomic differences in multimorbidity measured in four ways: UK primary care cross-sectional analysis. </w:t>
      </w:r>
      <w:r w:rsidDel="00000000" w:rsidR="00000000" w:rsidRPr="00000000">
        <w:rPr>
          <w:rFonts w:ascii="Arial" w:cs="Arial" w:eastAsia="Arial" w:hAnsi="Arial"/>
          <w:i w:val="1"/>
          <w:iCs w:val="1"/>
          <w:color w:val="000000"/>
          <w:sz w:val="22"/>
          <w:szCs w:val="22"/>
          <w:rtl w:val="0"/>
        </w:rPr>
        <w:t xml:space="preserve">British Journal of General Practice</w:t>
      </w:r>
      <w:r w:rsidDel="00000000" w:rsidR="00000000" w:rsidRPr="00000000">
        <w:rPr>
          <w:rFonts w:ascii="Arial" w:cs="Arial" w:eastAsia="Arial" w:hAnsi="Arial"/>
          <w:color w:val="000000"/>
          <w:sz w:val="22"/>
          <w:szCs w:val="22"/>
          <w:rtl w:val="0"/>
        </w:rPr>
        <w:t xml:space="preserve">. [Online] Available at:</w:t>
      </w:r>
      <w:r w:rsidDel="00000000" w:rsidR="00000000" w:rsidRPr="00000000">
        <w:rPr>
          <w:rFonts w:ascii="Arial" w:cs="Arial" w:eastAsia="Arial" w:hAnsi="Arial"/>
          <w:sz w:val="22"/>
          <w:szCs w:val="22"/>
          <w:rtl w:val="0"/>
        </w:rPr>
        <w:t xml:space="preserve"> </w:t>
      </w:r>
      <w:hyperlink r:id="rId23">
        <w:r w:rsidDel="00000000" w:rsidR="00000000" w:rsidRPr="00000000">
          <w:rPr>
            <w:rFonts w:ascii="Arial" w:cs="Arial" w:eastAsia="Arial" w:hAnsi="Arial"/>
            <w:color w:val="0000ff"/>
            <w:sz w:val="22"/>
            <w:szCs w:val="22"/>
            <w:u w:val="single"/>
            <w:rtl w:val="0"/>
          </w:rPr>
          <w:t xml:space="preserve">https://doi.org/10.3399/BJGP.2022.0405</w:t>
        </w:r>
      </w:hyperlink>
      <w:r w:rsidDel="00000000" w:rsidR="00000000" w:rsidRPr="00000000">
        <w:rPr>
          <w:rFonts w:ascii="Arial" w:cs="Arial" w:eastAsia="Arial" w:hAnsi="Arial"/>
          <w:color w:val="000000"/>
          <w:sz w:val="22"/>
          <w:szCs w:val="22"/>
          <w:rtl w:val="0"/>
        </w:rPr>
        <w:t xml:space="preserve"> [Accessed on: 1.07.2026]</w:t>
      </w:r>
    </w:p>
    <w:p w:rsidR="00000000" w:rsidDel="00000000" w:rsidP="00000000" w:rsidRDefault="00000000" w:rsidRPr="00000000" w14:paraId="000001A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Boyce, J., Patton, D., Watson, C., O’Connor, T., Moore, Z. and Nugent, L., 2026. The impact of integrated care on quality of life in community-dwelling older adults with frailty: A systematic review and mixed-methods synthesis. </w:t>
      </w:r>
      <w:r w:rsidDel="00000000" w:rsidR="00000000" w:rsidRPr="00000000">
        <w:rPr>
          <w:rFonts w:ascii="Arial" w:cs="Arial" w:eastAsia="Arial" w:hAnsi="Arial"/>
          <w:i w:val="1"/>
          <w:iCs w:val="1"/>
          <w:sz w:val="22"/>
          <w:szCs w:val="22"/>
          <w:rtl w:val="0"/>
        </w:rPr>
        <w:t xml:space="preserve">The Journal of Frailty &amp; Aging</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15</w:t>
      </w:r>
      <w:r w:rsidDel="00000000" w:rsidR="00000000" w:rsidRPr="00000000">
        <w:rPr>
          <w:rFonts w:ascii="Arial" w:cs="Arial" w:eastAsia="Arial" w:hAnsi="Arial"/>
          <w:sz w:val="22"/>
          <w:szCs w:val="22"/>
          <w:rtl w:val="0"/>
        </w:rPr>
        <w:t xml:space="preserve">(3), p.100150. Available at: </w:t>
      </w:r>
      <w:hyperlink r:id="rId24">
        <w:r w:rsidDel="00000000" w:rsidR="00000000" w:rsidRPr="00000000">
          <w:rPr>
            <w:rFonts w:ascii="Arial" w:cs="Arial" w:eastAsia="Arial" w:hAnsi="Arial"/>
            <w:color w:val="0000ff"/>
            <w:sz w:val="22"/>
            <w:szCs w:val="22"/>
            <w:u w:val="single"/>
            <w:rtl w:val="0"/>
          </w:rPr>
          <w:t xml:space="preserve">https://doi.org/10.1016/j.tjfa.2026.100150</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8">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Bronfenbrenner, U. (1994). Ecological models of human development. </w:t>
      </w:r>
      <w:r w:rsidDel="00000000" w:rsidR="00000000" w:rsidRPr="00000000">
        <w:rPr>
          <w:rFonts w:ascii="Arial" w:cs="Arial" w:eastAsia="Arial" w:hAnsi="Arial"/>
          <w:i w:val="1"/>
          <w:iCs w:val="1"/>
          <w:color w:val="000000"/>
          <w:sz w:val="22"/>
          <w:szCs w:val="22"/>
          <w:rtl w:val="0"/>
        </w:rPr>
        <w:t xml:space="preserve">International encyclopedia of education</w:t>
      </w:r>
      <w:r w:rsidDel="00000000" w:rsidR="00000000" w:rsidRPr="00000000">
        <w:rPr>
          <w:rFonts w:ascii="Arial" w:cs="Arial" w:eastAsia="Arial" w:hAnsi="Arial"/>
          <w:color w:val="000000"/>
          <w:sz w:val="22"/>
          <w:szCs w:val="22"/>
          <w:rtl w:val="0"/>
        </w:rPr>
        <w:t xml:space="preserve">, </w:t>
      </w:r>
      <w:r w:rsidDel="00000000" w:rsidR="00000000" w:rsidRPr="00000000">
        <w:rPr>
          <w:rFonts w:ascii="Arial" w:cs="Arial" w:eastAsia="Arial" w:hAnsi="Arial"/>
          <w:i w:val="1"/>
          <w:iCs w:val="1"/>
          <w:color w:val="000000"/>
          <w:sz w:val="22"/>
          <w:szCs w:val="22"/>
          <w:rtl w:val="0"/>
        </w:rPr>
        <w:t xml:space="preserve">3</w:t>
      </w:r>
      <w:r w:rsidDel="00000000" w:rsidR="00000000" w:rsidRPr="00000000">
        <w:rPr>
          <w:rFonts w:ascii="Arial" w:cs="Arial" w:eastAsia="Arial" w:hAnsi="Arial"/>
          <w:color w:val="000000"/>
          <w:sz w:val="22"/>
          <w:szCs w:val="22"/>
          <w:rtl w:val="0"/>
        </w:rPr>
        <w:t xml:space="preserve">(2), pp.37-43. </w:t>
      </w:r>
      <w:hyperlink r:id="rId25">
        <w:r w:rsidDel="00000000" w:rsidR="00000000" w:rsidRPr="00000000">
          <w:rPr>
            <w:rFonts w:ascii="Arial" w:cs="Arial" w:eastAsia="Arial" w:hAnsi="Arial"/>
            <w:color w:val="0000ff"/>
            <w:sz w:val="22"/>
            <w:szCs w:val="22"/>
            <w:u w:val="single"/>
            <w:rtl w:val="0"/>
          </w:rPr>
          <w:t xml:space="preserve">https://www.ncj.nl/wp-content/uploads/media-import/docs/6a45c1a4-82ad-4f69-957e-1c76966678e2.pdf</w:t>
        </w:r>
      </w:hyperlink>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1A9">
      <w:pPr>
        <w:spacing w:after="240" w:before="240" w:lineRule="auto"/>
        <w:rPr>
          <w:rFonts w:ascii="Arial" w:cs="Arial" w:eastAsia="Arial" w:hAnsi="Arial"/>
          <w:sz w:val="22"/>
          <w:szCs w:val="22"/>
        </w:rPr>
      </w:pPr>
      <w:bookmarkStart w:colFirst="0" w:colLast="0" w:name="_x40dez9ckhrx" w:id="75"/>
      <w:bookmarkEnd w:id="75"/>
      <w:r w:rsidDel="00000000" w:rsidR="00000000" w:rsidRPr="00000000">
        <w:rPr>
          <w:rFonts w:ascii="Arial" w:cs="Arial" w:eastAsia="Arial" w:hAnsi="Arial"/>
          <w:sz w:val="22"/>
          <w:szCs w:val="22"/>
          <w:rtl w:val="0"/>
        </w:rPr>
        <w:t xml:space="preserve">Brooks, A. and Gillon, U. (2025). Interdisciplinary working within urgent community response and intermediate care services. </w:t>
      </w:r>
      <w:r w:rsidDel="00000000" w:rsidR="00000000" w:rsidRPr="00000000">
        <w:rPr>
          <w:rFonts w:ascii="Arial" w:cs="Arial" w:eastAsia="Arial" w:hAnsi="Arial"/>
          <w:i w:val="1"/>
          <w:iCs w:val="1"/>
          <w:sz w:val="22"/>
          <w:szCs w:val="22"/>
          <w:rtl w:val="0"/>
        </w:rPr>
        <w:t xml:space="preserve">British Journal of Community Nursing</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30</w:t>
      </w:r>
      <w:r w:rsidDel="00000000" w:rsidR="00000000" w:rsidRPr="00000000">
        <w:rPr>
          <w:rFonts w:ascii="Arial" w:cs="Arial" w:eastAsia="Arial" w:hAnsi="Arial"/>
          <w:sz w:val="22"/>
          <w:szCs w:val="22"/>
          <w:rtl w:val="0"/>
        </w:rPr>
        <w:t xml:space="preserve">(11), pp.524-536. </w:t>
      </w:r>
      <w:hyperlink r:id="rId26">
        <w:r w:rsidDel="00000000" w:rsidR="00000000" w:rsidRPr="00000000">
          <w:rPr>
            <w:rFonts w:ascii="Arial" w:cs="Arial" w:eastAsia="Arial" w:hAnsi="Arial"/>
            <w:color w:val="0000ff"/>
            <w:sz w:val="22"/>
            <w:szCs w:val="22"/>
            <w:u w:val="single"/>
            <w:rtl w:val="0"/>
          </w:rPr>
          <w:t xml:space="preserve">https://doi.org/10.12968/bjcn.2025.0111</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Cajal, B., Jiménez, R., Gervilla, E. and Montaño, J.J., 2026. Doing a systematic review in health sciences. </w:t>
      </w:r>
      <w:r w:rsidDel="00000000" w:rsidR="00000000" w:rsidRPr="00000000">
        <w:rPr>
          <w:rFonts w:ascii="Arial" w:cs="Arial" w:eastAsia="Arial" w:hAnsi="Arial"/>
          <w:i w:val="1"/>
          <w:iCs w:val="1"/>
          <w:sz w:val="22"/>
          <w:szCs w:val="22"/>
          <w:rtl w:val="0"/>
        </w:rPr>
        <w:t xml:space="preserve">Clínica y Salud, 2020, vol. 31, núm. 2, pp. 77-83</w:t>
      </w:r>
      <w:r w:rsidDel="00000000" w:rsidR="00000000" w:rsidRPr="00000000">
        <w:rPr>
          <w:rFonts w:ascii="Arial" w:cs="Arial" w:eastAsia="Arial" w:hAnsi="Arial"/>
          <w:sz w:val="22"/>
          <w:szCs w:val="22"/>
          <w:rtl w:val="0"/>
        </w:rPr>
        <w:t xml:space="preserve">. Available at: </w:t>
      </w:r>
      <w:hyperlink r:id="rId27">
        <w:r w:rsidDel="00000000" w:rsidR="00000000" w:rsidRPr="00000000">
          <w:rPr>
            <w:rFonts w:ascii="Arial" w:cs="Arial" w:eastAsia="Arial" w:hAnsi="Arial"/>
            <w:color w:val="0000ff"/>
            <w:sz w:val="22"/>
            <w:szCs w:val="22"/>
            <w:u w:val="single"/>
            <w:rtl w:val="0"/>
          </w:rPr>
          <w:t xml:space="preserve">https://repositori.uib.cat/xmlui/bitstream/handle/11201/173538/38524.pdf?sequence=1&amp;isAllowed=y</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Carvalho, L., Stéfani, S.R., Rodrigues, J., Kozak, C., Lima, M.J., Mares, P. and Soromenho, J., 2026. Circular Economy and Energy: A Systematic Review Using the PRISMA Method. </w:t>
      </w:r>
      <w:r w:rsidDel="00000000" w:rsidR="00000000" w:rsidRPr="00000000">
        <w:rPr>
          <w:rFonts w:ascii="Arial" w:cs="Arial" w:eastAsia="Arial" w:hAnsi="Arial"/>
          <w:i w:val="1"/>
          <w:iCs w:val="1"/>
          <w:sz w:val="22"/>
          <w:szCs w:val="22"/>
          <w:rtl w:val="0"/>
        </w:rPr>
        <w:t xml:space="preserve">Energies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19</w:t>
      </w:r>
      <w:r w:rsidDel="00000000" w:rsidR="00000000" w:rsidRPr="00000000">
        <w:rPr>
          <w:rFonts w:ascii="Arial" w:cs="Arial" w:eastAsia="Arial" w:hAnsi="Arial"/>
          <w:sz w:val="22"/>
          <w:szCs w:val="22"/>
          <w:rtl w:val="0"/>
        </w:rPr>
        <w:t xml:space="preserve">(3), p.725. Available at: </w:t>
      </w:r>
      <w:hyperlink r:id="rId28">
        <w:r w:rsidDel="00000000" w:rsidR="00000000" w:rsidRPr="00000000">
          <w:rPr>
            <w:rFonts w:ascii="Arial" w:cs="Arial" w:eastAsia="Arial" w:hAnsi="Arial"/>
            <w:color w:val="0000ff"/>
            <w:sz w:val="22"/>
            <w:szCs w:val="22"/>
            <w:u w:val="single"/>
            <w:rtl w:val="0"/>
          </w:rPr>
          <w:t xml:space="preserve">https://doi.org/10.3390/en19030725</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Casselden, B., 2023. Not like riding a bike: How public libraries facilitate older people’s digital inclusion during the COVID-19 pandemic. </w:t>
      </w:r>
      <w:r w:rsidDel="00000000" w:rsidR="00000000" w:rsidRPr="00000000">
        <w:rPr>
          <w:rFonts w:ascii="Arial" w:cs="Arial" w:eastAsia="Arial" w:hAnsi="Arial"/>
          <w:i w:val="1"/>
          <w:iCs w:val="1"/>
          <w:sz w:val="22"/>
          <w:szCs w:val="22"/>
          <w:rtl w:val="0"/>
        </w:rPr>
        <w:t xml:space="preserve">Journal of Librarianship and Information Science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55</w:t>
      </w:r>
      <w:r w:rsidDel="00000000" w:rsidR="00000000" w:rsidRPr="00000000">
        <w:rPr>
          <w:rFonts w:ascii="Arial" w:cs="Arial" w:eastAsia="Arial" w:hAnsi="Arial"/>
          <w:sz w:val="22"/>
          <w:szCs w:val="22"/>
          <w:rtl w:val="0"/>
        </w:rPr>
        <w:t xml:space="preserve">(3), pp.704-718. Available at: </w:t>
      </w:r>
      <w:hyperlink r:id="rId29">
        <w:r w:rsidDel="00000000" w:rsidR="00000000" w:rsidRPr="00000000">
          <w:rPr>
            <w:rFonts w:ascii="Arial" w:cs="Arial" w:eastAsia="Arial" w:hAnsi="Arial"/>
            <w:color w:val="0000ff"/>
            <w:sz w:val="22"/>
            <w:szCs w:val="22"/>
            <w:u w:val="single"/>
            <w:rtl w:val="0"/>
          </w:rPr>
          <w:t xml:space="preserve">https://doi.org/10.1177/09610006221101898</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Christensen, J.A., Marcussen, M., Zabell, V., Bagger, B., Høgsgaard, D., Lundstrøm, S.L., Barrett, B.A., Frølich, A., Skou, S.T. and Berring, L.L., 2025. Stratification tools for assessing older adults with multimorbidity in an integrated care context: A scoping review. </w:t>
      </w:r>
      <w:r w:rsidDel="00000000" w:rsidR="00000000" w:rsidRPr="00000000">
        <w:rPr>
          <w:rFonts w:ascii="Arial" w:cs="Arial" w:eastAsia="Arial" w:hAnsi="Arial"/>
          <w:i w:val="1"/>
          <w:iCs w:val="1"/>
          <w:sz w:val="22"/>
          <w:szCs w:val="22"/>
          <w:rtl w:val="0"/>
        </w:rPr>
        <w:t xml:space="preserve">Journal of Multimorbidity and Comorbidity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15</w:t>
      </w:r>
      <w:r w:rsidDel="00000000" w:rsidR="00000000" w:rsidRPr="00000000">
        <w:rPr>
          <w:rFonts w:ascii="Arial" w:cs="Arial" w:eastAsia="Arial" w:hAnsi="Arial"/>
          <w:sz w:val="22"/>
          <w:szCs w:val="22"/>
          <w:rtl w:val="0"/>
        </w:rPr>
        <w:t xml:space="preserve">, p.26335565251357781. Available at: </w:t>
      </w:r>
      <w:hyperlink r:id="rId30">
        <w:r w:rsidDel="00000000" w:rsidR="00000000" w:rsidRPr="00000000">
          <w:rPr>
            <w:rFonts w:ascii="Arial" w:cs="Arial" w:eastAsia="Arial" w:hAnsi="Arial"/>
            <w:color w:val="0000ff"/>
            <w:sz w:val="22"/>
            <w:szCs w:val="22"/>
            <w:u w:val="single"/>
            <w:rtl w:val="0"/>
          </w:rPr>
          <w:t xml:space="preserve">https://doi.org/10.1177/26335565251357781</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Csontos, J., Gillen, E., Edwards, D., Islam, A., Davies, J., Edwards, R.T., Edwards, A., Cooper, A. and Lewis, R. (2025). Integrated care for older people or people living with frailty and waiting times/lists–a mixed methods rapid review. </w:t>
      </w:r>
      <w:r w:rsidDel="00000000" w:rsidR="00000000" w:rsidRPr="00000000">
        <w:rPr>
          <w:rFonts w:ascii="Arial" w:cs="Arial" w:eastAsia="Arial" w:hAnsi="Arial"/>
          <w:i w:val="1"/>
          <w:iCs w:val="1"/>
          <w:sz w:val="22"/>
          <w:szCs w:val="22"/>
          <w:rtl w:val="0"/>
        </w:rPr>
        <w:t xml:space="preserve">medRxiv</w:t>
      </w:r>
      <w:r w:rsidDel="00000000" w:rsidR="00000000" w:rsidRPr="00000000">
        <w:rPr>
          <w:rFonts w:ascii="Arial" w:cs="Arial" w:eastAsia="Arial" w:hAnsi="Arial"/>
          <w:sz w:val="22"/>
          <w:szCs w:val="22"/>
          <w:rtl w:val="0"/>
        </w:rPr>
        <w:t xml:space="preserve">, pp.2025-06. </w:t>
      </w:r>
      <w:hyperlink r:id="rId31">
        <w:r w:rsidDel="00000000" w:rsidR="00000000" w:rsidRPr="00000000">
          <w:rPr>
            <w:rFonts w:ascii="Arial" w:cs="Arial" w:eastAsia="Arial" w:hAnsi="Arial"/>
            <w:color w:val="0000ff"/>
            <w:sz w:val="22"/>
            <w:szCs w:val="22"/>
            <w:u w:val="single"/>
            <w:rtl w:val="0"/>
          </w:rPr>
          <w:t xml:space="preserve">https://doi.org/10.1101/2025.06.04.25328979</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A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Damant, J., Hamashima, Y., Toma, M., Smith, N., Taylor, J., Caprioli, T., Jasim, S., Prato, L., Mcleod, H., Giebel, C. and Peters, M. (2026). Investigating Person</w:t>
      </w:r>
      <w:r w:rsidDel="00000000" w:rsidR="00000000" w:rsidRPr="00000000">
        <w:rPr>
          <w:rFonts w:ascii="Cambria Math" w:cs="Cambria Math" w:eastAsia="Cambria Math" w:hAnsi="Cambria Math"/>
          <w:sz w:val="22"/>
          <w:szCs w:val="22"/>
          <w:rtl w:val="0"/>
        </w:rPr>
        <w:t xml:space="preserve">‐</w:t>
      </w:r>
      <w:r w:rsidDel="00000000" w:rsidR="00000000" w:rsidRPr="00000000">
        <w:rPr>
          <w:rFonts w:ascii="Arial" w:cs="Arial" w:eastAsia="Arial" w:hAnsi="Arial"/>
          <w:sz w:val="22"/>
          <w:szCs w:val="22"/>
          <w:rtl w:val="0"/>
        </w:rPr>
        <w:t xml:space="preserve">Centred Care Planning in Care Homes Across England: An Exploratory Study of Practices and Contextual Factors. </w:t>
      </w:r>
      <w:r w:rsidDel="00000000" w:rsidR="00000000" w:rsidRPr="00000000">
        <w:rPr>
          <w:rFonts w:ascii="Arial" w:cs="Arial" w:eastAsia="Arial" w:hAnsi="Arial"/>
          <w:i w:val="1"/>
          <w:iCs w:val="1"/>
          <w:sz w:val="22"/>
          <w:szCs w:val="22"/>
          <w:rtl w:val="0"/>
        </w:rPr>
        <w:t xml:space="preserve">Journal of advanced nursing</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82</w:t>
      </w:r>
      <w:r w:rsidDel="00000000" w:rsidR="00000000" w:rsidRPr="00000000">
        <w:rPr>
          <w:rFonts w:ascii="Arial" w:cs="Arial" w:eastAsia="Arial" w:hAnsi="Arial"/>
          <w:sz w:val="22"/>
          <w:szCs w:val="22"/>
          <w:rtl w:val="0"/>
        </w:rPr>
        <w:t xml:space="preserve">(1), pp.617-631. </w:t>
      </w:r>
      <w:hyperlink r:id="rId32">
        <w:r w:rsidDel="00000000" w:rsidR="00000000" w:rsidRPr="00000000">
          <w:rPr>
            <w:rFonts w:ascii="Arial" w:cs="Arial" w:eastAsia="Arial" w:hAnsi="Arial"/>
            <w:color w:val="0000ff"/>
            <w:sz w:val="22"/>
            <w:szCs w:val="22"/>
            <w:u w:val="single"/>
            <w:rtl w:val="0"/>
          </w:rPr>
          <w:t xml:space="preserve">https://doi.org/10.1111/jan.16965</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Dambha-Miller, H., Simpson, G., Hobson, L., Olaniyan, D., Hodgson, S., Roderick, P., Fraser, S.D., Little, P., Everitt, H. and Santer, M., 2021. Integrating primary care and social services for older adults with multimorbidity: a qualitative study. </w:t>
      </w:r>
      <w:r w:rsidDel="00000000" w:rsidR="00000000" w:rsidRPr="00000000">
        <w:rPr>
          <w:rFonts w:ascii="Arial" w:cs="Arial" w:eastAsia="Arial" w:hAnsi="Arial"/>
          <w:i w:val="1"/>
          <w:iCs w:val="1"/>
          <w:sz w:val="22"/>
          <w:szCs w:val="22"/>
          <w:rtl w:val="0"/>
        </w:rPr>
        <w:t xml:space="preserve">British Journal of General Practice</w:t>
      </w:r>
      <w:r w:rsidDel="00000000" w:rsidR="00000000" w:rsidRPr="00000000">
        <w:rPr>
          <w:rFonts w:ascii="Arial" w:cs="Arial" w:eastAsia="Arial" w:hAnsi="Arial"/>
          <w:sz w:val="22"/>
          <w:szCs w:val="22"/>
          <w:rtl w:val="0"/>
        </w:rPr>
        <w:t xml:space="preserve">. Available at: </w:t>
      </w:r>
      <w:hyperlink r:id="rId33">
        <w:r w:rsidDel="00000000" w:rsidR="00000000" w:rsidRPr="00000000">
          <w:rPr>
            <w:rFonts w:ascii="Arial" w:cs="Arial" w:eastAsia="Arial" w:hAnsi="Arial"/>
            <w:color w:val="0000ff"/>
            <w:sz w:val="22"/>
            <w:szCs w:val="22"/>
            <w:u w:val="single"/>
            <w:rtl w:val="0"/>
          </w:rPr>
          <w:t xml:space="preserve">https://doi.org/10.3399/BJGP.2020.1100</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highlight w:val="white"/>
          <w:rtl w:val="0"/>
        </w:rPr>
        <w:t xml:space="preserve">Fox, C., Hammond, S.P., Shepstone, L., Poland, F., Henderson, C., Backhouse, T., Penhale, B., Donell, S., Knapp, M., Lewins, D. and MacLullich, A. (2025). Enhanced recovery pathway for older people with hip fracture and cognitive impairment in acute hospitals: the PERFECTED research programme including an RCT. </w:t>
      </w:r>
      <w:r w:rsidDel="00000000" w:rsidR="00000000" w:rsidRPr="00000000">
        <w:rPr>
          <w:rFonts w:ascii="Arial" w:cs="Arial" w:eastAsia="Arial" w:hAnsi="Arial"/>
          <w:i w:val="1"/>
          <w:iCs w:val="1"/>
          <w:sz w:val="22"/>
          <w:szCs w:val="22"/>
          <w:highlight w:val="white"/>
          <w:rtl w:val="0"/>
        </w:rPr>
        <w:t xml:space="preserve">Programme Grants for Applied Research</w:t>
      </w:r>
      <w:r w:rsidDel="00000000" w:rsidR="00000000" w:rsidRPr="00000000">
        <w:rPr>
          <w:rFonts w:ascii="Arial" w:cs="Arial" w:eastAsia="Arial" w:hAnsi="Arial"/>
          <w:sz w:val="22"/>
          <w:szCs w:val="22"/>
          <w:highlight w:val="white"/>
          <w:rtl w:val="0"/>
        </w:rPr>
        <w:t xml:space="preserve">, </w:t>
      </w:r>
      <w:r w:rsidDel="00000000" w:rsidR="00000000" w:rsidRPr="00000000">
        <w:rPr>
          <w:rFonts w:ascii="Arial" w:cs="Arial" w:eastAsia="Arial" w:hAnsi="Arial"/>
          <w:i w:val="1"/>
          <w:iCs w:val="1"/>
          <w:sz w:val="22"/>
          <w:szCs w:val="22"/>
          <w:highlight w:val="white"/>
          <w:rtl w:val="0"/>
        </w:rPr>
        <w:t xml:space="preserve">13</w:t>
      </w:r>
      <w:r w:rsidDel="00000000" w:rsidR="00000000" w:rsidRPr="00000000">
        <w:rPr>
          <w:rFonts w:ascii="Arial" w:cs="Arial" w:eastAsia="Arial" w:hAnsi="Arial"/>
          <w:sz w:val="22"/>
          <w:szCs w:val="22"/>
          <w:highlight w:val="white"/>
          <w:rtl w:val="0"/>
        </w:rPr>
        <w:t xml:space="preserve">(1).</w:t>
      </w:r>
      <w:r w:rsidDel="00000000" w:rsidR="00000000" w:rsidRPr="00000000">
        <w:rPr>
          <w:rFonts w:ascii="Arial" w:cs="Arial" w:eastAsia="Arial" w:hAnsi="Arial"/>
          <w:sz w:val="22"/>
          <w:szCs w:val="22"/>
          <w:rtl w:val="0"/>
        </w:rPr>
        <w:t xml:space="preserve"> Available at: </w:t>
      </w:r>
      <w:hyperlink r:id="rId34">
        <w:r w:rsidDel="00000000" w:rsidR="00000000" w:rsidRPr="00000000">
          <w:rPr>
            <w:rFonts w:ascii="Arial" w:cs="Arial" w:eastAsia="Arial" w:hAnsi="Arial"/>
            <w:color w:val="0000ff"/>
            <w:sz w:val="22"/>
            <w:szCs w:val="22"/>
            <w:u w:val="single"/>
            <w:rtl w:val="0"/>
          </w:rPr>
          <w:t xml:space="preserve">https://doi.org/10.3310/MDTT6530</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Georghiou, T. and Keeble, E. (2019) Age UK’s Personalised Integrated Care Programme: Evaluation of impact on hospital activity. Research report. </w:t>
      </w:r>
      <w:r w:rsidDel="00000000" w:rsidR="00000000" w:rsidRPr="00000000">
        <w:rPr>
          <w:rFonts w:ascii="Arial" w:cs="Arial" w:eastAsia="Arial" w:hAnsi="Arial"/>
          <w:i w:val="1"/>
          <w:iCs w:val="1"/>
          <w:sz w:val="22"/>
          <w:szCs w:val="22"/>
          <w:rtl w:val="0"/>
        </w:rPr>
        <w:t xml:space="preserve">Nuffield Trust</w:t>
      </w:r>
      <w:r w:rsidDel="00000000" w:rsidR="00000000" w:rsidRPr="00000000">
        <w:rPr>
          <w:rFonts w:ascii="Arial" w:cs="Arial" w:eastAsia="Arial" w:hAnsi="Arial"/>
          <w:sz w:val="22"/>
          <w:szCs w:val="22"/>
          <w:rtl w:val="0"/>
        </w:rPr>
        <w:t xml:space="preserve">. </w:t>
      </w:r>
      <w:hyperlink r:id="rId35">
        <w:r w:rsidDel="00000000" w:rsidR="00000000" w:rsidRPr="00000000">
          <w:rPr>
            <w:rFonts w:ascii="Arial" w:cs="Arial" w:eastAsia="Arial" w:hAnsi="Arial"/>
            <w:color w:val="0000ff"/>
            <w:sz w:val="22"/>
            <w:szCs w:val="22"/>
            <w:u w:val="single"/>
            <w:rtl w:val="0"/>
          </w:rPr>
          <w:t xml:space="preserve">https://www.nuffieldtrust.org.uk/sites/default/files/2019-01/nutj6871-age-uk-care-190130-web.pdf</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3">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highlight w:val="white"/>
          <w:rtl w:val="0"/>
        </w:rPr>
        <w:t xml:space="preserve">Glasby, J. (2026). Understanding health and social care. In </w:t>
      </w:r>
      <w:r w:rsidDel="00000000" w:rsidR="00000000" w:rsidRPr="00000000">
        <w:rPr>
          <w:rFonts w:ascii="Arial" w:cs="Arial" w:eastAsia="Arial" w:hAnsi="Arial"/>
          <w:i w:val="1"/>
          <w:iCs w:val="1"/>
          <w:color w:val="000000"/>
          <w:sz w:val="22"/>
          <w:szCs w:val="22"/>
          <w:highlight w:val="white"/>
          <w:rtl w:val="0"/>
        </w:rPr>
        <w:t xml:space="preserve">Understanding Health and Social Care</w:t>
      </w:r>
      <w:r w:rsidDel="00000000" w:rsidR="00000000" w:rsidRPr="00000000">
        <w:rPr>
          <w:rFonts w:ascii="Arial" w:cs="Arial" w:eastAsia="Arial" w:hAnsi="Arial"/>
          <w:color w:val="000000"/>
          <w:sz w:val="22"/>
          <w:szCs w:val="22"/>
          <w:highlight w:val="white"/>
          <w:rtl w:val="0"/>
        </w:rPr>
        <w:t xml:space="preserve">. Policy Press.</w:t>
      </w:r>
      <w:r w:rsidDel="00000000" w:rsidR="00000000" w:rsidRPr="00000000">
        <w:rPr>
          <w:rFonts w:ascii="Arial" w:cs="Arial" w:eastAsia="Arial" w:hAnsi="Arial"/>
          <w:color w:val="000000"/>
          <w:sz w:val="22"/>
          <w:szCs w:val="22"/>
          <w:rtl w:val="0"/>
        </w:rPr>
        <w:t xml:space="preserve"> Available at: </w:t>
      </w:r>
      <w:hyperlink r:id="rId36">
        <w:r w:rsidDel="00000000" w:rsidR="00000000" w:rsidRPr="00000000">
          <w:rPr>
            <w:rFonts w:ascii="Arial" w:cs="Arial" w:eastAsia="Arial" w:hAnsi="Arial"/>
            <w:color w:val="0000ff"/>
            <w:sz w:val="22"/>
            <w:szCs w:val="22"/>
            <w:u w:val="single"/>
            <w:rtl w:val="0"/>
          </w:rPr>
          <w:t xml:space="preserve">https://cmls.org.uk/online/wp-content/uploads/2019/07/Understanding-health-and-social-care.pdf</w:t>
        </w:r>
      </w:hyperlink>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1B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Green, R., Combes, S., Harris, J. and Nicholson, C., 2025. Integrating community services provision for older people living with severe frailty: implications from an England-wide survey. </w:t>
      </w:r>
      <w:r w:rsidDel="00000000" w:rsidR="00000000" w:rsidRPr="00000000">
        <w:rPr>
          <w:rFonts w:ascii="Arial" w:cs="Arial" w:eastAsia="Arial" w:hAnsi="Arial"/>
          <w:i w:val="1"/>
          <w:iCs w:val="1"/>
          <w:sz w:val="22"/>
          <w:szCs w:val="22"/>
          <w:rtl w:val="0"/>
        </w:rPr>
        <w:t xml:space="preserve">Age and ageing</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54</w:t>
      </w:r>
      <w:r w:rsidDel="00000000" w:rsidR="00000000" w:rsidRPr="00000000">
        <w:rPr>
          <w:rFonts w:ascii="Arial" w:cs="Arial" w:eastAsia="Arial" w:hAnsi="Arial"/>
          <w:sz w:val="22"/>
          <w:szCs w:val="22"/>
          <w:rtl w:val="0"/>
        </w:rPr>
        <w:t xml:space="preserve">(6), p.afaf174. Available at: </w:t>
      </w:r>
      <w:hyperlink r:id="rId37">
        <w:r w:rsidDel="00000000" w:rsidR="00000000" w:rsidRPr="00000000">
          <w:rPr>
            <w:rFonts w:ascii="Arial" w:cs="Arial" w:eastAsia="Arial" w:hAnsi="Arial"/>
            <w:color w:val="0000ff"/>
            <w:sz w:val="22"/>
            <w:szCs w:val="22"/>
            <w:u w:val="single"/>
            <w:rtl w:val="0"/>
          </w:rPr>
          <w:t xml:space="preserve">https://doi.org/10.1093/ageing/afaf174</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Halamová, L., Locock, L., Maclaren, A., Makin, S. and Phillips, L. (2025). Involvement of older adults in shared decision-making on care transitions in the UK: an interpretative qualitative systematic review. </w:t>
      </w:r>
      <w:r w:rsidDel="00000000" w:rsidR="00000000" w:rsidRPr="00000000">
        <w:rPr>
          <w:rFonts w:ascii="Arial" w:cs="Arial" w:eastAsia="Arial" w:hAnsi="Arial"/>
          <w:i w:val="1"/>
          <w:iCs w:val="1"/>
          <w:sz w:val="22"/>
          <w:szCs w:val="22"/>
          <w:rtl w:val="0"/>
        </w:rPr>
        <w:t xml:space="preserve">Ageing &amp; Society</w:t>
      </w:r>
      <w:r w:rsidDel="00000000" w:rsidR="00000000" w:rsidRPr="00000000">
        <w:rPr>
          <w:rFonts w:ascii="Arial" w:cs="Arial" w:eastAsia="Arial" w:hAnsi="Arial"/>
          <w:sz w:val="22"/>
          <w:szCs w:val="22"/>
          <w:rtl w:val="0"/>
        </w:rPr>
        <w:t xml:space="preserve">, pp.1-26. </w:t>
      </w:r>
      <w:hyperlink r:id="rId38">
        <w:r w:rsidDel="00000000" w:rsidR="00000000" w:rsidRPr="00000000">
          <w:rPr>
            <w:rFonts w:ascii="Arial" w:cs="Arial" w:eastAsia="Arial" w:hAnsi="Arial"/>
            <w:color w:val="0000ff"/>
            <w:sz w:val="22"/>
            <w:szCs w:val="22"/>
            <w:u w:val="single"/>
            <w:rtl w:val="0"/>
          </w:rPr>
          <w:t xml:space="preserve">https://doi.org/10.1017/S0144686X25100123</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6">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highlight w:val="white"/>
          <w:rtl w:val="0"/>
        </w:rPr>
        <w:t xml:space="preserve">Hartikainen, K., Elomaa</w:t>
      </w:r>
      <w:r w:rsidDel="00000000" w:rsidR="00000000" w:rsidRPr="00000000">
        <w:rPr>
          <w:rFonts w:ascii="Cambria Math" w:cs="Cambria Math" w:eastAsia="Cambria Math" w:hAnsi="Cambria Math"/>
          <w:color w:val="000000"/>
          <w:sz w:val="22"/>
          <w:szCs w:val="22"/>
          <w:highlight w:val="white"/>
          <w:rtl w:val="0"/>
        </w:rPr>
        <w:t xml:space="preserve">‐</w:t>
      </w:r>
      <w:r w:rsidDel="00000000" w:rsidR="00000000" w:rsidRPr="00000000">
        <w:rPr>
          <w:rFonts w:ascii="Arial" w:cs="Arial" w:eastAsia="Arial" w:hAnsi="Arial"/>
          <w:color w:val="000000"/>
          <w:sz w:val="22"/>
          <w:szCs w:val="22"/>
          <w:highlight w:val="white"/>
          <w:rtl w:val="0"/>
        </w:rPr>
        <w:t xml:space="preserve">Krapu, M., Salminen, L., Laasanen, M. and Virtanen, H. (2026). Health and Social Care Professionals' Perspectives of the Desired Interprofessional Collaboration in Frequent Attenders' Person</w:t>
      </w:r>
      <w:r w:rsidDel="00000000" w:rsidR="00000000" w:rsidRPr="00000000">
        <w:rPr>
          <w:rFonts w:ascii="Cambria Math" w:cs="Cambria Math" w:eastAsia="Cambria Math" w:hAnsi="Cambria Math"/>
          <w:color w:val="000000"/>
          <w:sz w:val="22"/>
          <w:szCs w:val="22"/>
          <w:highlight w:val="white"/>
          <w:rtl w:val="0"/>
        </w:rPr>
        <w:t xml:space="preserve">‐</w:t>
      </w:r>
      <w:r w:rsidDel="00000000" w:rsidR="00000000" w:rsidRPr="00000000">
        <w:rPr>
          <w:rFonts w:ascii="Arial" w:cs="Arial" w:eastAsia="Arial" w:hAnsi="Arial"/>
          <w:color w:val="000000"/>
          <w:sz w:val="22"/>
          <w:szCs w:val="22"/>
          <w:highlight w:val="white"/>
          <w:rtl w:val="0"/>
        </w:rPr>
        <w:t xml:space="preserve">Centred Care: A Qualitative Study. </w:t>
      </w:r>
      <w:r w:rsidDel="00000000" w:rsidR="00000000" w:rsidRPr="00000000">
        <w:rPr>
          <w:rFonts w:ascii="Arial" w:cs="Arial" w:eastAsia="Arial" w:hAnsi="Arial"/>
          <w:i w:val="1"/>
          <w:iCs w:val="1"/>
          <w:color w:val="000000"/>
          <w:sz w:val="22"/>
          <w:szCs w:val="22"/>
          <w:highlight w:val="white"/>
          <w:rtl w:val="0"/>
        </w:rPr>
        <w:t xml:space="preserve">Scandinavian Journal of Caring Sciences</w:t>
      </w:r>
      <w:r w:rsidDel="00000000" w:rsidR="00000000" w:rsidRPr="00000000">
        <w:rPr>
          <w:rFonts w:ascii="Arial" w:cs="Arial" w:eastAsia="Arial" w:hAnsi="Arial"/>
          <w:color w:val="000000"/>
          <w:sz w:val="22"/>
          <w:szCs w:val="22"/>
          <w:highlight w:val="white"/>
          <w:rtl w:val="0"/>
        </w:rPr>
        <w:t xml:space="preserve">, </w:t>
      </w:r>
      <w:r w:rsidDel="00000000" w:rsidR="00000000" w:rsidRPr="00000000">
        <w:rPr>
          <w:rFonts w:ascii="Arial" w:cs="Arial" w:eastAsia="Arial" w:hAnsi="Arial"/>
          <w:i w:val="1"/>
          <w:iCs w:val="1"/>
          <w:color w:val="000000"/>
          <w:sz w:val="22"/>
          <w:szCs w:val="22"/>
          <w:highlight w:val="white"/>
          <w:rtl w:val="0"/>
        </w:rPr>
        <w:t xml:space="preserve">40</w:t>
      </w:r>
      <w:r w:rsidDel="00000000" w:rsidR="00000000" w:rsidRPr="00000000">
        <w:rPr>
          <w:rFonts w:ascii="Arial" w:cs="Arial" w:eastAsia="Arial" w:hAnsi="Arial"/>
          <w:color w:val="000000"/>
          <w:sz w:val="22"/>
          <w:szCs w:val="22"/>
          <w:highlight w:val="white"/>
          <w:rtl w:val="0"/>
        </w:rPr>
        <w:t xml:space="preserve">(1), p.e70217.</w:t>
      </w:r>
      <w:r w:rsidDel="00000000" w:rsidR="00000000" w:rsidRPr="00000000">
        <w:rPr>
          <w:rFonts w:ascii="Arial" w:cs="Arial" w:eastAsia="Arial" w:hAnsi="Arial"/>
          <w:color w:val="000000"/>
          <w:sz w:val="22"/>
          <w:szCs w:val="22"/>
          <w:rtl w:val="0"/>
        </w:rPr>
        <w:t xml:space="preserve"> Available at: </w:t>
      </w:r>
      <w:hyperlink r:id="rId39">
        <w:r w:rsidDel="00000000" w:rsidR="00000000" w:rsidRPr="00000000">
          <w:rPr>
            <w:rFonts w:ascii="Arial" w:cs="Arial" w:eastAsia="Arial" w:hAnsi="Arial"/>
            <w:color w:val="0000ff"/>
            <w:sz w:val="22"/>
            <w:szCs w:val="22"/>
            <w:u w:val="single"/>
            <w:rtl w:val="0"/>
          </w:rPr>
          <w:t xml:space="preserve">https://doi.org/10.1111/scs.70217</w:t>
        </w:r>
      </w:hyperlink>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1B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Hayes, C., Manning, M., Fitzgerald, C., Condon, B., Griffin, A., O’Connor, M., Glynn, L., Robinson, K. and Galvin, R. (2024). Effectiveness of community</w:t>
      </w:r>
      <w:r w:rsidDel="00000000" w:rsidR="00000000" w:rsidRPr="00000000">
        <w:rPr>
          <w:rFonts w:ascii="Cambria Math" w:cs="Cambria Math" w:eastAsia="Cambria Math" w:hAnsi="Cambria Math"/>
          <w:sz w:val="22"/>
          <w:szCs w:val="22"/>
          <w:rtl w:val="0"/>
        </w:rPr>
        <w:t xml:space="preserve">‐</w:t>
      </w:r>
      <w:r w:rsidDel="00000000" w:rsidR="00000000" w:rsidRPr="00000000">
        <w:rPr>
          <w:rFonts w:ascii="Arial" w:cs="Arial" w:eastAsia="Arial" w:hAnsi="Arial"/>
          <w:sz w:val="22"/>
          <w:szCs w:val="22"/>
          <w:rtl w:val="0"/>
        </w:rPr>
        <w:t xml:space="preserve">based multidisciplinary integrated care for older adults with general practitioner involvement: a systematic review and meta</w:t>
      </w:r>
      <w:r w:rsidDel="00000000" w:rsidR="00000000" w:rsidRPr="00000000">
        <w:rPr>
          <w:rFonts w:ascii="Cambria Math" w:cs="Cambria Math" w:eastAsia="Cambria Math" w:hAnsi="Cambria Math"/>
          <w:sz w:val="22"/>
          <w:szCs w:val="22"/>
          <w:rtl w:val="0"/>
        </w:rPr>
        <w:t xml:space="preserve">‐</w:t>
      </w:r>
      <w:r w:rsidDel="00000000" w:rsidR="00000000" w:rsidRPr="00000000">
        <w:rPr>
          <w:rFonts w:ascii="Arial" w:cs="Arial" w:eastAsia="Arial" w:hAnsi="Arial"/>
          <w:sz w:val="22"/>
          <w:szCs w:val="22"/>
          <w:rtl w:val="0"/>
        </w:rPr>
        <w:t xml:space="preserve">analysis. </w:t>
      </w:r>
      <w:r w:rsidDel="00000000" w:rsidR="00000000" w:rsidRPr="00000000">
        <w:rPr>
          <w:rFonts w:ascii="Arial" w:cs="Arial" w:eastAsia="Arial" w:hAnsi="Arial"/>
          <w:i w:val="1"/>
          <w:iCs w:val="1"/>
          <w:sz w:val="22"/>
          <w:szCs w:val="22"/>
          <w:rtl w:val="0"/>
        </w:rPr>
        <w:t xml:space="preserve">Health &amp; Social Care in the Community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2024</w:t>
      </w:r>
      <w:r w:rsidDel="00000000" w:rsidR="00000000" w:rsidRPr="00000000">
        <w:rPr>
          <w:rFonts w:ascii="Arial" w:cs="Arial" w:eastAsia="Arial" w:hAnsi="Arial"/>
          <w:sz w:val="22"/>
          <w:szCs w:val="22"/>
          <w:rtl w:val="0"/>
        </w:rPr>
        <w:t xml:space="preserve">(1), p.6437930. </w:t>
      </w:r>
      <w:hyperlink r:id="rId40">
        <w:r w:rsidDel="00000000" w:rsidR="00000000" w:rsidRPr="00000000">
          <w:rPr>
            <w:rFonts w:ascii="Arial" w:cs="Arial" w:eastAsia="Arial" w:hAnsi="Arial"/>
            <w:color w:val="0000ff"/>
            <w:sz w:val="22"/>
            <w:szCs w:val="22"/>
            <w:u w:val="single"/>
            <w:rtl w:val="0"/>
          </w:rPr>
          <w:t xml:space="preserve">https://doi.org/10.1155/2024/6437930</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Hendry, A. and Law, R., 2024. Proactive care for frailty. </w:t>
      </w:r>
      <w:r w:rsidDel="00000000" w:rsidR="00000000" w:rsidRPr="00000000">
        <w:rPr>
          <w:rFonts w:ascii="Arial" w:cs="Arial" w:eastAsia="Arial" w:hAnsi="Arial"/>
          <w:i w:val="1"/>
          <w:iCs w:val="1"/>
          <w:sz w:val="22"/>
          <w:szCs w:val="22"/>
          <w:rtl w:val="0"/>
        </w:rPr>
        <w:t xml:space="preserve">British Journal of Hospital Medicine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85</w:t>
      </w:r>
      <w:r w:rsidDel="00000000" w:rsidR="00000000" w:rsidRPr="00000000">
        <w:rPr>
          <w:rFonts w:ascii="Arial" w:cs="Arial" w:eastAsia="Arial" w:hAnsi="Arial"/>
          <w:sz w:val="22"/>
          <w:szCs w:val="22"/>
          <w:rtl w:val="0"/>
        </w:rPr>
        <w:t xml:space="preserve">(5), pp.1-4.Available at: </w:t>
      </w:r>
      <w:hyperlink r:id="rId41">
        <w:r w:rsidDel="00000000" w:rsidR="00000000" w:rsidRPr="00000000">
          <w:rPr>
            <w:rFonts w:ascii="Arial" w:cs="Arial" w:eastAsia="Arial" w:hAnsi="Arial"/>
            <w:color w:val="0000ff"/>
            <w:sz w:val="22"/>
            <w:szCs w:val="22"/>
            <w:u w:val="single"/>
            <w:rtl w:val="0"/>
          </w:rPr>
          <w:t xml:space="preserve">https://doi.org/10.12968/hmed.2024.0018</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Hodgson, S., Simpson, G., Roderick, P., Everitt, H., Little, P., Santer, M. and Dambha-Miller, H. </w:t>
      </w:r>
      <w:r w:rsidDel="00000000" w:rsidR="00000000" w:rsidRPr="00000000">
        <w:rPr>
          <w:rFonts w:ascii="Arial" w:cs="Arial" w:eastAsia="Arial" w:hAnsi="Arial"/>
          <w:color w:val="000000"/>
          <w:sz w:val="22"/>
          <w:szCs w:val="22"/>
          <w:rtl w:val="0"/>
        </w:rPr>
        <w:t xml:space="preserve">(2021)</w:t>
      </w:r>
      <w:r w:rsidDel="00000000" w:rsidR="00000000" w:rsidRPr="00000000">
        <w:rPr>
          <w:rFonts w:ascii="Arial" w:cs="Arial" w:eastAsia="Arial" w:hAnsi="Arial"/>
          <w:sz w:val="22"/>
          <w:szCs w:val="22"/>
          <w:rtl w:val="0"/>
        </w:rPr>
        <w:t xml:space="preserve">. Integrating primary care and social services for older adults with multimorbidity: policy implications. </w:t>
      </w:r>
      <w:r w:rsidDel="00000000" w:rsidR="00000000" w:rsidRPr="00000000">
        <w:rPr>
          <w:rFonts w:ascii="Arial" w:cs="Arial" w:eastAsia="Arial" w:hAnsi="Arial"/>
          <w:i w:val="1"/>
          <w:iCs w:val="1"/>
          <w:sz w:val="22"/>
          <w:szCs w:val="22"/>
          <w:rtl w:val="0"/>
        </w:rPr>
        <w:t xml:space="preserve">BJGP open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5</w:t>
      </w:r>
      <w:r w:rsidDel="00000000" w:rsidR="00000000" w:rsidRPr="00000000">
        <w:rPr>
          <w:rFonts w:ascii="Arial" w:cs="Arial" w:eastAsia="Arial" w:hAnsi="Arial"/>
          <w:sz w:val="22"/>
          <w:szCs w:val="22"/>
          <w:rtl w:val="0"/>
        </w:rPr>
        <w:t xml:space="preserve">(4), pp.BJGPO-2021. </w:t>
      </w:r>
      <w:hyperlink r:id="rId42">
        <w:r w:rsidDel="00000000" w:rsidR="00000000" w:rsidRPr="00000000">
          <w:rPr>
            <w:rFonts w:ascii="Arial" w:cs="Arial" w:eastAsia="Arial" w:hAnsi="Arial"/>
            <w:color w:val="0000ff"/>
            <w:sz w:val="22"/>
            <w:szCs w:val="22"/>
            <w:u w:val="single"/>
            <w:rtl w:val="0"/>
          </w:rPr>
          <w:t xml:space="preserve">https://doi.org/10.3399/BJGPO.2021.0035</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Honinx, E., van Schyndel, C., Roos, A., Paulding, E., Wright, T., Galvin, K., Fotis, T., Huber, J., Laes, E. and Lambrechts, N., 2026. Towards caring technologies in older adult care through the co-creation of an ethical process guide. </w:t>
      </w:r>
      <w:r w:rsidDel="00000000" w:rsidR="00000000" w:rsidRPr="00000000">
        <w:rPr>
          <w:rFonts w:ascii="Arial" w:cs="Arial" w:eastAsia="Arial" w:hAnsi="Arial"/>
          <w:i w:val="1"/>
          <w:iCs w:val="1"/>
          <w:sz w:val="22"/>
          <w:szCs w:val="22"/>
          <w:rtl w:val="0"/>
        </w:rPr>
        <w:t xml:space="preserve">International Journal of Environmental Research and Public Health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23</w:t>
      </w:r>
      <w:r w:rsidDel="00000000" w:rsidR="00000000" w:rsidRPr="00000000">
        <w:rPr>
          <w:rFonts w:ascii="Arial" w:cs="Arial" w:eastAsia="Arial" w:hAnsi="Arial"/>
          <w:sz w:val="22"/>
          <w:szCs w:val="22"/>
          <w:rtl w:val="0"/>
        </w:rPr>
        <w:t xml:space="preserve">(2), p.238. Available at: </w:t>
      </w:r>
      <w:hyperlink r:id="rId43">
        <w:r w:rsidDel="00000000" w:rsidR="00000000" w:rsidRPr="00000000">
          <w:rPr>
            <w:rFonts w:ascii="Arial" w:cs="Arial" w:eastAsia="Arial" w:hAnsi="Arial"/>
            <w:color w:val="0000ff"/>
            <w:sz w:val="22"/>
            <w:szCs w:val="22"/>
            <w:u w:val="single"/>
            <w:rtl w:val="0"/>
          </w:rPr>
          <w:t xml:space="preserve">https://www.mdpi.com/1660-4601/23/2/238</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Huang, Y. and Agarwal, S.K., 2026. Natural language processing to enhance rheumatoid arthritis care in clinical studies: a scoping review of applications, data, approaches, challenges and future directions. </w:t>
      </w:r>
      <w:r w:rsidDel="00000000" w:rsidR="00000000" w:rsidRPr="00000000">
        <w:rPr>
          <w:rFonts w:ascii="Arial" w:cs="Arial" w:eastAsia="Arial" w:hAnsi="Arial"/>
          <w:i w:val="1"/>
          <w:iCs w:val="1"/>
          <w:sz w:val="22"/>
          <w:szCs w:val="22"/>
          <w:rtl w:val="0"/>
        </w:rPr>
        <w:t xml:space="preserve">Rheumatology International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46</w:t>
      </w:r>
      <w:r w:rsidDel="00000000" w:rsidR="00000000" w:rsidRPr="00000000">
        <w:rPr>
          <w:rFonts w:ascii="Arial" w:cs="Arial" w:eastAsia="Arial" w:hAnsi="Arial"/>
          <w:sz w:val="22"/>
          <w:szCs w:val="22"/>
          <w:rtl w:val="0"/>
        </w:rPr>
        <w:t xml:space="preserve">(7), p.164. Available at: </w:t>
      </w:r>
      <w:hyperlink r:id="rId44">
        <w:r w:rsidDel="00000000" w:rsidR="00000000" w:rsidRPr="00000000">
          <w:rPr>
            <w:rFonts w:ascii="Arial" w:cs="Arial" w:eastAsia="Arial" w:hAnsi="Arial"/>
            <w:color w:val="0000ff"/>
            <w:sz w:val="22"/>
            <w:szCs w:val="22"/>
            <w:u w:val="single"/>
            <w:rtl w:val="0"/>
          </w:rPr>
          <w:t xml:space="preserve">https://doi.org/10.1007/s00296-026-06195-0</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Indoria, D., 2026. Ethical Challenges in Accounting Practice in the Era of Performance-Based Reporting. </w:t>
      </w:r>
      <w:r w:rsidDel="00000000" w:rsidR="00000000" w:rsidRPr="00000000">
        <w:rPr>
          <w:rFonts w:ascii="Arial" w:cs="Arial" w:eastAsia="Arial" w:hAnsi="Arial"/>
          <w:i w:val="1"/>
          <w:iCs w:val="1"/>
          <w:sz w:val="22"/>
          <w:szCs w:val="22"/>
          <w:rtl w:val="0"/>
        </w:rPr>
        <w:t xml:space="preserve">Minnesota Journal of Business Law and Entrepreneurship</w:t>
      </w:r>
      <w:r w:rsidDel="00000000" w:rsidR="00000000" w:rsidRPr="00000000">
        <w:rPr>
          <w:rFonts w:ascii="Arial" w:cs="Arial" w:eastAsia="Arial" w:hAnsi="Arial"/>
          <w:sz w:val="22"/>
          <w:szCs w:val="22"/>
          <w:rtl w:val="0"/>
        </w:rPr>
        <w:t xml:space="preserve">, (1), pp.32-45. Available at: </w:t>
      </w:r>
      <w:hyperlink r:id="rId45">
        <w:r w:rsidDel="00000000" w:rsidR="00000000" w:rsidRPr="00000000">
          <w:rPr>
            <w:rFonts w:ascii="Arial" w:cs="Arial" w:eastAsia="Arial" w:hAnsi="Arial"/>
            <w:color w:val="0000ff"/>
            <w:sz w:val="22"/>
            <w:szCs w:val="22"/>
            <w:u w:val="single"/>
            <w:rtl w:val="0"/>
          </w:rPr>
          <w:t xml:space="preserve">https://kommerstad.org/journal/article/download/43/38</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B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Jia, R.M. and Stern, C., 2026. The inclusion or exclusion of studies based on critical appraisal results in JBI qualitative systematic reviews: An analysis of practices. </w:t>
      </w:r>
      <w:r w:rsidDel="00000000" w:rsidR="00000000" w:rsidRPr="00000000">
        <w:rPr>
          <w:rFonts w:ascii="Arial" w:cs="Arial" w:eastAsia="Arial" w:hAnsi="Arial"/>
          <w:i w:val="1"/>
          <w:iCs w:val="1"/>
          <w:sz w:val="22"/>
          <w:szCs w:val="22"/>
          <w:rtl w:val="0"/>
        </w:rPr>
        <w:t xml:space="preserve">Research Synthesis Methods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17</w:t>
      </w:r>
      <w:r w:rsidDel="00000000" w:rsidR="00000000" w:rsidRPr="00000000">
        <w:rPr>
          <w:rFonts w:ascii="Arial" w:cs="Arial" w:eastAsia="Arial" w:hAnsi="Arial"/>
          <w:sz w:val="22"/>
          <w:szCs w:val="22"/>
          <w:rtl w:val="0"/>
        </w:rPr>
        <w:t xml:space="preserve">(2), pp.277-292. Available at: 10.1017/rsm.2025.10042 </w:t>
      </w:r>
    </w:p>
    <w:p w:rsidR="00000000" w:rsidDel="00000000" w:rsidP="00000000" w:rsidRDefault="00000000" w:rsidRPr="00000000" w14:paraId="000001BE">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highlight w:val="white"/>
          <w:rtl w:val="0"/>
        </w:rPr>
        <w:t xml:space="preserve">Jindal, S., Hamiduzzaman, M., Gaffney, H., Siddiquee, N. and McLaren, H. (2025). Achieving family-integrated care for older patients with major neurodegenerative and mental health conditions: a systematic review of intervention characteristics and outcomes. </w:t>
      </w:r>
      <w:r w:rsidDel="00000000" w:rsidR="00000000" w:rsidRPr="00000000">
        <w:rPr>
          <w:rFonts w:ascii="Arial" w:cs="Arial" w:eastAsia="Arial" w:hAnsi="Arial"/>
          <w:i w:val="1"/>
          <w:iCs w:val="1"/>
          <w:color w:val="000000"/>
          <w:sz w:val="22"/>
          <w:szCs w:val="22"/>
          <w:highlight w:val="white"/>
          <w:rtl w:val="0"/>
        </w:rPr>
        <w:t xml:space="preserve">International Journal of Environmental Research and Public Health</w:t>
      </w:r>
      <w:r w:rsidDel="00000000" w:rsidR="00000000" w:rsidRPr="00000000">
        <w:rPr>
          <w:rFonts w:ascii="Arial" w:cs="Arial" w:eastAsia="Arial" w:hAnsi="Arial"/>
          <w:color w:val="000000"/>
          <w:sz w:val="22"/>
          <w:szCs w:val="22"/>
          <w:highlight w:val="white"/>
          <w:rtl w:val="0"/>
        </w:rPr>
        <w:t xml:space="preserve">, </w:t>
      </w:r>
      <w:r w:rsidDel="00000000" w:rsidR="00000000" w:rsidRPr="00000000">
        <w:rPr>
          <w:rFonts w:ascii="Arial" w:cs="Arial" w:eastAsia="Arial" w:hAnsi="Arial"/>
          <w:i w:val="1"/>
          <w:iCs w:val="1"/>
          <w:color w:val="000000"/>
          <w:sz w:val="22"/>
          <w:szCs w:val="22"/>
          <w:highlight w:val="white"/>
          <w:rtl w:val="0"/>
        </w:rPr>
        <w:t xml:space="preserve">22</w:t>
      </w:r>
      <w:r w:rsidDel="00000000" w:rsidR="00000000" w:rsidRPr="00000000">
        <w:rPr>
          <w:rFonts w:ascii="Arial" w:cs="Arial" w:eastAsia="Arial" w:hAnsi="Arial"/>
          <w:color w:val="000000"/>
          <w:sz w:val="22"/>
          <w:szCs w:val="22"/>
          <w:highlight w:val="white"/>
          <w:rtl w:val="0"/>
        </w:rPr>
        <w:t xml:space="preserve">(7), p.1096.</w:t>
      </w:r>
      <w:r w:rsidDel="00000000" w:rsidR="00000000" w:rsidRPr="00000000">
        <w:rPr>
          <w:rFonts w:ascii="Arial" w:cs="Arial" w:eastAsia="Arial" w:hAnsi="Arial"/>
          <w:color w:val="000000"/>
          <w:sz w:val="22"/>
          <w:szCs w:val="22"/>
          <w:rtl w:val="0"/>
        </w:rPr>
        <w:t xml:space="preserve"> Available at: </w:t>
      </w:r>
      <w:hyperlink r:id="rId46">
        <w:r w:rsidDel="00000000" w:rsidR="00000000" w:rsidRPr="00000000">
          <w:rPr>
            <w:rFonts w:ascii="Arial" w:cs="Arial" w:eastAsia="Arial" w:hAnsi="Arial"/>
            <w:color w:val="0000ff"/>
            <w:sz w:val="22"/>
            <w:szCs w:val="22"/>
            <w:u w:val="single"/>
            <w:rtl w:val="0"/>
          </w:rPr>
          <w:t xml:space="preserve">https://doi.org/10.3390/ijerph22071096</w:t>
        </w:r>
      </w:hyperlink>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1B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Karacsony, S., Merl, H., O’brien, J., Maxwell, H., Andrews, S., Greenwood, M., Rouhi, M., McCann, D. and Stirling, C., 2022. What are the clinical and social outcomes of integrated care for older people? A qualitative systematic review. </w:t>
      </w:r>
      <w:r w:rsidDel="00000000" w:rsidR="00000000" w:rsidRPr="00000000">
        <w:rPr>
          <w:rFonts w:ascii="Arial" w:cs="Arial" w:eastAsia="Arial" w:hAnsi="Arial"/>
          <w:i w:val="1"/>
          <w:iCs w:val="1"/>
          <w:sz w:val="22"/>
          <w:szCs w:val="22"/>
          <w:rtl w:val="0"/>
        </w:rPr>
        <w:t xml:space="preserve">International Journal of Integrated Care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22</w:t>
      </w:r>
      <w:r w:rsidDel="00000000" w:rsidR="00000000" w:rsidRPr="00000000">
        <w:rPr>
          <w:rFonts w:ascii="Arial" w:cs="Arial" w:eastAsia="Arial" w:hAnsi="Arial"/>
          <w:sz w:val="22"/>
          <w:szCs w:val="22"/>
          <w:rtl w:val="0"/>
        </w:rPr>
        <w:t xml:space="preserve">(3), pp.14-14. Available at: </w:t>
      </w:r>
      <w:hyperlink r:id="rId47">
        <w:r w:rsidDel="00000000" w:rsidR="00000000" w:rsidRPr="00000000">
          <w:rPr>
            <w:rFonts w:ascii="Arial" w:cs="Arial" w:eastAsia="Arial" w:hAnsi="Arial"/>
            <w:color w:val="0000ff"/>
            <w:sz w:val="22"/>
            <w:szCs w:val="22"/>
            <w:u w:val="single"/>
            <w:rtl w:val="0"/>
          </w:rPr>
          <w:t xml:space="preserve">https://doi.org/10.5334/ijic.6469</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Khalil, H., Johns-Hayden, A. and Kynoch, K., 2026. Guidance to including grey literature in systematic reviews: recommendations from an epidemiological study. </w:t>
      </w:r>
      <w:r w:rsidDel="00000000" w:rsidR="00000000" w:rsidRPr="00000000">
        <w:rPr>
          <w:rFonts w:ascii="Arial" w:cs="Arial" w:eastAsia="Arial" w:hAnsi="Arial"/>
          <w:i w:val="1"/>
          <w:iCs w:val="1"/>
          <w:sz w:val="22"/>
          <w:szCs w:val="22"/>
          <w:rtl w:val="0"/>
        </w:rPr>
        <w:t xml:space="preserve">Journal of Clinical Epidemiology</w:t>
      </w:r>
      <w:r w:rsidDel="00000000" w:rsidR="00000000" w:rsidRPr="00000000">
        <w:rPr>
          <w:rFonts w:ascii="Arial" w:cs="Arial" w:eastAsia="Arial" w:hAnsi="Arial"/>
          <w:sz w:val="22"/>
          <w:szCs w:val="22"/>
          <w:rtl w:val="0"/>
        </w:rPr>
        <w:t xml:space="preserve">, p.112222. Available at: </w:t>
      </w:r>
      <w:hyperlink r:id="rId48">
        <w:r w:rsidDel="00000000" w:rsidR="00000000" w:rsidRPr="00000000">
          <w:rPr>
            <w:rFonts w:ascii="Arial" w:cs="Arial" w:eastAsia="Arial" w:hAnsi="Arial"/>
            <w:color w:val="0000ff"/>
            <w:sz w:val="22"/>
            <w:szCs w:val="22"/>
            <w:u w:val="single"/>
            <w:rtl w:val="0"/>
          </w:rPr>
          <w:t xml:space="preserve">https://www.sciencedirect.com/science/article/pii/S0895435626000971/pdf?md5=00759bc060d7fa2af8b5bfc93f9f7e83&amp;pid=1-s2.0-S0895435626000971-main.pdf</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Khan, N., Randhawa, G. and Hewson, D. (2023). Integrated care for older people with different frailty levels: a qualitative study of local implementation of a national policy in Luton, England. </w:t>
      </w:r>
      <w:r w:rsidDel="00000000" w:rsidR="00000000" w:rsidRPr="00000000">
        <w:rPr>
          <w:rFonts w:ascii="Arial" w:cs="Arial" w:eastAsia="Arial" w:hAnsi="Arial"/>
          <w:i w:val="1"/>
          <w:iCs w:val="1"/>
          <w:sz w:val="22"/>
          <w:szCs w:val="22"/>
          <w:rtl w:val="0"/>
        </w:rPr>
        <w:t xml:space="preserve">International Journal of Integrated Care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23</w:t>
      </w:r>
      <w:r w:rsidDel="00000000" w:rsidR="00000000" w:rsidRPr="00000000">
        <w:rPr>
          <w:rFonts w:ascii="Arial" w:cs="Arial" w:eastAsia="Arial" w:hAnsi="Arial"/>
          <w:sz w:val="22"/>
          <w:szCs w:val="22"/>
          <w:rtl w:val="0"/>
        </w:rPr>
        <w:t xml:space="preserve">(1), pp.15-15. </w:t>
      </w:r>
      <w:hyperlink r:id="rId49">
        <w:r w:rsidDel="00000000" w:rsidR="00000000" w:rsidRPr="00000000">
          <w:rPr>
            <w:rFonts w:ascii="Arial" w:cs="Arial" w:eastAsia="Arial" w:hAnsi="Arial"/>
            <w:color w:val="0000ff"/>
            <w:sz w:val="22"/>
            <w:szCs w:val="22"/>
            <w:u w:val="single"/>
            <w:rtl w:val="0"/>
          </w:rPr>
          <w:t xml:space="preserve">https://doi.org/10.5334/ijic.6537</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Lee, B.C., Bendixsen, C., Liebman, A.K. and Gallagher, S.S. (2017). Using the socio-ecological model to frame agricultural safety and health interventions. </w:t>
      </w:r>
      <w:r w:rsidDel="00000000" w:rsidR="00000000" w:rsidRPr="00000000">
        <w:rPr>
          <w:rFonts w:ascii="Arial" w:cs="Arial" w:eastAsia="Arial" w:hAnsi="Arial"/>
          <w:i w:val="1"/>
          <w:iCs w:val="1"/>
          <w:sz w:val="22"/>
          <w:szCs w:val="22"/>
          <w:rtl w:val="0"/>
        </w:rPr>
        <w:t xml:space="preserve">Journal of agromedicine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22</w:t>
      </w:r>
      <w:r w:rsidDel="00000000" w:rsidR="00000000" w:rsidRPr="00000000">
        <w:rPr>
          <w:rFonts w:ascii="Arial" w:cs="Arial" w:eastAsia="Arial" w:hAnsi="Arial"/>
          <w:sz w:val="22"/>
          <w:szCs w:val="22"/>
          <w:rtl w:val="0"/>
        </w:rPr>
        <w:t xml:space="preserve">(4), pp.298-303. </w:t>
      </w:r>
      <w:hyperlink r:id="rId50">
        <w:r w:rsidDel="00000000" w:rsidR="00000000" w:rsidRPr="00000000">
          <w:rPr>
            <w:rFonts w:ascii="Arial" w:cs="Arial" w:eastAsia="Arial" w:hAnsi="Arial"/>
            <w:color w:val="0000ff"/>
            <w:sz w:val="22"/>
            <w:szCs w:val="22"/>
            <w:u w:val="single"/>
            <w:rtl w:val="0"/>
          </w:rPr>
          <w:t xml:space="preserve">https://doi.org/10.1080/1059924X.2017.1356780</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Lee, S.Y., Hong, J.S., Lee, S.H. and Gupta, R., 2026. Compliance of systematic reviews and meta-analyses in ophthalmology with the PRISMA statement: an AI-based assessment and longitudinal comparison with 2017 data. </w:t>
      </w:r>
      <w:r w:rsidDel="00000000" w:rsidR="00000000" w:rsidRPr="00000000">
        <w:rPr>
          <w:rFonts w:ascii="Arial" w:cs="Arial" w:eastAsia="Arial" w:hAnsi="Arial"/>
          <w:i w:val="1"/>
          <w:iCs w:val="1"/>
          <w:sz w:val="22"/>
          <w:szCs w:val="22"/>
          <w:rtl w:val="0"/>
        </w:rPr>
        <w:t xml:space="preserve">BMC Medical Research Methodology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26</w:t>
      </w:r>
      <w:r w:rsidDel="00000000" w:rsidR="00000000" w:rsidRPr="00000000">
        <w:rPr>
          <w:rFonts w:ascii="Arial" w:cs="Arial" w:eastAsia="Arial" w:hAnsi="Arial"/>
          <w:sz w:val="22"/>
          <w:szCs w:val="22"/>
          <w:rtl w:val="0"/>
        </w:rPr>
        <w:t xml:space="preserve">(1), p.92. Available at: </w:t>
      </w:r>
      <w:hyperlink r:id="rId51">
        <w:r w:rsidDel="00000000" w:rsidR="00000000" w:rsidRPr="00000000">
          <w:rPr>
            <w:rFonts w:ascii="Arial" w:cs="Arial" w:eastAsia="Arial" w:hAnsi="Arial"/>
            <w:color w:val="0000ff"/>
            <w:sz w:val="22"/>
            <w:szCs w:val="22"/>
            <w:u w:val="single"/>
            <w:rtl w:val="0"/>
          </w:rPr>
          <w:t xml:space="preserve">https://scholar.google.com/scholar?output=instlink&amp;q=info:Lm_g1u6EQ5sJ:scholar.google.com/&amp;hl=en&amp;as_sdt=0,5&amp;as_ylo=2026&amp;scillfp=11073554956731789623&amp;oi=lle</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Leithaus, M., Beaulen, A., De Vries, E., Goderis, G., Flamaing, J., Verbeek, H. and Deschodt, M. (2022). Integrated care components in transitional care models from hospital to home for frail older adults: a systematic review. </w:t>
      </w:r>
      <w:r w:rsidDel="00000000" w:rsidR="00000000" w:rsidRPr="00000000">
        <w:rPr>
          <w:rFonts w:ascii="Arial" w:cs="Arial" w:eastAsia="Arial" w:hAnsi="Arial"/>
          <w:i w:val="1"/>
          <w:iCs w:val="1"/>
          <w:sz w:val="22"/>
          <w:szCs w:val="22"/>
          <w:rtl w:val="0"/>
        </w:rPr>
        <w:t xml:space="preserve">International journal of integrated care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22</w:t>
      </w:r>
      <w:r w:rsidDel="00000000" w:rsidR="00000000" w:rsidRPr="00000000">
        <w:rPr>
          <w:rFonts w:ascii="Arial" w:cs="Arial" w:eastAsia="Arial" w:hAnsi="Arial"/>
          <w:sz w:val="22"/>
          <w:szCs w:val="22"/>
          <w:rtl w:val="0"/>
        </w:rPr>
        <w:t xml:space="preserve">, pp.28-28. </w:t>
      </w:r>
      <w:hyperlink r:id="rId52">
        <w:r w:rsidDel="00000000" w:rsidR="00000000" w:rsidRPr="00000000">
          <w:rPr>
            <w:rFonts w:ascii="Arial" w:cs="Arial" w:eastAsia="Arial" w:hAnsi="Arial"/>
            <w:color w:val="0000ff"/>
            <w:sz w:val="22"/>
            <w:szCs w:val="22"/>
            <w:u w:val="single"/>
            <w:rtl w:val="0"/>
          </w:rPr>
          <w:t xml:space="preserve">https://doi.org/10.5334/ijic.6447</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Long, H.A., Bower, P., Rafiq, S. and Cullum, N. (2026). What factors influence service integration and delivery by integrated neighbourhood teams operating across local health, care, and voluntary sector organisations? A rapid synthesis of qualitative evidence from the UK. </w:t>
      </w:r>
      <w:r w:rsidDel="00000000" w:rsidR="00000000" w:rsidRPr="00000000">
        <w:rPr>
          <w:rFonts w:ascii="Arial" w:cs="Arial" w:eastAsia="Arial" w:hAnsi="Arial"/>
          <w:i w:val="1"/>
          <w:iCs w:val="1"/>
          <w:sz w:val="22"/>
          <w:szCs w:val="22"/>
          <w:rtl w:val="0"/>
        </w:rPr>
        <w:t xml:space="preserve">Journal of Health Services Research &amp; Policy</w:t>
      </w:r>
      <w:r w:rsidDel="00000000" w:rsidR="00000000" w:rsidRPr="00000000">
        <w:rPr>
          <w:rFonts w:ascii="Arial" w:cs="Arial" w:eastAsia="Arial" w:hAnsi="Arial"/>
          <w:sz w:val="22"/>
          <w:szCs w:val="22"/>
          <w:rtl w:val="0"/>
        </w:rPr>
        <w:t xml:space="preserve">, p.13558196261437005.  Available at: </w:t>
      </w:r>
      <w:hyperlink r:id="rId53">
        <w:r w:rsidDel="00000000" w:rsidR="00000000" w:rsidRPr="00000000">
          <w:rPr>
            <w:rFonts w:ascii="Arial" w:cs="Arial" w:eastAsia="Arial" w:hAnsi="Arial"/>
            <w:color w:val="0000ff"/>
            <w:sz w:val="22"/>
            <w:szCs w:val="22"/>
            <w:u w:val="single"/>
            <w:rtl w:val="0"/>
          </w:rPr>
          <w:t xml:space="preserve">https://doi.org/10.1177/13558196261437005</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Lorber, M., Mlinar Reljić, N., McCormack, B., and Kmetec, S. (2025). Person-Centred Care in Association with Psychological Well-Being of Older Adults. </w:t>
      </w:r>
      <w:r w:rsidDel="00000000" w:rsidR="00000000" w:rsidRPr="00000000">
        <w:rPr>
          <w:rFonts w:ascii="Arial" w:cs="Arial" w:eastAsia="Arial" w:hAnsi="Arial"/>
          <w:i w:val="1"/>
          <w:iCs w:val="1"/>
          <w:sz w:val="22"/>
          <w:szCs w:val="22"/>
          <w:rtl w:val="0"/>
        </w:rPr>
        <w:t xml:space="preserve">Healthcare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13</w:t>
      </w:r>
      <w:r w:rsidDel="00000000" w:rsidR="00000000" w:rsidRPr="00000000">
        <w:rPr>
          <w:rFonts w:ascii="Arial" w:cs="Arial" w:eastAsia="Arial" w:hAnsi="Arial"/>
          <w:sz w:val="22"/>
          <w:szCs w:val="22"/>
          <w:rtl w:val="0"/>
        </w:rPr>
        <w:t xml:space="preserve">(12), p.1379. </w:t>
      </w:r>
      <w:hyperlink r:id="rId54">
        <w:r w:rsidDel="00000000" w:rsidR="00000000" w:rsidRPr="00000000">
          <w:rPr>
            <w:rFonts w:ascii="Arial" w:cs="Arial" w:eastAsia="Arial" w:hAnsi="Arial"/>
            <w:color w:val="0000ff"/>
            <w:sz w:val="22"/>
            <w:szCs w:val="22"/>
            <w:u w:val="single"/>
            <w:rtl w:val="0"/>
          </w:rPr>
          <w:t xml:space="preserve">https://doi.org/10.3390/healthcare13121379</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7">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highlight w:val="white"/>
          <w:rtl w:val="0"/>
        </w:rPr>
        <w:t xml:space="preserve">Matos, R.C.D., Nascimento, G.D., Campos Fernandes, A. and Matos, C. (2025). Health and social care integration: insights from international implementation cases. </w:t>
      </w:r>
      <w:r w:rsidDel="00000000" w:rsidR="00000000" w:rsidRPr="00000000">
        <w:rPr>
          <w:rFonts w:ascii="Arial" w:cs="Arial" w:eastAsia="Arial" w:hAnsi="Arial"/>
          <w:i w:val="1"/>
          <w:iCs w:val="1"/>
          <w:color w:val="000000"/>
          <w:sz w:val="22"/>
          <w:szCs w:val="22"/>
          <w:highlight w:val="white"/>
          <w:rtl w:val="0"/>
        </w:rPr>
        <w:t xml:space="preserve">Journal of Market Access &amp; Health Policy</w:t>
      </w:r>
      <w:r w:rsidDel="00000000" w:rsidR="00000000" w:rsidRPr="00000000">
        <w:rPr>
          <w:rFonts w:ascii="Arial" w:cs="Arial" w:eastAsia="Arial" w:hAnsi="Arial"/>
          <w:color w:val="000000"/>
          <w:sz w:val="22"/>
          <w:szCs w:val="22"/>
          <w:highlight w:val="white"/>
          <w:rtl w:val="0"/>
        </w:rPr>
        <w:t xml:space="preserve">, </w:t>
      </w:r>
      <w:r w:rsidDel="00000000" w:rsidR="00000000" w:rsidRPr="00000000">
        <w:rPr>
          <w:rFonts w:ascii="Arial" w:cs="Arial" w:eastAsia="Arial" w:hAnsi="Arial"/>
          <w:i w:val="1"/>
          <w:iCs w:val="1"/>
          <w:color w:val="000000"/>
          <w:sz w:val="22"/>
          <w:szCs w:val="22"/>
          <w:highlight w:val="white"/>
          <w:rtl w:val="0"/>
        </w:rPr>
        <w:t xml:space="preserve">13</w:t>
      </w:r>
      <w:r w:rsidDel="00000000" w:rsidR="00000000" w:rsidRPr="00000000">
        <w:rPr>
          <w:rFonts w:ascii="Arial" w:cs="Arial" w:eastAsia="Arial" w:hAnsi="Arial"/>
          <w:color w:val="000000"/>
          <w:sz w:val="22"/>
          <w:szCs w:val="22"/>
          <w:highlight w:val="white"/>
          <w:rtl w:val="0"/>
        </w:rPr>
        <w:t xml:space="preserve">(2), p.28.</w:t>
      </w:r>
      <w:r w:rsidDel="00000000" w:rsidR="00000000" w:rsidRPr="00000000">
        <w:rPr>
          <w:rFonts w:ascii="Arial" w:cs="Arial" w:eastAsia="Arial" w:hAnsi="Arial"/>
          <w:color w:val="000000"/>
          <w:sz w:val="22"/>
          <w:szCs w:val="22"/>
          <w:rtl w:val="0"/>
        </w:rPr>
        <w:t xml:space="preserve"> Available at:</w:t>
      </w:r>
      <w:r w:rsidDel="00000000" w:rsidR="00000000" w:rsidRPr="00000000">
        <w:rPr>
          <w:rFonts w:ascii="Arial" w:cs="Arial" w:eastAsia="Arial" w:hAnsi="Arial"/>
          <w:sz w:val="22"/>
          <w:szCs w:val="22"/>
          <w:rtl w:val="0"/>
        </w:rPr>
        <w:t xml:space="preserve"> </w:t>
      </w:r>
      <w:hyperlink r:id="rId55">
        <w:r w:rsidDel="00000000" w:rsidR="00000000" w:rsidRPr="00000000">
          <w:rPr>
            <w:rFonts w:ascii="Arial" w:cs="Arial" w:eastAsia="Arial" w:hAnsi="Arial"/>
            <w:color w:val="0000ff"/>
            <w:sz w:val="22"/>
            <w:szCs w:val="22"/>
            <w:u w:val="single"/>
            <w:rtl w:val="0"/>
          </w:rPr>
          <w:t xml:space="preserve">https://doi.org/10.3390/jmahp13020028</w:t>
        </w:r>
      </w:hyperlink>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1C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McGill, A., Salehi, V., McCloskey, R., Smith, D. and Veitch, B., 2024. Mapping the way: functional modelling for community-based integrated care for older people. </w:t>
      </w:r>
      <w:r w:rsidDel="00000000" w:rsidR="00000000" w:rsidRPr="00000000">
        <w:rPr>
          <w:rFonts w:ascii="Arial" w:cs="Arial" w:eastAsia="Arial" w:hAnsi="Arial"/>
          <w:i w:val="1"/>
          <w:iCs w:val="1"/>
          <w:sz w:val="22"/>
          <w:szCs w:val="22"/>
          <w:rtl w:val="0"/>
        </w:rPr>
        <w:t xml:space="preserve">Health Research Policy and Systems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22</w:t>
      </w:r>
      <w:r w:rsidDel="00000000" w:rsidR="00000000" w:rsidRPr="00000000">
        <w:rPr>
          <w:rFonts w:ascii="Arial" w:cs="Arial" w:eastAsia="Arial" w:hAnsi="Arial"/>
          <w:sz w:val="22"/>
          <w:szCs w:val="22"/>
          <w:rtl w:val="0"/>
        </w:rPr>
        <w:t xml:space="preserve">(1), p.103. Available at: </w:t>
      </w:r>
      <w:hyperlink r:id="rId56">
        <w:r w:rsidDel="00000000" w:rsidR="00000000" w:rsidRPr="00000000">
          <w:rPr>
            <w:rFonts w:ascii="Arial" w:cs="Arial" w:eastAsia="Arial" w:hAnsi="Arial"/>
            <w:color w:val="0000ff"/>
            <w:sz w:val="22"/>
            <w:szCs w:val="22"/>
            <w:u w:val="single"/>
            <w:rtl w:val="0"/>
          </w:rPr>
          <w:t xml:space="preserve">https://doi.org/10.1186/s12961-024-01196-6</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Money, A., Hall, A., Harris, D., Eost-Telling, C., McDermott, J. and Todd, C., 2024. Barriers to and facilitators of older people’s engagement with web-based services: qualitative study of adults aged 75 years. </w:t>
      </w:r>
      <w:r w:rsidDel="00000000" w:rsidR="00000000" w:rsidRPr="00000000">
        <w:rPr>
          <w:rFonts w:ascii="Arial" w:cs="Arial" w:eastAsia="Arial" w:hAnsi="Arial"/>
          <w:i w:val="1"/>
          <w:iCs w:val="1"/>
          <w:sz w:val="22"/>
          <w:szCs w:val="22"/>
          <w:rtl w:val="0"/>
        </w:rPr>
        <w:t xml:space="preserve">JMIR Aging</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7</w:t>
      </w:r>
      <w:r w:rsidDel="00000000" w:rsidR="00000000" w:rsidRPr="00000000">
        <w:rPr>
          <w:rFonts w:ascii="Arial" w:cs="Arial" w:eastAsia="Arial" w:hAnsi="Arial"/>
          <w:sz w:val="22"/>
          <w:szCs w:val="22"/>
          <w:rtl w:val="0"/>
        </w:rPr>
        <w:t xml:space="preserve">, p.e46522. Available at: </w:t>
      </w:r>
      <w:hyperlink r:id="rId57">
        <w:r w:rsidDel="00000000" w:rsidR="00000000" w:rsidRPr="00000000">
          <w:rPr>
            <w:rFonts w:ascii="Arial" w:cs="Arial" w:eastAsia="Arial" w:hAnsi="Arial"/>
            <w:color w:val="0000ff"/>
            <w:sz w:val="22"/>
            <w:szCs w:val="22"/>
            <w:u w:val="single"/>
            <w:rtl w:val="0"/>
          </w:rPr>
          <w:t xml:space="preserve">https://doi.org/10.2196/46522</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Morciano, M., Checkland, K., Durand, M.A., Sutton, M. and Mays, N. (2021). Comparison of the impact of two national health and social care integration programmes on emergency hospital admissions. </w:t>
      </w:r>
      <w:r w:rsidDel="00000000" w:rsidR="00000000" w:rsidRPr="00000000">
        <w:rPr>
          <w:rFonts w:ascii="Arial" w:cs="Arial" w:eastAsia="Arial" w:hAnsi="Arial"/>
          <w:i w:val="1"/>
          <w:iCs w:val="1"/>
          <w:sz w:val="22"/>
          <w:szCs w:val="22"/>
          <w:rtl w:val="0"/>
        </w:rPr>
        <w:t xml:space="preserve">BMC health services research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21</w:t>
      </w:r>
      <w:r w:rsidDel="00000000" w:rsidR="00000000" w:rsidRPr="00000000">
        <w:rPr>
          <w:rFonts w:ascii="Arial" w:cs="Arial" w:eastAsia="Arial" w:hAnsi="Arial"/>
          <w:sz w:val="22"/>
          <w:szCs w:val="22"/>
          <w:rtl w:val="0"/>
        </w:rPr>
        <w:t xml:space="preserve">(1), p.687. </w:t>
      </w:r>
      <w:hyperlink r:id="rId58">
        <w:r w:rsidDel="00000000" w:rsidR="00000000" w:rsidRPr="00000000">
          <w:rPr>
            <w:rFonts w:ascii="Arial" w:cs="Arial" w:eastAsia="Arial" w:hAnsi="Arial"/>
            <w:color w:val="0000ff"/>
            <w:sz w:val="22"/>
            <w:szCs w:val="22"/>
            <w:u w:val="single"/>
            <w:rtl w:val="0"/>
          </w:rPr>
          <w:t xml:space="preserve">https://doi.org/10.1186/s12913-021-06692-x</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Murphy, S., McCance, T. and White, P.J., 2025. How do older people experience person-centred integrated care? An integrative review of the evidence. </w:t>
      </w:r>
      <w:r w:rsidDel="00000000" w:rsidR="00000000" w:rsidRPr="00000000">
        <w:rPr>
          <w:rFonts w:ascii="Arial" w:cs="Arial" w:eastAsia="Arial" w:hAnsi="Arial"/>
          <w:i w:val="1"/>
          <w:iCs w:val="1"/>
          <w:sz w:val="22"/>
          <w:szCs w:val="22"/>
          <w:rtl w:val="0"/>
        </w:rPr>
        <w:t xml:space="preserve">International Journal of Integrated Care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25</w:t>
      </w:r>
      <w:r w:rsidDel="00000000" w:rsidR="00000000" w:rsidRPr="00000000">
        <w:rPr>
          <w:rFonts w:ascii="Arial" w:cs="Arial" w:eastAsia="Arial" w:hAnsi="Arial"/>
          <w:sz w:val="22"/>
          <w:szCs w:val="22"/>
          <w:rtl w:val="0"/>
        </w:rPr>
        <w:t xml:space="preserve">(4), pp.21-21. Available at: </w:t>
      </w:r>
      <w:hyperlink r:id="rId59">
        <w:r w:rsidDel="00000000" w:rsidR="00000000" w:rsidRPr="00000000">
          <w:rPr>
            <w:rFonts w:ascii="Arial" w:cs="Arial" w:eastAsia="Arial" w:hAnsi="Arial"/>
            <w:color w:val="0000ff"/>
            <w:sz w:val="22"/>
            <w:szCs w:val="22"/>
            <w:u w:val="single"/>
            <w:rtl w:val="0"/>
          </w:rPr>
          <w:t xml:space="preserve">https://doi.org/10.5334/ijic.9066</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Murtagh, F.E., Okoeki, M., Ukoha-Kalu, B.O., Khamis, A., Clark, J., Boland, J.W., Pask, S., Nwulu, U., Elliott-Button, H., Folwell, A. and Harman, D. (2023). A non-randomised controlled study to assess the effectiveness of a new proactive multidisciplinary care intervention for older people living with frailty. </w:t>
      </w:r>
      <w:r w:rsidDel="00000000" w:rsidR="00000000" w:rsidRPr="00000000">
        <w:rPr>
          <w:rFonts w:ascii="Arial" w:cs="Arial" w:eastAsia="Arial" w:hAnsi="Arial"/>
          <w:i w:val="1"/>
          <w:iCs w:val="1"/>
          <w:sz w:val="22"/>
          <w:szCs w:val="22"/>
          <w:rtl w:val="0"/>
        </w:rPr>
        <w:t xml:space="preserve">BMC geriatrics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23</w:t>
      </w:r>
      <w:r w:rsidDel="00000000" w:rsidR="00000000" w:rsidRPr="00000000">
        <w:rPr>
          <w:rFonts w:ascii="Arial" w:cs="Arial" w:eastAsia="Arial" w:hAnsi="Arial"/>
          <w:sz w:val="22"/>
          <w:szCs w:val="22"/>
          <w:rtl w:val="0"/>
        </w:rPr>
        <w:t xml:space="preserve">(1), p.6. </w:t>
      </w:r>
      <w:hyperlink r:id="rId60">
        <w:r w:rsidDel="00000000" w:rsidR="00000000" w:rsidRPr="00000000">
          <w:rPr>
            <w:rFonts w:ascii="Arial" w:cs="Arial" w:eastAsia="Arial" w:hAnsi="Arial"/>
            <w:color w:val="0000ff"/>
            <w:sz w:val="22"/>
            <w:szCs w:val="22"/>
            <w:u w:val="single"/>
            <w:rtl w:val="0"/>
          </w:rPr>
          <w:t xml:space="preserve">https://doi.org/10.1186/s12877-023-03727-2</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Confederation (2022). </w:t>
      </w:r>
      <w:r w:rsidDel="00000000" w:rsidR="00000000" w:rsidRPr="00000000">
        <w:rPr>
          <w:rFonts w:ascii="Arial" w:cs="Arial" w:eastAsia="Arial" w:hAnsi="Arial"/>
          <w:i w:val="1"/>
          <w:iCs w:val="1"/>
          <w:sz w:val="22"/>
          <w:szCs w:val="22"/>
          <w:rtl w:val="0"/>
        </w:rPr>
        <w:t xml:space="preserve">The state of integrated care systems 2021/22</w:t>
      </w:r>
      <w:r w:rsidDel="00000000" w:rsidR="00000000" w:rsidRPr="00000000">
        <w:rPr>
          <w:rFonts w:ascii="Arial" w:cs="Arial" w:eastAsia="Arial" w:hAnsi="Arial"/>
          <w:sz w:val="22"/>
          <w:szCs w:val="22"/>
          <w:rtl w:val="0"/>
        </w:rPr>
        <w:t xml:space="preserve">. [Online] Available at: </w:t>
      </w:r>
      <w:hyperlink r:id="rId61">
        <w:r w:rsidDel="00000000" w:rsidR="00000000" w:rsidRPr="00000000">
          <w:rPr>
            <w:rFonts w:ascii="Arial" w:cs="Arial" w:eastAsia="Arial" w:hAnsi="Arial"/>
            <w:color w:val="0000ff"/>
            <w:sz w:val="22"/>
            <w:szCs w:val="22"/>
            <w:u w:val="single"/>
            <w:rtl w:val="0"/>
          </w:rPr>
          <w:t xml:space="preserve">https://www.unionsafety.eu/ELibrary/media/elibrarymedia/NHSConfederationReportStateOfIntegratedCareSystems2022.pdf</w:t>
        </w:r>
      </w:hyperlink>
      <w:r w:rsidDel="00000000" w:rsidR="00000000" w:rsidRPr="00000000">
        <w:rPr>
          <w:rFonts w:ascii="Arial" w:cs="Arial" w:eastAsia="Arial" w:hAnsi="Arial"/>
          <w:sz w:val="22"/>
          <w:szCs w:val="22"/>
          <w:rtl w:val="0"/>
        </w:rPr>
        <w:t xml:space="preserve"> (Accessed: 12 August 2026).</w:t>
      </w:r>
    </w:p>
    <w:p w:rsidR="00000000" w:rsidDel="00000000" w:rsidP="00000000" w:rsidRDefault="00000000" w:rsidRPr="00000000" w14:paraId="000001CE">
      <w:pPr>
        <w:rPr>
          <w:rFonts w:ascii="Arial" w:cs="Arial" w:eastAsia="Arial" w:hAnsi="Arial"/>
          <w:color w:val="00b0f0"/>
          <w:sz w:val="22"/>
          <w:szCs w:val="22"/>
        </w:rPr>
      </w:pPr>
      <w:r w:rsidDel="00000000" w:rsidR="00000000" w:rsidRPr="00000000">
        <w:rPr>
          <w:rFonts w:ascii="Arial" w:cs="Arial" w:eastAsia="Arial" w:hAnsi="Arial"/>
          <w:sz w:val="22"/>
          <w:szCs w:val="22"/>
          <w:rtl w:val="0"/>
        </w:rPr>
        <w:t xml:space="preserve">ONS (2025). </w:t>
      </w:r>
      <w:r w:rsidDel="00000000" w:rsidR="00000000" w:rsidRPr="00000000">
        <w:rPr>
          <w:rFonts w:ascii="Arial" w:cs="Arial" w:eastAsia="Arial" w:hAnsi="Arial"/>
          <w:i w:val="1"/>
          <w:iCs w:val="1"/>
          <w:sz w:val="22"/>
          <w:szCs w:val="22"/>
          <w:rtl w:val="0"/>
        </w:rPr>
        <w:t xml:space="preserve">Estimates of the very old, including centenarians, UK: 2002 to 2024 </w:t>
      </w:r>
      <w:r w:rsidDel="00000000" w:rsidR="00000000" w:rsidRPr="00000000">
        <w:rPr>
          <w:rFonts w:ascii="Arial" w:cs="Arial" w:eastAsia="Arial" w:hAnsi="Arial"/>
          <w:sz w:val="22"/>
          <w:szCs w:val="22"/>
          <w:rtl w:val="0"/>
        </w:rPr>
        <w:t xml:space="preserve">[Online] Available at: </w:t>
      </w:r>
      <w:hyperlink r:id="rId62">
        <w:r w:rsidDel="00000000" w:rsidR="00000000" w:rsidRPr="00000000">
          <w:rPr>
            <w:rFonts w:ascii="Arial" w:cs="Arial" w:eastAsia="Arial" w:hAnsi="Arial"/>
            <w:color w:val="0000ff"/>
            <w:sz w:val="22"/>
            <w:szCs w:val="22"/>
            <w:u w:val="single"/>
            <w:rtl w:val="0"/>
          </w:rPr>
          <w:t xml:space="preserve">https://www.ons.gov.uk/peoplepopulationandcommunity/birthsdeathsandmarriages/ageing/bulletins/estimatesoftheveryoldincludingcentenarians/2002to2024</w:t>
        </w:r>
      </w:hyperlink>
      <w:r w:rsidDel="00000000" w:rsidR="00000000" w:rsidRPr="00000000">
        <w:rPr>
          <w:rFonts w:ascii="Arial" w:cs="Arial" w:eastAsia="Arial" w:hAnsi="Arial"/>
          <w:sz w:val="22"/>
          <w:szCs w:val="22"/>
          <w:rtl w:val="0"/>
        </w:rPr>
        <w:t xml:space="preserve"> [Accessed on: 1.07.2026]</w:t>
      </w:r>
      <w:r w:rsidDel="00000000" w:rsidR="00000000" w:rsidRPr="00000000">
        <w:rPr>
          <w:rtl w:val="0"/>
        </w:rPr>
      </w:r>
    </w:p>
    <w:p w:rsidR="00000000" w:rsidDel="00000000" w:rsidP="00000000" w:rsidRDefault="00000000" w:rsidRPr="00000000" w14:paraId="000001C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Orsitto, L., Riefolo, M., Taormina, V., Lombardi, M. and Faccilongo, N., 2026. Social and political dimensions of renewable energy communities: A systematic literature review. </w:t>
      </w:r>
      <w:r w:rsidDel="00000000" w:rsidR="00000000" w:rsidRPr="00000000">
        <w:rPr>
          <w:rFonts w:ascii="Arial" w:cs="Arial" w:eastAsia="Arial" w:hAnsi="Arial"/>
          <w:i w:val="1"/>
          <w:iCs w:val="1"/>
          <w:sz w:val="22"/>
          <w:szCs w:val="22"/>
          <w:rtl w:val="0"/>
        </w:rPr>
        <w:t xml:space="preserve">Sustainability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18</w:t>
      </w:r>
      <w:r w:rsidDel="00000000" w:rsidR="00000000" w:rsidRPr="00000000">
        <w:rPr>
          <w:rFonts w:ascii="Arial" w:cs="Arial" w:eastAsia="Arial" w:hAnsi="Arial"/>
          <w:sz w:val="22"/>
          <w:szCs w:val="22"/>
          <w:rtl w:val="0"/>
        </w:rPr>
        <w:t xml:space="preserve">(7), p.3357. Available at: </w:t>
      </w:r>
      <w:hyperlink r:id="rId63">
        <w:r w:rsidDel="00000000" w:rsidR="00000000" w:rsidRPr="00000000">
          <w:rPr>
            <w:rFonts w:ascii="Arial" w:cs="Arial" w:eastAsia="Arial" w:hAnsi="Arial"/>
            <w:color w:val="0000ff"/>
            <w:sz w:val="22"/>
            <w:szCs w:val="22"/>
            <w:u w:val="single"/>
            <w:rtl w:val="0"/>
          </w:rPr>
          <w:t xml:space="preserve">https://doi.org/10.3390/su18073357</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Padiyath, A. and Nelson-Fromm, T., 2026, February. Reflecting on Thematic Analysis in Computer Science Education Research: A Field Guide for Researchers and Reviewers. In </w:t>
      </w:r>
      <w:r w:rsidDel="00000000" w:rsidR="00000000" w:rsidRPr="00000000">
        <w:rPr>
          <w:rFonts w:ascii="Arial" w:cs="Arial" w:eastAsia="Arial" w:hAnsi="Arial"/>
          <w:i w:val="1"/>
          <w:iCs w:val="1"/>
          <w:sz w:val="22"/>
          <w:szCs w:val="22"/>
          <w:rtl w:val="0"/>
        </w:rPr>
        <w:t xml:space="preserve">Proceedings of the 57th ACM Technical Symposium on Computer Science Education V. 1</w:t>
      </w:r>
      <w:r w:rsidDel="00000000" w:rsidR="00000000" w:rsidRPr="00000000">
        <w:rPr>
          <w:rFonts w:ascii="Arial" w:cs="Arial" w:eastAsia="Arial" w:hAnsi="Arial"/>
          <w:sz w:val="22"/>
          <w:szCs w:val="22"/>
          <w:rtl w:val="0"/>
        </w:rPr>
        <w:t xml:space="preserve"> (pp. 790-796). Available at: </w:t>
      </w:r>
      <w:hyperlink r:id="rId64">
        <w:r w:rsidDel="00000000" w:rsidR="00000000" w:rsidRPr="00000000">
          <w:rPr>
            <w:rFonts w:ascii="Arial" w:cs="Arial" w:eastAsia="Arial" w:hAnsi="Arial"/>
            <w:color w:val="0000ff"/>
            <w:sz w:val="22"/>
            <w:szCs w:val="22"/>
            <w:u w:val="single"/>
            <w:rtl w:val="0"/>
          </w:rPr>
          <w:t xml:space="preserve">https://doi.org/10.1145/3770762.3772512</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Peng, Z. and Raman, A., 2026. Systematic Literature Review on the Effects of Blended Learning in EFL Education. </w:t>
      </w:r>
      <w:r w:rsidDel="00000000" w:rsidR="00000000" w:rsidRPr="00000000">
        <w:rPr>
          <w:rFonts w:ascii="Arial" w:cs="Arial" w:eastAsia="Arial" w:hAnsi="Arial"/>
          <w:i w:val="1"/>
          <w:iCs w:val="1"/>
          <w:sz w:val="22"/>
          <w:szCs w:val="22"/>
          <w:rtl w:val="0"/>
        </w:rPr>
        <w:t xml:space="preserve">Contemporary Educational Technology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18</w:t>
      </w:r>
      <w:r w:rsidDel="00000000" w:rsidR="00000000" w:rsidRPr="00000000">
        <w:rPr>
          <w:rFonts w:ascii="Arial" w:cs="Arial" w:eastAsia="Arial" w:hAnsi="Arial"/>
          <w:sz w:val="22"/>
          <w:szCs w:val="22"/>
          <w:rtl w:val="0"/>
        </w:rPr>
        <w:t xml:space="preserve">(1). Available at: </w:t>
      </w:r>
      <w:hyperlink r:id="rId65">
        <w:r w:rsidDel="00000000" w:rsidR="00000000" w:rsidRPr="00000000">
          <w:rPr>
            <w:rFonts w:ascii="Arial" w:cs="Arial" w:eastAsia="Arial" w:hAnsi="Arial"/>
            <w:color w:val="0000ff"/>
            <w:sz w:val="22"/>
            <w:szCs w:val="22"/>
            <w:u w:val="single"/>
            <w:rtl w:val="0"/>
          </w:rPr>
          <w:t xml:space="preserve">https://files.eric.ed.gov/fulltext/EJ1499515.pdf</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Pérez-Pérez, I., González-Afonso, M.C., Plasencia-Carballo, Z. and Pérez-Jorge, D., 2026. Transparency mechanisms for generative AI use in higher education assessment: A systematic scoping review (2022–2026). </w:t>
      </w:r>
      <w:r w:rsidDel="00000000" w:rsidR="00000000" w:rsidRPr="00000000">
        <w:rPr>
          <w:rFonts w:ascii="Arial" w:cs="Arial" w:eastAsia="Arial" w:hAnsi="Arial"/>
          <w:i w:val="1"/>
          <w:iCs w:val="1"/>
          <w:sz w:val="22"/>
          <w:szCs w:val="22"/>
          <w:rtl w:val="0"/>
        </w:rPr>
        <w:t xml:space="preserve">Computers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15</w:t>
      </w:r>
      <w:r w:rsidDel="00000000" w:rsidR="00000000" w:rsidRPr="00000000">
        <w:rPr>
          <w:rFonts w:ascii="Arial" w:cs="Arial" w:eastAsia="Arial" w:hAnsi="Arial"/>
          <w:sz w:val="22"/>
          <w:szCs w:val="22"/>
          <w:rtl w:val="0"/>
        </w:rPr>
        <w:t xml:space="preserve">(2), p.111. Available at: </w:t>
      </w:r>
      <w:hyperlink r:id="rId66">
        <w:r w:rsidDel="00000000" w:rsidR="00000000" w:rsidRPr="00000000">
          <w:rPr>
            <w:rFonts w:ascii="Arial" w:cs="Arial" w:eastAsia="Arial" w:hAnsi="Arial"/>
            <w:color w:val="0000ff"/>
            <w:sz w:val="22"/>
            <w:szCs w:val="22"/>
            <w:u w:val="single"/>
            <w:rtl w:val="0"/>
          </w:rPr>
          <w:t xml:space="preserve">https://doi.org/10.3390/computers15020111</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Piroddi, R., Downing, J., Duckworth, H. and Barr, B. (2022). The impact of an integrated care intervention on mortality and unplanned hospital admissions in a disadvantaged community in England: A difference-in-differences study. </w:t>
      </w:r>
      <w:r w:rsidDel="00000000" w:rsidR="00000000" w:rsidRPr="00000000">
        <w:rPr>
          <w:rFonts w:ascii="Arial" w:cs="Arial" w:eastAsia="Arial" w:hAnsi="Arial"/>
          <w:i w:val="1"/>
          <w:iCs w:val="1"/>
          <w:sz w:val="22"/>
          <w:szCs w:val="22"/>
          <w:rtl w:val="0"/>
        </w:rPr>
        <w:t xml:space="preserve">Health Policy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126</w:t>
      </w:r>
      <w:r w:rsidDel="00000000" w:rsidR="00000000" w:rsidRPr="00000000">
        <w:rPr>
          <w:rFonts w:ascii="Arial" w:cs="Arial" w:eastAsia="Arial" w:hAnsi="Arial"/>
          <w:sz w:val="22"/>
          <w:szCs w:val="22"/>
          <w:rtl w:val="0"/>
        </w:rPr>
        <w:t xml:space="preserve">(6), pp.549-557. </w:t>
      </w:r>
      <w:hyperlink r:id="rId67">
        <w:r w:rsidDel="00000000" w:rsidR="00000000" w:rsidRPr="00000000">
          <w:rPr>
            <w:rFonts w:ascii="Arial" w:cs="Arial" w:eastAsia="Arial" w:hAnsi="Arial"/>
            <w:color w:val="0000ff"/>
            <w:sz w:val="22"/>
            <w:szCs w:val="22"/>
            <w:u w:val="single"/>
            <w:rtl w:val="0"/>
          </w:rPr>
          <w:t xml:space="preserve">https://doi.org/10.1016/j.healthpol.2022.03.009</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4">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Reeves, C., Islam, A and Gentry, T. (2025). </w:t>
      </w:r>
      <w:r w:rsidDel="00000000" w:rsidR="00000000" w:rsidRPr="00000000">
        <w:rPr>
          <w:rFonts w:ascii="Arial" w:cs="Arial" w:eastAsia="Arial" w:hAnsi="Arial"/>
          <w:i w:val="1"/>
          <w:iCs w:val="1"/>
          <w:color w:val="000000"/>
          <w:sz w:val="22"/>
          <w:szCs w:val="22"/>
          <w:rtl w:val="0"/>
        </w:rPr>
        <w:t xml:space="preserve">The State of Health and Care of Older People in England 2025</w:t>
      </w:r>
      <w:r w:rsidDel="00000000" w:rsidR="00000000" w:rsidRPr="00000000">
        <w:rPr>
          <w:rFonts w:ascii="Arial" w:cs="Arial" w:eastAsia="Arial" w:hAnsi="Arial"/>
          <w:color w:val="000000"/>
          <w:sz w:val="22"/>
          <w:szCs w:val="22"/>
          <w:rtl w:val="0"/>
        </w:rPr>
        <w:t xml:space="preserve">[Online] Available at:</w:t>
      </w:r>
      <w:r w:rsidDel="00000000" w:rsidR="00000000" w:rsidRPr="00000000">
        <w:rPr>
          <w:rFonts w:ascii="Arial" w:cs="Arial" w:eastAsia="Arial" w:hAnsi="Arial"/>
          <w:sz w:val="22"/>
          <w:szCs w:val="22"/>
          <w:rtl w:val="0"/>
        </w:rPr>
        <w:t xml:space="preserve"> </w:t>
      </w:r>
      <w:hyperlink r:id="rId68">
        <w:r w:rsidDel="00000000" w:rsidR="00000000" w:rsidRPr="00000000">
          <w:rPr>
            <w:rFonts w:ascii="Arial" w:cs="Arial" w:eastAsia="Arial" w:hAnsi="Arial"/>
            <w:color w:val="0000ff"/>
            <w:sz w:val="22"/>
            <w:szCs w:val="22"/>
            <w:u w:val="single"/>
            <w:rtl w:val="0"/>
          </w:rPr>
          <w:t xml:space="preserve">https://www.ageuk.org.uk/siteassets/documents/reports-and-publications/reports-and-briefings/health--wellbeing/state-of-health-and-care/state-of-health-care-of-older-people-in-england-2025.pdf</w:t>
        </w:r>
      </w:hyperlink>
      <w:r w:rsidDel="00000000" w:rsidR="00000000" w:rsidRPr="00000000">
        <w:rPr>
          <w:rFonts w:ascii="Arial" w:cs="Arial" w:eastAsia="Arial" w:hAnsi="Arial"/>
          <w:color w:val="000000"/>
          <w:sz w:val="22"/>
          <w:szCs w:val="22"/>
          <w:rtl w:val="0"/>
        </w:rPr>
        <w:t xml:space="preserve"> [Accessed on: 1.07.2026]</w:t>
      </w:r>
    </w:p>
    <w:p w:rsidR="00000000" w:rsidDel="00000000" w:rsidP="00000000" w:rsidRDefault="00000000" w:rsidRPr="00000000" w14:paraId="000001D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Ruiz-Grao, M.C., Álvarez-Bueno, C., Garrido-Miguel, M., Berlanga-Macias, C., Gonzalez-Molinero, M. and Rodríguez-Martín, B. (2024). Multidisciplinary home-based interventions in adverse events and quality of life among frail older people: A systematic review and meta-analysis. </w:t>
      </w:r>
      <w:r w:rsidDel="00000000" w:rsidR="00000000" w:rsidRPr="00000000">
        <w:rPr>
          <w:rFonts w:ascii="Arial" w:cs="Arial" w:eastAsia="Arial" w:hAnsi="Arial"/>
          <w:i w:val="1"/>
          <w:iCs w:val="1"/>
          <w:sz w:val="22"/>
          <w:szCs w:val="22"/>
          <w:rtl w:val="0"/>
        </w:rPr>
        <w:t xml:space="preserve">Heliyon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10</w:t>
      </w:r>
      <w:r w:rsidDel="00000000" w:rsidR="00000000" w:rsidRPr="00000000">
        <w:rPr>
          <w:rFonts w:ascii="Arial" w:cs="Arial" w:eastAsia="Arial" w:hAnsi="Arial"/>
          <w:sz w:val="22"/>
          <w:szCs w:val="22"/>
          <w:rtl w:val="0"/>
        </w:rPr>
        <w:t xml:space="preserve">(21). </w:t>
      </w:r>
      <w:hyperlink r:id="rId69">
        <w:r w:rsidDel="00000000" w:rsidR="00000000" w:rsidRPr="00000000">
          <w:rPr>
            <w:rFonts w:ascii="Arial" w:cs="Arial" w:eastAsia="Arial" w:hAnsi="Arial"/>
            <w:color w:val="0000ff"/>
            <w:sz w:val="22"/>
            <w:szCs w:val="22"/>
            <w:u w:val="single"/>
            <w:rtl w:val="0"/>
          </w:rPr>
          <w:t xml:space="preserve">https://doi.org/10.1016/j.heliyon.2024.e40015</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Sadler, E., Khadjesari, Z., Ziemann, A., Sheehan, K.J., Whitney, J., Wilson, D., Bakolis, I., Sevdalis, N., Sandall, J., Soukup, T. and Corbett, T. </w:t>
      </w:r>
      <w:r w:rsidDel="00000000" w:rsidR="00000000" w:rsidRPr="00000000">
        <w:rPr>
          <w:rFonts w:ascii="Arial" w:cs="Arial" w:eastAsia="Arial" w:hAnsi="Arial"/>
          <w:color w:val="000000"/>
          <w:sz w:val="22"/>
          <w:szCs w:val="22"/>
          <w:rtl w:val="0"/>
        </w:rPr>
        <w:t xml:space="preserve">(2023)</w:t>
      </w:r>
      <w:r w:rsidDel="00000000" w:rsidR="00000000" w:rsidRPr="00000000">
        <w:rPr>
          <w:rFonts w:ascii="Arial" w:cs="Arial" w:eastAsia="Arial" w:hAnsi="Arial"/>
          <w:sz w:val="22"/>
          <w:szCs w:val="22"/>
          <w:rtl w:val="0"/>
        </w:rPr>
        <w:t xml:space="preserve">. Case management for integrated care of older people with frailty in community settings. </w:t>
      </w:r>
      <w:r w:rsidDel="00000000" w:rsidR="00000000" w:rsidRPr="00000000">
        <w:rPr>
          <w:rFonts w:ascii="Arial" w:cs="Arial" w:eastAsia="Arial" w:hAnsi="Arial"/>
          <w:i w:val="1"/>
          <w:iCs w:val="1"/>
          <w:sz w:val="22"/>
          <w:szCs w:val="22"/>
          <w:rtl w:val="0"/>
        </w:rPr>
        <w:t xml:space="preserve">Cochrane Database of Systematic Reviews</w:t>
      </w:r>
      <w:r w:rsidDel="00000000" w:rsidR="00000000" w:rsidRPr="00000000">
        <w:rPr>
          <w:rFonts w:ascii="Arial" w:cs="Arial" w:eastAsia="Arial" w:hAnsi="Arial"/>
          <w:sz w:val="22"/>
          <w:szCs w:val="22"/>
          <w:rtl w:val="0"/>
        </w:rPr>
        <w:t xml:space="preserve">, (5). </w:t>
      </w:r>
      <w:hyperlink r:id="rId70">
        <w:r w:rsidDel="00000000" w:rsidR="00000000" w:rsidRPr="00000000">
          <w:rPr>
            <w:rFonts w:ascii="Arial" w:cs="Arial" w:eastAsia="Arial" w:hAnsi="Arial"/>
            <w:color w:val="0000ff"/>
            <w:sz w:val="22"/>
            <w:szCs w:val="22"/>
            <w:u w:val="single"/>
            <w:rtl w:val="0"/>
          </w:rPr>
          <w:t xml:space="preserve">https://doi.org/10.1002%2F14651858.CD013088.pub2</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Sánchez-Martín, M., Rubio-Aparicio, M., López-García, G.D. and Navarro-Mateu, F., 2026. How to improve the quality and transparency of systematic reviews? PRISMA 2020 guideline. Available at: </w:t>
      </w:r>
      <w:hyperlink r:id="rId71">
        <w:r w:rsidDel="00000000" w:rsidR="00000000" w:rsidRPr="00000000">
          <w:rPr>
            <w:rFonts w:ascii="Arial" w:cs="Arial" w:eastAsia="Arial" w:hAnsi="Arial"/>
            <w:color w:val="0000ff"/>
            <w:sz w:val="22"/>
            <w:szCs w:val="22"/>
            <w:u w:val="single"/>
            <w:rtl w:val="0"/>
          </w:rPr>
          <w:t xml:space="preserve">https://doi.org/10.25115/ecp.v19i39.11079</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Seamer, P., Lloyd, T., Conti, S. and O’Neill, S. (2023). The long-term impacts of an integrated care programme on hospital utilisation among older adults in the south of England: a synthetic control study. </w:t>
      </w:r>
      <w:r w:rsidDel="00000000" w:rsidR="00000000" w:rsidRPr="00000000">
        <w:rPr>
          <w:rFonts w:ascii="Arial" w:cs="Arial" w:eastAsia="Arial" w:hAnsi="Arial"/>
          <w:i w:val="1"/>
          <w:iCs w:val="1"/>
          <w:sz w:val="22"/>
          <w:szCs w:val="22"/>
          <w:rtl w:val="0"/>
        </w:rPr>
        <w:t xml:space="preserve">International journal of integrated care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23</w:t>
      </w:r>
      <w:r w:rsidDel="00000000" w:rsidR="00000000" w:rsidRPr="00000000">
        <w:rPr>
          <w:rFonts w:ascii="Arial" w:cs="Arial" w:eastAsia="Arial" w:hAnsi="Arial"/>
          <w:sz w:val="22"/>
          <w:szCs w:val="22"/>
          <w:rtl w:val="0"/>
        </w:rPr>
        <w:t xml:space="preserve">(3), pp.10-10. </w:t>
      </w:r>
      <w:hyperlink r:id="rId72">
        <w:r w:rsidDel="00000000" w:rsidR="00000000" w:rsidRPr="00000000">
          <w:rPr>
            <w:rFonts w:ascii="Arial" w:cs="Arial" w:eastAsia="Arial" w:hAnsi="Arial"/>
            <w:color w:val="0000ff"/>
            <w:sz w:val="22"/>
            <w:szCs w:val="22"/>
            <w:u w:val="single"/>
            <w:rtl w:val="0"/>
          </w:rPr>
          <w:t xml:space="preserve">https://doi.org/10.5334/ijic.6475</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Sebo, P. and Sebo, M., 2026. Comparing the performance of Retraction Watch Database, PubMed, and Web of Science in identifying retracted publications in medicine. </w:t>
      </w:r>
      <w:r w:rsidDel="00000000" w:rsidR="00000000" w:rsidRPr="00000000">
        <w:rPr>
          <w:rFonts w:ascii="Arial" w:cs="Arial" w:eastAsia="Arial" w:hAnsi="Arial"/>
          <w:i w:val="1"/>
          <w:iCs w:val="1"/>
          <w:sz w:val="22"/>
          <w:szCs w:val="22"/>
          <w:rtl w:val="0"/>
        </w:rPr>
        <w:t xml:space="preserve">Accountability in Research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33</w:t>
      </w:r>
      <w:r w:rsidDel="00000000" w:rsidR="00000000" w:rsidRPr="00000000">
        <w:rPr>
          <w:rFonts w:ascii="Arial" w:cs="Arial" w:eastAsia="Arial" w:hAnsi="Arial"/>
          <w:sz w:val="22"/>
          <w:szCs w:val="22"/>
          <w:rtl w:val="0"/>
        </w:rPr>
        <w:t xml:space="preserve">(2), p.2484555. Available at: </w:t>
      </w:r>
      <w:hyperlink r:id="rId73">
        <w:r w:rsidDel="00000000" w:rsidR="00000000" w:rsidRPr="00000000">
          <w:rPr>
            <w:rFonts w:ascii="Arial" w:cs="Arial" w:eastAsia="Arial" w:hAnsi="Arial"/>
            <w:color w:val="0000ff"/>
            <w:sz w:val="22"/>
            <w:szCs w:val="22"/>
            <w:u w:val="single"/>
            <w:rtl w:val="0"/>
          </w:rPr>
          <w:t xml:space="preserve">https://doi.org/10.1080/08989621.2025.2484555</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Sidhu, M., Pollard, J. and Sussex, J. (2022). Vertical integration of primary care practices with acute hospitals in England and Wales: why, how and so what? Findings from a qualitative, rapid evaluation. </w:t>
      </w:r>
      <w:r w:rsidDel="00000000" w:rsidR="00000000" w:rsidRPr="00000000">
        <w:rPr>
          <w:rFonts w:ascii="Arial" w:cs="Arial" w:eastAsia="Arial" w:hAnsi="Arial"/>
          <w:i w:val="1"/>
          <w:iCs w:val="1"/>
          <w:sz w:val="22"/>
          <w:szCs w:val="22"/>
          <w:rtl w:val="0"/>
        </w:rPr>
        <w:t xml:space="preserve">BMJ open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12</w:t>
      </w:r>
      <w:r w:rsidDel="00000000" w:rsidR="00000000" w:rsidRPr="00000000">
        <w:rPr>
          <w:rFonts w:ascii="Arial" w:cs="Arial" w:eastAsia="Arial" w:hAnsi="Arial"/>
          <w:sz w:val="22"/>
          <w:szCs w:val="22"/>
          <w:rtl w:val="0"/>
        </w:rPr>
        <w:t xml:space="preserve">(1), p.e053222. </w:t>
      </w:r>
      <w:hyperlink r:id="rId74">
        <w:r w:rsidDel="00000000" w:rsidR="00000000" w:rsidRPr="00000000">
          <w:rPr>
            <w:rFonts w:ascii="Arial" w:cs="Arial" w:eastAsia="Arial" w:hAnsi="Arial"/>
            <w:color w:val="0000ff"/>
            <w:sz w:val="22"/>
            <w:szCs w:val="22"/>
            <w:u w:val="single"/>
            <w:rtl w:val="0"/>
          </w:rPr>
          <w:t xml:space="preserve">http://dx.doi.org/10.1136/bmjopen-2021-053222</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B">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highlight w:val="white"/>
          <w:rtl w:val="0"/>
        </w:rPr>
        <w:t xml:space="preserve">Sinnott, C., Ansari, A., Price, E., Horder, K., Alboksmaty, A., Willars, J., Beech, J., Alderwick, H. and Dixon-Woods, M. (2026). Experiences of access to general practice in England: qualitative study and implications for the NHS 10-year plan. </w:t>
      </w:r>
      <w:r w:rsidDel="00000000" w:rsidR="00000000" w:rsidRPr="00000000">
        <w:rPr>
          <w:rFonts w:ascii="Arial" w:cs="Arial" w:eastAsia="Arial" w:hAnsi="Arial"/>
          <w:i w:val="1"/>
          <w:iCs w:val="1"/>
          <w:color w:val="000000"/>
          <w:sz w:val="22"/>
          <w:szCs w:val="22"/>
          <w:highlight w:val="white"/>
          <w:rtl w:val="0"/>
        </w:rPr>
        <w:t xml:space="preserve">bmj</w:t>
      </w:r>
      <w:r w:rsidDel="00000000" w:rsidR="00000000" w:rsidRPr="00000000">
        <w:rPr>
          <w:rFonts w:ascii="Arial" w:cs="Arial" w:eastAsia="Arial" w:hAnsi="Arial"/>
          <w:color w:val="000000"/>
          <w:sz w:val="22"/>
          <w:szCs w:val="22"/>
          <w:highlight w:val="white"/>
          <w:rtl w:val="0"/>
        </w:rPr>
        <w:t xml:space="preserve">, </w:t>
      </w:r>
      <w:r w:rsidDel="00000000" w:rsidR="00000000" w:rsidRPr="00000000">
        <w:rPr>
          <w:rFonts w:ascii="Arial" w:cs="Arial" w:eastAsia="Arial" w:hAnsi="Arial"/>
          <w:i w:val="1"/>
          <w:iCs w:val="1"/>
          <w:color w:val="000000"/>
          <w:sz w:val="22"/>
          <w:szCs w:val="22"/>
          <w:highlight w:val="white"/>
          <w:rtl w:val="0"/>
        </w:rPr>
        <w:t xml:space="preserve">392</w:t>
      </w:r>
      <w:r w:rsidDel="00000000" w:rsidR="00000000" w:rsidRPr="00000000">
        <w:rPr>
          <w:rFonts w:ascii="Arial" w:cs="Arial" w:eastAsia="Arial" w:hAnsi="Arial"/>
          <w:color w:val="000000"/>
          <w:sz w:val="22"/>
          <w:szCs w:val="22"/>
          <w:highlight w:val="white"/>
          <w:rtl w:val="0"/>
        </w:rPr>
        <w:t xml:space="preserve">.</w:t>
      </w:r>
      <w:r w:rsidDel="00000000" w:rsidR="00000000" w:rsidRPr="00000000">
        <w:rPr>
          <w:rFonts w:ascii="Arial" w:cs="Arial" w:eastAsia="Arial" w:hAnsi="Arial"/>
          <w:color w:val="000000"/>
          <w:sz w:val="22"/>
          <w:szCs w:val="22"/>
          <w:rtl w:val="0"/>
        </w:rPr>
        <w:t xml:space="preserve"> Available at: </w:t>
      </w:r>
      <w:hyperlink r:id="rId75">
        <w:r w:rsidDel="00000000" w:rsidR="00000000" w:rsidRPr="00000000">
          <w:rPr>
            <w:rFonts w:ascii="Arial" w:cs="Arial" w:eastAsia="Arial" w:hAnsi="Arial"/>
            <w:color w:val="0000ff"/>
            <w:sz w:val="22"/>
            <w:szCs w:val="22"/>
            <w:u w:val="single"/>
            <w:rtl w:val="0"/>
          </w:rPr>
          <w:t xml:space="preserve">https://doi.org/10.1136/bmj-2025-087367</w:t>
        </w:r>
      </w:hyperlink>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1D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Smith, N., Damant, J., Hamashima, Y., Jasim, S., McLeod, H., Prato, L., Taylor, J., Ferguson Montague, A., Fitzpatrick, R., Forder, J. and Giebel, C. (2026). Care planning in older adult care homes: a qualitative study of care staff experiences and views. </w:t>
      </w:r>
      <w:r w:rsidDel="00000000" w:rsidR="00000000" w:rsidRPr="00000000">
        <w:rPr>
          <w:rFonts w:ascii="Arial" w:cs="Arial" w:eastAsia="Arial" w:hAnsi="Arial"/>
          <w:i w:val="1"/>
          <w:iCs w:val="1"/>
          <w:sz w:val="22"/>
          <w:szCs w:val="22"/>
          <w:rtl w:val="0"/>
        </w:rPr>
        <w:t xml:space="preserve">International Journal of Care and Caring</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10</w:t>
      </w:r>
      <w:r w:rsidDel="00000000" w:rsidR="00000000" w:rsidRPr="00000000">
        <w:rPr>
          <w:rFonts w:ascii="Arial" w:cs="Arial" w:eastAsia="Arial" w:hAnsi="Arial"/>
          <w:sz w:val="22"/>
          <w:szCs w:val="22"/>
          <w:rtl w:val="0"/>
        </w:rPr>
        <w:t xml:space="preserve">(3), pp.718-735. </w:t>
      </w:r>
      <w:hyperlink r:id="rId76">
        <w:r w:rsidDel="00000000" w:rsidR="00000000" w:rsidRPr="00000000">
          <w:rPr>
            <w:rFonts w:ascii="Arial" w:cs="Arial" w:eastAsia="Arial" w:hAnsi="Arial"/>
            <w:color w:val="0000ff"/>
            <w:sz w:val="22"/>
            <w:szCs w:val="22"/>
            <w:u w:val="single"/>
            <w:rtl w:val="0"/>
          </w:rPr>
          <w:t xml:space="preserve">https://doi.org/10.1332/23978821Y2024D000000092</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Stray, K., Wibe, T., Debesay, J. and Bye, A., 2024. Older adults’ perceptions and experiences of interprofessional communication as part of the delivery of integrated care in the primary healthcare sector: a meta-ethnography of qualitative studies. </w:t>
      </w:r>
      <w:r w:rsidDel="00000000" w:rsidR="00000000" w:rsidRPr="00000000">
        <w:rPr>
          <w:rFonts w:ascii="Arial" w:cs="Arial" w:eastAsia="Arial" w:hAnsi="Arial"/>
          <w:i w:val="1"/>
          <w:iCs w:val="1"/>
          <w:sz w:val="22"/>
          <w:szCs w:val="22"/>
          <w:rtl w:val="0"/>
        </w:rPr>
        <w:t xml:space="preserve">BMC Geriatrics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24</w:t>
      </w:r>
      <w:r w:rsidDel="00000000" w:rsidR="00000000" w:rsidRPr="00000000">
        <w:rPr>
          <w:rFonts w:ascii="Arial" w:cs="Arial" w:eastAsia="Arial" w:hAnsi="Arial"/>
          <w:sz w:val="22"/>
          <w:szCs w:val="22"/>
          <w:rtl w:val="0"/>
        </w:rPr>
        <w:t xml:space="preserve">(1), p.146. Available at: </w:t>
      </w:r>
      <w:hyperlink r:id="rId77">
        <w:r w:rsidDel="00000000" w:rsidR="00000000" w:rsidRPr="00000000">
          <w:rPr>
            <w:rFonts w:ascii="Arial" w:cs="Arial" w:eastAsia="Arial" w:hAnsi="Arial"/>
            <w:color w:val="0000ff"/>
            <w:sz w:val="22"/>
            <w:szCs w:val="22"/>
            <w:u w:val="single"/>
            <w:rtl w:val="0"/>
          </w:rPr>
          <w:t xml:space="preserve">https://doi.org/10.1186/s12877-024-04745-4</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Tachdjian, R., Narsipur, N., Saharia, P., Jindal, S., Park, N., Harper, J.R., Relan, A., Anderson, J. and Harrington, A., 2026. Diverse Trial Designs, Populations, and Outcomes: A Systematic Literature Review of Trials for the Treatment of Hereditary Angioedema Attacks. </w:t>
      </w:r>
      <w:r w:rsidDel="00000000" w:rsidR="00000000" w:rsidRPr="00000000">
        <w:rPr>
          <w:rFonts w:ascii="Arial" w:cs="Arial" w:eastAsia="Arial" w:hAnsi="Arial"/>
          <w:i w:val="1"/>
          <w:iCs w:val="1"/>
          <w:sz w:val="22"/>
          <w:szCs w:val="22"/>
          <w:rtl w:val="0"/>
        </w:rPr>
        <w:t xml:space="preserve">Advances in Therapy</w:t>
      </w:r>
      <w:r w:rsidDel="00000000" w:rsidR="00000000" w:rsidRPr="00000000">
        <w:rPr>
          <w:rFonts w:ascii="Arial" w:cs="Arial" w:eastAsia="Arial" w:hAnsi="Arial"/>
          <w:sz w:val="22"/>
          <w:szCs w:val="22"/>
          <w:rtl w:val="0"/>
        </w:rPr>
        <w:t xml:space="preserve">, pp.1-29. Available at: </w:t>
      </w:r>
      <w:hyperlink r:id="rId78">
        <w:r w:rsidDel="00000000" w:rsidR="00000000" w:rsidRPr="00000000">
          <w:rPr>
            <w:rFonts w:ascii="Arial" w:cs="Arial" w:eastAsia="Arial" w:hAnsi="Arial"/>
            <w:color w:val="0000ff"/>
            <w:sz w:val="22"/>
            <w:szCs w:val="22"/>
            <w:u w:val="single"/>
            <w:rtl w:val="0"/>
          </w:rPr>
          <w:t xml:space="preserve">https://doi.org/10.1007/s12325-026-03656-7</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Tejera, M., Galiç, S. and Lavicza, Z., 2026. 3D modelling and printing in teacher education: A systematic literature review. </w:t>
      </w:r>
      <w:r w:rsidDel="00000000" w:rsidR="00000000" w:rsidRPr="00000000">
        <w:rPr>
          <w:rFonts w:ascii="Arial" w:cs="Arial" w:eastAsia="Arial" w:hAnsi="Arial"/>
          <w:i w:val="1"/>
          <w:iCs w:val="1"/>
          <w:sz w:val="22"/>
          <w:szCs w:val="22"/>
          <w:rtl w:val="0"/>
        </w:rPr>
        <w:t xml:space="preserve">Journal for STEM Education Research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9</w:t>
      </w:r>
      <w:r w:rsidDel="00000000" w:rsidR="00000000" w:rsidRPr="00000000">
        <w:rPr>
          <w:rFonts w:ascii="Arial" w:cs="Arial" w:eastAsia="Arial" w:hAnsi="Arial"/>
          <w:sz w:val="22"/>
          <w:szCs w:val="22"/>
          <w:rtl w:val="0"/>
        </w:rPr>
        <w:t xml:space="preserve">(1), pp.1-32. Available at: </w:t>
      </w:r>
      <w:hyperlink r:id="rId79">
        <w:r w:rsidDel="00000000" w:rsidR="00000000" w:rsidRPr="00000000">
          <w:rPr>
            <w:rFonts w:ascii="Arial" w:cs="Arial" w:eastAsia="Arial" w:hAnsi="Arial"/>
            <w:color w:val="0000ff"/>
            <w:sz w:val="22"/>
            <w:szCs w:val="22"/>
            <w:u w:val="single"/>
            <w:rtl w:val="0"/>
          </w:rPr>
          <w:t xml:space="preserve">https://doi.org/10.1007/s41979-025-00147-2</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Thomson, L.J. and Chatterjee, H.J. (2024). Barriers and enablers of integrated care in the UK: a rapid evidence review of review articles and grey literature 2018–2022. </w:t>
      </w:r>
      <w:r w:rsidDel="00000000" w:rsidR="00000000" w:rsidRPr="00000000">
        <w:rPr>
          <w:rFonts w:ascii="Arial" w:cs="Arial" w:eastAsia="Arial" w:hAnsi="Arial"/>
          <w:i w:val="1"/>
          <w:iCs w:val="1"/>
          <w:sz w:val="22"/>
          <w:szCs w:val="22"/>
          <w:rtl w:val="0"/>
        </w:rPr>
        <w:t xml:space="preserve">Frontiers in Public Health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11</w:t>
      </w:r>
      <w:r w:rsidDel="00000000" w:rsidR="00000000" w:rsidRPr="00000000">
        <w:rPr>
          <w:rFonts w:ascii="Arial" w:cs="Arial" w:eastAsia="Arial" w:hAnsi="Arial"/>
          <w:sz w:val="22"/>
          <w:szCs w:val="22"/>
          <w:rtl w:val="0"/>
        </w:rPr>
        <w:t xml:space="preserve">, p.1286479. </w:t>
      </w:r>
      <w:hyperlink r:id="rId80">
        <w:r w:rsidDel="00000000" w:rsidR="00000000" w:rsidRPr="00000000">
          <w:rPr>
            <w:rFonts w:ascii="Arial" w:cs="Arial" w:eastAsia="Arial" w:hAnsi="Arial"/>
            <w:color w:val="0000ff"/>
            <w:sz w:val="22"/>
            <w:szCs w:val="22"/>
            <w:u w:val="single"/>
            <w:rtl w:val="0"/>
          </w:rPr>
          <w:t xml:space="preserve">https://doi.org/10.3389/fpubh.2023.1286479</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Tops, L., Beerten, S.G., Vandenbulcke, M., Vermandere, M. and Deschodt, M., 2024. Integrated care models for older adults with depression and physical comorbidity: a scoping review. </w:t>
      </w:r>
      <w:r w:rsidDel="00000000" w:rsidR="00000000" w:rsidRPr="00000000">
        <w:rPr>
          <w:rFonts w:ascii="Arial" w:cs="Arial" w:eastAsia="Arial" w:hAnsi="Arial"/>
          <w:i w:val="1"/>
          <w:iCs w:val="1"/>
          <w:sz w:val="22"/>
          <w:szCs w:val="22"/>
          <w:rtl w:val="0"/>
        </w:rPr>
        <w:t xml:space="preserve">International Journal of Integrated Care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24</w:t>
      </w:r>
      <w:r w:rsidDel="00000000" w:rsidR="00000000" w:rsidRPr="00000000">
        <w:rPr>
          <w:rFonts w:ascii="Arial" w:cs="Arial" w:eastAsia="Arial" w:hAnsi="Arial"/>
          <w:sz w:val="22"/>
          <w:szCs w:val="22"/>
          <w:rtl w:val="0"/>
        </w:rPr>
        <w:t xml:space="preserve">(1), pp.1-1. Available at: </w:t>
      </w:r>
      <w:hyperlink r:id="rId81">
        <w:r w:rsidDel="00000000" w:rsidR="00000000" w:rsidRPr="00000000">
          <w:rPr>
            <w:rFonts w:ascii="Arial" w:cs="Arial" w:eastAsia="Arial" w:hAnsi="Arial"/>
            <w:color w:val="0000ff"/>
            <w:sz w:val="22"/>
            <w:szCs w:val="22"/>
            <w:u w:val="single"/>
            <w:rtl w:val="0"/>
          </w:rPr>
          <w:t xml:space="preserve">https://doi.org/10.5334/ijic.7576</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Uchida, T., 2026. Epistemic Trust and the Non-Self-Undermining Condition: When a Record-Based Cosmology May Believe Its Own Evidence. Available at: </w:t>
      </w:r>
      <w:hyperlink r:id="rId82">
        <w:r w:rsidDel="00000000" w:rsidR="00000000" w:rsidRPr="00000000">
          <w:rPr>
            <w:rFonts w:ascii="Arial" w:cs="Arial" w:eastAsia="Arial" w:hAnsi="Arial"/>
            <w:color w:val="0000ff"/>
            <w:sz w:val="22"/>
            <w:szCs w:val="22"/>
            <w:u w:val="single"/>
            <w:rtl w:val="0"/>
          </w:rPr>
          <w:t xml:space="preserve">https://philpapers.org/archive/UCHETA.pdf</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3">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highlight w:val="white"/>
          <w:rtl w:val="0"/>
        </w:rPr>
        <w:t xml:space="preserve">Umegaki, H. (2025). Frailty, multimorbidity, and polypharmacy: Proposal of the new concept of the geriatric triangle. </w:t>
      </w:r>
      <w:r w:rsidDel="00000000" w:rsidR="00000000" w:rsidRPr="00000000">
        <w:rPr>
          <w:rFonts w:ascii="Arial" w:cs="Arial" w:eastAsia="Arial" w:hAnsi="Arial"/>
          <w:i w:val="1"/>
          <w:iCs w:val="1"/>
          <w:color w:val="000000"/>
          <w:sz w:val="22"/>
          <w:szCs w:val="22"/>
          <w:highlight w:val="white"/>
          <w:rtl w:val="0"/>
        </w:rPr>
        <w:t xml:space="preserve">Geriatrics &amp; Gerontology International</w:t>
      </w:r>
      <w:r w:rsidDel="00000000" w:rsidR="00000000" w:rsidRPr="00000000">
        <w:rPr>
          <w:rFonts w:ascii="Arial" w:cs="Arial" w:eastAsia="Arial" w:hAnsi="Arial"/>
          <w:color w:val="000000"/>
          <w:sz w:val="22"/>
          <w:szCs w:val="22"/>
          <w:highlight w:val="white"/>
          <w:rtl w:val="0"/>
        </w:rPr>
        <w:t xml:space="preserve">, </w:t>
      </w:r>
      <w:r w:rsidDel="00000000" w:rsidR="00000000" w:rsidRPr="00000000">
        <w:rPr>
          <w:rFonts w:ascii="Arial" w:cs="Arial" w:eastAsia="Arial" w:hAnsi="Arial"/>
          <w:i w:val="1"/>
          <w:iCs w:val="1"/>
          <w:color w:val="000000"/>
          <w:sz w:val="22"/>
          <w:szCs w:val="22"/>
          <w:highlight w:val="white"/>
          <w:rtl w:val="0"/>
        </w:rPr>
        <w:t xml:space="preserve">25</w:t>
      </w:r>
      <w:r w:rsidDel="00000000" w:rsidR="00000000" w:rsidRPr="00000000">
        <w:rPr>
          <w:rFonts w:ascii="Arial" w:cs="Arial" w:eastAsia="Arial" w:hAnsi="Arial"/>
          <w:color w:val="000000"/>
          <w:sz w:val="22"/>
          <w:szCs w:val="22"/>
          <w:highlight w:val="white"/>
          <w:rtl w:val="0"/>
        </w:rPr>
        <w:t xml:space="preserve">(5), pp.657-662.</w:t>
      </w:r>
      <w:r w:rsidDel="00000000" w:rsidR="00000000" w:rsidRPr="00000000">
        <w:rPr>
          <w:rFonts w:ascii="Arial" w:cs="Arial" w:eastAsia="Arial" w:hAnsi="Arial"/>
          <w:color w:val="000000"/>
          <w:sz w:val="22"/>
          <w:szCs w:val="22"/>
          <w:rtl w:val="0"/>
        </w:rPr>
        <w:t xml:space="preserve"> Available at: </w:t>
      </w:r>
      <w:hyperlink r:id="rId83">
        <w:r w:rsidDel="00000000" w:rsidR="00000000" w:rsidRPr="00000000">
          <w:rPr>
            <w:rFonts w:ascii="Arial" w:cs="Arial" w:eastAsia="Arial" w:hAnsi="Arial"/>
            <w:color w:val="0000ff"/>
            <w:sz w:val="22"/>
            <w:szCs w:val="22"/>
            <w:u w:val="single"/>
            <w:rtl w:val="0"/>
          </w:rPr>
          <w:t xml:space="preserve">https://doi.org/10.1111/ggi.70046</w:t>
        </w:r>
      </w:hyperlink>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1E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Vannini, S., Wagg, S. and Zamani, E.D. (2026). Caring networks for digital inclusion: how network weaving transforms responses to digital inequalities. </w:t>
      </w:r>
      <w:r w:rsidDel="00000000" w:rsidR="00000000" w:rsidRPr="00000000">
        <w:rPr>
          <w:rFonts w:ascii="Arial" w:cs="Arial" w:eastAsia="Arial" w:hAnsi="Arial"/>
          <w:i w:val="1"/>
          <w:iCs w:val="1"/>
          <w:sz w:val="22"/>
          <w:szCs w:val="22"/>
          <w:rtl w:val="0"/>
        </w:rPr>
        <w:t xml:space="preserve">European Journal of Information Systems</w:t>
      </w:r>
      <w:r w:rsidDel="00000000" w:rsidR="00000000" w:rsidRPr="00000000">
        <w:rPr>
          <w:rFonts w:ascii="Arial" w:cs="Arial" w:eastAsia="Arial" w:hAnsi="Arial"/>
          <w:sz w:val="22"/>
          <w:szCs w:val="22"/>
          <w:rtl w:val="0"/>
        </w:rPr>
        <w:t xml:space="preserve">, pp.1-26. </w:t>
      </w:r>
      <w:hyperlink r:id="rId84">
        <w:r w:rsidDel="00000000" w:rsidR="00000000" w:rsidRPr="00000000">
          <w:rPr>
            <w:rFonts w:ascii="Arial" w:cs="Arial" w:eastAsia="Arial" w:hAnsi="Arial"/>
            <w:color w:val="0000ff"/>
            <w:sz w:val="22"/>
            <w:szCs w:val="22"/>
            <w:u w:val="single"/>
            <w:rtl w:val="0"/>
          </w:rPr>
          <w:t xml:space="preserve">https://doi.org/10.1080/0960085X.2026.2709635</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Vizcarra, A., Quiroz, G. and Cornejo, J., 2026. The impact of user interface and experience (UI/UX) design on visual ergonomics: A technical approach for reducing human error in industrial settings. </w:t>
      </w:r>
      <w:r w:rsidDel="00000000" w:rsidR="00000000" w:rsidRPr="00000000">
        <w:rPr>
          <w:rFonts w:ascii="Arial" w:cs="Arial" w:eastAsia="Arial" w:hAnsi="Arial"/>
          <w:i w:val="1"/>
          <w:iCs w:val="1"/>
          <w:sz w:val="22"/>
          <w:szCs w:val="22"/>
          <w:rtl w:val="0"/>
        </w:rPr>
        <w:t xml:space="preserve">Designs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10</w:t>
      </w:r>
      <w:r w:rsidDel="00000000" w:rsidR="00000000" w:rsidRPr="00000000">
        <w:rPr>
          <w:rFonts w:ascii="Arial" w:cs="Arial" w:eastAsia="Arial" w:hAnsi="Arial"/>
          <w:sz w:val="22"/>
          <w:szCs w:val="22"/>
          <w:rtl w:val="0"/>
        </w:rPr>
        <w:t xml:space="preserve">(1), p.8. Available at: </w:t>
      </w:r>
      <w:hyperlink r:id="rId85">
        <w:r w:rsidDel="00000000" w:rsidR="00000000" w:rsidRPr="00000000">
          <w:rPr>
            <w:rFonts w:ascii="Arial" w:cs="Arial" w:eastAsia="Arial" w:hAnsi="Arial"/>
            <w:color w:val="0000ff"/>
            <w:sz w:val="22"/>
            <w:szCs w:val="22"/>
            <w:u w:val="single"/>
            <w:rtl w:val="0"/>
          </w:rPr>
          <w:t xml:space="preserve">https://doi.org/10.3390/designs10010008</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Wale, A., Everitt, J., Ayres, T., Okolie, C., Morgan, H., Shaw, H., Edwards, R.T., Davies, J., Lewis, R., Cooper, A. and Edwards, A. (2024). A rapid review of the effectiveness of interventions for addressing digital exclusion in older adults. </w:t>
      </w:r>
      <w:r w:rsidDel="00000000" w:rsidR="00000000" w:rsidRPr="00000000">
        <w:rPr>
          <w:rFonts w:ascii="Arial" w:cs="Arial" w:eastAsia="Arial" w:hAnsi="Arial"/>
          <w:i w:val="1"/>
          <w:iCs w:val="1"/>
          <w:sz w:val="22"/>
          <w:szCs w:val="22"/>
          <w:rtl w:val="0"/>
        </w:rPr>
        <w:t xml:space="preserve">medRxiv</w:t>
      </w:r>
      <w:r w:rsidDel="00000000" w:rsidR="00000000" w:rsidRPr="00000000">
        <w:rPr>
          <w:rFonts w:ascii="Arial" w:cs="Arial" w:eastAsia="Arial" w:hAnsi="Arial"/>
          <w:sz w:val="22"/>
          <w:szCs w:val="22"/>
          <w:rtl w:val="0"/>
        </w:rPr>
        <w:t xml:space="preserve">, pp.2024-03. </w:t>
      </w:r>
      <w:hyperlink r:id="rId86">
        <w:r w:rsidDel="00000000" w:rsidR="00000000" w:rsidRPr="00000000">
          <w:rPr>
            <w:rFonts w:ascii="Arial" w:cs="Arial" w:eastAsia="Arial" w:hAnsi="Arial"/>
            <w:color w:val="0000ff"/>
            <w:sz w:val="22"/>
            <w:szCs w:val="22"/>
            <w:u w:val="single"/>
            <w:rtl w:val="0"/>
          </w:rPr>
          <w:t xml:space="preserve">https://doi.org/10.1101/2024.03.21.24304670</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Williamson, D.J. and Yoder, T.J., 2026. Low-overhead fault-tolerant quantum computation by gauging logical operators. </w:t>
      </w:r>
      <w:r w:rsidDel="00000000" w:rsidR="00000000" w:rsidRPr="00000000">
        <w:rPr>
          <w:rFonts w:ascii="Arial" w:cs="Arial" w:eastAsia="Arial" w:hAnsi="Arial"/>
          <w:i w:val="1"/>
          <w:iCs w:val="1"/>
          <w:sz w:val="22"/>
          <w:szCs w:val="22"/>
          <w:rtl w:val="0"/>
        </w:rPr>
        <w:t xml:space="preserve">Nature Physics</w:t>
      </w:r>
      <w:r w:rsidDel="00000000" w:rsidR="00000000" w:rsidRPr="00000000">
        <w:rPr>
          <w:rFonts w:ascii="Arial" w:cs="Arial" w:eastAsia="Arial" w:hAnsi="Arial"/>
          <w:sz w:val="22"/>
          <w:szCs w:val="22"/>
          <w:rtl w:val="0"/>
        </w:rPr>
        <w:t xml:space="preserve">, pp.1-6. Available at: </w:t>
      </w:r>
      <w:hyperlink r:id="rId87">
        <w:r w:rsidDel="00000000" w:rsidR="00000000" w:rsidRPr="00000000">
          <w:rPr>
            <w:rFonts w:ascii="Arial" w:cs="Arial" w:eastAsia="Arial" w:hAnsi="Arial"/>
            <w:color w:val="0000ff"/>
            <w:sz w:val="22"/>
            <w:szCs w:val="22"/>
            <w:u w:val="single"/>
            <w:rtl w:val="0"/>
          </w:rPr>
          <w:t xml:space="preserve">https://www.nature.com/articles/s41567-026-03220-8.pdf</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Wilson, I., Ukoha-Kalu, B.O., Okoeki, M., Clark, J., Boland, J.W., Pask, S., Nwulu, U., Elliott-Button, H., Folwell, A., Johnson, M.J. and Harman, D., 2023. Experiences of a novel integrated service for older adults at risk of frailty: a qualitative study. </w:t>
      </w:r>
      <w:r w:rsidDel="00000000" w:rsidR="00000000" w:rsidRPr="00000000">
        <w:rPr>
          <w:rFonts w:ascii="Arial" w:cs="Arial" w:eastAsia="Arial" w:hAnsi="Arial"/>
          <w:i w:val="1"/>
          <w:iCs w:val="1"/>
          <w:sz w:val="22"/>
          <w:szCs w:val="22"/>
          <w:rtl w:val="0"/>
        </w:rPr>
        <w:t xml:space="preserve">Journal of Patient Experience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10</w:t>
      </w:r>
      <w:r w:rsidDel="00000000" w:rsidR="00000000" w:rsidRPr="00000000">
        <w:rPr>
          <w:rFonts w:ascii="Arial" w:cs="Arial" w:eastAsia="Arial" w:hAnsi="Arial"/>
          <w:sz w:val="22"/>
          <w:szCs w:val="22"/>
          <w:rtl w:val="0"/>
        </w:rPr>
        <w:t xml:space="preserve">, p.23743735231199827. Available at: </w:t>
      </w:r>
      <w:hyperlink r:id="rId88">
        <w:r w:rsidDel="00000000" w:rsidR="00000000" w:rsidRPr="00000000">
          <w:rPr>
            <w:rFonts w:ascii="Arial" w:cs="Arial" w:eastAsia="Arial" w:hAnsi="Arial"/>
            <w:color w:val="0000ff"/>
            <w:sz w:val="22"/>
            <w:szCs w:val="22"/>
            <w:u w:val="single"/>
            <w:rtl w:val="0"/>
          </w:rPr>
          <w:t xml:space="preserve">https://doi.org/10.1177/23743735231199827</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Wilson, S., Tolley, C., Mc Ardle, R., Lawson, L., Beswick, E., Hassan, N., Slight, R. and Slight, S. (2024). Recommendations to advance digital health equity: a systematic review of qualitative studies. </w:t>
      </w:r>
      <w:r w:rsidDel="00000000" w:rsidR="00000000" w:rsidRPr="00000000">
        <w:rPr>
          <w:rFonts w:ascii="Arial" w:cs="Arial" w:eastAsia="Arial" w:hAnsi="Arial"/>
          <w:i w:val="1"/>
          <w:iCs w:val="1"/>
          <w:sz w:val="22"/>
          <w:szCs w:val="22"/>
          <w:rtl w:val="0"/>
        </w:rPr>
        <w:t xml:space="preserve">NPJ digital medicine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7</w:t>
      </w:r>
      <w:r w:rsidDel="00000000" w:rsidR="00000000" w:rsidRPr="00000000">
        <w:rPr>
          <w:rFonts w:ascii="Arial" w:cs="Arial" w:eastAsia="Arial" w:hAnsi="Arial"/>
          <w:sz w:val="22"/>
          <w:szCs w:val="22"/>
          <w:rtl w:val="0"/>
        </w:rPr>
        <w:t xml:space="preserve">(1), p.173. </w:t>
      </w:r>
      <w:hyperlink r:id="rId89">
        <w:r w:rsidDel="00000000" w:rsidR="00000000" w:rsidRPr="00000000">
          <w:rPr>
            <w:rFonts w:ascii="Arial" w:cs="Arial" w:eastAsia="Arial" w:hAnsi="Arial"/>
            <w:color w:val="0000ff"/>
            <w:sz w:val="22"/>
            <w:szCs w:val="22"/>
            <w:u w:val="single"/>
            <w:rtl w:val="0"/>
          </w:rPr>
          <w:t xml:space="preserve">https://doi.org/10.1038/s41746-024-01177-7</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A">
      <w:pPr>
        <w:spacing w:after="240" w:befor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highlight w:val="white"/>
          <w:rtl w:val="0"/>
        </w:rPr>
        <w:t xml:space="preserve">World Health Organization (2025). </w:t>
      </w:r>
      <w:r w:rsidDel="00000000" w:rsidR="00000000" w:rsidRPr="00000000">
        <w:rPr>
          <w:rFonts w:ascii="Arial" w:cs="Arial" w:eastAsia="Arial" w:hAnsi="Arial"/>
          <w:i w:val="1"/>
          <w:iCs w:val="1"/>
          <w:color w:val="000000"/>
          <w:sz w:val="22"/>
          <w:szCs w:val="22"/>
          <w:highlight w:val="white"/>
          <w:rtl w:val="0"/>
        </w:rPr>
        <w:t xml:space="preserve">Integrated care for older people (‎ ICOPE)‎: guidance for person-centred assessment and pathways in primary care</w:t>
      </w:r>
      <w:r w:rsidDel="00000000" w:rsidR="00000000" w:rsidRPr="00000000">
        <w:rPr>
          <w:rFonts w:ascii="Arial" w:cs="Arial" w:eastAsia="Arial" w:hAnsi="Arial"/>
          <w:color w:val="000000"/>
          <w:sz w:val="22"/>
          <w:szCs w:val="22"/>
          <w:highlight w:val="white"/>
          <w:rtl w:val="0"/>
        </w:rPr>
        <w:t xml:space="preserve">.</w:t>
      </w:r>
      <w:r w:rsidDel="00000000" w:rsidR="00000000" w:rsidRPr="00000000">
        <w:rPr>
          <w:rFonts w:ascii="Arial" w:cs="Arial" w:eastAsia="Arial" w:hAnsi="Arial"/>
          <w:color w:val="000000"/>
          <w:sz w:val="22"/>
          <w:szCs w:val="22"/>
          <w:rtl w:val="0"/>
        </w:rPr>
        <w:t xml:space="preserve"> Available at: </w:t>
      </w:r>
      <w:hyperlink r:id="rId90">
        <w:r w:rsidDel="00000000" w:rsidR="00000000" w:rsidRPr="00000000">
          <w:rPr>
            <w:rFonts w:ascii="Arial" w:cs="Arial" w:eastAsia="Arial" w:hAnsi="Arial"/>
            <w:color w:val="0000ff"/>
            <w:sz w:val="22"/>
            <w:szCs w:val="22"/>
            <w:u w:val="single"/>
            <w:rtl w:val="0"/>
          </w:rPr>
          <w:t xml:space="preserve">https://iris.who.int/server/api/core/bitstreams/7516b015-e205-43d1-883f-01f2c31af261/content</w:t>
        </w:r>
      </w:hyperlink>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1E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Wu, J., Xue, E., Huang, S., Fu, Y., Chen, D., Shao, J., Zhang, H., Tang, L. and Ye, Z., 2023. Facilitators and barriers of integrated care for older adults with multimorbidity: a descriptive qualitative study. </w:t>
      </w:r>
      <w:r w:rsidDel="00000000" w:rsidR="00000000" w:rsidRPr="00000000">
        <w:rPr>
          <w:rFonts w:ascii="Arial" w:cs="Arial" w:eastAsia="Arial" w:hAnsi="Arial"/>
          <w:i w:val="1"/>
          <w:iCs w:val="1"/>
          <w:sz w:val="22"/>
          <w:szCs w:val="22"/>
          <w:rtl w:val="0"/>
        </w:rPr>
        <w:t xml:space="preserve">Clinical Interventions in Aging</w:t>
      </w:r>
      <w:r w:rsidDel="00000000" w:rsidR="00000000" w:rsidRPr="00000000">
        <w:rPr>
          <w:rFonts w:ascii="Arial" w:cs="Arial" w:eastAsia="Arial" w:hAnsi="Arial"/>
          <w:sz w:val="22"/>
          <w:szCs w:val="22"/>
          <w:rtl w:val="0"/>
        </w:rPr>
        <w:t xml:space="preserve">, pp.1973-1983. Available at: </w:t>
      </w:r>
      <w:hyperlink r:id="rId91">
        <w:r w:rsidDel="00000000" w:rsidR="00000000" w:rsidRPr="00000000">
          <w:rPr>
            <w:rFonts w:ascii="Arial" w:cs="Arial" w:eastAsia="Arial" w:hAnsi="Arial"/>
            <w:color w:val="0000ff"/>
            <w:sz w:val="22"/>
            <w:szCs w:val="22"/>
            <w:u w:val="single"/>
            <w:rtl w:val="0"/>
          </w:rPr>
          <w:t xml:space="preserve">https://doi.org/10.2147/CIA.S436294</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C">
      <w:pPr>
        <w:spacing w:after="240" w:before="240" w:lineRule="auto"/>
        <w:rPr>
          <w:rFonts w:ascii="Arial" w:cs="Arial" w:eastAsia="Arial" w:hAnsi="Arial"/>
          <w:sz w:val="22"/>
          <w:szCs w:val="22"/>
        </w:rPr>
        <w:sectPr>
          <w:footerReference r:id="rId92" w:type="default"/>
          <w:footerReference r:id="rId93" w:type="first"/>
          <w:pgSz w:h="16838" w:w="11906" w:orient="portrait"/>
          <w:pgMar w:bottom="1440" w:top="1440" w:left="1440" w:right="1440" w:header="720" w:footer="720"/>
          <w:pgNumType w:start="1"/>
          <w:titlePg w:val="1"/>
        </w:sectPr>
      </w:pPr>
      <w:r w:rsidDel="00000000" w:rsidR="00000000" w:rsidRPr="00000000">
        <w:rPr>
          <w:rFonts w:ascii="Arial" w:cs="Arial" w:eastAsia="Arial" w:hAnsi="Arial"/>
          <w:color w:val="000000"/>
          <w:sz w:val="22"/>
          <w:szCs w:val="22"/>
          <w:highlight w:val="white"/>
          <w:rtl w:val="0"/>
        </w:rPr>
        <w:t xml:space="preserve">Zhao, L., Chang, B., Hu, Q., Chen, X., Du, J. and Shao, S. (2025). The health care needs of multidimensional frail elderly patients with multimorbidity in primary health-care settings: a qualitative study. </w:t>
      </w:r>
      <w:r w:rsidDel="00000000" w:rsidR="00000000" w:rsidRPr="00000000">
        <w:rPr>
          <w:rFonts w:ascii="Arial" w:cs="Arial" w:eastAsia="Arial" w:hAnsi="Arial"/>
          <w:i w:val="1"/>
          <w:iCs w:val="1"/>
          <w:color w:val="000000"/>
          <w:sz w:val="22"/>
          <w:szCs w:val="22"/>
          <w:highlight w:val="white"/>
          <w:rtl w:val="0"/>
        </w:rPr>
        <w:t xml:space="preserve">BMC Primary Care</w:t>
      </w:r>
      <w:r w:rsidDel="00000000" w:rsidR="00000000" w:rsidRPr="00000000">
        <w:rPr>
          <w:rFonts w:ascii="Arial" w:cs="Arial" w:eastAsia="Arial" w:hAnsi="Arial"/>
          <w:color w:val="000000"/>
          <w:sz w:val="22"/>
          <w:szCs w:val="22"/>
          <w:highlight w:val="white"/>
          <w:rtl w:val="0"/>
        </w:rPr>
        <w:t xml:space="preserve">, </w:t>
      </w:r>
      <w:r w:rsidDel="00000000" w:rsidR="00000000" w:rsidRPr="00000000">
        <w:rPr>
          <w:rFonts w:ascii="Arial" w:cs="Arial" w:eastAsia="Arial" w:hAnsi="Arial"/>
          <w:i w:val="1"/>
          <w:iCs w:val="1"/>
          <w:color w:val="000000"/>
          <w:sz w:val="22"/>
          <w:szCs w:val="22"/>
          <w:highlight w:val="white"/>
          <w:rtl w:val="0"/>
        </w:rPr>
        <w:t xml:space="preserve">26</w:t>
      </w:r>
      <w:r w:rsidDel="00000000" w:rsidR="00000000" w:rsidRPr="00000000">
        <w:rPr>
          <w:rFonts w:ascii="Arial" w:cs="Arial" w:eastAsia="Arial" w:hAnsi="Arial"/>
          <w:color w:val="000000"/>
          <w:sz w:val="22"/>
          <w:szCs w:val="22"/>
          <w:highlight w:val="white"/>
          <w:rtl w:val="0"/>
        </w:rPr>
        <w:t xml:space="preserve">(1), p.128.</w:t>
      </w:r>
      <w:r w:rsidDel="00000000" w:rsidR="00000000" w:rsidRPr="00000000">
        <w:rPr>
          <w:rFonts w:ascii="Arial" w:cs="Arial" w:eastAsia="Arial" w:hAnsi="Arial"/>
          <w:color w:val="000000"/>
          <w:sz w:val="22"/>
          <w:szCs w:val="22"/>
          <w:rtl w:val="0"/>
        </w:rPr>
        <w:t xml:space="preserve"> Available at: </w:t>
      </w:r>
      <w:hyperlink r:id="rId94">
        <w:r w:rsidDel="00000000" w:rsidR="00000000" w:rsidRPr="00000000">
          <w:rPr>
            <w:rFonts w:ascii="Arial" w:cs="Arial" w:eastAsia="Arial" w:hAnsi="Arial"/>
            <w:color w:val="0000ff"/>
            <w:sz w:val="22"/>
            <w:szCs w:val="22"/>
            <w:u w:val="single"/>
            <w:rtl w:val="0"/>
          </w:rPr>
          <w:t xml:space="preserve">https://doi.org/10.1186/s12875-025-02836-8</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D">
      <w:pPr>
        <w:pStyle w:val="Heading1"/>
        <w:rPr/>
      </w:pPr>
      <w:bookmarkStart w:colFirst="0" w:colLast="0" w:name="_brdozk8a22bc" w:id="76"/>
      <w:bookmarkEnd w:id="76"/>
      <w:r w:rsidDel="00000000" w:rsidR="00000000" w:rsidRPr="00000000">
        <w:rPr>
          <w:rtl w:val="0"/>
        </w:rPr>
        <w:t xml:space="preserve">Appendices</w:t>
      </w:r>
    </w:p>
    <w:p w:rsidR="00000000" w:rsidDel="00000000" w:rsidP="00000000" w:rsidRDefault="00000000" w:rsidRPr="00000000" w14:paraId="000001EE">
      <w:pPr>
        <w:pStyle w:val="Heading2"/>
        <w:rPr/>
      </w:pPr>
      <w:bookmarkStart w:colFirst="0" w:colLast="0" w:name="_hx96mvxe49ly" w:id="77"/>
      <w:bookmarkEnd w:id="77"/>
      <w:r w:rsidDel="00000000" w:rsidR="00000000" w:rsidRPr="00000000">
        <w:rPr>
          <w:rtl w:val="0"/>
        </w:rPr>
        <w:t xml:space="preserve">Appendix 1: Data extraction table</w:t>
      </w:r>
    </w:p>
    <w:tbl>
      <w:tblPr>
        <w:tblStyle w:val="Table5"/>
        <w:tblW w:w="13948.000000000002" w:type="dxa"/>
        <w:jc w:val="center"/>
        <w:tblLayout w:type="fixed"/>
        <w:tblLook w:val="0400"/>
      </w:tblPr>
      <w:tblGrid>
        <w:gridCol w:w="1741"/>
        <w:gridCol w:w="2349"/>
        <w:gridCol w:w="2876"/>
        <w:gridCol w:w="2343"/>
        <w:gridCol w:w="2385"/>
        <w:gridCol w:w="2254"/>
        <w:tblGridChange w:id="0">
          <w:tblGrid>
            <w:gridCol w:w="1741"/>
            <w:gridCol w:w="2349"/>
            <w:gridCol w:w="2876"/>
            <w:gridCol w:w="2343"/>
            <w:gridCol w:w="2385"/>
            <w:gridCol w:w="2254"/>
          </w:tblGrid>
        </w:tblGridChange>
      </w:tblGrid>
      <w:tr>
        <w:trPr>
          <w:cantSplit w:val="0"/>
          <w:trHeight w:val="675"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EF">
            <w:pPr>
              <w:spacing w:after="240" w:before="24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Author(s)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0">
            <w:pPr>
              <w:spacing w:after="240" w:before="24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Objective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1">
            <w:pPr>
              <w:spacing w:after="240" w:before="24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Methods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2">
            <w:pPr>
              <w:spacing w:after="240" w:before="24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Findings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3">
            <w:pPr>
              <w:spacing w:after="240" w:before="24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Strengths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4">
            <w:pPr>
              <w:spacing w:after="240" w:before="24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Weaknesses</w:t>
            </w:r>
            <w:r w:rsidDel="00000000" w:rsidR="00000000" w:rsidRPr="00000000">
              <w:rPr>
                <w:rtl w:val="0"/>
              </w:rPr>
            </w:r>
          </w:p>
        </w:tc>
      </w:tr>
      <w:tr>
        <w:trPr>
          <w:cantSplit w:val="0"/>
          <w:trHeight w:val="99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Dambha-Miller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(2021)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integration drivers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interviews, n=37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Leadership interface rules and collocation boost integration. Record sharing and professional tension, on the other hand, are hindering it.</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Multistakeholder sample</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 outcome measurement.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Khan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(2023)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family care implementation in Luton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Interviews/document analysis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Local leadership, MDT working, and information systems impacting the overall implementation process.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1F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Real-world setting</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Single local programme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Murtagh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(2023)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assess proactive MDT care</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Non-randomised controlled study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Integrated care reflects potential benefit for wellbeing and QoL.</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Comparative design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Confounding possible</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Boyce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(2026)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integrated care impact</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Systematic review/meta-analysis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QoL impacts were small and non-significant. Social functioning showed good potential.</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Large sample size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High heterogeneity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Green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examine community service integration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0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England-wide survey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Diversification is present in community service provision and integration.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National UK coverage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Survey limits causality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Karacsony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(2022)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assess clinical and social outcomes of integrated healthcare</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systematic review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Social participation motivation and well-being were reported.</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Systematic synthesis and good quality of appraisal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Limited outcome evidence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Murphy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explorer person cantered integrated care experiences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Integrative review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Coordination, continuity, and holistic care enhance experiences of older adults.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In-depth database review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Conceptual variation present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1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Tops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map out integrated care models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Scoping review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MDT continuity and personalised planning are common.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Comprehensive model mapping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Under-reported organizational results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Stray</w:t>
            </w:r>
            <w:r w:rsidDel="00000000" w:rsidR="00000000" w:rsidRPr="00000000">
              <w:rPr>
                <w:rFonts w:ascii="Arial" w:cs="Arial" w:eastAsia="Arial" w:hAnsi="Arial"/>
                <w:i w:val="1"/>
                <w:iCs w:val="1"/>
                <w:sz w:val="22"/>
                <w:szCs w:val="22"/>
                <w:rtl w:val="0"/>
              </w:rPr>
              <w:t xml:space="preserve"> et al</w:t>
            </w:r>
            <w:r w:rsidDel="00000000" w:rsidR="00000000" w:rsidRPr="00000000">
              <w:rPr>
                <w:rFonts w:ascii="Arial" w:cs="Arial" w:eastAsia="Arial" w:hAnsi="Arial"/>
                <w:sz w:val="22"/>
                <w:szCs w:val="22"/>
                <w:rtl w:val="0"/>
              </w:rPr>
              <w:t xml:space="preserve">. (2024)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explore interprofessional communication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Meta-ethnography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Poor communication developed fragmented care. This is an older adult give value to information sharing.</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11 Qualitative studies give deep outcomes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limiting objectivity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McGill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(2024)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model community-integrated care processes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FRAM interviews and focus groups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system challenges and opportunities for redesigning integrated care.</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2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System-level modelling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Hypothetical results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Ahmed et al. (2021)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explain integrated care mechanisms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Rapid realist review</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Context, relationship, and service design giving shape to the implementation.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Realistic approach explaining mechanisms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Contextual variation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Barber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improve MDT working and training interventions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Training intervention, n=115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Training increased knowledge, confidence and role understanding.</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Multi-PCN UK intervention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focus and not direct patient outcome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Wilson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(2023)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explore a novel integrated service</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3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study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Patients give value to the comprehensive support but want strong follow-up.</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Diverse perspective of patients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Small qualitative evidence base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Hendry &amp; Law (2024)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examine proactive frailty care</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Practice review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Early identification and coordinated proactive care were focused 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Practical clinical focus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Empirical evidence limitation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Money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explore web service engagement</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study of &gt;75s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Skills, confidence, accessibility, and support impacted the digital engagement of the older adults.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Older use perspective incresing concreteness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Digital focus does not specify integrated care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4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Casselden (2023)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examine digital inclusion and community intervention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community intervention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Device accessibility training and personalised support increase the digital inclusion of older adults.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Real-world application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Library setting limiting healthcare knowledge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Christensen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review multimorbidity satisfaction tools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Scoping review</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Tool support identification and satisfaction of complicated older adults.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Focused evidence for multimorbidity and frailty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Tool heterogeneity present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Sadler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assess case management</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Cochrane systematic review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Case management can improve coordination, but its impact differs.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5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Rigorous evidence base</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Heterogeneity of evidence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Honinx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(2026)</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develop caring technology guidance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Co-creation approach</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 creation support the ethical user-generated technology design.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Good stakeholder involvement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Limited evidence of clinical effectiveness </w:t>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Wu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integrated care barriers and facilitators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study.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leadership, and resource support the integration, but organisational challenges are hindering it.</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Focused evidence for multimorbidity and frailty </w:t>
            </w:r>
          </w:p>
          <w:p w:rsidR="00000000" w:rsidDel="00000000" w:rsidP="00000000" w:rsidRDefault="00000000" w:rsidRPr="00000000" w14:paraId="0000026C">
            <w:pPr>
              <w:spacing w:after="240" w:before="240" w:lineRule="auto"/>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6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Limited generalisability </w:t>
            </w:r>
          </w:p>
        </w:tc>
      </w:tr>
    </w:tbl>
    <w:p w:rsidR="00000000" w:rsidDel="00000000" w:rsidP="00000000" w:rsidRDefault="00000000" w:rsidRPr="00000000" w14:paraId="0000026E">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Self-developed)</w:t>
      </w:r>
    </w:p>
    <w:p w:rsidR="00000000" w:rsidDel="00000000" w:rsidP="00000000" w:rsidRDefault="00000000" w:rsidRPr="00000000" w14:paraId="0000026F">
      <w:pPr>
        <w:pStyle w:val="Heading2"/>
        <w:rPr/>
      </w:pPr>
      <w:bookmarkStart w:colFirst="0" w:colLast="0" w:name="_hf24m4hq1acv" w:id="78"/>
      <w:bookmarkEnd w:id="78"/>
      <w:r w:rsidDel="00000000" w:rsidR="00000000" w:rsidRPr="00000000">
        <w:rPr>
          <w:rtl w:val="0"/>
        </w:rPr>
        <w:t xml:space="preserve">Appendix 2: CASP checklist for qualitative and other studies </w:t>
      </w:r>
    </w:p>
    <w:tbl>
      <w:tblPr>
        <w:tblStyle w:val="Table6"/>
        <w:tblW w:w="13948.0" w:type="dxa"/>
        <w:jc w:val="center"/>
        <w:tblLayout w:type="fixed"/>
        <w:tblLook w:val="0400"/>
      </w:tblPr>
      <w:tblGrid>
        <w:gridCol w:w="1151"/>
        <w:gridCol w:w="801"/>
        <w:gridCol w:w="623"/>
        <w:gridCol w:w="607"/>
        <w:gridCol w:w="665"/>
        <w:gridCol w:w="665"/>
        <w:gridCol w:w="892"/>
        <w:gridCol w:w="665"/>
        <w:gridCol w:w="656"/>
        <w:gridCol w:w="665"/>
        <w:gridCol w:w="688"/>
        <w:gridCol w:w="665"/>
        <w:gridCol w:w="665"/>
        <w:gridCol w:w="665"/>
        <w:gridCol w:w="672"/>
        <w:gridCol w:w="981"/>
        <w:gridCol w:w="665"/>
        <w:gridCol w:w="665"/>
        <w:gridCol w:w="892"/>
        <w:tblGridChange w:id="0">
          <w:tblGrid>
            <w:gridCol w:w="1151"/>
            <w:gridCol w:w="801"/>
            <w:gridCol w:w="623"/>
            <w:gridCol w:w="607"/>
            <w:gridCol w:w="665"/>
            <w:gridCol w:w="665"/>
            <w:gridCol w:w="892"/>
            <w:gridCol w:w="665"/>
            <w:gridCol w:w="656"/>
            <w:gridCol w:w="665"/>
            <w:gridCol w:w="688"/>
            <w:gridCol w:w="665"/>
            <w:gridCol w:w="665"/>
            <w:gridCol w:w="665"/>
            <w:gridCol w:w="672"/>
            <w:gridCol w:w="981"/>
            <w:gridCol w:w="665"/>
            <w:gridCol w:w="665"/>
            <w:gridCol w:w="892"/>
          </w:tblGrid>
        </w:tblGridChange>
      </w:tblGrid>
      <w:tr>
        <w:trPr>
          <w:cantSplit w:val="0"/>
          <w:trHeight w:val="440" w:hRule="atLeast"/>
          <w:tblHeader w:val="0"/>
        </w:trPr>
        <w:tc>
          <w:tcPr>
            <w:vMerge w:val="restart"/>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70">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w:t>
            </w:r>
            <w:r w:rsidDel="00000000" w:rsidR="00000000" w:rsidRPr="00000000">
              <w:rPr>
                <w:rtl w:val="0"/>
              </w:rPr>
            </w:r>
          </w:p>
        </w:tc>
        <w:tc>
          <w:tcPr>
            <w:gridSpan w:val="18"/>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71">
            <w:pPr>
              <w:spacing w:after="240" w:before="24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Studies</w:t>
            </w:r>
            <w:r w:rsidDel="00000000" w:rsidR="00000000" w:rsidRPr="00000000">
              <w:rPr>
                <w:rtl w:val="0"/>
              </w:rPr>
            </w:r>
          </w:p>
        </w:tc>
      </w:tr>
      <w:tr>
        <w:trPr>
          <w:cantSplit w:val="0"/>
          <w:trHeight w:val="270" w:hRule="atLeast"/>
          <w:tblHeader w:val="0"/>
        </w:trPr>
        <w:tc>
          <w:tcPr>
            <w:vMerge w:val="continue"/>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Dambha-Miller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Khan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(2023)</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McGill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Wilson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(2023)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Money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(2024)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Casselden (2023)</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Wu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Honinx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(2026)</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Boyce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(2026)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Murphy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Tops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8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Stray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(2024)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Ahmed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(2021)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Hendry &amp; Law (2024)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Christensen</w:t>
            </w:r>
            <w:r w:rsidDel="00000000" w:rsidR="00000000" w:rsidRPr="00000000">
              <w:rPr>
                <w:rFonts w:ascii="Arial" w:cs="Arial" w:eastAsia="Arial" w:hAnsi="Arial"/>
                <w:i w:val="1"/>
                <w:iCs w:val="1"/>
                <w:sz w:val="22"/>
                <w:szCs w:val="22"/>
                <w:rtl w:val="0"/>
              </w:rPr>
              <w:t xml:space="preserve"> et al. </w:t>
            </w:r>
            <w:r w:rsidDel="00000000" w:rsidR="00000000" w:rsidRPr="00000000">
              <w:rPr>
                <w:rFonts w:ascii="Arial" w:cs="Arial" w:eastAsia="Arial" w:hAnsi="Arial"/>
                <w:sz w:val="22"/>
                <w:szCs w:val="22"/>
                <w:rtl w:val="0"/>
              </w:rPr>
              <w:t xml:space="preserve">(2025)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Sadler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(2023)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Barber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Karacsony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Was there a clear statement of the aim of the research?</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9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27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Is qualitative methodology appropriate?</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A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Was the research design appropriate to address the aims of the research?</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B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C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Was the recruitment strategy appropriate to the aims of the research?</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D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Was the data collected in a way that addressed the research issue?</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E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81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Has the relationship between researcher and participants been adequately considered?</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2F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 ethical issues been taken into consideration?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0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Was the data analysis sufficiently rigorous?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1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27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Is there a clear statement of findings?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2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3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27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 valuable is the research?</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4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bl>
    <w:p w:rsidR="00000000" w:rsidDel="00000000" w:rsidP="00000000" w:rsidRDefault="00000000" w:rsidRPr="00000000" w14:paraId="00000354">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Self-developed)</w:t>
      </w:r>
    </w:p>
    <w:p w:rsidR="00000000" w:rsidDel="00000000" w:rsidP="00000000" w:rsidRDefault="00000000" w:rsidRPr="00000000" w14:paraId="00000355">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56">
      <w:pPr>
        <w:pStyle w:val="Heading2"/>
        <w:rPr/>
      </w:pPr>
      <w:bookmarkStart w:colFirst="0" w:colLast="0" w:name="_uwzhxn7qt1vo" w:id="79"/>
      <w:bookmarkEnd w:id="79"/>
      <w:r w:rsidDel="00000000" w:rsidR="00000000" w:rsidRPr="00000000">
        <w:rPr>
          <w:rtl w:val="0"/>
        </w:rPr>
        <w:t xml:space="preserve">Appendix 3: CASP checklist for Cohort studies </w:t>
      </w:r>
    </w:p>
    <w:tbl>
      <w:tblPr>
        <w:tblStyle w:val="Table7"/>
        <w:tblW w:w="12777.0" w:type="dxa"/>
        <w:jc w:val="center"/>
        <w:tblLayout w:type="fixed"/>
        <w:tblLook w:val="0400"/>
      </w:tblPr>
      <w:tblGrid>
        <w:gridCol w:w="10473"/>
        <w:gridCol w:w="2304"/>
        <w:tblGridChange w:id="0">
          <w:tblGrid>
            <w:gridCol w:w="10473"/>
            <w:gridCol w:w="2304"/>
          </w:tblGrid>
        </w:tblGridChange>
      </w:tblGrid>
      <w:tr>
        <w:trPr>
          <w:cantSplit w:val="0"/>
          <w:trHeight w:val="270" w:hRule="atLeast"/>
          <w:tblHeader w:val="0"/>
        </w:trPr>
        <w:tc>
          <w:tcPr>
            <w:vMerge w:val="restart"/>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7">
            <w:pPr>
              <w:spacing w:after="240" w:before="24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8">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Study</w:t>
            </w:r>
            <w:r w:rsidDel="00000000" w:rsidR="00000000" w:rsidRPr="00000000">
              <w:rPr>
                <w:rtl w:val="0"/>
              </w:rPr>
            </w:r>
          </w:p>
        </w:tc>
      </w:tr>
      <w:tr>
        <w:trPr>
          <w:cantSplit w:val="0"/>
          <w:trHeight w:val="270" w:hRule="atLeast"/>
          <w:tblHeader w:val="0"/>
        </w:trPr>
        <w:tc>
          <w:tcPr>
            <w:vMerge w:val="continue"/>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Murtagh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(2023) </w:t>
            </w:r>
          </w:p>
        </w:tc>
      </w:tr>
      <w:tr>
        <w:trPr>
          <w:cantSplit w:val="0"/>
          <w:trHeight w:val="81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the two groups similar and recruited from the same population?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N</w:t>
            </w:r>
          </w:p>
        </w:tc>
      </w:tr>
      <w:tr>
        <w:trPr>
          <w:cantSplit w:val="0"/>
          <w:trHeight w:val="1065"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the exposures measured similarly to assign people to both exposed and unexposed groups?</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r>
      <w:tr>
        <w:trPr>
          <w:cantSplit w:val="0"/>
          <w:trHeight w:val="78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5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Was the exposure measured validly and reliably?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r>
      <w:tr>
        <w:trPr>
          <w:cantSplit w:val="0"/>
          <w:trHeight w:val="78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confounding factors identified?</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r>
      <w:tr>
        <w:trPr>
          <w:cantSplit w:val="0"/>
          <w:trHeight w:val="78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strategies to deal with confounding factors stated?</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r>
      <w:tr>
        <w:trPr>
          <w:cantSplit w:val="0"/>
          <w:trHeight w:val="1065"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the groups/participants free of the outcome at the start of the study (or at the moment of exposure)?</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r>
      <w:tr>
        <w:trPr>
          <w:cantSplit w:val="0"/>
          <w:trHeight w:val="78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the outcomes measured validly and reliably?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r>
      <w:tr>
        <w:trPr>
          <w:cantSplit w:val="0"/>
          <w:trHeight w:val="81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Was the follow-up time reported and sufficient to be long enough for outcomes to occur?</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r>
      <w:tr>
        <w:trPr>
          <w:cantSplit w:val="0"/>
          <w:trHeight w:val="1065"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Was follow-up complete, and if not, were the reasons for loss to follow-up described and explored?</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r>
      <w:tr>
        <w:trPr>
          <w:cantSplit w:val="0"/>
          <w:trHeight w:val="78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strategies to address incomplete follow-up utilized?</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N</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6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Was appropriate statistical analysis used?</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N</w:t>
            </w:r>
          </w:p>
        </w:tc>
      </w:tr>
    </w:tbl>
    <w:p w:rsidR="00000000" w:rsidDel="00000000" w:rsidP="00000000" w:rsidRDefault="00000000" w:rsidRPr="00000000" w14:paraId="00000371">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Self-developed)</w:t>
      </w:r>
    </w:p>
    <w:p w:rsidR="00000000" w:rsidDel="00000000" w:rsidP="00000000" w:rsidRDefault="00000000" w:rsidRPr="00000000" w14:paraId="00000372">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73">
      <w:pPr>
        <w:pStyle w:val="Heading2"/>
        <w:rPr/>
      </w:pPr>
      <w:bookmarkStart w:colFirst="0" w:colLast="0" w:name="_4wsgqvk88uue" w:id="80"/>
      <w:bookmarkEnd w:id="80"/>
      <w:r w:rsidDel="00000000" w:rsidR="00000000" w:rsidRPr="00000000">
        <w:rPr>
          <w:rtl w:val="0"/>
        </w:rPr>
        <w:t xml:space="preserve">Appendix 4: CASP checklist for analytical cross-sectional studies  </w:t>
      </w:r>
    </w:p>
    <w:tbl>
      <w:tblPr>
        <w:tblStyle w:val="Table8"/>
        <w:tblW w:w="13948.000000000002" w:type="dxa"/>
        <w:jc w:val="center"/>
        <w:tblLayout w:type="fixed"/>
        <w:tblLook w:val="0400"/>
      </w:tblPr>
      <w:tblGrid>
        <w:gridCol w:w="10812"/>
        <w:gridCol w:w="3136"/>
        <w:tblGridChange w:id="0">
          <w:tblGrid>
            <w:gridCol w:w="10812"/>
            <w:gridCol w:w="3136"/>
          </w:tblGrid>
        </w:tblGridChange>
      </w:tblGrid>
      <w:tr>
        <w:trPr>
          <w:cantSplit w:val="0"/>
          <w:trHeight w:val="540" w:hRule="atLeast"/>
          <w:tblHeader w:val="0"/>
        </w:trPr>
        <w:tc>
          <w:tcPr>
            <w:vMerge w:val="restart"/>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4">
            <w:pPr>
              <w:spacing w:after="240" w:before="24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5">
            <w:pPr>
              <w:spacing w:after="240" w:before="24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Studies</w:t>
            </w:r>
            <w:r w:rsidDel="00000000" w:rsidR="00000000" w:rsidRPr="00000000">
              <w:rPr>
                <w:rtl w:val="0"/>
              </w:rPr>
            </w:r>
          </w:p>
          <w:p w:rsidR="00000000" w:rsidDel="00000000" w:rsidP="00000000" w:rsidRDefault="00000000" w:rsidRPr="00000000" w14:paraId="00000376">
            <w:pPr>
              <w:spacing w:after="240" w:before="240" w:lineRule="auto"/>
              <w:jc w:val="center"/>
              <w:rPr>
                <w:rFonts w:ascii="Arial" w:cs="Arial" w:eastAsia="Arial" w:hAnsi="Arial"/>
                <w:sz w:val="22"/>
                <w:szCs w:val="22"/>
              </w:rPr>
            </w:pPr>
            <w:r w:rsidDel="00000000" w:rsidR="00000000" w:rsidRPr="00000000">
              <w:rPr>
                <w:rtl w:val="0"/>
              </w:rPr>
            </w:r>
          </w:p>
        </w:tc>
      </w:tr>
      <w:tr>
        <w:trPr>
          <w:cantSplit w:val="0"/>
          <w:trHeight w:val="270" w:hRule="atLeast"/>
          <w:tblHeader w:val="0"/>
        </w:trPr>
        <w:tc>
          <w:tcPr>
            <w:vMerge w:val="continue"/>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Green </w:t>
            </w:r>
            <w:r w:rsidDel="00000000" w:rsidR="00000000" w:rsidRPr="00000000">
              <w:rPr>
                <w:rFonts w:ascii="Arial" w:cs="Arial" w:eastAsia="Arial" w:hAnsi="Arial"/>
                <w:i w:val="1"/>
                <w:iCs w:val="1"/>
                <w:sz w:val="22"/>
                <w:szCs w:val="22"/>
                <w:rtl w:val="0"/>
              </w:rPr>
              <w:t xml:space="preserve">et al. </w:t>
            </w:r>
            <w:r w:rsidDel="00000000" w:rsidR="00000000" w:rsidRPr="00000000">
              <w:rPr>
                <w:rFonts w:ascii="Arial" w:cs="Arial" w:eastAsia="Arial" w:hAnsi="Arial"/>
                <w:sz w:val="22"/>
                <w:szCs w:val="22"/>
                <w:rtl w:val="0"/>
              </w:rPr>
              <w:t xml:space="preserve">(2025) </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the criteria for inclusion in the sample clearly defined?</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Y</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the study subjects and the setting described in detail?</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Was the exposure measured validly and reliably?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7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objective, standard criteria used for measurement of the condition?</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8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27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8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confounding factors identified?</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8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8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strategies to deal with confounding factors stated?</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8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N</w:t>
            </w:r>
          </w:p>
        </w:tc>
      </w:tr>
      <w:tr>
        <w:trPr>
          <w:cantSplit w:val="0"/>
          <w:trHeight w:val="54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8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Were the outcomes measured validly and reliably?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8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r>
        <w:trPr>
          <w:cantSplit w:val="0"/>
          <w:trHeight w:val="270"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8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Was appropriate statistical analysis used?</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38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w:t>
            </w:r>
          </w:p>
        </w:tc>
      </w:tr>
    </w:tbl>
    <w:p w:rsidR="00000000" w:rsidDel="00000000" w:rsidP="00000000" w:rsidRDefault="00000000" w:rsidRPr="00000000" w14:paraId="00000389">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Self-developed)</w:t>
      </w:r>
    </w:p>
    <w:p w:rsidR="00000000" w:rsidDel="00000000" w:rsidP="00000000" w:rsidRDefault="00000000" w:rsidRPr="00000000" w14:paraId="0000038A">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B">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C">
      <w:pPr>
        <w:spacing w:after="240" w:before="240" w:lineRule="auto"/>
        <w:rPr>
          <w:rFonts w:ascii="Arial" w:cs="Arial" w:eastAsia="Arial" w:hAnsi="Arial"/>
          <w:sz w:val="22"/>
          <w:szCs w:val="22"/>
        </w:rPr>
      </w:pPr>
      <w:r w:rsidDel="00000000" w:rsidR="00000000" w:rsidRPr="00000000">
        <w:rPr>
          <w:rtl w:val="0"/>
        </w:rPr>
      </w:r>
    </w:p>
    <w:sectPr>
      <w:type w:val="nextPage"/>
      <w:pgSz w:h="11906" w:w="16838" w:orient="landscape"/>
      <w:pgMar w:bottom="1440" w:top="1440" w:left="1440" w:right="1440" w:header="720" w:footer="72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ambria"/>
  <w:font w:name="Cambria Math"/>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8D">
    <w:pPr>
      <w:keepNext w:val="0"/>
      <w:keepLines w:val="0"/>
      <w:pageBreakBefore w:val="0"/>
      <w:widowControl w:val="1"/>
      <w:pBdr>
        <w:top w:space="0" w:sz="0" w:val="nil"/>
        <w:left w:space="0" w:sz="0" w:val="nil"/>
        <w:bottom w:space="0" w:sz="0" w:val="nil"/>
        <w:right w:space="0" w:sz="0" w:val="nil"/>
        <w:between w:space="0" w:sz="0" w:val="nil"/>
      </w:pBdr>
      <w:shd w:fill="ffffff"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8E">
    <w:pPr>
      <w:keepNext w:val="0"/>
      <w:keepLines w:val="0"/>
      <w:pageBreakBefore w:val="0"/>
      <w:widowControl w:val="1"/>
      <w:pBdr>
        <w:top w:space="0" w:sz="0" w:val="nil"/>
        <w:left w:space="0" w:sz="0" w:val="nil"/>
        <w:bottom w:space="0" w:sz="0" w:val="nil"/>
        <w:right w:space="0" w:sz="0" w:val="nil"/>
        <w:between w:space="0" w:sz="0" w:val="nil"/>
      </w:pBdr>
      <w:shd w:fill="ffffff"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8F">
    <w:pPr>
      <w:keepNext w:val="0"/>
      <w:keepLines w:val="0"/>
      <w:pageBreakBefore w:val="0"/>
      <w:widowControl w:val="1"/>
      <w:pBdr>
        <w:top w:space="0" w:sz="0" w:val="nil"/>
        <w:left w:space="0" w:sz="0" w:val="nil"/>
        <w:bottom w:space="0" w:sz="0" w:val="nil"/>
        <w:right w:space="0" w:sz="0" w:val="nil"/>
        <w:between w:space="0" w:sz="0" w:val="nil"/>
      </w:pBdr>
      <w:shd w:fill="ffffff"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90">
    <w:pPr>
      <w:keepNext w:val="0"/>
      <w:keepLines w:val="0"/>
      <w:pageBreakBefore w:val="0"/>
      <w:widowControl w:val="1"/>
      <w:pBdr>
        <w:top w:space="0" w:sz="0" w:val="nil"/>
        <w:left w:space="0" w:sz="0" w:val="nil"/>
        <w:bottom w:space="0" w:sz="0" w:val="nil"/>
        <w:right w:space="0" w:sz="0" w:val="nil"/>
        <w:between w:space="0" w:sz="0" w:val="nil"/>
      </w:pBdr>
      <w:shd w:fill="ffffff"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hd w:fill="ffffff" w:val="clear"/>
        <w:spacing w:after="14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rFonts w:ascii="Arial" w:cs="Arial" w:eastAsia="Arial" w:hAnsi="Arial"/>
      <w:b w:val="1"/>
      <w:bCs w:val="1"/>
      <w:sz w:val="28"/>
      <w:szCs w:val="28"/>
    </w:rPr>
  </w:style>
  <w:style w:type="paragraph" w:styleId="Heading2">
    <w:name w:val="heading 2"/>
    <w:basedOn w:val="Normal"/>
    <w:next w:val="Normal"/>
    <w:pPr>
      <w:shd w:fill="auto" w:val="clear"/>
      <w:spacing w:after="200" w:before="200" w:lineRule="auto"/>
    </w:pPr>
    <w:rPr>
      <w:rFonts w:ascii="Arial" w:cs="Arial" w:eastAsia="Arial" w:hAnsi="Arial"/>
      <w:b w:val="1"/>
      <w:bCs w:val="1"/>
    </w:rPr>
  </w:style>
  <w:style w:type="paragraph" w:styleId="Heading3">
    <w:name w:val="heading 3"/>
    <w:basedOn w:val="Normal"/>
    <w:next w:val="Normal"/>
    <w:pPr>
      <w:keepNext w:val="1"/>
      <w:keepLines w:val="1"/>
      <w:spacing w:after="80" w:before="320" w:lineRule="auto"/>
    </w:pPr>
    <w:rPr>
      <w:b w:val="1"/>
      <w:bCs w:val="1"/>
      <w:i w:val="1"/>
      <w:iCs w:val="1"/>
    </w:rPr>
  </w:style>
  <w:style w:type="paragraph" w:styleId="Heading4">
    <w:name w:val="heading 4"/>
    <w:basedOn w:val="Normal"/>
    <w:next w:val="Normal"/>
    <w:pPr>
      <w:keepNext w:val="1"/>
      <w:keepLines w:val="1"/>
      <w:spacing w:after="80" w:before="280" w:lineRule="auto"/>
      <w:jc w:val="center"/>
    </w:pPr>
    <w:rPr>
      <w:b w:val="1"/>
      <w:bCs w:val="1"/>
      <w:color w:val="000000"/>
    </w:rPr>
  </w:style>
  <w:style w:type="paragraph" w:styleId="Heading5">
    <w:name w:val="heading 5"/>
    <w:basedOn w:val="Normal"/>
    <w:next w:val="Normal"/>
    <w:pPr>
      <w:keepNext w:val="1"/>
      <w:keepLines w:val="1"/>
      <w:spacing w:after="80" w:before="240" w:lineRule="auto"/>
      <w:jc w:val="center"/>
    </w:pPr>
    <w:rPr>
      <w:b w:val="1"/>
      <w:bCs w:val="1"/>
      <w:color w:val="000000"/>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5.0" w:type="dxa"/>
        <w:left w:w="15.0" w:type="dxa"/>
        <w:bottom w:w="15.0" w:type="dxa"/>
        <w:right w:w="15.0" w:type="dxa"/>
      </w:tblCellMar>
    </w:tblPr>
  </w:style>
  <w:style w:type="table" w:styleId="Table2">
    <w:basedOn w:val="TableNormal"/>
    <w:tblPr>
      <w:tblStyleRowBandSize w:val="1"/>
      <w:tblStyleColBandSize w:val="1"/>
      <w:tblCellMar>
        <w:top w:w="15.0" w:type="dxa"/>
        <w:left w:w="15.0" w:type="dxa"/>
        <w:bottom w:w="15.0" w:type="dxa"/>
        <w:right w:w="15.0" w:type="dxa"/>
      </w:tblCellMar>
    </w:tblPr>
  </w:style>
  <w:style w:type="table" w:styleId="Table3">
    <w:basedOn w:val="TableNormal"/>
    <w:tblPr>
      <w:tblStyleRowBandSize w:val="1"/>
      <w:tblStyleColBandSize w:val="1"/>
      <w:tblCellMar>
        <w:top w:w="15.0" w:type="dxa"/>
        <w:left w:w="15.0" w:type="dxa"/>
        <w:bottom w:w="15.0" w:type="dxa"/>
        <w:right w:w="15.0" w:type="dxa"/>
      </w:tblCellMar>
    </w:tblPr>
  </w:style>
  <w:style w:type="table" w:styleId="Table4">
    <w:basedOn w:val="TableNormal"/>
    <w:tblPr>
      <w:tblStyleRowBandSize w:val="1"/>
      <w:tblStyleColBandSize w:val="1"/>
      <w:tblCellMar>
        <w:top w:w="15.0" w:type="dxa"/>
        <w:left w:w="15.0" w:type="dxa"/>
        <w:bottom w:w="15.0" w:type="dxa"/>
        <w:right w:w="15.0" w:type="dxa"/>
      </w:tblCellMar>
    </w:tblPr>
  </w:style>
  <w:style w:type="table" w:styleId="Table5">
    <w:basedOn w:val="TableNormal"/>
    <w:tblPr>
      <w:tblStyleRowBandSize w:val="1"/>
      <w:tblStyleColBandSize w:val="1"/>
      <w:tblCellMar>
        <w:top w:w="15.0" w:type="dxa"/>
        <w:left w:w="15.0" w:type="dxa"/>
        <w:bottom w:w="15.0" w:type="dxa"/>
        <w:right w:w="15.0" w:type="dxa"/>
      </w:tblCellMar>
    </w:tblPr>
  </w:style>
  <w:style w:type="table" w:styleId="Table6">
    <w:basedOn w:val="TableNormal"/>
    <w:tblPr>
      <w:tblStyleRowBandSize w:val="1"/>
      <w:tblStyleColBandSize w:val="1"/>
      <w:tblCellMar>
        <w:top w:w="15.0" w:type="dxa"/>
        <w:left w:w="15.0" w:type="dxa"/>
        <w:bottom w:w="15.0" w:type="dxa"/>
        <w:right w:w="15.0" w:type="dxa"/>
      </w:tblCellMar>
    </w:tblPr>
  </w:style>
  <w:style w:type="table" w:styleId="Table7">
    <w:basedOn w:val="TableNormal"/>
    <w:tblPr>
      <w:tblStyleRowBandSize w:val="1"/>
      <w:tblStyleColBandSize w:val="1"/>
      <w:tblCellMar>
        <w:top w:w="15.0" w:type="dxa"/>
        <w:left w:w="15.0" w:type="dxa"/>
        <w:bottom w:w="15.0" w:type="dxa"/>
        <w:right w:w="15.0" w:type="dxa"/>
      </w:tblCellMar>
    </w:tblPr>
  </w:style>
  <w:style w:type="table" w:styleId="Table8">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155/2024/6437930" TargetMode="External"/><Relationship Id="rId84" Type="http://schemas.openxmlformats.org/officeDocument/2006/relationships/hyperlink" Target="https://doi.org/10.1080/0960085X.2026.2709635" TargetMode="External"/><Relationship Id="rId83" Type="http://schemas.openxmlformats.org/officeDocument/2006/relationships/hyperlink" Target="https://doi.org/10.1111/ggi.70046" TargetMode="External"/><Relationship Id="rId42" Type="http://schemas.openxmlformats.org/officeDocument/2006/relationships/hyperlink" Target="https://doi.org/10.3399/BJGPO.2021.0035" TargetMode="External"/><Relationship Id="rId86" Type="http://schemas.openxmlformats.org/officeDocument/2006/relationships/hyperlink" Target="https://doi.org/10.1101/2024.03.21.24304670" TargetMode="External"/><Relationship Id="rId41" Type="http://schemas.openxmlformats.org/officeDocument/2006/relationships/hyperlink" Target="https://doi.org/10.12968/hmed.2024.0018" TargetMode="External"/><Relationship Id="rId85" Type="http://schemas.openxmlformats.org/officeDocument/2006/relationships/hyperlink" Target="https://doi.org/10.3390/designs10010008" TargetMode="External"/><Relationship Id="rId44" Type="http://schemas.openxmlformats.org/officeDocument/2006/relationships/hyperlink" Target="https://doi.org/10.1007/s00296-026-06195-0" TargetMode="External"/><Relationship Id="rId88" Type="http://schemas.openxmlformats.org/officeDocument/2006/relationships/hyperlink" Target="https://doi.org/10.1177/23743735231199827" TargetMode="External"/><Relationship Id="rId43" Type="http://schemas.openxmlformats.org/officeDocument/2006/relationships/hyperlink" Target="https://www.mdpi.com/1660-4601/23/2/238" TargetMode="External"/><Relationship Id="rId87" Type="http://schemas.openxmlformats.org/officeDocument/2006/relationships/hyperlink" Target="https://www.nature.com/articles/s41567-026-03220-8.pdf" TargetMode="External"/><Relationship Id="rId46" Type="http://schemas.openxmlformats.org/officeDocument/2006/relationships/hyperlink" Target="https://doi.org/10.3390/ijerph22071096" TargetMode="External"/><Relationship Id="rId45" Type="http://schemas.openxmlformats.org/officeDocument/2006/relationships/hyperlink" Target="https://kommerstad.org/journal/article/download/43/38" TargetMode="External"/><Relationship Id="rId89" Type="http://schemas.openxmlformats.org/officeDocument/2006/relationships/hyperlink" Target="https://doi.org/10.1038/s41746-024-01177-7" TargetMode="External"/><Relationship Id="rId80" Type="http://schemas.openxmlformats.org/officeDocument/2006/relationships/hyperlink" Target="https://doi.org/10.3389/fpubh.2023.1286479" TargetMode="External"/><Relationship Id="rId82" Type="http://schemas.openxmlformats.org/officeDocument/2006/relationships/hyperlink" Target="https://philpapers.org/archive/UCHETA.pdf" TargetMode="External"/><Relationship Id="rId81" Type="http://schemas.openxmlformats.org/officeDocument/2006/relationships/hyperlink" Target="https://doi.org/10.5334/ijic.7576" TargetMode="External"/><Relationship Id="rId1" Type="http://schemas.openxmlformats.org/officeDocument/2006/relationships/image" Target="media/image1.emf"/><Relationship Id="rId2" Type="http://schemas.openxmlformats.org/officeDocument/2006/relationships/theme" Target="theme/theme1.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image" Target="media/image3.png"/><Relationship Id="rId48" Type="http://schemas.openxmlformats.org/officeDocument/2006/relationships/hyperlink" Target="https://www.sciencedirect.com/science/article/pii/S0895435626000971/pdf?md5=00759bc060d7fa2af8b5bfc93f9f7e83&amp;pid=1-s2.0-S0895435626000971-main.pdf" TargetMode="External"/><Relationship Id="rId47" Type="http://schemas.openxmlformats.org/officeDocument/2006/relationships/hyperlink" Target="https://doi.org/10.5334/ijic.6469" TargetMode="External"/><Relationship Id="rId49" Type="http://schemas.openxmlformats.org/officeDocument/2006/relationships/hyperlink" Target="https://doi.org/10.5334/ijic.6537"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png"/><Relationship Id="rId8" Type="http://schemas.openxmlformats.org/officeDocument/2006/relationships/image" Target="media/image4.png"/><Relationship Id="rId73" Type="http://schemas.openxmlformats.org/officeDocument/2006/relationships/hyperlink" Target="https://doi.org/10.1080/08989621.2025.2484555" TargetMode="External"/><Relationship Id="rId72" Type="http://schemas.openxmlformats.org/officeDocument/2006/relationships/hyperlink" Target="https://doi.org/10.5334/ijic.6475" TargetMode="External"/><Relationship Id="rId31" Type="http://schemas.openxmlformats.org/officeDocument/2006/relationships/hyperlink" Target="https://doi.org/10.1101/2025.06.04.25328979" TargetMode="External"/><Relationship Id="rId75" Type="http://schemas.openxmlformats.org/officeDocument/2006/relationships/hyperlink" Target="https://doi.org/10.1136/bmj-2025-087367" TargetMode="External"/><Relationship Id="rId30" Type="http://schemas.openxmlformats.org/officeDocument/2006/relationships/hyperlink" Target="https://doi.org/10.1177/26335565251357781" TargetMode="External"/><Relationship Id="rId74" Type="http://schemas.openxmlformats.org/officeDocument/2006/relationships/hyperlink" Target="http://dx.doi.org/10.1136/bmjopen-2021-053222" TargetMode="External"/><Relationship Id="rId33" Type="http://schemas.openxmlformats.org/officeDocument/2006/relationships/hyperlink" Target="https://doi.org/10.3399/BJGP.2020.1100" TargetMode="External"/><Relationship Id="rId77" Type="http://schemas.openxmlformats.org/officeDocument/2006/relationships/hyperlink" Target="https://doi.org/10.1186/s12877-024-04745-4" TargetMode="External"/><Relationship Id="rId32" Type="http://schemas.openxmlformats.org/officeDocument/2006/relationships/hyperlink" Target="https://doi.org/10.1111/jan.16965" TargetMode="External"/><Relationship Id="rId76" Type="http://schemas.openxmlformats.org/officeDocument/2006/relationships/hyperlink" Target="https://doi.org/10.1332/23978821Y2024D000000092" TargetMode="External"/><Relationship Id="rId35" Type="http://schemas.openxmlformats.org/officeDocument/2006/relationships/hyperlink" Target="https://www.nuffieldtrust.org.uk/sites/default/files/2019-01/nutj6871-age-uk-care-190130-web.pdf" TargetMode="External"/><Relationship Id="rId79" Type="http://schemas.openxmlformats.org/officeDocument/2006/relationships/hyperlink" Target="https://doi.org/10.1007/s41979-025-00147-2" TargetMode="External"/><Relationship Id="rId34" Type="http://schemas.openxmlformats.org/officeDocument/2006/relationships/hyperlink" Target="https://doi.org/10.3310/MDTT6530" TargetMode="External"/><Relationship Id="rId78" Type="http://schemas.openxmlformats.org/officeDocument/2006/relationships/hyperlink" Target="https://doi.org/10.1007/s12325-026-03656-7" TargetMode="External"/><Relationship Id="rId71" Type="http://schemas.openxmlformats.org/officeDocument/2006/relationships/hyperlink" Target="https://doi.org/10.25115/ecp.v19i39.11079" TargetMode="External"/><Relationship Id="rId70" Type="http://schemas.openxmlformats.org/officeDocument/2006/relationships/hyperlink" Target="https://doi.org/10.1002%2F14651858.CD013088.pub2" TargetMode="External"/><Relationship Id="rId37" Type="http://schemas.openxmlformats.org/officeDocument/2006/relationships/hyperlink" Target="https://doi.org/10.1093/ageing/afaf174" TargetMode="External"/><Relationship Id="rId36" Type="http://schemas.openxmlformats.org/officeDocument/2006/relationships/hyperlink" Target="https://cmls.org.uk/online/wp-content/uploads/2019/07/Understanding-health-and-social-care.pdf" TargetMode="External"/><Relationship Id="rId39" Type="http://schemas.openxmlformats.org/officeDocument/2006/relationships/hyperlink" Target="https://doi.org/10.1111/scs.70217" TargetMode="External"/><Relationship Id="rId38" Type="http://schemas.openxmlformats.org/officeDocument/2006/relationships/hyperlink" Target="https://doi.org/10.1017/S0144686X25100123" TargetMode="External"/><Relationship Id="rId62" Type="http://schemas.openxmlformats.org/officeDocument/2006/relationships/hyperlink" Target="https://www.ons.gov.uk/peoplepopulationandcommunity/birthsdeathsandmarriages/ageing/bulletins/estimatesoftheveryoldincludingcentenarians/2002to2024" TargetMode="External"/><Relationship Id="rId61" Type="http://schemas.openxmlformats.org/officeDocument/2006/relationships/hyperlink" Target="https://www.unionsafety.eu/ELibrary/media/elibrarymedia/NHSConfederationReportStateOfIntegratedCareSystems2022.pdf" TargetMode="External"/><Relationship Id="rId20" Type="http://schemas.openxmlformats.org/officeDocument/2006/relationships/hyperlink" Target="https://doi.org/10.5334/ijic.7022" TargetMode="External"/><Relationship Id="rId64" Type="http://schemas.openxmlformats.org/officeDocument/2006/relationships/hyperlink" Target="https://doi.org/10.1145/3770762.3772512" TargetMode="External"/><Relationship Id="rId63" Type="http://schemas.openxmlformats.org/officeDocument/2006/relationships/hyperlink" Target="https://doi.org/10.3390/su18073357" TargetMode="External"/><Relationship Id="rId22" Type="http://schemas.openxmlformats.org/officeDocument/2006/relationships/hyperlink" Target="https://www.bgs.org.uk/bgs-key-messages-end-of-life-care" TargetMode="External"/><Relationship Id="rId66" Type="http://schemas.openxmlformats.org/officeDocument/2006/relationships/hyperlink" Target="https://doi.org/10.3390/computers15020111" TargetMode="External"/><Relationship Id="rId21" Type="http://schemas.openxmlformats.org/officeDocument/2006/relationships/hyperlink" Target="https://doi.org/10.5334/ijic.6004" TargetMode="External"/><Relationship Id="rId65" Type="http://schemas.openxmlformats.org/officeDocument/2006/relationships/hyperlink" Target="https://files.eric.ed.gov/fulltext/EJ1499515.pdf" TargetMode="External"/><Relationship Id="rId24" Type="http://schemas.openxmlformats.org/officeDocument/2006/relationships/hyperlink" Target="https://doi.org/10.1016/j.tjfa.2026.100150" TargetMode="External"/><Relationship Id="rId68" Type="http://schemas.openxmlformats.org/officeDocument/2006/relationships/hyperlink" Target="https://www.ageuk.org.uk/siteassets/documents/reports-and-publications/reports-and-briefings/health--wellbeing/state-of-health-and-care/state-of-health-care-of-older-people-in-england-2025.pdf" TargetMode="External"/><Relationship Id="rId23" Type="http://schemas.openxmlformats.org/officeDocument/2006/relationships/hyperlink" Target="https://doi.org/10.3399/BJGP.2022.0405" TargetMode="External"/><Relationship Id="rId67" Type="http://schemas.openxmlformats.org/officeDocument/2006/relationships/hyperlink" Target="https://doi.org/10.1016/j.healthpol.2022.03.009" TargetMode="External"/><Relationship Id="rId60" Type="http://schemas.openxmlformats.org/officeDocument/2006/relationships/hyperlink" Target="https://doi.org/10.1186/s12877-023-03727-2" TargetMode="External"/><Relationship Id="rId26" Type="http://schemas.openxmlformats.org/officeDocument/2006/relationships/hyperlink" Target="https://doi.org/10.12968/bjcn.2025.0111" TargetMode="External"/><Relationship Id="rId25" Type="http://schemas.openxmlformats.org/officeDocument/2006/relationships/hyperlink" Target="https://www.ncj.nl/wp-content/uploads/media-import/docs/6a45c1a4-82ad-4f69-957e-1c76966678e2.pdf" TargetMode="External"/><Relationship Id="rId69" Type="http://schemas.openxmlformats.org/officeDocument/2006/relationships/hyperlink" Target="https://doi.org/10.1016/j.heliyon.2024.e40015" TargetMode="External"/><Relationship Id="rId28" Type="http://schemas.openxmlformats.org/officeDocument/2006/relationships/hyperlink" Target="https://doi.org/10.3390/en19030725" TargetMode="External"/><Relationship Id="rId27" Type="http://schemas.openxmlformats.org/officeDocument/2006/relationships/hyperlink" Target="https://repositori.uib.cat/xmlui/bitstream/handle/11201/173538/38524.pdf?sequence=1&amp;isAllowed=y" TargetMode="External"/><Relationship Id="rId29" Type="http://schemas.openxmlformats.org/officeDocument/2006/relationships/hyperlink" Target="https://doi.org/10.1177/09610006221101898" TargetMode="External"/><Relationship Id="rId51" Type="http://schemas.openxmlformats.org/officeDocument/2006/relationships/hyperlink" Target="https://scholar.google.com/scholar?output=instlink&amp;q=info:Lm_g1u6EQ5sJ:scholar.google.com/&amp;hl=en&amp;as_sdt=0,5&amp;as_ylo=2026&amp;scillfp=11073554956731789623&amp;oi=lle" TargetMode="External"/><Relationship Id="rId50" Type="http://schemas.openxmlformats.org/officeDocument/2006/relationships/hyperlink" Target="https://doi.org/10.1080/1059924X.2017.1356780" TargetMode="External"/><Relationship Id="rId94" Type="http://schemas.openxmlformats.org/officeDocument/2006/relationships/hyperlink" Target="https://doi.org/10.1186/s12875-025-02836-8" TargetMode="External"/><Relationship Id="rId53" Type="http://schemas.openxmlformats.org/officeDocument/2006/relationships/hyperlink" Target="https://doi.org/10.1177/13558196261437005" TargetMode="External"/><Relationship Id="rId52" Type="http://schemas.openxmlformats.org/officeDocument/2006/relationships/hyperlink" Target="https://doi.org/10.5334/ijic.6447" TargetMode="External"/><Relationship Id="rId11" Type="http://schemas.openxmlformats.org/officeDocument/2006/relationships/image" Target="media/image5.png"/><Relationship Id="rId55" Type="http://schemas.openxmlformats.org/officeDocument/2006/relationships/hyperlink" Target="https://doi.org/10.3390/jmahp13020028" TargetMode="External"/><Relationship Id="rId10" Type="http://schemas.openxmlformats.org/officeDocument/2006/relationships/image" Target="media/image6.png"/><Relationship Id="rId54" Type="http://schemas.openxmlformats.org/officeDocument/2006/relationships/hyperlink" Target="https://doi.org/10.3390/healthcare13121379" TargetMode="External"/><Relationship Id="rId13" Type="http://schemas.openxmlformats.org/officeDocument/2006/relationships/hyperlink" Target="https://doi.org/10.1016/j.jenvman.2025.128269" TargetMode="External"/><Relationship Id="rId57" Type="http://schemas.openxmlformats.org/officeDocument/2006/relationships/hyperlink" Target="https://doi.org/10.2196/46522" TargetMode="External"/><Relationship Id="rId12" Type="http://schemas.openxmlformats.org/officeDocument/2006/relationships/image" Target="media/image7.png"/><Relationship Id="rId56" Type="http://schemas.openxmlformats.org/officeDocument/2006/relationships/hyperlink" Target="https://doi.org/10.1186/s12961-024-01196-6" TargetMode="External"/><Relationship Id="rId91" Type="http://schemas.openxmlformats.org/officeDocument/2006/relationships/hyperlink" Target="https://doi.org/10.2147/CIA.S436294" TargetMode="External"/><Relationship Id="rId90" Type="http://schemas.openxmlformats.org/officeDocument/2006/relationships/hyperlink" Target="https://iris.who.int/server/api/core/bitstreams/7516b015-e205-43d1-883f-01f2c31af261/content" TargetMode="External"/><Relationship Id="rId93" Type="http://schemas.openxmlformats.org/officeDocument/2006/relationships/footer" Target="footer2.xml"/><Relationship Id="rId92" Type="http://schemas.openxmlformats.org/officeDocument/2006/relationships/footer" Target="footer1.xml"/><Relationship Id="rId15" Type="http://schemas.openxmlformats.org/officeDocument/2006/relationships/hyperlink" Target="https://scholar.google.com/scholar?output=instlink&amp;q=info:aVBWHvlIb60J:scholar.google.com/&amp;hl=en&amp;as_sdt=0,5&amp;scillfp=9924550568595731938&amp;oi=lle" TargetMode="External"/><Relationship Id="rId59" Type="http://schemas.openxmlformats.org/officeDocument/2006/relationships/hyperlink" Target="https://doi.org/10.5334/ijic.9066" TargetMode="External"/><Relationship Id="rId14" Type="http://schemas.openxmlformats.org/officeDocument/2006/relationships/hyperlink" Target="https://www.ageuk.org.uk/bp-assets/globalassets/birmingham/original-blocks/about-us/latest-news/2025/key-facts---state-for-health-and-care-2025.pdf" TargetMode="External"/><Relationship Id="rId58" Type="http://schemas.openxmlformats.org/officeDocument/2006/relationships/hyperlink" Target="https://doi.org/10.1186/s12913-021-06692-x" TargetMode="External"/><Relationship Id="rId17" Type="http://schemas.openxmlformats.org/officeDocument/2006/relationships/hyperlink" Target="https://doi.org/10.1080/09650792.2026.2664803" TargetMode="External"/><Relationship Id="rId16" Type="http://schemas.openxmlformats.org/officeDocument/2006/relationships/hyperlink" Target="https://doi.org/10.2196/57580" TargetMode="External"/><Relationship Id="rId19" Type="http://schemas.openxmlformats.org/officeDocument/2006/relationships/hyperlink" Target="https://doi.org/10.1007/s11205-026-03904-x" TargetMode="External"/><Relationship Id="rId18" Type="http://schemas.openxmlformats.org/officeDocument/2006/relationships/hyperlink" Target="https://grins.it/sites/default/files/2025-12/The_urgent_need_for_an_nhs_reform__adapting_to_overlooked_years_of_transformation_in_health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