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A8529" w14:textId="77777777" w:rsidR="007B6206" w:rsidRDefault="007B6206" w:rsidP="007B6206">
      <w:pPr>
        <w:spacing w:line="259" w:lineRule="auto"/>
        <w:rPr>
          <w:rFonts w:ascii="Arial" w:hAnsi="Arial" w:cs="Arial"/>
          <w:b/>
          <w:sz w:val="36"/>
          <w:szCs w:val="36"/>
        </w:rPr>
      </w:pPr>
    </w:p>
    <w:p w14:paraId="6038E8F3" w14:textId="77777777" w:rsidR="007B6206" w:rsidRDefault="007B6206" w:rsidP="007B6206">
      <w:pPr>
        <w:spacing w:line="259" w:lineRule="auto"/>
        <w:rPr>
          <w:rFonts w:ascii="Arial" w:hAnsi="Arial" w:cs="Arial"/>
          <w:b/>
          <w:sz w:val="36"/>
          <w:szCs w:val="36"/>
        </w:rPr>
      </w:pPr>
    </w:p>
    <w:p w14:paraId="75E816D7" w14:textId="275B3C59" w:rsidR="007B6206" w:rsidRDefault="007B6206" w:rsidP="007B6206">
      <w:pPr>
        <w:spacing w:line="259" w:lineRule="auto"/>
        <w:rPr>
          <w:rFonts w:ascii="Arial" w:hAnsi="Arial" w:cs="Arial"/>
          <w:b/>
          <w:sz w:val="36"/>
          <w:szCs w:val="36"/>
        </w:rPr>
      </w:pPr>
      <w:r w:rsidRPr="007B6206">
        <w:rPr>
          <w:rFonts w:ascii="Arial" w:hAnsi="Arial" w:cs="Arial"/>
          <w:b/>
          <w:noProof/>
          <w:sz w:val="36"/>
          <w:szCs w:val="36"/>
        </w:rPr>
        <w:drawing>
          <wp:inline distT="0" distB="0" distL="0" distR="0" wp14:anchorId="2723E739" wp14:editId="75891799">
            <wp:extent cx="4457700" cy="1264920"/>
            <wp:effectExtent l="0" t="0" r="0" b="0"/>
            <wp:docPr id="298475013"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7700" cy="1264920"/>
                    </a:xfrm>
                    <a:prstGeom prst="rect">
                      <a:avLst/>
                    </a:prstGeom>
                    <a:noFill/>
                    <a:ln>
                      <a:noFill/>
                    </a:ln>
                  </pic:spPr>
                </pic:pic>
              </a:graphicData>
            </a:graphic>
          </wp:inline>
        </w:drawing>
      </w:r>
    </w:p>
    <w:p w14:paraId="05F72142" w14:textId="77777777" w:rsidR="007B6206" w:rsidRDefault="007B6206" w:rsidP="007B6206">
      <w:pPr>
        <w:spacing w:line="259" w:lineRule="auto"/>
        <w:rPr>
          <w:rFonts w:ascii="Arial" w:hAnsi="Arial" w:cs="Arial"/>
          <w:b/>
          <w:sz w:val="36"/>
          <w:szCs w:val="36"/>
        </w:rPr>
      </w:pPr>
    </w:p>
    <w:p w14:paraId="0DFD997F" w14:textId="77777777" w:rsidR="007B6206" w:rsidRDefault="007B6206" w:rsidP="007B6206">
      <w:pPr>
        <w:spacing w:line="259" w:lineRule="auto"/>
        <w:rPr>
          <w:rFonts w:ascii="Arial" w:hAnsi="Arial" w:cs="Arial"/>
          <w:b/>
          <w:sz w:val="36"/>
          <w:szCs w:val="36"/>
        </w:rPr>
      </w:pPr>
    </w:p>
    <w:p w14:paraId="0AB88F1B" w14:textId="68A916D9" w:rsidR="007B6206" w:rsidRDefault="007B6206" w:rsidP="007B6206">
      <w:pPr>
        <w:spacing w:line="259" w:lineRule="auto"/>
        <w:rPr>
          <w:rFonts w:ascii="Arial" w:hAnsi="Arial" w:cs="Arial"/>
          <w:b/>
          <w:sz w:val="36"/>
          <w:szCs w:val="36"/>
        </w:rPr>
      </w:pPr>
      <w:r>
        <w:rPr>
          <w:rFonts w:ascii="Arial" w:hAnsi="Arial" w:cs="Arial"/>
          <w:b/>
          <w:sz w:val="36"/>
          <w:szCs w:val="36"/>
        </w:rPr>
        <w:t>Student Name: Laurence Brehouan</w:t>
      </w:r>
    </w:p>
    <w:p w14:paraId="25DA7E86" w14:textId="48B931B9" w:rsidR="007B6206" w:rsidRDefault="007B6206" w:rsidP="007B6206">
      <w:pPr>
        <w:spacing w:line="259" w:lineRule="auto"/>
        <w:rPr>
          <w:rFonts w:ascii="Arial" w:hAnsi="Arial" w:cs="Arial"/>
          <w:b/>
          <w:sz w:val="36"/>
          <w:szCs w:val="36"/>
        </w:rPr>
      </w:pPr>
      <w:r>
        <w:rPr>
          <w:rFonts w:ascii="Arial" w:hAnsi="Arial" w:cs="Arial"/>
          <w:b/>
          <w:sz w:val="36"/>
          <w:szCs w:val="36"/>
        </w:rPr>
        <w:t>Student Numbert:2328802</w:t>
      </w:r>
    </w:p>
    <w:p w14:paraId="5FFECBD2" w14:textId="76C4B347" w:rsidR="007B6206" w:rsidRDefault="007B6206" w:rsidP="007B6206">
      <w:pPr>
        <w:spacing w:line="259" w:lineRule="auto"/>
        <w:rPr>
          <w:rFonts w:ascii="Arial" w:hAnsi="Arial" w:cs="Arial"/>
          <w:b/>
          <w:sz w:val="36"/>
          <w:szCs w:val="36"/>
        </w:rPr>
      </w:pPr>
      <w:r>
        <w:rPr>
          <w:rFonts w:ascii="Arial" w:hAnsi="Arial" w:cs="Arial"/>
          <w:b/>
          <w:sz w:val="36"/>
          <w:szCs w:val="36"/>
        </w:rPr>
        <w:t>Lecturer: Dr Soban Sadiq</w:t>
      </w:r>
    </w:p>
    <w:p w14:paraId="7A0E9054" w14:textId="7787C84B" w:rsidR="007B6206" w:rsidRDefault="007B6206" w:rsidP="007B6206">
      <w:pPr>
        <w:spacing w:line="259" w:lineRule="auto"/>
        <w:rPr>
          <w:rFonts w:ascii="Arial" w:hAnsi="Arial" w:cs="Arial"/>
          <w:b/>
          <w:sz w:val="36"/>
          <w:szCs w:val="36"/>
        </w:rPr>
      </w:pPr>
      <w:r>
        <w:rPr>
          <w:rFonts w:ascii="Arial" w:hAnsi="Arial" w:cs="Arial"/>
          <w:b/>
          <w:sz w:val="36"/>
          <w:szCs w:val="36"/>
        </w:rPr>
        <w:t xml:space="preserve"> Module: Itroduction to Independent Research Skills</w:t>
      </w:r>
    </w:p>
    <w:p w14:paraId="524FE2CE" w14:textId="5147411A" w:rsidR="00D41183" w:rsidRDefault="00D41183" w:rsidP="007B6206">
      <w:pPr>
        <w:spacing w:line="259" w:lineRule="auto"/>
        <w:rPr>
          <w:rFonts w:ascii="Arial" w:hAnsi="Arial" w:cs="Arial"/>
          <w:b/>
          <w:sz w:val="36"/>
          <w:szCs w:val="36"/>
        </w:rPr>
      </w:pPr>
      <w:r>
        <w:rPr>
          <w:rFonts w:ascii="Arial" w:hAnsi="Arial" w:cs="Arial"/>
          <w:b/>
          <w:sz w:val="36"/>
          <w:szCs w:val="36"/>
        </w:rPr>
        <w:t>[BMHP5019]</w:t>
      </w:r>
    </w:p>
    <w:p w14:paraId="72E33308" w14:textId="39878708" w:rsidR="007B6206" w:rsidRDefault="007B6206" w:rsidP="007B6206">
      <w:pPr>
        <w:spacing w:line="259" w:lineRule="auto"/>
        <w:rPr>
          <w:rFonts w:ascii="Arial" w:hAnsi="Arial" w:cs="Arial"/>
          <w:b/>
          <w:sz w:val="36"/>
          <w:szCs w:val="36"/>
        </w:rPr>
      </w:pPr>
      <w:r>
        <w:rPr>
          <w:rFonts w:ascii="Arial" w:hAnsi="Arial" w:cs="Arial"/>
          <w:b/>
          <w:sz w:val="36"/>
          <w:szCs w:val="36"/>
        </w:rPr>
        <w:t>Component: 1</w:t>
      </w:r>
    </w:p>
    <w:p w14:paraId="4D94E174" w14:textId="5261DCEF" w:rsidR="00CA2235" w:rsidRPr="00FB0C3F" w:rsidRDefault="00CA2235" w:rsidP="007B6206">
      <w:pPr>
        <w:spacing w:line="259" w:lineRule="auto"/>
        <w:rPr>
          <w:rFonts w:ascii="Arial" w:hAnsi="Arial" w:cs="Arial"/>
          <w:b/>
          <w:sz w:val="36"/>
          <w:szCs w:val="36"/>
        </w:rPr>
      </w:pPr>
      <w:r w:rsidRPr="00FB0C3F">
        <w:rPr>
          <w:rFonts w:ascii="Arial" w:hAnsi="Arial" w:cs="Arial"/>
          <w:b/>
          <w:sz w:val="36"/>
          <w:szCs w:val="36"/>
        </w:rPr>
        <w:t>Impact of Loneliness and Social Isolation on the Mental Health and Wellbeing of Older Adults in the UK</w:t>
      </w:r>
    </w:p>
    <w:sdt>
      <w:sdtPr>
        <w:rPr>
          <w:rFonts w:ascii="Arial" w:eastAsiaTheme="minorHAnsi" w:hAnsi="Arial" w:cs="Arial"/>
          <w:color w:val="auto"/>
          <w:kern w:val="2"/>
          <w:sz w:val="24"/>
          <w:szCs w:val="24"/>
          <w:lang w:val="en-GB"/>
          <w14:ligatures w14:val="standardContextual"/>
        </w:rPr>
        <w:id w:val="-1008142069"/>
        <w:docPartObj>
          <w:docPartGallery w:val="Table of Contents"/>
          <w:docPartUnique/>
        </w:docPartObj>
      </w:sdtPr>
      <w:sdtEndPr>
        <w:rPr>
          <w:b/>
          <w:bCs/>
          <w:noProof/>
        </w:rPr>
      </w:sdtEndPr>
      <w:sdtContent>
        <w:p w14:paraId="23A415DC" w14:textId="595B2ABD" w:rsidR="00CA2235" w:rsidRPr="00FB0C3F" w:rsidRDefault="00CA2235" w:rsidP="00F628F8">
          <w:pPr>
            <w:pStyle w:val="TOCHeading"/>
            <w:rPr>
              <w:rFonts w:ascii="Arial" w:hAnsi="Arial" w:cs="Arial"/>
              <w:b/>
              <w:color w:val="auto"/>
            </w:rPr>
          </w:pPr>
        </w:p>
        <w:p w14:paraId="192836D8" w14:textId="316ACAB9" w:rsidR="00CA2235" w:rsidRPr="00FB0C3F" w:rsidRDefault="00CA2235">
          <w:pPr>
            <w:pStyle w:val="TOC1"/>
            <w:tabs>
              <w:tab w:val="right" w:leader="dot" w:pos="9016"/>
            </w:tabs>
            <w:rPr>
              <w:rFonts w:ascii="Arial" w:eastAsiaTheme="minorEastAsia" w:hAnsi="Arial" w:cs="Arial"/>
              <w:noProof/>
              <w:kern w:val="0"/>
              <w:sz w:val="22"/>
              <w:szCs w:val="22"/>
              <w:lang w:eastAsia="en-GB"/>
              <w14:ligatures w14:val="none"/>
            </w:rPr>
          </w:pPr>
          <w:r w:rsidRPr="00FB0C3F">
            <w:rPr>
              <w:rFonts w:ascii="Arial" w:hAnsi="Arial" w:cs="Arial"/>
            </w:rPr>
            <w:fldChar w:fldCharType="begin"/>
          </w:r>
          <w:r w:rsidRPr="00FB0C3F">
            <w:rPr>
              <w:rFonts w:ascii="Arial" w:hAnsi="Arial" w:cs="Arial"/>
            </w:rPr>
            <w:instrText xml:space="preserve"> TOC \o "1-3" \h \z \u </w:instrText>
          </w:r>
          <w:r w:rsidRPr="00FB0C3F">
            <w:rPr>
              <w:rFonts w:ascii="Arial" w:hAnsi="Arial" w:cs="Arial"/>
            </w:rPr>
            <w:fldChar w:fldCharType="separate"/>
          </w:r>
        </w:p>
        <w:p w14:paraId="5E2E3EF7" w14:textId="7145333B" w:rsidR="002F3C53" w:rsidRPr="00F628F8" w:rsidRDefault="00CA2235" w:rsidP="00F628F8">
          <w:pPr>
            <w:rPr>
              <w:rFonts w:ascii="Arial" w:hAnsi="Arial" w:cs="Arial"/>
            </w:rPr>
          </w:pPr>
          <w:r w:rsidRPr="00FB0C3F">
            <w:rPr>
              <w:rFonts w:ascii="Arial" w:hAnsi="Arial" w:cs="Arial"/>
              <w:b/>
              <w:bCs/>
              <w:noProof/>
            </w:rPr>
            <w:fldChar w:fldCharType="end"/>
          </w:r>
        </w:p>
      </w:sdtContent>
    </w:sdt>
    <w:bookmarkStart w:id="0" w:name="_Toc242212871" w:displacedByCustomXml="prev"/>
    <w:p w14:paraId="22D7996E" w14:textId="77777777" w:rsidR="008E260A" w:rsidRDefault="008E260A" w:rsidP="00956BA8">
      <w:pPr>
        <w:pStyle w:val="Heading1"/>
        <w:spacing w:line="360" w:lineRule="auto"/>
        <w:rPr>
          <w:rFonts w:ascii="Arial" w:eastAsiaTheme="minorHAnsi" w:hAnsi="Arial" w:cs="Arial"/>
        </w:rPr>
      </w:pPr>
    </w:p>
    <w:p w14:paraId="7BB962A5" w14:textId="77777777" w:rsidR="008E260A" w:rsidRDefault="008E260A" w:rsidP="00956BA8">
      <w:pPr>
        <w:pStyle w:val="Heading1"/>
        <w:spacing w:line="360" w:lineRule="auto"/>
        <w:rPr>
          <w:rFonts w:ascii="Arial" w:eastAsiaTheme="minorHAnsi" w:hAnsi="Arial" w:cs="Arial"/>
        </w:rPr>
      </w:pPr>
    </w:p>
    <w:p w14:paraId="2F737666" w14:textId="77777777" w:rsidR="008E260A" w:rsidRDefault="008E260A" w:rsidP="00956BA8">
      <w:pPr>
        <w:pStyle w:val="Heading1"/>
        <w:spacing w:line="360" w:lineRule="auto"/>
        <w:rPr>
          <w:rFonts w:ascii="Arial" w:eastAsiaTheme="minorHAnsi" w:hAnsi="Arial" w:cs="Arial"/>
        </w:rPr>
      </w:pPr>
    </w:p>
    <w:p w14:paraId="5EE16D6C" w14:textId="120A47DC" w:rsidR="00956BA8" w:rsidRPr="00FB0C3F" w:rsidRDefault="00956BA8" w:rsidP="00956BA8">
      <w:pPr>
        <w:pStyle w:val="Heading1"/>
        <w:spacing w:line="360" w:lineRule="auto"/>
        <w:rPr>
          <w:rFonts w:ascii="Arial" w:eastAsiaTheme="minorHAnsi" w:hAnsi="Arial" w:cs="Arial"/>
        </w:rPr>
      </w:pPr>
      <w:r w:rsidRPr="00956BA8">
        <w:rPr>
          <w:rFonts w:ascii="Arial" w:eastAsiaTheme="minorHAnsi" w:hAnsi="Arial" w:cs="Arial"/>
        </w:rPr>
        <w:t xml:space="preserve"> </w:t>
      </w:r>
      <w:r>
        <w:rPr>
          <w:rFonts w:ascii="Arial" w:eastAsiaTheme="minorHAnsi" w:hAnsi="Arial" w:cs="Arial"/>
        </w:rPr>
        <w:t>T</w:t>
      </w:r>
      <w:r w:rsidRPr="00FB0C3F">
        <w:rPr>
          <w:rFonts w:ascii="Arial" w:eastAsiaTheme="minorHAnsi" w:hAnsi="Arial" w:cs="Arial"/>
        </w:rPr>
        <w:t>opics, Review Question and Objectives</w:t>
      </w:r>
      <w:bookmarkEnd w:id="0"/>
    </w:p>
    <w:p w14:paraId="130BFE23" w14:textId="77777777" w:rsidR="0081652C" w:rsidRDefault="00956BA8" w:rsidP="0081652C">
      <w:pPr>
        <w:spacing w:line="360" w:lineRule="auto"/>
        <w:ind w:firstLine="851"/>
        <w:jc w:val="both"/>
        <w:rPr>
          <w:rFonts w:ascii="Arial" w:hAnsi="Arial" w:cs="Arial"/>
          <w:sz w:val="22"/>
          <w:szCs w:val="22"/>
        </w:rPr>
      </w:pPr>
      <w:r w:rsidRPr="00C24685">
        <w:rPr>
          <w:rFonts w:ascii="Arial" w:hAnsi="Arial" w:cs="Arial"/>
          <w:sz w:val="22"/>
          <w:szCs w:val="22"/>
        </w:rPr>
        <w:t xml:space="preserve">Loneliness and social isolation are factors of mental health in later life. Lee et al. (2021) showed that loneliness was related to long-term depressive symptoms for older adults (50+ years) in England and Noguchi et al. (2021) found social isolation to be a predictor for the onset of depression in older adults. The review question is, and which is specified below, What is the impact of loneliness and social isolation on the mental health and wellbeing of adults aged 65 years and over in the UK? The aims are to examine identified key </w:t>
      </w:r>
      <w:r w:rsidR="0003756C" w:rsidRPr="00C24685">
        <w:rPr>
          <w:rFonts w:ascii="Arial" w:hAnsi="Arial" w:cs="Arial"/>
          <w:sz w:val="22"/>
          <w:szCs w:val="22"/>
        </w:rPr>
        <w:t>psychological</w:t>
      </w:r>
      <w:r w:rsidR="008E260A">
        <w:rPr>
          <w:rFonts w:ascii="Arial" w:hAnsi="Arial" w:cs="Arial"/>
          <w:sz w:val="22"/>
          <w:szCs w:val="22"/>
        </w:rPr>
        <w:t xml:space="preserve"> </w:t>
      </w:r>
      <w:r w:rsidRPr="00C24685">
        <w:rPr>
          <w:rFonts w:ascii="Arial" w:hAnsi="Arial" w:cs="Arial"/>
          <w:sz w:val="22"/>
          <w:szCs w:val="22"/>
        </w:rPr>
        <w:t>outcomes, risk and protective factors and implications for the practice of health and social care in the UK.</w:t>
      </w:r>
    </w:p>
    <w:p w14:paraId="020FD4CC" w14:textId="36C0871C" w:rsidR="00956BA8" w:rsidRPr="0081652C" w:rsidRDefault="00956BA8" w:rsidP="0081652C">
      <w:pPr>
        <w:spacing w:line="360" w:lineRule="auto"/>
        <w:ind w:firstLine="851"/>
        <w:jc w:val="both"/>
        <w:rPr>
          <w:rFonts w:ascii="Arial" w:hAnsi="Arial" w:cs="Arial"/>
          <w:sz w:val="36"/>
          <w:szCs w:val="36"/>
        </w:rPr>
      </w:pPr>
      <w:r w:rsidRPr="0081652C">
        <w:rPr>
          <w:rFonts w:ascii="Arial" w:hAnsi="Arial" w:cs="Arial"/>
          <w:sz w:val="36"/>
          <w:szCs w:val="36"/>
        </w:rPr>
        <w:t>Objective</w:t>
      </w:r>
    </w:p>
    <w:p w14:paraId="34633DF9" w14:textId="77777777" w:rsidR="00956BA8" w:rsidRDefault="00956BA8" w:rsidP="00956BA8">
      <w:pPr>
        <w:spacing w:line="360" w:lineRule="auto"/>
        <w:jc w:val="both"/>
        <w:rPr>
          <w:rFonts w:ascii="Arial" w:hAnsi="Arial" w:cs="Arial"/>
          <w:sz w:val="22"/>
          <w:szCs w:val="22"/>
        </w:rPr>
      </w:pPr>
      <w:r>
        <w:rPr>
          <w:rFonts w:ascii="Arial" w:hAnsi="Arial" w:cs="Arial"/>
          <w:sz w:val="22"/>
          <w:szCs w:val="22"/>
        </w:rPr>
        <w:t>1.</w:t>
      </w:r>
      <w:r w:rsidRPr="00037D6A">
        <w:rPr>
          <w:rFonts w:ascii="Arial" w:hAnsi="Arial" w:cs="Arial"/>
          <w:sz w:val="22"/>
          <w:szCs w:val="22"/>
        </w:rPr>
        <w:t>T</w:t>
      </w:r>
      <w:r>
        <w:rPr>
          <w:rFonts w:ascii="Arial" w:hAnsi="Arial" w:cs="Arial"/>
          <w:sz w:val="22"/>
          <w:szCs w:val="22"/>
        </w:rPr>
        <w:t>o distinguish ,  loneliness { the felt lack of connection} from social isolation{ the objective lack of contact or network} and how each is measure is measured in older populations.</w:t>
      </w:r>
    </w:p>
    <w:p w14:paraId="5E4D4536" w14:textId="77777777" w:rsidR="00956BA8" w:rsidRDefault="00956BA8" w:rsidP="00956BA8">
      <w:pPr>
        <w:spacing w:line="360" w:lineRule="auto"/>
        <w:jc w:val="both"/>
        <w:rPr>
          <w:rFonts w:ascii="Arial" w:hAnsi="Arial" w:cs="Arial"/>
          <w:sz w:val="22"/>
          <w:szCs w:val="22"/>
        </w:rPr>
      </w:pPr>
      <w:r>
        <w:rPr>
          <w:rFonts w:ascii="Arial" w:hAnsi="Arial" w:cs="Arial"/>
          <w:sz w:val="22"/>
          <w:szCs w:val="22"/>
        </w:rPr>
        <w:t>2. To assess the prevalence of loneliness and social isolation in later.</w:t>
      </w:r>
    </w:p>
    <w:p w14:paraId="55650B99" w14:textId="77777777" w:rsidR="00956BA8" w:rsidRDefault="00956BA8" w:rsidP="00956BA8">
      <w:pPr>
        <w:spacing w:line="360" w:lineRule="auto"/>
        <w:jc w:val="both"/>
        <w:rPr>
          <w:rFonts w:ascii="Arial" w:hAnsi="Arial" w:cs="Arial"/>
          <w:sz w:val="22"/>
          <w:szCs w:val="22"/>
        </w:rPr>
      </w:pPr>
      <w:r>
        <w:rPr>
          <w:rFonts w:ascii="Arial" w:hAnsi="Arial" w:cs="Arial"/>
          <w:sz w:val="22"/>
          <w:szCs w:val="22"/>
        </w:rPr>
        <w:t>3. To determine the strength of association between each factor and mental health outcomes, independently and mental health outcomes, independently and combined.</w:t>
      </w:r>
    </w:p>
    <w:p w14:paraId="207AC466" w14:textId="77777777" w:rsidR="00956BA8" w:rsidRDefault="00956BA8" w:rsidP="00956BA8">
      <w:pPr>
        <w:spacing w:line="360" w:lineRule="auto"/>
        <w:jc w:val="both"/>
        <w:rPr>
          <w:rFonts w:ascii="Arial" w:hAnsi="Arial" w:cs="Arial"/>
          <w:sz w:val="22"/>
          <w:szCs w:val="22"/>
        </w:rPr>
      </w:pPr>
      <w:r>
        <w:rPr>
          <w:rFonts w:ascii="Arial" w:hAnsi="Arial" w:cs="Arial"/>
          <w:sz w:val="22"/>
          <w:szCs w:val="22"/>
        </w:rPr>
        <w:t>4.to identify risk factors and moderators, such as widowhood, living alone, health decline, retirement, and limited mobility.</w:t>
      </w:r>
    </w:p>
    <w:p w14:paraId="20CD5266" w14:textId="77777777" w:rsidR="00956BA8" w:rsidRPr="00FB0C3F" w:rsidRDefault="00956BA8" w:rsidP="00956BA8">
      <w:pPr>
        <w:pStyle w:val="Heading1"/>
        <w:spacing w:line="360" w:lineRule="auto"/>
        <w:rPr>
          <w:rFonts w:ascii="Arial" w:eastAsiaTheme="minorHAnsi" w:hAnsi="Arial" w:cs="Arial"/>
        </w:rPr>
      </w:pPr>
      <w:bookmarkStart w:id="1" w:name="_Toc242212872"/>
      <w:r w:rsidRPr="00FB0C3F">
        <w:rPr>
          <w:rFonts w:ascii="Arial" w:eastAsiaTheme="minorHAnsi" w:hAnsi="Arial" w:cs="Arial"/>
        </w:rPr>
        <w:t>Rationale</w:t>
      </w:r>
      <w:bookmarkEnd w:id="1"/>
    </w:p>
    <w:p w14:paraId="7FDEE89F" w14:textId="77777777" w:rsidR="00956BA8" w:rsidRPr="00C24685" w:rsidRDefault="00956BA8" w:rsidP="00956BA8">
      <w:pPr>
        <w:spacing w:line="360" w:lineRule="auto"/>
        <w:ind w:firstLine="851"/>
        <w:jc w:val="both"/>
        <w:rPr>
          <w:rFonts w:ascii="Arial" w:hAnsi="Arial" w:cs="Arial"/>
          <w:sz w:val="22"/>
          <w:szCs w:val="22"/>
        </w:rPr>
      </w:pPr>
      <w:r w:rsidRPr="00C24685">
        <w:rPr>
          <w:rFonts w:ascii="Arial" w:hAnsi="Arial" w:cs="Arial"/>
          <w:sz w:val="22"/>
          <w:szCs w:val="22"/>
        </w:rPr>
        <w:t>Loneliness is no simple social phenomenon; it is a public-health risk that can be modified and, for this reason, the topic is important. Green et al. (2021) found that a decrease in contacts was linked to an increase in loneliness and depressive symptoms in older adults. Robb et al. (2020) similarly reported links between social isolation, anxiety and depression in older adults in London. Greig et al. (2022) show that loneliness is relevant to older-adult mental-health services because it is associated with poorer functioning and greater service need. This makes the topic directly relevant to UK health and social care assessment, prevention and service planning</w:t>
      </w:r>
    </w:p>
    <w:p w14:paraId="258F063D" w14:textId="77777777" w:rsidR="00956BA8" w:rsidRPr="00FB0C3F" w:rsidRDefault="00956BA8" w:rsidP="00956BA8">
      <w:pPr>
        <w:pStyle w:val="Heading1"/>
        <w:spacing w:line="360" w:lineRule="auto"/>
        <w:rPr>
          <w:rFonts w:ascii="Arial" w:eastAsiaTheme="minorHAnsi" w:hAnsi="Arial" w:cs="Arial"/>
        </w:rPr>
      </w:pPr>
      <w:bookmarkStart w:id="2" w:name="_Toc242212873"/>
      <w:r w:rsidRPr="00FB0C3F">
        <w:rPr>
          <w:rFonts w:ascii="Arial" w:eastAsiaTheme="minorHAnsi" w:hAnsi="Arial" w:cs="Arial"/>
        </w:rPr>
        <w:lastRenderedPageBreak/>
        <w:t>Methods</w:t>
      </w:r>
      <w:bookmarkEnd w:id="2"/>
    </w:p>
    <w:p w14:paraId="7AEF09FA" w14:textId="77777777" w:rsidR="00956BA8" w:rsidRPr="00FD1373" w:rsidRDefault="00956BA8" w:rsidP="00956BA8">
      <w:pPr>
        <w:spacing w:line="360" w:lineRule="auto"/>
        <w:ind w:firstLine="851"/>
        <w:jc w:val="both"/>
        <w:rPr>
          <w:rFonts w:ascii="Arial" w:hAnsi="Arial" w:cs="Arial"/>
          <w:sz w:val="22"/>
          <w:szCs w:val="22"/>
        </w:rPr>
      </w:pPr>
      <w:r w:rsidRPr="00C24685">
        <w:rPr>
          <w:rFonts w:ascii="Arial" w:hAnsi="Arial" w:cs="Arial"/>
          <w:sz w:val="22"/>
          <w:szCs w:val="22"/>
        </w:rPr>
        <w:t>Because the evidence was heterogeneous and a broad field of evidence was being mapped, a scoping review was deemed appropriate. Peters et al. (2020) highlight systematic searching, eligibility criteria, transparent data charting and structured synthesis. Pollock et al. (2021) make the same arguments when it comes to scoping reviews. Loneliness, isolation, UK, older adults, mental health issues will be searched using PubMed, CINAHL and EBSCOhost. Three to 5 peer reviewed research papers will be chosen and thematically analysed.</w:t>
      </w:r>
    </w:p>
    <w:p w14:paraId="469A26AC" w14:textId="77777777" w:rsidR="00081F1D" w:rsidRPr="00081F1D" w:rsidRDefault="00956BA8" w:rsidP="00956BA8">
      <w:pPr>
        <w:pStyle w:val="Heading1"/>
        <w:spacing w:line="360" w:lineRule="auto"/>
        <w:rPr>
          <w:rFonts w:ascii="Arial" w:eastAsiaTheme="minorHAnsi" w:hAnsi="Arial" w:cs="Arial"/>
        </w:rPr>
      </w:pPr>
      <w:bookmarkStart w:id="3" w:name="_Toc242212874"/>
      <w:r w:rsidRPr="00081F1D">
        <w:rPr>
          <w:rFonts w:ascii="Arial" w:eastAsiaTheme="minorHAnsi" w:hAnsi="Arial" w:cs="Arial"/>
        </w:rPr>
        <w:t>Ethical Considerations</w:t>
      </w:r>
      <w:bookmarkEnd w:id="3"/>
      <w:r w:rsidR="00FD1373" w:rsidRPr="00081F1D">
        <w:rPr>
          <w:rFonts w:ascii="Arial" w:eastAsiaTheme="minorHAnsi" w:hAnsi="Arial" w:cs="Arial"/>
        </w:rPr>
        <w:t xml:space="preserve"> </w:t>
      </w:r>
    </w:p>
    <w:p w14:paraId="3F5EC863" w14:textId="35806AD0" w:rsidR="00956BA8" w:rsidRPr="00FD1373" w:rsidRDefault="00081F1D" w:rsidP="00956BA8">
      <w:pPr>
        <w:pStyle w:val="Heading1"/>
        <w:spacing w:line="360" w:lineRule="auto"/>
        <w:rPr>
          <w:rFonts w:ascii="Arial" w:eastAsiaTheme="minorHAnsi" w:hAnsi="Arial" w:cs="Arial"/>
          <w:sz w:val="22"/>
          <w:szCs w:val="22"/>
        </w:rPr>
      </w:pPr>
      <w:r>
        <w:rPr>
          <w:sz w:val="22"/>
          <w:szCs w:val="22"/>
        </w:rPr>
        <w:t>S</w:t>
      </w:r>
      <w:r w:rsidR="007469AF">
        <w:rPr>
          <w:sz w:val="22"/>
          <w:szCs w:val="22"/>
        </w:rPr>
        <w:t>ince this</w:t>
      </w:r>
      <w:r w:rsidR="00EE2679" w:rsidRPr="00FD1373">
        <w:rPr>
          <w:sz w:val="22"/>
          <w:szCs w:val="22"/>
        </w:rPr>
        <w:t xml:space="preserve"> </w:t>
      </w:r>
      <w:r w:rsidR="00EE2679" w:rsidRPr="00FD1373">
        <w:rPr>
          <w:rFonts w:ascii="Arial" w:eastAsiaTheme="minorHAnsi" w:hAnsi="Arial" w:cs="Arial"/>
          <w:sz w:val="22"/>
          <w:szCs w:val="22"/>
        </w:rPr>
        <w:t>research based on published evidence, there is no need for participant recruitment and consent. However, integrity in research requires open selection of studies, proper representation of the results, and due recognition of others. Peters et al. (2020) advocate for methodological transparency, and Pollock et al. (2021) for reporting. In this way selective interpretation will be minimized and credible conclusions only will be supported.</w:t>
      </w:r>
    </w:p>
    <w:p w14:paraId="01E2DB8C" w14:textId="77777777" w:rsidR="00956BA8" w:rsidRPr="0030199A" w:rsidRDefault="00956BA8" w:rsidP="00956BA8">
      <w:pPr>
        <w:spacing w:line="360" w:lineRule="auto"/>
        <w:ind w:firstLine="851"/>
        <w:jc w:val="both"/>
        <w:rPr>
          <w:rFonts w:ascii="Arial" w:hAnsi="Arial" w:cs="Arial"/>
          <w:sz w:val="36"/>
          <w:szCs w:val="36"/>
        </w:rPr>
      </w:pPr>
    </w:p>
    <w:p w14:paraId="279DB522" w14:textId="77777777" w:rsidR="00852972" w:rsidRDefault="00956BA8" w:rsidP="00956BA8">
      <w:pPr>
        <w:spacing w:line="360" w:lineRule="auto"/>
        <w:rPr>
          <w:rFonts w:ascii="Arial" w:hAnsi="Arial" w:cs="Arial"/>
          <w:sz w:val="36"/>
          <w:szCs w:val="36"/>
        </w:rPr>
      </w:pPr>
      <w:bookmarkStart w:id="4" w:name="_Toc242212875"/>
      <w:r w:rsidRPr="0030199A">
        <w:rPr>
          <w:rFonts w:ascii="Arial" w:hAnsi="Arial" w:cs="Arial"/>
          <w:sz w:val="36"/>
          <w:szCs w:val="36"/>
        </w:rPr>
        <w:t>Reference</w:t>
      </w:r>
      <w:bookmarkEnd w:id="4"/>
    </w:p>
    <w:p w14:paraId="1621A534" w14:textId="21D94217" w:rsidR="00956BA8" w:rsidRPr="00690F10" w:rsidRDefault="009053BD" w:rsidP="00690F10">
      <w:pPr>
        <w:spacing w:line="360" w:lineRule="auto"/>
        <w:rPr>
          <w:rFonts w:ascii="Arial" w:hAnsi="Arial" w:cs="Arial"/>
          <w:sz w:val="36"/>
          <w:szCs w:val="36"/>
        </w:rPr>
      </w:pPr>
      <w:r w:rsidRPr="00F11515">
        <w:rPr>
          <w:rFonts w:ascii="Arial" w:hAnsi="Arial" w:cs="Arial"/>
          <w:sz w:val="28"/>
          <w:szCs w:val="28"/>
        </w:rPr>
        <w:t>Green</w:t>
      </w:r>
      <w:r w:rsidR="00F11515">
        <w:rPr>
          <w:rFonts w:ascii="Arial" w:hAnsi="Arial" w:cs="Arial"/>
          <w:sz w:val="28"/>
          <w:szCs w:val="28"/>
        </w:rPr>
        <w:t xml:space="preserve">, </w:t>
      </w:r>
      <w:r w:rsidR="00F11515" w:rsidRPr="002B546B">
        <w:rPr>
          <w:rFonts w:ascii="Arial" w:hAnsi="Arial" w:cs="Arial"/>
          <w:i/>
          <w:iCs/>
          <w:sz w:val="22"/>
          <w:szCs w:val="22"/>
        </w:rPr>
        <w:t>M.J., White</w:t>
      </w:r>
      <w:r w:rsidR="00557C60" w:rsidRPr="002B546B">
        <w:rPr>
          <w:rFonts w:ascii="Arial" w:hAnsi="Arial" w:cs="Arial"/>
          <w:i/>
          <w:iCs/>
          <w:sz w:val="22"/>
          <w:szCs w:val="22"/>
        </w:rPr>
        <w:t>ley, E</w:t>
      </w:r>
      <w:r w:rsidR="002B546B">
        <w:rPr>
          <w:rFonts w:ascii="Arial" w:hAnsi="Arial" w:cs="Arial"/>
          <w:i/>
          <w:iCs/>
          <w:sz w:val="22"/>
          <w:szCs w:val="22"/>
        </w:rPr>
        <w:t>., N</w:t>
      </w:r>
      <w:r w:rsidR="00553002">
        <w:rPr>
          <w:rFonts w:ascii="Arial" w:hAnsi="Arial" w:cs="Arial"/>
          <w:i/>
          <w:iCs/>
          <w:sz w:val="22"/>
          <w:szCs w:val="22"/>
        </w:rPr>
        <w:t>iedzwiedz, C.L., S</w:t>
      </w:r>
      <w:r w:rsidR="00A05972">
        <w:rPr>
          <w:rFonts w:ascii="Arial" w:hAnsi="Arial" w:cs="Arial"/>
          <w:i/>
          <w:iCs/>
          <w:sz w:val="22"/>
          <w:szCs w:val="22"/>
        </w:rPr>
        <w:t>haw, Shaw, R.J.</w:t>
      </w:r>
      <w:r w:rsidR="00E42BC3">
        <w:rPr>
          <w:rFonts w:ascii="Arial" w:hAnsi="Arial" w:cs="Arial"/>
          <w:i/>
          <w:iCs/>
          <w:sz w:val="22"/>
          <w:szCs w:val="22"/>
        </w:rPr>
        <w:t xml:space="preserve"> and Katikireddi, </w:t>
      </w:r>
      <w:r w:rsidR="00672325">
        <w:rPr>
          <w:rFonts w:ascii="Arial" w:hAnsi="Arial" w:cs="Arial"/>
          <w:i/>
          <w:iCs/>
          <w:sz w:val="22"/>
          <w:szCs w:val="22"/>
        </w:rPr>
        <w:t>S.V{202</w:t>
      </w:r>
      <w:r w:rsidR="002B479B">
        <w:rPr>
          <w:rFonts w:ascii="Arial" w:hAnsi="Arial" w:cs="Arial"/>
          <w:i/>
          <w:iCs/>
          <w:sz w:val="22"/>
          <w:szCs w:val="22"/>
        </w:rPr>
        <w:t>1}</w:t>
      </w:r>
      <w:r w:rsidR="003F14F0">
        <w:rPr>
          <w:rFonts w:ascii="Arial" w:hAnsi="Arial" w:cs="Arial"/>
          <w:i/>
          <w:iCs/>
          <w:sz w:val="22"/>
          <w:szCs w:val="22"/>
        </w:rPr>
        <w:t xml:space="preserve"> </w:t>
      </w:r>
      <w:r w:rsidR="00956BA8" w:rsidRPr="00FB0C3F">
        <w:rPr>
          <w:rFonts w:ascii="Arial" w:hAnsi="Arial" w:cs="Arial"/>
        </w:rPr>
        <w:t xml:space="preserve">‘Socia contact and inequalities in depressive symptoms and loneliness among older adults: A mediation analysis of the English Longitudinal Study of Ageing’, </w:t>
      </w:r>
      <w:r w:rsidR="00956BA8" w:rsidRPr="00FB0C3F">
        <w:rPr>
          <w:rStyle w:val="Emphasis"/>
          <w:rFonts w:ascii="Arial" w:hAnsi="Arial" w:cs="Arial"/>
        </w:rPr>
        <w:t>SSM – Population Health</w:t>
      </w:r>
      <w:r w:rsidR="00956BA8" w:rsidRPr="00FB0C3F">
        <w:rPr>
          <w:rFonts w:ascii="Arial" w:hAnsi="Arial" w:cs="Arial"/>
        </w:rPr>
        <w:t xml:space="preserve">, 13, 100726. Available at: Green, M.J., Whitley, E., Niedzwiedz, C.L., Shaw, R.J. and Katikireddi, S.V. (2021) </w:t>
      </w:r>
      <w:hyperlink r:id="rId8" w:history="1">
        <w:r w:rsidR="00956BA8" w:rsidRPr="00FB0C3F">
          <w:rPr>
            <w:rStyle w:val="Hyperlink"/>
            <w:rFonts w:ascii="Arial" w:hAnsi="Arial" w:cs="Arial"/>
          </w:rPr>
          <w:t>https://doi.org/10.1016/j.ssmph.2021.100726</w:t>
        </w:r>
      </w:hyperlink>
    </w:p>
    <w:p w14:paraId="04E517A8" w14:textId="6AC1097E" w:rsidR="00F358BF" w:rsidRPr="00FB0C3F" w:rsidRDefault="007822B3" w:rsidP="00F358BF">
      <w:pPr>
        <w:pStyle w:val="NormalWeb"/>
        <w:spacing w:line="360" w:lineRule="auto"/>
        <w:ind w:left="720" w:hanging="720"/>
        <w:rPr>
          <w:rFonts w:ascii="Arial" w:hAnsi="Arial" w:cs="Arial"/>
        </w:rPr>
      </w:pPr>
      <w:r>
        <w:rPr>
          <w:rFonts w:ascii="Arial" w:hAnsi="Arial" w:cs="Arial"/>
        </w:rPr>
        <w:t>Lee</w:t>
      </w:r>
      <w:r w:rsidR="00F358BF" w:rsidRPr="00FB0C3F">
        <w:rPr>
          <w:rFonts w:ascii="Arial" w:hAnsi="Arial" w:cs="Arial"/>
        </w:rPr>
        <w:t>,</w:t>
      </w:r>
      <w:r w:rsidR="006C2D2C">
        <w:rPr>
          <w:rFonts w:ascii="Arial" w:hAnsi="Arial" w:cs="Arial"/>
        </w:rPr>
        <w:t xml:space="preserve"> S.L., P</w:t>
      </w:r>
      <w:r w:rsidR="00A95958">
        <w:rPr>
          <w:rFonts w:ascii="Arial" w:hAnsi="Arial" w:cs="Arial"/>
        </w:rPr>
        <w:t>earce, E., A</w:t>
      </w:r>
      <w:r w:rsidR="005014F7">
        <w:rPr>
          <w:rFonts w:ascii="Arial" w:hAnsi="Arial" w:cs="Arial"/>
        </w:rPr>
        <w:t>jnakina, O</w:t>
      </w:r>
      <w:r w:rsidR="001F404D">
        <w:rPr>
          <w:rFonts w:ascii="Arial" w:hAnsi="Arial" w:cs="Arial"/>
        </w:rPr>
        <w:t>., Johnson</w:t>
      </w:r>
      <w:r w:rsidR="00C6504B">
        <w:rPr>
          <w:rFonts w:ascii="Arial" w:hAnsi="Arial" w:cs="Arial"/>
        </w:rPr>
        <w:t>, S., Lewis</w:t>
      </w:r>
      <w:r w:rsidR="00734283">
        <w:rPr>
          <w:rFonts w:ascii="Arial" w:hAnsi="Arial" w:cs="Arial"/>
        </w:rPr>
        <w:t>, G., M</w:t>
      </w:r>
      <w:r w:rsidR="00D81260">
        <w:rPr>
          <w:rFonts w:ascii="Arial" w:hAnsi="Arial" w:cs="Arial"/>
        </w:rPr>
        <w:t>a</w:t>
      </w:r>
      <w:r w:rsidR="00F02103">
        <w:rPr>
          <w:rFonts w:ascii="Arial" w:hAnsi="Arial" w:cs="Arial"/>
        </w:rPr>
        <w:t>nn, F., Pitman, A</w:t>
      </w:r>
      <w:r w:rsidR="00F26624">
        <w:rPr>
          <w:rFonts w:ascii="Arial" w:hAnsi="Arial" w:cs="Arial"/>
        </w:rPr>
        <w:t>., Solmi,</w:t>
      </w:r>
      <w:r w:rsidR="0032001B">
        <w:rPr>
          <w:rFonts w:ascii="Arial" w:hAnsi="Arial" w:cs="Arial"/>
        </w:rPr>
        <w:t xml:space="preserve"> </w:t>
      </w:r>
      <w:r w:rsidR="00F26624">
        <w:rPr>
          <w:rFonts w:ascii="Arial" w:hAnsi="Arial" w:cs="Arial"/>
        </w:rPr>
        <w:t>F</w:t>
      </w:r>
      <w:r w:rsidR="00675B68">
        <w:rPr>
          <w:rFonts w:ascii="Arial" w:hAnsi="Arial" w:cs="Arial"/>
        </w:rPr>
        <w:t>.,</w:t>
      </w:r>
      <w:r w:rsidR="00F358BF" w:rsidRPr="00FB0C3F">
        <w:rPr>
          <w:rFonts w:ascii="Arial" w:hAnsi="Arial" w:cs="Arial"/>
        </w:rPr>
        <w:t xml:space="preserve"> </w:t>
      </w:r>
      <w:r w:rsidR="0032001B" w:rsidRPr="00FB0C3F">
        <w:rPr>
          <w:rFonts w:ascii="Arial" w:hAnsi="Arial" w:cs="Arial"/>
        </w:rPr>
        <w:t>Som</w:t>
      </w:r>
      <w:r w:rsidR="002E2891">
        <w:rPr>
          <w:rFonts w:ascii="Arial" w:hAnsi="Arial" w:cs="Arial"/>
        </w:rPr>
        <w:t>m</w:t>
      </w:r>
      <w:r w:rsidR="0032001B" w:rsidRPr="00FB0C3F">
        <w:rPr>
          <w:rFonts w:ascii="Arial" w:hAnsi="Arial" w:cs="Arial"/>
        </w:rPr>
        <w:t>erl</w:t>
      </w:r>
      <w:r w:rsidR="002F5E5B">
        <w:rPr>
          <w:rFonts w:ascii="Arial" w:hAnsi="Arial" w:cs="Arial"/>
        </w:rPr>
        <w:t>a</w:t>
      </w:r>
      <w:r w:rsidR="0032001B" w:rsidRPr="00FB0C3F">
        <w:rPr>
          <w:rFonts w:ascii="Arial" w:hAnsi="Arial" w:cs="Arial"/>
        </w:rPr>
        <w:t>d</w:t>
      </w:r>
      <w:r w:rsidR="00F358BF" w:rsidRPr="00FB0C3F">
        <w:rPr>
          <w:rFonts w:ascii="Arial" w:hAnsi="Arial" w:cs="Arial"/>
        </w:rPr>
        <w:t xml:space="preserve">, A., Steptoe, A., Tymoszuk, U. and Lewis, G. (2021) ‘The association between loneliness and depressive symptoms among adults aged 50 </w:t>
      </w:r>
      <w:r w:rsidR="00FF0061" w:rsidRPr="00FB0C3F">
        <w:rPr>
          <w:rFonts w:ascii="Arial" w:hAnsi="Arial" w:cs="Arial"/>
        </w:rPr>
        <w:t>years and</w:t>
      </w:r>
      <w:r w:rsidR="00F358BF" w:rsidRPr="00FB0C3F">
        <w:rPr>
          <w:rFonts w:ascii="Arial" w:hAnsi="Arial" w:cs="Arial"/>
        </w:rPr>
        <w:t xml:space="preserve"> older: A 12-year population-based cohort study’, </w:t>
      </w:r>
      <w:r w:rsidR="00F358BF" w:rsidRPr="00FB0C3F">
        <w:rPr>
          <w:rStyle w:val="Emphasis"/>
          <w:rFonts w:ascii="Arial" w:hAnsi="Arial" w:cs="Arial"/>
        </w:rPr>
        <w:t>The Lancet Psychiatry</w:t>
      </w:r>
      <w:r w:rsidR="00F358BF" w:rsidRPr="00FB0C3F">
        <w:rPr>
          <w:rFonts w:ascii="Arial" w:hAnsi="Arial" w:cs="Arial"/>
        </w:rPr>
        <w:t xml:space="preserve">, 8(1), pp. 48–57. Available at: </w:t>
      </w:r>
      <w:hyperlink r:id="rId9" w:history="1">
        <w:r w:rsidR="00F358BF" w:rsidRPr="00FB0C3F">
          <w:rPr>
            <w:rStyle w:val="Hyperlink"/>
            <w:rFonts w:ascii="Arial" w:hAnsi="Arial" w:cs="Arial"/>
          </w:rPr>
          <w:t>https://doi.org/10.1016/S2215-0366(20)30383-7</w:t>
        </w:r>
      </w:hyperlink>
    </w:p>
    <w:p w14:paraId="63C93B6E" w14:textId="61DBB7BF" w:rsidR="00F358BF" w:rsidRPr="00FB0C3F" w:rsidRDefault="00F358BF" w:rsidP="00F358BF">
      <w:pPr>
        <w:pStyle w:val="NormalWeb"/>
        <w:spacing w:line="360" w:lineRule="auto"/>
        <w:ind w:left="720" w:hanging="720"/>
        <w:rPr>
          <w:rFonts w:ascii="Arial" w:hAnsi="Arial" w:cs="Arial"/>
        </w:rPr>
      </w:pPr>
      <w:r w:rsidRPr="00FB0C3F">
        <w:rPr>
          <w:rFonts w:ascii="Arial" w:hAnsi="Arial" w:cs="Arial"/>
        </w:rPr>
        <w:lastRenderedPageBreak/>
        <w:t>Noguchi, T., Saito, M., Aida, J., Cable, N., Tsuji, T., Koyama, S., Ikeda, T., Osak</w:t>
      </w:r>
      <w:r w:rsidR="00110E2E">
        <w:rPr>
          <w:rFonts w:ascii="Arial" w:hAnsi="Arial" w:cs="Arial"/>
        </w:rPr>
        <w:t>b</w:t>
      </w:r>
      <w:r w:rsidR="00AA364A">
        <w:rPr>
          <w:rFonts w:ascii="Arial" w:hAnsi="Arial" w:cs="Arial"/>
        </w:rPr>
        <w:t>r</w:t>
      </w:r>
      <w:r w:rsidRPr="00FB0C3F">
        <w:rPr>
          <w:rFonts w:ascii="Arial" w:hAnsi="Arial" w:cs="Arial"/>
        </w:rPr>
        <w:t xml:space="preserve">a, K. and Kondo, K. (2021) ‘Association between social isolation and depression onset among older adults: A cross-national longitudinal study in England and Japan’, </w:t>
      </w:r>
      <w:r w:rsidRPr="00FB0C3F">
        <w:rPr>
          <w:rStyle w:val="Emphasis"/>
          <w:rFonts w:ascii="Arial" w:hAnsi="Arial" w:cs="Arial"/>
        </w:rPr>
        <w:t>BMJ Open</w:t>
      </w:r>
      <w:r w:rsidRPr="00FB0C3F">
        <w:rPr>
          <w:rFonts w:ascii="Arial" w:hAnsi="Arial" w:cs="Arial"/>
        </w:rPr>
        <w:t xml:space="preserve">, 11(3), e045834. Available at: </w:t>
      </w:r>
      <w:hyperlink r:id="rId10" w:history="1">
        <w:r w:rsidRPr="00FB0C3F">
          <w:rPr>
            <w:rStyle w:val="Hyperlink"/>
            <w:rFonts w:ascii="Arial" w:hAnsi="Arial" w:cs="Arial"/>
          </w:rPr>
          <w:t>https://doi.org/10.1136/bmjopen-2020-045834</w:t>
        </w:r>
      </w:hyperlink>
    </w:p>
    <w:p w14:paraId="39F9DC07" w14:textId="7E085836" w:rsidR="00F358BF" w:rsidRPr="00FB0C3F" w:rsidRDefault="00F358BF" w:rsidP="00F358BF">
      <w:pPr>
        <w:pStyle w:val="NormalWeb"/>
        <w:spacing w:line="360" w:lineRule="auto"/>
        <w:ind w:left="720" w:hanging="720"/>
        <w:rPr>
          <w:rFonts w:ascii="Arial" w:hAnsi="Arial" w:cs="Arial"/>
        </w:rPr>
      </w:pPr>
      <w:r w:rsidRPr="00FB0C3F">
        <w:rPr>
          <w:rFonts w:ascii="Arial" w:hAnsi="Arial" w:cs="Arial"/>
        </w:rPr>
        <w:t xml:space="preserve">Peters, M.D.J., Marnie, C., </w:t>
      </w:r>
      <w:r w:rsidR="004F3452" w:rsidRPr="00FB0C3F">
        <w:rPr>
          <w:rFonts w:ascii="Arial" w:hAnsi="Arial" w:cs="Arial"/>
        </w:rPr>
        <w:t>Trico</w:t>
      </w:r>
      <w:r w:rsidRPr="00FB0C3F">
        <w:rPr>
          <w:rFonts w:ascii="Arial" w:hAnsi="Arial" w:cs="Arial"/>
        </w:rPr>
        <w:t xml:space="preserve">, A.C., Pollock, D., Munn, Z., Alexander, L., McInerney, P., Godfrey, C.M. and Khalil, H. (2020) ‘Updated methodological guidance for the conduct of scoping reviews’, </w:t>
      </w:r>
      <w:r w:rsidRPr="00FB0C3F">
        <w:rPr>
          <w:rStyle w:val="Emphasis"/>
          <w:rFonts w:ascii="Arial" w:hAnsi="Arial" w:cs="Arial"/>
        </w:rPr>
        <w:t>JBI Evidence Synthesis</w:t>
      </w:r>
      <w:r w:rsidRPr="00FB0C3F">
        <w:rPr>
          <w:rFonts w:ascii="Arial" w:hAnsi="Arial" w:cs="Arial"/>
        </w:rPr>
        <w:t xml:space="preserve">, 18(10), pp. 2119–2126. Available at: </w:t>
      </w:r>
      <w:hyperlink r:id="rId11" w:history="1">
        <w:r w:rsidRPr="00FB0C3F">
          <w:rPr>
            <w:rStyle w:val="Hyperlink"/>
            <w:rFonts w:ascii="Arial" w:hAnsi="Arial" w:cs="Arial"/>
          </w:rPr>
          <w:t>https://doi.org/10.11124/JBIES-20-00167</w:t>
        </w:r>
      </w:hyperlink>
      <w:r w:rsidRPr="00FB0C3F">
        <w:rPr>
          <w:rFonts w:ascii="Arial" w:hAnsi="Arial" w:cs="Arial"/>
        </w:rPr>
        <w:t xml:space="preserve"> </w:t>
      </w:r>
    </w:p>
    <w:p w14:paraId="417AD60E" w14:textId="5E84E514" w:rsidR="00F358BF" w:rsidRPr="00FB0C3F" w:rsidRDefault="00F358BF" w:rsidP="002215D7">
      <w:pPr>
        <w:pStyle w:val="NormalWeb"/>
        <w:spacing w:line="360" w:lineRule="auto"/>
        <w:rPr>
          <w:rFonts w:ascii="Arial" w:hAnsi="Arial" w:cs="Arial"/>
        </w:rPr>
      </w:pPr>
    </w:p>
    <w:p w14:paraId="2072A4F0" w14:textId="77777777" w:rsidR="00F358BF" w:rsidRPr="00FB0C3F" w:rsidRDefault="00F358BF" w:rsidP="00F358BF">
      <w:pPr>
        <w:pStyle w:val="NormalWeb"/>
        <w:spacing w:line="360" w:lineRule="auto"/>
        <w:ind w:left="720" w:hanging="720"/>
        <w:rPr>
          <w:rFonts w:ascii="Arial" w:hAnsi="Arial" w:cs="Arial"/>
        </w:rPr>
      </w:pPr>
      <w:r w:rsidRPr="00FB0C3F">
        <w:rPr>
          <w:rFonts w:ascii="Arial" w:hAnsi="Arial" w:cs="Arial"/>
        </w:rPr>
        <w:t xml:space="preserve">Robb, C.E., de Jager, C.A., Ahmadi-Abhari, S., Giannakopoulou, P., Udeh-Momoh, C., McKeand, J., Price, G., Car, J., Majeed, A., Ward, H. and Middleton, L. (2020) ‘Associations of social isolation with anxiety and depression during the early COVID-19 pandemic: A survey of older adults in London, UK’, </w:t>
      </w:r>
      <w:r w:rsidRPr="00FB0C3F">
        <w:rPr>
          <w:rStyle w:val="Emphasis"/>
          <w:rFonts w:ascii="Arial" w:hAnsi="Arial" w:cs="Arial"/>
        </w:rPr>
        <w:t>Frontiers in Psychiatry</w:t>
      </w:r>
      <w:r w:rsidRPr="00FB0C3F">
        <w:rPr>
          <w:rFonts w:ascii="Arial" w:hAnsi="Arial" w:cs="Arial"/>
        </w:rPr>
        <w:t xml:space="preserve">, 11, 591120. Available at: </w:t>
      </w:r>
      <w:hyperlink r:id="rId12" w:history="1">
        <w:r w:rsidRPr="00FB0C3F">
          <w:rPr>
            <w:rStyle w:val="Hyperlink"/>
            <w:rFonts w:ascii="Arial" w:hAnsi="Arial" w:cs="Arial"/>
          </w:rPr>
          <w:t>https://doi.org/10.3389/fpsyt.2020.591120</w:t>
        </w:r>
      </w:hyperlink>
    </w:p>
    <w:p w14:paraId="692E5A76" w14:textId="77777777" w:rsidR="005A6F27" w:rsidRPr="00FB0C3F" w:rsidRDefault="005A6F27" w:rsidP="00F358BF">
      <w:pPr>
        <w:spacing w:line="360" w:lineRule="auto"/>
        <w:ind w:left="720" w:hanging="720"/>
        <w:jc w:val="both"/>
        <w:rPr>
          <w:rFonts w:ascii="Arial" w:hAnsi="Arial" w:cs="Arial"/>
        </w:rPr>
      </w:pPr>
    </w:p>
    <w:sectPr w:rsidR="005A6F27" w:rsidRPr="00FB0C3F" w:rsidSect="00CA2235">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F6866" w14:textId="77777777" w:rsidR="00D9340B" w:rsidRDefault="00D9340B" w:rsidP="00CA2235">
      <w:pPr>
        <w:spacing w:after="0" w:line="240" w:lineRule="auto"/>
      </w:pPr>
      <w:r>
        <w:separator/>
      </w:r>
    </w:p>
  </w:endnote>
  <w:endnote w:type="continuationSeparator" w:id="0">
    <w:p w14:paraId="32DA5CBC" w14:textId="77777777" w:rsidR="00D9340B" w:rsidRDefault="00D9340B" w:rsidP="00CA2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D7498" w14:textId="77777777" w:rsidR="00D9340B" w:rsidRDefault="00D9340B" w:rsidP="00CA2235">
      <w:pPr>
        <w:spacing w:after="0" w:line="240" w:lineRule="auto"/>
      </w:pPr>
      <w:r>
        <w:separator/>
      </w:r>
    </w:p>
  </w:footnote>
  <w:footnote w:type="continuationSeparator" w:id="0">
    <w:p w14:paraId="2E753967" w14:textId="77777777" w:rsidR="00D9340B" w:rsidRDefault="00D9340B" w:rsidP="00CA2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284931"/>
      <w:docPartObj>
        <w:docPartGallery w:val="Page Numbers (Top of Page)"/>
        <w:docPartUnique/>
      </w:docPartObj>
    </w:sdtPr>
    <w:sdtEndPr>
      <w:rPr>
        <w:noProof/>
      </w:rPr>
    </w:sdtEndPr>
    <w:sdtContent>
      <w:p w14:paraId="6B8519FE" w14:textId="77777777" w:rsidR="00CA2235" w:rsidRDefault="00CA2235">
        <w:pPr>
          <w:pStyle w:val="Header"/>
          <w:jc w:val="right"/>
        </w:pPr>
        <w:r>
          <w:fldChar w:fldCharType="begin"/>
        </w:r>
        <w:r>
          <w:instrText xml:space="preserve"> PAGE   \* MERGEFORMAT </w:instrText>
        </w:r>
        <w:r>
          <w:fldChar w:fldCharType="separate"/>
        </w:r>
        <w:r w:rsidR="00C24685">
          <w:rPr>
            <w:noProof/>
          </w:rPr>
          <w:t>6</w:t>
        </w:r>
        <w:r>
          <w:rPr>
            <w:noProof/>
          </w:rPr>
          <w:fldChar w:fldCharType="end"/>
        </w:r>
      </w:p>
    </w:sdtContent>
  </w:sdt>
  <w:p w14:paraId="6C43258C" w14:textId="77777777" w:rsidR="00CA2235" w:rsidRDefault="00CA22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8BF"/>
    <w:rsid w:val="00034071"/>
    <w:rsid w:val="0003756C"/>
    <w:rsid w:val="00037D6A"/>
    <w:rsid w:val="00050EDC"/>
    <w:rsid w:val="00060F0C"/>
    <w:rsid w:val="000774E5"/>
    <w:rsid w:val="00081F1D"/>
    <w:rsid w:val="00082B82"/>
    <w:rsid w:val="00091D45"/>
    <w:rsid w:val="000A27C6"/>
    <w:rsid w:val="000A39E9"/>
    <w:rsid w:val="00110E2E"/>
    <w:rsid w:val="00123CAD"/>
    <w:rsid w:val="0013466F"/>
    <w:rsid w:val="001B22C2"/>
    <w:rsid w:val="001B49DD"/>
    <w:rsid w:val="001F404D"/>
    <w:rsid w:val="002215D7"/>
    <w:rsid w:val="00245AD6"/>
    <w:rsid w:val="002518D3"/>
    <w:rsid w:val="0029633E"/>
    <w:rsid w:val="002B479B"/>
    <w:rsid w:val="002B546B"/>
    <w:rsid w:val="002D7BE9"/>
    <w:rsid w:val="002E2891"/>
    <w:rsid w:val="002F3C53"/>
    <w:rsid w:val="002F5E5B"/>
    <w:rsid w:val="0030199A"/>
    <w:rsid w:val="00314978"/>
    <w:rsid w:val="0032001B"/>
    <w:rsid w:val="00337FED"/>
    <w:rsid w:val="00347F11"/>
    <w:rsid w:val="00387C07"/>
    <w:rsid w:val="003A6738"/>
    <w:rsid w:val="003B4D15"/>
    <w:rsid w:val="003D7BBA"/>
    <w:rsid w:val="003F14F0"/>
    <w:rsid w:val="0043163A"/>
    <w:rsid w:val="00433409"/>
    <w:rsid w:val="00475A58"/>
    <w:rsid w:val="004F3452"/>
    <w:rsid w:val="005014F7"/>
    <w:rsid w:val="00522281"/>
    <w:rsid w:val="00525A68"/>
    <w:rsid w:val="00527BA4"/>
    <w:rsid w:val="00553002"/>
    <w:rsid w:val="00557C60"/>
    <w:rsid w:val="00571DB1"/>
    <w:rsid w:val="005727ED"/>
    <w:rsid w:val="00590CC2"/>
    <w:rsid w:val="005A040F"/>
    <w:rsid w:val="005A5B39"/>
    <w:rsid w:val="005A6F27"/>
    <w:rsid w:val="00605B8C"/>
    <w:rsid w:val="0062303C"/>
    <w:rsid w:val="00632448"/>
    <w:rsid w:val="00665A92"/>
    <w:rsid w:val="00666304"/>
    <w:rsid w:val="00672325"/>
    <w:rsid w:val="00675B68"/>
    <w:rsid w:val="00690F10"/>
    <w:rsid w:val="006C2D2C"/>
    <w:rsid w:val="006C7208"/>
    <w:rsid w:val="006F46D1"/>
    <w:rsid w:val="007256F0"/>
    <w:rsid w:val="00734283"/>
    <w:rsid w:val="00744FA0"/>
    <w:rsid w:val="007469AF"/>
    <w:rsid w:val="007550BB"/>
    <w:rsid w:val="007822B3"/>
    <w:rsid w:val="007B6206"/>
    <w:rsid w:val="007E1DE2"/>
    <w:rsid w:val="00806240"/>
    <w:rsid w:val="0081652C"/>
    <w:rsid w:val="00852972"/>
    <w:rsid w:val="00866E69"/>
    <w:rsid w:val="008773A6"/>
    <w:rsid w:val="008D6470"/>
    <w:rsid w:val="008E260A"/>
    <w:rsid w:val="008F6C1C"/>
    <w:rsid w:val="009053BD"/>
    <w:rsid w:val="00926493"/>
    <w:rsid w:val="00956BA8"/>
    <w:rsid w:val="00971C66"/>
    <w:rsid w:val="00977D22"/>
    <w:rsid w:val="009A720F"/>
    <w:rsid w:val="009E2C23"/>
    <w:rsid w:val="009E3E3B"/>
    <w:rsid w:val="00A05972"/>
    <w:rsid w:val="00A853D5"/>
    <w:rsid w:val="00A95958"/>
    <w:rsid w:val="00AA364A"/>
    <w:rsid w:val="00AB22AE"/>
    <w:rsid w:val="00AB64AA"/>
    <w:rsid w:val="00AE650C"/>
    <w:rsid w:val="00B03B9B"/>
    <w:rsid w:val="00B33412"/>
    <w:rsid w:val="00B35B9E"/>
    <w:rsid w:val="00B54B94"/>
    <w:rsid w:val="00B7113B"/>
    <w:rsid w:val="00B806A1"/>
    <w:rsid w:val="00BA0352"/>
    <w:rsid w:val="00BB32D4"/>
    <w:rsid w:val="00BB5B28"/>
    <w:rsid w:val="00BD2CEE"/>
    <w:rsid w:val="00C238C8"/>
    <w:rsid w:val="00C24685"/>
    <w:rsid w:val="00C3482F"/>
    <w:rsid w:val="00C6504B"/>
    <w:rsid w:val="00C81442"/>
    <w:rsid w:val="00CA2235"/>
    <w:rsid w:val="00CA7066"/>
    <w:rsid w:val="00CC4983"/>
    <w:rsid w:val="00CC6399"/>
    <w:rsid w:val="00CE09EC"/>
    <w:rsid w:val="00D0163F"/>
    <w:rsid w:val="00D0369D"/>
    <w:rsid w:val="00D41183"/>
    <w:rsid w:val="00D43C4C"/>
    <w:rsid w:val="00D50282"/>
    <w:rsid w:val="00D771C9"/>
    <w:rsid w:val="00D81260"/>
    <w:rsid w:val="00D85A94"/>
    <w:rsid w:val="00D925F8"/>
    <w:rsid w:val="00D9340B"/>
    <w:rsid w:val="00DD60AF"/>
    <w:rsid w:val="00DD73C2"/>
    <w:rsid w:val="00E36336"/>
    <w:rsid w:val="00E41C88"/>
    <w:rsid w:val="00E42BC3"/>
    <w:rsid w:val="00E62FD9"/>
    <w:rsid w:val="00E67362"/>
    <w:rsid w:val="00E77555"/>
    <w:rsid w:val="00EA24BF"/>
    <w:rsid w:val="00EB4B52"/>
    <w:rsid w:val="00EC5107"/>
    <w:rsid w:val="00ED7D2C"/>
    <w:rsid w:val="00EE2679"/>
    <w:rsid w:val="00F02103"/>
    <w:rsid w:val="00F11515"/>
    <w:rsid w:val="00F22AC6"/>
    <w:rsid w:val="00F26624"/>
    <w:rsid w:val="00F358BF"/>
    <w:rsid w:val="00F5037B"/>
    <w:rsid w:val="00F628F8"/>
    <w:rsid w:val="00F659B4"/>
    <w:rsid w:val="00F8654B"/>
    <w:rsid w:val="00FA3136"/>
    <w:rsid w:val="00FB0C3F"/>
    <w:rsid w:val="00FD1373"/>
    <w:rsid w:val="00FF0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C68AE"/>
  <w15:chartTrackingRefBased/>
  <w15:docId w15:val="{A6A1ADF7-857E-4C37-BEC2-29D03426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738"/>
    <w:pPr>
      <w:spacing w:line="278" w:lineRule="auto"/>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D771C9"/>
    <w:pPr>
      <w:keepNext/>
      <w:keepLines/>
      <w:spacing w:before="240" w:after="0" w:line="259" w:lineRule="auto"/>
      <w:outlineLvl w:val="0"/>
    </w:pPr>
    <w:rPr>
      <w:rFonts w:eastAsiaTheme="majorEastAsia" w:cstheme="majorBidi"/>
      <w:b/>
      <w:kern w:val="0"/>
      <w:sz w:val="32"/>
      <w:szCs w:val="32"/>
      <w14:ligatures w14:val="none"/>
    </w:rPr>
  </w:style>
  <w:style w:type="paragraph" w:styleId="Heading2">
    <w:name w:val="heading 2"/>
    <w:basedOn w:val="Normal"/>
    <w:next w:val="Normal"/>
    <w:link w:val="Heading2Char"/>
    <w:uiPriority w:val="9"/>
    <w:unhideWhenUsed/>
    <w:qFormat/>
    <w:rsid w:val="00D771C9"/>
    <w:pPr>
      <w:keepNext/>
      <w:keepLines/>
      <w:spacing w:before="40" w:after="0" w:line="259" w:lineRule="auto"/>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AB64AA"/>
    <w:pPr>
      <w:keepNext/>
      <w:keepLines/>
      <w:spacing w:before="160" w:after="80"/>
      <w:outlineLvl w:val="2"/>
    </w:pPr>
    <w:rPr>
      <w:rFonts w:eastAsiaTheme="majorEastAsia" w:cstheme="majorBidi"/>
      <w:i/>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1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771C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B64AA"/>
    <w:rPr>
      <w:rFonts w:ascii="Times New Roman" w:eastAsiaTheme="majorEastAsia" w:hAnsi="Times New Roman" w:cstheme="majorBidi"/>
      <w:i/>
      <w:color w:val="000000" w:themeColor="text1"/>
      <w:sz w:val="24"/>
      <w:szCs w:val="28"/>
    </w:rPr>
  </w:style>
  <w:style w:type="paragraph" w:styleId="NormalWeb">
    <w:name w:val="Normal (Web)"/>
    <w:basedOn w:val="Normal"/>
    <w:uiPriority w:val="99"/>
    <w:semiHidden/>
    <w:unhideWhenUsed/>
    <w:rsid w:val="00F358BF"/>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F358BF"/>
    <w:rPr>
      <w:i/>
      <w:iCs/>
    </w:rPr>
  </w:style>
  <w:style w:type="character" w:styleId="Hyperlink">
    <w:name w:val="Hyperlink"/>
    <w:basedOn w:val="DefaultParagraphFont"/>
    <w:uiPriority w:val="99"/>
    <w:unhideWhenUsed/>
    <w:rsid w:val="00F358BF"/>
    <w:rPr>
      <w:color w:val="0000FF"/>
      <w:u w:val="single"/>
    </w:rPr>
  </w:style>
  <w:style w:type="paragraph" w:styleId="TOCHeading">
    <w:name w:val="TOC Heading"/>
    <w:basedOn w:val="Heading1"/>
    <w:next w:val="Normal"/>
    <w:uiPriority w:val="39"/>
    <w:unhideWhenUsed/>
    <w:qFormat/>
    <w:rsid w:val="00CA2235"/>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A2235"/>
    <w:pPr>
      <w:spacing w:after="100"/>
    </w:pPr>
  </w:style>
  <w:style w:type="paragraph" w:styleId="TOC2">
    <w:name w:val="toc 2"/>
    <w:basedOn w:val="Normal"/>
    <w:next w:val="Normal"/>
    <w:autoRedefine/>
    <w:uiPriority w:val="39"/>
    <w:unhideWhenUsed/>
    <w:rsid w:val="00CA2235"/>
    <w:pPr>
      <w:spacing w:after="100"/>
      <w:ind w:left="240"/>
    </w:pPr>
  </w:style>
  <w:style w:type="paragraph" w:styleId="Header">
    <w:name w:val="header"/>
    <w:basedOn w:val="Normal"/>
    <w:link w:val="HeaderChar"/>
    <w:uiPriority w:val="99"/>
    <w:unhideWhenUsed/>
    <w:rsid w:val="00CA2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235"/>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CA2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235"/>
    <w:rPr>
      <w:rFonts w:ascii="Times New Roman" w:hAnsi="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105859">
      <w:bodyDiv w:val="1"/>
      <w:marLeft w:val="0"/>
      <w:marRight w:val="0"/>
      <w:marTop w:val="0"/>
      <w:marBottom w:val="0"/>
      <w:divBdr>
        <w:top w:val="none" w:sz="0" w:space="0" w:color="auto"/>
        <w:left w:val="none" w:sz="0" w:space="0" w:color="auto"/>
        <w:bottom w:val="none" w:sz="0" w:space="0" w:color="auto"/>
        <w:right w:val="none" w:sz="0" w:space="0" w:color="auto"/>
      </w:divBdr>
    </w:div>
    <w:div w:id="502473935">
      <w:bodyDiv w:val="1"/>
      <w:marLeft w:val="0"/>
      <w:marRight w:val="0"/>
      <w:marTop w:val="0"/>
      <w:marBottom w:val="0"/>
      <w:divBdr>
        <w:top w:val="none" w:sz="0" w:space="0" w:color="auto"/>
        <w:left w:val="none" w:sz="0" w:space="0" w:color="auto"/>
        <w:bottom w:val="none" w:sz="0" w:space="0" w:color="auto"/>
        <w:right w:val="none" w:sz="0" w:space="0" w:color="auto"/>
      </w:divBdr>
    </w:div>
    <w:div w:id="650254191">
      <w:bodyDiv w:val="1"/>
      <w:marLeft w:val="0"/>
      <w:marRight w:val="0"/>
      <w:marTop w:val="0"/>
      <w:marBottom w:val="0"/>
      <w:divBdr>
        <w:top w:val="none" w:sz="0" w:space="0" w:color="auto"/>
        <w:left w:val="none" w:sz="0" w:space="0" w:color="auto"/>
        <w:bottom w:val="none" w:sz="0" w:space="0" w:color="auto"/>
        <w:right w:val="none" w:sz="0" w:space="0" w:color="auto"/>
      </w:divBdr>
    </w:div>
    <w:div w:id="1044333864">
      <w:bodyDiv w:val="1"/>
      <w:marLeft w:val="0"/>
      <w:marRight w:val="0"/>
      <w:marTop w:val="0"/>
      <w:marBottom w:val="0"/>
      <w:divBdr>
        <w:top w:val="none" w:sz="0" w:space="0" w:color="auto"/>
        <w:left w:val="none" w:sz="0" w:space="0" w:color="auto"/>
        <w:bottom w:val="none" w:sz="0" w:space="0" w:color="auto"/>
        <w:right w:val="none" w:sz="0" w:space="0" w:color="auto"/>
      </w:divBdr>
    </w:div>
    <w:div w:id="1948269436">
      <w:bodyDiv w:val="1"/>
      <w:marLeft w:val="0"/>
      <w:marRight w:val="0"/>
      <w:marTop w:val="0"/>
      <w:marBottom w:val="0"/>
      <w:divBdr>
        <w:top w:val="none" w:sz="0" w:space="0" w:color="auto"/>
        <w:left w:val="none" w:sz="0" w:space="0" w:color="auto"/>
        <w:bottom w:val="none" w:sz="0" w:space="0" w:color="auto"/>
        <w:right w:val="none" w:sz="0" w:space="0" w:color="auto"/>
      </w:divBdr>
    </w:div>
    <w:div w:id="196306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smph.2021.100726"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3389/fpsyt.2020.5911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24/JBIES-20-0016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36/bmjopen-2020-045834" TargetMode="External"/><Relationship Id="rId4" Type="http://schemas.openxmlformats.org/officeDocument/2006/relationships/webSettings" Target="webSettings.xml"/><Relationship Id="rId9" Type="http://schemas.openxmlformats.org/officeDocument/2006/relationships/hyperlink" Target="https://doi.org/10.1016/S2215-0366(20)30383-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81107-94C3-40B2-A1D7-B6ED8364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807</Words>
  <Characters>4603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Laurence Brehouan (2328802)</cp:lastModifiedBy>
  <cp:revision>113</cp:revision>
  <dcterms:created xsi:type="dcterms:W3CDTF">2026-10-10T13:10:00Z</dcterms:created>
  <dcterms:modified xsi:type="dcterms:W3CDTF">2026-10-19T16:04:00Z</dcterms:modified>
</cp:coreProperties>
</file>