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00EAB6" w14:textId="77777777" w:rsidR="006B52DD" w:rsidRDefault="006B52DD" w:rsidP="006B52DD">
      <w:pPr>
        <w:spacing w:before="212"/>
        <w:jc w:val="center"/>
        <w:rPr>
          <w:b/>
          <w:sz w:val="56"/>
        </w:rPr>
      </w:pPr>
      <w:r>
        <w:rPr>
          <w:b/>
          <w:noProof/>
          <w:sz w:val="56"/>
        </w:rPr>
        <w:drawing>
          <wp:inline distT="0" distB="0" distL="0" distR="0" wp14:anchorId="0FCC120C" wp14:editId="22DD07BD">
            <wp:extent cx="3524324" cy="1404938"/>
            <wp:effectExtent l="0" t="0" r="0" b="5080"/>
            <wp:docPr id="4" name="Picture 4" descr="A close-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35284" cy="1409307"/>
                    </a:xfrm>
                    <a:prstGeom prst="rect">
                      <a:avLst/>
                    </a:prstGeom>
                    <a:noFill/>
                  </pic:spPr>
                </pic:pic>
              </a:graphicData>
            </a:graphic>
          </wp:inline>
        </w:drawing>
      </w:r>
    </w:p>
    <w:p w14:paraId="6839191D" w14:textId="77777777" w:rsidR="006B52DD" w:rsidRPr="0066224E" w:rsidRDefault="006B52DD" w:rsidP="006B52DD">
      <w:pPr>
        <w:spacing w:before="212"/>
        <w:jc w:val="center"/>
        <w:rPr>
          <w:b/>
          <w:sz w:val="36"/>
          <w:szCs w:val="36"/>
        </w:rPr>
      </w:pPr>
    </w:p>
    <w:p w14:paraId="718554EF" w14:textId="77777777" w:rsidR="006B52DD" w:rsidRDefault="006B52DD" w:rsidP="006B52DD">
      <w:pPr>
        <w:spacing w:before="212"/>
        <w:rPr>
          <w:b/>
          <w:sz w:val="56"/>
        </w:rPr>
      </w:pPr>
    </w:p>
    <w:p w14:paraId="23184824" w14:textId="7701CA7A" w:rsidR="006B52DD" w:rsidRDefault="006B52DD" w:rsidP="006B52DD">
      <w:pPr>
        <w:spacing w:before="212"/>
        <w:rPr>
          <w:b/>
          <w:sz w:val="48"/>
          <w:szCs w:val="48"/>
        </w:rPr>
      </w:pPr>
      <w:r w:rsidRPr="00DD5969">
        <w:rPr>
          <w:b/>
          <w:sz w:val="48"/>
          <w:szCs w:val="48"/>
        </w:rPr>
        <w:t>MODULE CODE:</w:t>
      </w:r>
      <w:r w:rsidR="00DE6EEB">
        <w:rPr>
          <w:b/>
          <w:sz w:val="48"/>
          <w:szCs w:val="48"/>
        </w:rPr>
        <w:t xml:space="preserve"> EDCE7020</w:t>
      </w:r>
    </w:p>
    <w:p w14:paraId="75945588" w14:textId="77777777" w:rsidR="006B52DD" w:rsidRDefault="006B52DD" w:rsidP="006B52DD">
      <w:pPr>
        <w:spacing w:before="212"/>
        <w:rPr>
          <w:b/>
          <w:sz w:val="48"/>
          <w:szCs w:val="48"/>
        </w:rPr>
      </w:pPr>
    </w:p>
    <w:p w14:paraId="56A2350C" w14:textId="1380DF60" w:rsidR="006B52DD" w:rsidRPr="00DD5969" w:rsidRDefault="006B52DD" w:rsidP="006B52DD">
      <w:pPr>
        <w:spacing w:before="212"/>
        <w:rPr>
          <w:b/>
          <w:sz w:val="48"/>
          <w:szCs w:val="48"/>
        </w:rPr>
      </w:pPr>
      <w:r>
        <w:rPr>
          <w:b/>
          <w:sz w:val="48"/>
          <w:szCs w:val="48"/>
        </w:rPr>
        <w:t>ASSESSMENT COMPONENT:</w:t>
      </w:r>
      <w:r w:rsidR="00DE6EEB">
        <w:rPr>
          <w:b/>
          <w:sz w:val="48"/>
          <w:szCs w:val="48"/>
        </w:rPr>
        <w:t xml:space="preserve"> 2</w:t>
      </w:r>
    </w:p>
    <w:p w14:paraId="27D9E3E7" w14:textId="77777777" w:rsidR="006B52DD" w:rsidRDefault="006B52DD" w:rsidP="006B52DD">
      <w:pPr>
        <w:spacing w:before="7"/>
        <w:jc w:val="center"/>
        <w:rPr>
          <w:b/>
          <w:sz w:val="44"/>
        </w:rPr>
      </w:pPr>
    </w:p>
    <w:p w14:paraId="6D08E6E3" w14:textId="461BD49C" w:rsidR="006B52DD" w:rsidRPr="00DD5969" w:rsidRDefault="006B52DD" w:rsidP="006B52DD">
      <w:pPr>
        <w:spacing w:before="3"/>
        <w:rPr>
          <w:b/>
          <w:sz w:val="48"/>
          <w:szCs w:val="48"/>
        </w:rPr>
      </w:pPr>
      <w:r w:rsidRPr="00DD5969">
        <w:rPr>
          <w:b/>
          <w:sz w:val="48"/>
          <w:szCs w:val="48"/>
        </w:rPr>
        <w:t>STUDENT NAME:</w:t>
      </w:r>
      <w:r w:rsidR="008B1A4B">
        <w:rPr>
          <w:b/>
          <w:sz w:val="48"/>
          <w:szCs w:val="48"/>
        </w:rPr>
        <w:t xml:space="preserve"> </w:t>
      </w:r>
      <w:proofErr w:type="spellStart"/>
      <w:r w:rsidR="008B1A4B">
        <w:rPr>
          <w:b/>
          <w:sz w:val="48"/>
          <w:szCs w:val="48"/>
        </w:rPr>
        <w:t>Yanzhu</w:t>
      </w:r>
      <w:proofErr w:type="spellEnd"/>
      <w:r w:rsidR="008B1A4B">
        <w:rPr>
          <w:b/>
          <w:sz w:val="48"/>
          <w:szCs w:val="48"/>
        </w:rPr>
        <w:t xml:space="preserve"> Ding</w:t>
      </w:r>
    </w:p>
    <w:p w14:paraId="098E87BB" w14:textId="77777777" w:rsidR="006B52DD" w:rsidRPr="00DD5969" w:rsidRDefault="006B52DD" w:rsidP="006B52DD">
      <w:pPr>
        <w:spacing w:before="3"/>
        <w:rPr>
          <w:b/>
          <w:sz w:val="48"/>
          <w:szCs w:val="48"/>
        </w:rPr>
      </w:pPr>
    </w:p>
    <w:p w14:paraId="3BF9CEC0" w14:textId="5D73FE39" w:rsidR="006B52DD" w:rsidRPr="00DD5969" w:rsidRDefault="006B52DD" w:rsidP="006B52DD">
      <w:pPr>
        <w:spacing w:before="3"/>
        <w:rPr>
          <w:b/>
          <w:sz w:val="48"/>
          <w:szCs w:val="48"/>
        </w:rPr>
      </w:pPr>
      <w:r w:rsidRPr="00DD5969">
        <w:rPr>
          <w:b/>
          <w:sz w:val="48"/>
          <w:szCs w:val="48"/>
        </w:rPr>
        <w:t xml:space="preserve">STUDENT </w:t>
      </w:r>
      <w:r>
        <w:rPr>
          <w:b/>
          <w:sz w:val="48"/>
          <w:szCs w:val="48"/>
        </w:rPr>
        <w:t>NUMBER</w:t>
      </w:r>
      <w:r w:rsidRPr="00DD5969">
        <w:rPr>
          <w:b/>
          <w:sz w:val="48"/>
          <w:szCs w:val="48"/>
        </w:rPr>
        <w:t>:</w:t>
      </w:r>
      <w:r w:rsidR="008B1A4B">
        <w:rPr>
          <w:b/>
          <w:sz w:val="48"/>
          <w:szCs w:val="48"/>
        </w:rPr>
        <w:t xml:space="preserve"> 2403809</w:t>
      </w:r>
    </w:p>
    <w:p w14:paraId="797D6FF7" w14:textId="77777777" w:rsidR="006B52DD" w:rsidRDefault="006B52DD" w:rsidP="006B52DD">
      <w:pPr>
        <w:rPr>
          <w:b/>
          <w:sz w:val="47"/>
        </w:rPr>
      </w:pPr>
    </w:p>
    <w:p w14:paraId="5C3D5D3A" w14:textId="77777777" w:rsidR="006B52DD" w:rsidRPr="00192D3C" w:rsidRDefault="006B52DD" w:rsidP="006B52DD">
      <w:pPr>
        <w:ind w:left="100"/>
        <w:jc w:val="center"/>
        <w:rPr>
          <w:b/>
          <w:sz w:val="47"/>
        </w:rPr>
      </w:pPr>
    </w:p>
    <w:p w14:paraId="392E55B5" w14:textId="77777777" w:rsidR="006B52DD" w:rsidRDefault="006B52DD" w:rsidP="006B52DD">
      <w:pPr>
        <w:ind w:left="100"/>
        <w:rPr>
          <w:b/>
          <w:sz w:val="47"/>
        </w:rPr>
      </w:pPr>
    </w:p>
    <w:p w14:paraId="419AE036" w14:textId="77777777" w:rsidR="006B52DD" w:rsidRDefault="006B52DD" w:rsidP="006B52DD">
      <w:pPr>
        <w:ind w:left="100"/>
        <w:rPr>
          <w:b/>
          <w:sz w:val="47"/>
        </w:rPr>
      </w:pPr>
    </w:p>
    <w:p w14:paraId="6D986130" w14:textId="77777777" w:rsidR="006B52DD" w:rsidRPr="00192D3C" w:rsidRDefault="006B52DD" w:rsidP="006B52DD">
      <w:pPr>
        <w:ind w:left="100"/>
        <w:rPr>
          <w:b/>
          <w:sz w:val="47"/>
        </w:rPr>
      </w:pPr>
      <w:r w:rsidRPr="00192D3C">
        <w:rPr>
          <w:b/>
          <w:sz w:val="47"/>
        </w:rPr>
        <w:t>Doctorate in Education (EdD)</w:t>
      </w:r>
    </w:p>
    <w:p w14:paraId="09D56C05" w14:textId="77777777" w:rsidR="006B52DD" w:rsidRDefault="006B52DD" w:rsidP="006B52DD">
      <w:pPr>
        <w:spacing w:before="200"/>
        <w:ind w:firstLine="720"/>
        <w:jc w:val="center"/>
        <w:rPr>
          <w:rFonts w:cs="Arial"/>
          <w:b/>
          <w:sz w:val="22"/>
          <w:szCs w:val="22"/>
        </w:rPr>
      </w:pPr>
    </w:p>
    <w:p w14:paraId="5B9DBFC6" w14:textId="77777777" w:rsidR="006B52DD" w:rsidRDefault="006B52DD" w:rsidP="006B52DD">
      <w:pPr>
        <w:rPr>
          <w:rFonts w:cs="Arial"/>
          <w:b/>
          <w:sz w:val="22"/>
          <w:szCs w:val="22"/>
        </w:rPr>
      </w:pPr>
      <w:r>
        <w:rPr>
          <w:rFonts w:cs="Arial"/>
          <w:b/>
          <w:sz w:val="22"/>
          <w:szCs w:val="22"/>
        </w:rPr>
        <w:br w:type="page"/>
      </w:r>
    </w:p>
    <w:p w14:paraId="0D908778" w14:textId="77777777" w:rsidR="004C6AB4" w:rsidRDefault="007E1794" w:rsidP="004C6AB4">
      <w:pPr>
        <w:spacing w:after="160" w:line="278" w:lineRule="auto"/>
        <w:rPr>
          <w:rFonts w:cs="Arial"/>
          <w:b/>
          <w:sz w:val="22"/>
          <w:szCs w:val="22"/>
        </w:rPr>
      </w:pPr>
      <w:r>
        <w:rPr>
          <w:rFonts w:cs="Arial"/>
          <w:b/>
          <w:sz w:val="22"/>
          <w:szCs w:val="22"/>
        </w:rPr>
        <w:lastRenderedPageBreak/>
        <w:t>Place</w:t>
      </w:r>
      <w:r w:rsidR="00320FF3">
        <w:rPr>
          <w:rFonts w:cs="Arial"/>
          <w:b/>
          <w:sz w:val="22"/>
          <w:szCs w:val="22"/>
        </w:rPr>
        <w:t xml:space="preserve"> your assignment here.</w:t>
      </w:r>
    </w:p>
    <w:p w14:paraId="17F4E376" w14:textId="77777777" w:rsidR="004C6AB4" w:rsidRDefault="004C6AB4" w:rsidP="004C6AB4">
      <w:pPr>
        <w:spacing w:after="160" w:line="278" w:lineRule="auto"/>
        <w:rPr>
          <w:rFonts w:cs="Arial"/>
          <w:b/>
          <w:sz w:val="22"/>
          <w:szCs w:val="22"/>
          <w:lang w:eastAsia="zh-CN"/>
        </w:rPr>
      </w:pPr>
    </w:p>
    <w:p w14:paraId="165637D5" w14:textId="77777777" w:rsidR="00062868" w:rsidRPr="00062868" w:rsidRDefault="00062868" w:rsidP="00062868">
      <w:pPr>
        <w:keepNext/>
        <w:keepLines/>
        <w:spacing w:before="360" w:after="80" w:line="360" w:lineRule="auto"/>
        <w:outlineLvl w:val="0"/>
        <w:rPr>
          <w:rFonts w:ascii="Times New Roman" w:eastAsiaTheme="majorEastAsia" w:hAnsi="Times New Roman"/>
          <w:b/>
          <w:bCs/>
          <w:i/>
          <w:iCs/>
          <w:color w:val="0F4761" w:themeColor="accent1" w:themeShade="BF"/>
          <w:kern w:val="2"/>
          <w:sz w:val="40"/>
          <w:szCs w:val="40"/>
          <w:lang w:eastAsia="zh-CN"/>
          <w14:ligatures w14:val="standardContextual"/>
        </w:rPr>
      </w:pPr>
      <w:r w:rsidRPr="00062868">
        <w:rPr>
          <w:rFonts w:ascii="Times New Roman" w:eastAsiaTheme="majorEastAsia" w:hAnsi="Times New Roman"/>
          <w:b/>
          <w:bCs/>
          <w:i/>
          <w:iCs/>
          <w:color w:val="0F4761" w:themeColor="accent1" w:themeShade="BF"/>
          <w:kern w:val="2"/>
          <w:sz w:val="40"/>
          <w:szCs w:val="40"/>
          <w:lang w:eastAsia="zh-CN"/>
          <w14:ligatures w14:val="standardContextual"/>
        </w:rPr>
        <w:t>Introduction</w:t>
      </w:r>
    </w:p>
    <w:p w14:paraId="04A898F6" w14:textId="77777777" w:rsidR="00062868" w:rsidRPr="00062868" w:rsidRDefault="00062868" w:rsidP="00062868">
      <w:pPr>
        <w:spacing w:before="100" w:beforeAutospacing="1" w:after="100" w:afterAutospacing="1" w:line="360" w:lineRule="auto"/>
        <w:jc w:val="both"/>
        <w:rPr>
          <w:rFonts w:cs="Arial"/>
          <w:sz w:val="24"/>
          <w:szCs w:val="24"/>
          <w:lang w:eastAsia="zh-CN"/>
        </w:rPr>
      </w:pPr>
      <w:bookmarkStart w:id="0" w:name="OLE_LINK20"/>
      <w:r w:rsidRPr="00062868">
        <w:rPr>
          <w:rFonts w:cs="Arial"/>
          <w:sz w:val="24"/>
          <w:szCs w:val="24"/>
          <w:lang w:eastAsia="zh-CN"/>
        </w:rPr>
        <w:t xml:space="preserve">Due to the intertwining of historical, cultural, and social norms, numerous social factors have influenced the educational development of people with disabilities in China </w:t>
      </w:r>
      <w:r w:rsidRPr="00062868">
        <w:rPr>
          <w:rFonts w:asciiTheme="minorHAnsi" w:eastAsiaTheme="minorEastAsia" w:hAnsiTheme="minorHAnsi" w:cstheme="minorBidi"/>
          <w:color w:val="000000"/>
          <w:kern w:val="2"/>
          <w:sz w:val="24"/>
          <w:szCs w:val="24"/>
          <w:lang w:eastAsia="zh-CN"/>
          <w14:ligatures w14:val="standardContextual"/>
        </w:rPr>
        <w:t>(Deng, Poon-</w:t>
      </w:r>
      <w:proofErr w:type="spellStart"/>
      <w:r w:rsidRPr="00062868">
        <w:rPr>
          <w:rFonts w:asciiTheme="minorHAnsi" w:eastAsiaTheme="minorEastAsia" w:hAnsiTheme="minorHAnsi" w:cstheme="minorBidi"/>
          <w:color w:val="000000"/>
          <w:kern w:val="2"/>
          <w:sz w:val="24"/>
          <w:szCs w:val="24"/>
          <w:lang w:eastAsia="zh-CN"/>
          <w14:ligatures w14:val="standardContextual"/>
        </w:rPr>
        <w:t>Mcbrayer</w:t>
      </w:r>
      <w:proofErr w:type="spellEnd"/>
      <w:r w:rsidRPr="00062868">
        <w:rPr>
          <w:rFonts w:asciiTheme="minorHAnsi" w:eastAsiaTheme="minorEastAsia" w:hAnsiTheme="minorHAnsi" w:cstheme="minorBidi"/>
          <w:color w:val="000000"/>
          <w:kern w:val="2"/>
          <w:sz w:val="24"/>
          <w:szCs w:val="24"/>
          <w:lang w:eastAsia="zh-CN"/>
          <w14:ligatures w14:val="standardContextual"/>
        </w:rPr>
        <w:t xml:space="preserve"> and Farnsworth, 2001)</w:t>
      </w:r>
      <w:r w:rsidRPr="00062868">
        <w:rPr>
          <w:rFonts w:cs="Arial"/>
          <w:sz w:val="24"/>
          <w:szCs w:val="24"/>
          <w:lang w:eastAsia="zh-CN"/>
        </w:rPr>
        <w:t>. Historically, this population has faced significant stigma, which has often hindered their access to quality education (Zhang and Rosen, 2018). This study seeks to explore the potential to uncover barriers to educational advancement and to advocate for the adoption of more inclusive practices within the educational sector. It will examine the complex interplay between these factors, focusing particularly on how family support, educational opportunities, societal and cultural expectations, and peer interactions shape the educational trajectories of individuals with disabilities in China (Wang, Cui and Fan, 2025).</w:t>
      </w:r>
      <w:r w:rsidRPr="00062868">
        <w:rPr>
          <w:rFonts w:cs="Arial" w:hint="eastAsia"/>
          <w:sz w:val="24"/>
          <w:szCs w:val="24"/>
          <w:lang w:eastAsia="zh-CN"/>
        </w:rPr>
        <w:t xml:space="preserve"> </w:t>
      </w:r>
      <w:r w:rsidRPr="00062868">
        <w:rPr>
          <w:rFonts w:cs="Arial"/>
          <w:sz w:val="24"/>
          <w:szCs w:val="24"/>
          <w:lang w:eastAsia="zh-CN"/>
        </w:rPr>
        <w:t>Given the study’s emphasis on the lived experiences of people with disabilities, Sloan and Bowe (2014) highlight that qualitative methodology, grounded in an understanding of the subjective and experiential world of individuals, is particularly appropriate. This approach facilitates a deeper description of personal experiences (Sloan and Bowe, 2014, citing Patton, 2002). Consequently, phenomenology—more specifically, interpretative phenomenological analysis (Smith and Osborn, 2015)</w:t>
      </w:r>
      <w:r w:rsidRPr="00062868">
        <w:rPr>
          <w:rFonts w:cs="Arial" w:hint="eastAsia"/>
          <w:sz w:val="24"/>
          <w:szCs w:val="24"/>
          <w:lang w:eastAsia="zh-CN"/>
        </w:rPr>
        <w:t xml:space="preserve"> </w:t>
      </w:r>
      <w:r w:rsidRPr="00062868">
        <w:rPr>
          <w:rFonts w:cs="Arial"/>
          <w:sz w:val="24"/>
          <w:szCs w:val="24"/>
          <w:lang w:eastAsia="zh-CN"/>
        </w:rPr>
        <w:t>—</w:t>
      </w:r>
      <w:r w:rsidRPr="00062868">
        <w:rPr>
          <w:rFonts w:cs="Arial" w:hint="eastAsia"/>
          <w:sz w:val="24"/>
          <w:szCs w:val="24"/>
          <w:lang w:eastAsia="zh-CN"/>
        </w:rPr>
        <w:t xml:space="preserve"> </w:t>
      </w:r>
      <w:r w:rsidRPr="00062868">
        <w:rPr>
          <w:rFonts w:cs="Arial"/>
          <w:sz w:val="24"/>
          <w:szCs w:val="24"/>
          <w:lang w:eastAsia="zh-CN"/>
        </w:rPr>
        <w:t>will serve as the primary framework for conducting this research. This framework will assist in gaining a deeper insight into the nature of these lived experiences and provide a lens through which to interpret the significance and meaning of the challenges and opportunities faced by students with disabilities within the Chinese education system (Zhou, 2024).</w:t>
      </w:r>
    </w:p>
    <w:bookmarkEnd w:id="0"/>
    <w:p w14:paraId="5300B9C8" w14:textId="76BEC0E0" w:rsidR="00062868" w:rsidRDefault="00062868" w:rsidP="00062868">
      <w:pPr>
        <w:spacing w:before="100" w:beforeAutospacing="1" w:after="100" w:afterAutospacing="1" w:line="360" w:lineRule="auto"/>
        <w:jc w:val="both"/>
        <w:rPr>
          <w:rFonts w:cs="Arial"/>
          <w:sz w:val="24"/>
          <w:szCs w:val="24"/>
          <w:lang w:eastAsia="zh-CN"/>
        </w:rPr>
      </w:pPr>
      <w:r w:rsidRPr="00062868">
        <w:rPr>
          <w:rFonts w:cs="Arial"/>
          <w:sz w:val="24"/>
          <w:szCs w:val="24"/>
          <w:lang w:eastAsia="zh-CN"/>
        </w:rPr>
        <w:t xml:space="preserve">This paper examines how well this framework can be applied in practice. The study describes specific methods for gathering and </w:t>
      </w:r>
      <w:r w:rsidRPr="00062868">
        <w:rPr>
          <w:rFonts w:cs="Arial"/>
          <w:sz w:val="24"/>
          <w:szCs w:val="24"/>
          <w:lang w:eastAsia="zh-CN"/>
        </w:rPr>
        <w:t>analysing</w:t>
      </w:r>
      <w:r w:rsidRPr="00062868">
        <w:rPr>
          <w:rFonts w:cs="Arial"/>
          <w:sz w:val="24"/>
          <w:szCs w:val="24"/>
          <w:lang w:eastAsia="zh-CN"/>
        </w:rPr>
        <w:t xml:space="preserve"> data. It also carefully evaluates both the advantages and drawbacks of the approach. The research has two main goals. First, it seeks to improve our knowledge about the complex challenges facing students who have disabilities. Second, it attempts to provide useful insights for later studies and for creating policies in this area. </w:t>
      </w:r>
    </w:p>
    <w:p w14:paraId="179B77D3" w14:textId="77777777" w:rsidR="00062868" w:rsidRPr="00062868" w:rsidRDefault="00062868" w:rsidP="00062868">
      <w:pPr>
        <w:keepNext/>
        <w:keepLines/>
        <w:spacing w:before="360" w:after="80" w:line="360" w:lineRule="auto"/>
        <w:outlineLvl w:val="0"/>
        <w:rPr>
          <w:rFonts w:ascii="Times New Roman" w:eastAsiaTheme="majorEastAsia" w:hAnsi="Times New Roman"/>
          <w:b/>
          <w:bCs/>
          <w:i/>
          <w:iCs/>
          <w:color w:val="0F4761" w:themeColor="accent1" w:themeShade="BF"/>
          <w:kern w:val="2"/>
          <w:sz w:val="40"/>
          <w:szCs w:val="40"/>
          <w:lang w:eastAsia="zh-CN"/>
          <w14:ligatures w14:val="standardContextual"/>
        </w:rPr>
      </w:pPr>
      <w:r w:rsidRPr="00062868">
        <w:rPr>
          <w:rFonts w:ascii="Times New Roman" w:eastAsiaTheme="majorEastAsia" w:hAnsi="Times New Roman"/>
          <w:b/>
          <w:bCs/>
          <w:i/>
          <w:iCs/>
          <w:color w:val="0F4761" w:themeColor="accent1" w:themeShade="BF"/>
          <w:kern w:val="2"/>
          <w:sz w:val="40"/>
          <w:szCs w:val="40"/>
          <w:lang w:eastAsia="zh-CN"/>
          <w14:ligatures w14:val="standardContextual"/>
        </w:rPr>
        <w:lastRenderedPageBreak/>
        <w:t>Identification of Research Area</w:t>
      </w:r>
    </w:p>
    <w:p w14:paraId="4250924D" w14:textId="77777777" w:rsidR="00062868" w:rsidRPr="00062868" w:rsidRDefault="00062868" w:rsidP="00062868">
      <w:pPr>
        <w:spacing w:before="100" w:beforeAutospacing="1" w:after="100" w:afterAutospacing="1" w:line="360" w:lineRule="auto"/>
        <w:jc w:val="both"/>
        <w:rPr>
          <w:rFonts w:cs="Arial"/>
          <w:sz w:val="24"/>
          <w:szCs w:val="24"/>
          <w:lang w:eastAsia="zh-CN"/>
        </w:rPr>
      </w:pPr>
      <w:bookmarkStart w:id="1" w:name="OLE_LINK22"/>
      <w:r w:rsidRPr="00062868">
        <w:rPr>
          <w:rFonts w:cs="Arial"/>
          <w:sz w:val="24"/>
          <w:szCs w:val="24"/>
          <w:lang w:eastAsia="zh-CN"/>
        </w:rPr>
        <w:t>This research focuses on identifying the various social obstacles that affect the education of people with disabilities in China. Government programs like the Second Phase Special Education Promotion Plan (2017–2020) have brought some improvements (Yang, 2020). However, major differences still exist between disabled and non-disabled students in terms of educational opportunities and performance (Li et al., 2021). These differences show that more research is needed in this area.</w:t>
      </w:r>
      <w:r w:rsidRPr="00062868">
        <w:rPr>
          <w:rFonts w:cs="Arial" w:hint="eastAsia"/>
          <w:sz w:val="24"/>
          <w:szCs w:val="24"/>
          <w:lang w:eastAsia="zh-CN"/>
        </w:rPr>
        <w:t xml:space="preserve"> </w:t>
      </w:r>
      <w:r w:rsidRPr="00062868">
        <w:rPr>
          <w:rFonts w:cs="Arial"/>
          <w:sz w:val="24"/>
          <w:szCs w:val="24"/>
          <w:lang w:eastAsia="zh-CN"/>
        </w:rPr>
        <w:t>Laws such as the Regulations on the Education of Persons with Disabilities (State Council, 2021) have made inclusive education an official policy. Yet, deep-rooted cultural attitudes and systemic issues still prevent students with disabilities from fully participating in education (Qu, 2022). Research shows a clear contradiction between policy goals and real-world implementation. Studies confirm that inclusive education benefits both disabled students and their classmates (Xu, Cooper and Sin, 2018). Evidence also suggests that proper inclusion efforts can lead to better academic results (Jones, Ni, and Wang, 2021).</w:t>
      </w:r>
    </w:p>
    <w:p w14:paraId="28095F3D" w14:textId="77777777" w:rsidR="00062868" w:rsidRPr="00062868" w:rsidRDefault="00062868" w:rsidP="00062868">
      <w:pPr>
        <w:spacing w:before="100" w:beforeAutospacing="1" w:after="100" w:afterAutospacing="1" w:line="360" w:lineRule="auto"/>
        <w:jc w:val="both"/>
        <w:rPr>
          <w:rFonts w:cs="Arial"/>
          <w:sz w:val="24"/>
          <w:szCs w:val="24"/>
          <w:lang w:eastAsia="zh-CN"/>
        </w:rPr>
      </w:pPr>
      <w:r w:rsidRPr="00062868">
        <w:rPr>
          <w:rFonts w:cs="Arial"/>
          <w:sz w:val="24"/>
          <w:szCs w:val="24"/>
          <w:lang w:eastAsia="zh-CN"/>
        </w:rPr>
        <w:t>However, schools often struggle to put these policies into practice. According to OECD (2020), China has fewer special education teachers per student (1:8.3) compared to the OECD average (1:4.1). This shortage makes it difficult to provide adequate support. Current studies have two main limitations. First, there are not enough in-depth studies that focus on the personal experiences of disabled students. Second, more research is needed to understand how support systems work in schools (Xu, Zhu and Smith, 2022).</w:t>
      </w:r>
    </w:p>
    <w:p w14:paraId="0A977F6E" w14:textId="77777777" w:rsidR="00062868" w:rsidRPr="00062868" w:rsidRDefault="00062868" w:rsidP="00062868">
      <w:pPr>
        <w:spacing w:before="100" w:beforeAutospacing="1" w:after="100" w:afterAutospacing="1" w:line="360" w:lineRule="auto"/>
        <w:jc w:val="both"/>
        <w:rPr>
          <w:rFonts w:cs="Arial"/>
          <w:sz w:val="24"/>
          <w:szCs w:val="24"/>
          <w:lang w:eastAsia="zh-CN"/>
        </w:rPr>
      </w:pPr>
      <w:r w:rsidRPr="00062868">
        <w:rPr>
          <w:rFonts w:cs="Arial"/>
          <w:sz w:val="24"/>
          <w:szCs w:val="24"/>
          <w:lang w:eastAsia="zh-CN"/>
        </w:rPr>
        <w:t>A deeper cultural analysis reveals persistent contradictions. Traditional deficit-based models of disability, which equate disability with incompetence, continue to dominate Chinese educational discourses (Xu, Zhu, and Smith, 2022; Semmel and Gao, 1992). Such perceptions not only lower educators’ expectations—a phenomenon linked to the Pygmalion effect (Rosenthal effect, see Xu et al., 2020)—but also negatively impact family support systems and exacerbate peer exclusion (Zhang and Miao, 2022). These dual suppression mechanisms are likely to further marginalise disabled students within educational settings.</w:t>
      </w:r>
    </w:p>
    <w:p w14:paraId="71005163" w14:textId="77777777" w:rsidR="00062868" w:rsidRPr="00062868" w:rsidRDefault="00062868" w:rsidP="00062868">
      <w:pPr>
        <w:spacing w:before="100" w:beforeAutospacing="1" w:after="100" w:afterAutospacing="1" w:line="360" w:lineRule="auto"/>
        <w:jc w:val="both"/>
        <w:rPr>
          <w:rFonts w:cs="Arial"/>
          <w:sz w:val="24"/>
          <w:szCs w:val="24"/>
          <w:lang w:eastAsia="zh-CN"/>
        </w:rPr>
      </w:pPr>
    </w:p>
    <w:p w14:paraId="343F262C" w14:textId="77777777" w:rsidR="00062868" w:rsidRPr="00062868" w:rsidRDefault="00062868" w:rsidP="00062868">
      <w:pPr>
        <w:spacing w:before="100" w:beforeAutospacing="1" w:after="100" w:afterAutospacing="1" w:line="360" w:lineRule="auto"/>
        <w:jc w:val="both"/>
        <w:rPr>
          <w:rFonts w:cs="Arial"/>
          <w:sz w:val="24"/>
          <w:szCs w:val="24"/>
          <w:lang w:eastAsia="zh-CN"/>
        </w:rPr>
      </w:pPr>
      <w:r w:rsidRPr="00062868">
        <w:rPr>
          <w:rFonts w:cs="Arial"/>
          <w:sz w:val="24"/>
          <w:szCs w:val="24"/>
          <w:lang w:eastAsia="zh-CN"/>
        </w:rPr>
        <w:t>This study develops a four-part framework to examine key factors affecting disabled students' education:</w:t>
      </w:r>
    </w:p>
    <w:p w14:paraId="75A82C57" w14:textId="77777777" w:rsidR="00062868" w:rsidRPr="00062868" w:rsidRDefault="00062868" w:rsidP="00062868">
      <w:pPr>
        <w:numPr>
          <w:ilvl w:val="0"/>
          <w:numId w:val="5"/>
        </w:numPr>
        <w:spacing w:before="100" w:beforeAutospacing="1" w:after="100" w:afterAutospacing="1" w:line="360" w:lineRule="auto"/>
        <w:jc w:val="both"/>
        <w:rPr>
          <w:rFonts w:cs="Arial"/>
          <w:sz w:val="24"/>
          <w:szCs w:val="24"/>
          <w:lang w:eastAsia="zh-CN"/>
        </w:rPr>
      </w:pPr>
      <w:r w:rsidRPr="00062868">
        <w:rPr>
          <w:rFonts w:cs="Arial"/>
          <w:sz w:val="24"/>
          <w:szCs w:val="24"/>
          <w:lang w:eastAsia="zh-CN"/>
        </w:rPr>
        <w:t xml:space="preserve">Family </w:t>
      </w:r>
      <w:r w:rsidRPr="00062868">
        <w:rPr>
          <w:rFonts w:cs="Arial" w:hint="eastAsia"/>
          <w:sz w:val="24"/>
          <w:szCs w:val="24"/>
          <w:lang w:eastAsia="zh-CN"/>
        </w:rPr>
        <w:t>Background Factor</w:t>
      </w:r>
      <w:r w:rsidRPr="00062868">
        <w:rPr>
          <w:rFonts w:cs="Arial"/>
          <w:sz w:val="24"/>
          <w:szCs w:val="24"/>
          <w:lang w:eastAsia="zh-CN"/>
        </w:rPr>
        <w:t xml:space="preserve">: </w:t>
      </w:r>
      <w:bookmarkStart w:id="2" w:name="OLE_LINK23"/>
      <w:r w:rsidRPr="00062868">
        <w:rPr>
          <w:rFonts w:cs="Arial"/>
          <w:sz w:val="24"/>
          <w:szCs w:val="24"/>
          <w:lang w:eastAsia="zh-CN"/>
        </w:rPr>
        <w:t xml:space="preserve">This dimension examines the crucial relationship between family socioeconomic resources and educational opportunities for students with disabilities. Building upon Bourdieu's (1986) foundational work on cultural capital, the analysis focuses on how families transmit knowledge, skills, and educational expectations that align with school requirements. </w:t>
      </w:r>
    </w:p>
    <w:p w14:paraId="4FB9F4F3" w14:textId="77777777" w:rsidR="00062868" w:rsidRPr="00062868" w:rsidRDefault="00062868" w:rsidP="00062868">
      <w:pPr>
        <w:numPr>
          <w:ilvl w:val="0"/>
          <w:numId w:val="5"/>
        </w:numPr>
        <w:spacing w:before="100" w:beforeAutospacing="1" w:after="100" w:afterAutospacing="1" w:line="360" w:lineRule="auto"/>
        <w:jc w:val="both"/>
        <w:rPr>
          <w:rFonts w:cs="Arial"/>
          <w:sz w:val="24"/>
          <w:szCs w:val="24"/>
          <w:lang w:eastAsia="zh-CN"/>
        </w:rPr>
      </w:pPr>
      <w:r w:rsidRPr="00062868">
        <w:rPr>
          <w:rFonts w:cs="Arial"/>
          <w:sz w:val="24"/>
          <w:szCs w:val="24"/>
          <w:lang w:eastAsia="zh-CN"/>
        </w:rPr>
        <w:t xml:space="preserve">School System Challenges: The study conducts a comprehensive evaluation of structural challenges within China's special education infrastructure. Recent data from the Ministry of Education (2023) indicates significant resource disparities, with 2,353 special education institutions serving 918,400 students nationwide. The current teacher-student ratio of 1:14.3 reveals substantial gaps when compared to UNESCO's (2020) recommended standards of 1:6 for special education settings. </w:t>
      </w:r>
    </w:p>
    <w:bookmarkEnd w:id="2"/>
    <w:p w14:paraId="2BF6E4F9" w14:textId="77777777" w:rsidR="00062868" w:rsidRPr="00062868" w:rsidRDefault="00062868" w:rsidP="00062868">
      <w:pPr>
        <w:numPr>
          <w:ilvl w:val="0"/>
          <w:numId w:val="5"/>
        </w:numPr>
        <w:spacing w:before="100" w:beforeAutospacing="1" w:after="100" w:afterAutospacing="1" w:line="360" w:lineRule="auto"/>
        <w:contextualSpacing/>
        <w:jc w:val="both"/>
        <w:rPr>
          <w:rFonts w:cs="Arial"/>
          <w:sz w:val="24"/>
          <w:szCs w:val="24"/>
          <w:lang w:eastAsia="zh-CN"/>
        </w:rPr>
      </w:pPr>
      <w:r w:rsidRPr="00062868">
        <w:rPr>
          <w:rFonts w:cs="Arial"/>
          <w:color w:val="111111"/>
          <w:sz w:val="24"/>
          <w:szCs w:val="24"/>
          <w:lang w:eastAsia="zh-CN"/>
        </w:rPr>
        <w:t xml:space="preserve">Social Attitudes: </w:t>
      </w:r>
      <w:bookmarkStart w:id="3" w:name="OLE_LINK24"/>
      <w:r w:rsidRPr="00062868">
        <w:rPr>
          <w:rFonts w:cs="Arial"/>
          <w:color w:val="111111"/>
          <w:sz w:val="24"/>
          <w:szCs w:val="24"/>
          <w:lang w:eastAsia="zh-CN"/>
        </w:rPr>
        <w:t xml:space="preserve">Drawing on Goffman's (1963) seminal conceptualization of stigma, this dimension explores how societal attitudes shape the educational experiences of students with disabilities. The framework examines the social processes through which disability becomes constructed as a negative label, leading to exclusionary practices in school environments. </w:t>
      </w:r>
    </w:p>
    <w:p w14:paraId="39BADE01" w14:textId="77777777" w:rsidR="00062868" w:rsidRPr="00062868" w:rsidRDefault="00062868" w:rsidP="00062868">
      <w:pPr>
        <w:numPr>
          <w:ilvl w:val="0"/>
          <w:numId w:val="5"/>
        </w:numPr>
        <w:spacing w:after="100" w:afterAutospacing="1" w:line="360" w:lineRule="auto"/>
        <w:contextualSpacing/>
        <w:jc w:val="both"/>
        <w:rPr>
          <w:rFonts w:eastAsiaTheme="minorEastAsia" w:cs="Arial"/>
          <w:color w:val="404040"/>
          <w:kern w:val="2"/>
          <w:sz w:val="24"/>
          <w:szCs w:val="24"/>
          <w:lang w:eastAsia="zh-CN"/>
          <w14:ligatures w14:val="standardContextual"/>
        </w:rPr>
      </w:pPr>
      <w:r w:rsidRPr="00062868">
        <w:rPr>
          <w:rFonts w:cs="Arial"/>
          <w:sz w:val="24"/>
          <w:szCs w:val="24"/>
          <w:lang w:eastAsia="zh-CN"/>
        </w:rPr>
        <w:t>Peer Relationship:</w:t>
      </w:r>
      <w:r w:rsidRPr="00062868">
        <w:rPr>
          <w:rFonts w:cs="Arial" w:hint="eastAsia"/>
          <w:sz w:val="24"/>
          <w:szCs w:val="24"/>
          <w:lang w:eastAsia="zh-CN"/>
        </w:rPr>
        <w:t xml:space="preserve"> </w:t>
      </w:r>
      <w:r w:rsidRPr="00062868">
        <w:rPr>
          <w:rFonts w:cs="Arial"/>
          <w:sz w:val="24"/>
          <w:szCs w:val="24"/>
          <w:lang w:eastAsia="zh-CN"/>
        </w:rPr>
        <w:t xml:space="preserve">Utilizing Social Network Analysis methodologies, this component investigates the critical role of peer relationships in fostering academic engagement. Mamas et al.'s (2020) longitudinal research demonstrates that students with disabilities who establish strong social connections within supportive peer groups show measurable improvements in both academic persistence and emotional resilience. </w:t>
      </w:r>
      <w:bookmarkEnd w:id="1"/>
      <w:bookmarkEnd w:id="3"/>
    </w:p>
    <w:p w14:paraId="50E39305" w14:textId="77777777" w:rsidR="00062868" w:rsidRDefault="00062868" w:rsidP="00062868">
      <w:pPr>
        <w:spacing w:after="100" w:afterAutospacing="1" w:line="360" w:lineRule="auto"/>
        <w:ind w:left="360"/>
        <w:jc w:val="both"/>
        <w:rPr>
          <w:rFonts w:eastAsiaTheme="minorEastAsia" w:cs="Arial"/>
          <w:color w:val="404040"/>
          <w:kern w:val="2"/>
          <w:sz w:val="24"/>
          <w:szCs w:val="24"/>
          <w:lang w:eastAsia="zh-CN"/>
          <w14:ligatures w14:val="standardContextual"/>
        </w:rPr>
      </w:pPr>
      <w:r w:rsidRPr="00062868">
        <w:rPr>
          <w:rFonts w:eastAsiaTheme="minorEastAsia" w:cs="Arial"/>
          <w:color w:val="404040"/>
          <w:kern w:val="2"/>
          <w:sz w:val="24"/>
          <w:szCs w:val="24"/>
          <w:lang w:eastAsia="zh-CN"/>
          <w14:ligatures w14:val="standardContextual"/>
        </w:rPr>
        <w:t>This study examines how these interconnected factors shape the educational experiences of students with disabilities in China. The framework provides a systematic approach to analyse both challenges and opportunities across multiple levels.</w:t>
      </w:r>
      <w:r w:rsidRPr="00062868">
        <w:rPr>
          <w:rFonts w:eastAsiaTheme="minorEastAsia" w:cs="Arial" w:hint="eastAsia"/>
          <w:color w:val="404040"/>
          <w:kern w:val="2"/>
          <w:sz w:val="24"/>
          <w:szCs w:val="24"/>
          <w:lang w:eastAsia="zh-CN"/>
          <w14:ligatures w14:val="standardContextual"/>
        </w:rPr>
        <w:t xml:space="preserve"> </w:t>
      </w:r>
      <w:r w:rsidRPr="00062868">
        <w:rPr>
          <w:rFonts w:eastAsiaTheme="minorEastAsia" w:cs="Arial"/>
          <w:color w:val="404040"/>
          <w:kern w:val="2"/>
          <w:sz w:val="24"/>
          <w:szCs w:val="24"/>
          <w:lang w:eastAsia="zh-CN"/>
          <w14:ligatures w14:val="standardContextual"/>
        </w:rPr>
        <w:t xml:space="preserve">The findings will offer practical recommendations for policy improvements and resource allocation in special education systems. They will also help bridge the gap between inclusive education policies and their actual implementation in </w:t>
      </w:r>
      <w:r w:rsidRPr="00062868">
        <w:rPr>
          <w:rFonts w:eastAsiaTheme="minorEastAsia" w:cs="Arial"/>
          <w:color w:val="404040"/>
          <w:kern w:val="2"/>
          <w:sz w:val="24"/>
          <w:szCs w:val="24"/>
          <w:lang w:eastAsia="zh-CN"/>
          <w14:ligatures w14:val="standardContextual"/>
        </w:rPr>
        <w:lastRenderedPageBreak/>
        <w:t>schools. Following McGregor et al. (2016), the study emphasizes recognizing disability as an important aspect of diversity that enriches learning environments.</w:t>
      </w:r>
      <w:r w:rsidRPr="00062868">
        <w:rPr>
          <w:rFonts w:eastAsiaTheme="minorEastAsia" w:cs="Arial" w:hint="eastAsia"/>
          <w:color w:val="404040"/>
          <w:kern w:val="2"/>
          <w:sz w:val="24"/>
          <w:szCs w:val="24"/>
          <w:lang w:eastAsia="zh-CN"/>
          <w14:ligatures w14:val="standardContextual"/>
        </w:rPr>
        <w:t xml:space="preserve"> </w:t>
      </w:r>
      <w:r w:rsidRPr="00062868">
        <w:rPr>
          <w:rFonts w:eastAsiaTheme="minorEastAsia" w:cs="Arial"/>
          <w:color w:val="404040"/>
          <w:kern w:val="2"/>
          <w:sz w:val="24"/>
          <w:szCs w:val="24"/>
          <w:lang w:eastAsia="zh-CN"/>
          <w14:ligatures w14:val="standardContextual"/>
        </w:rPr>
        <w:t>Ultimately, the research aims to contribute to shifting China's education system from superficial inclusion to meaningful equity (Deng, Poon-</w:t>
      </w:r>
      <w:proofErr w:type="spellStart"/>
      <w:r w:rsidRPr="00062868">
        <w:rPr>
          <w:rFonts w:eastAsiaTheme="minorEastAsia" w:cs="Arial"/>
          <w:color w:val="404040"/>
          <w:kern w:val="2"/>
          <w:sz w:val="24"/>
          <w:szCs w:val="24"/>
          <w:lang w:eastAsia="zh-CN"/>
          <w14:ligatures w14:val="standardContextual"/>
        </w:rPr>
        <w:t>Mcbrayer</w:t>
      </w:r>
      <w:proofErr w:type="spellEnd"/>
      <w:r w:rsidRPr="00062868">
        <w:rPr>
          <w:rFonts w:eastAsiaTheme="minorEastAsia" w:cs="Arial"/>
          <w:color w:val="404040"/>
          <w:kern w:val="2"/>
          <w:sz w:val="24"/>
          <w:szCs w:val="24"/>
          <w:lang w:eastAsia="zh-CN"/>
          <w14:ligatures w14:val="standardContextual"/>
        </w:rPr>
        <w:t xml:space="preserve"> &amp; Farnsworth, 2001; UNESCO, 2020). </w:t>
      </w:r>
    </w:p>
    <w:p w14:paraId="65DB13BA" w14:textId="77777777" w:rsidR="00C1786A" w:rsidRPr="00062868" w:rsidRDefault="00C1786A" w:rsidP="00062868">
      <w:pPr>
        <w:spacing w:after="100" w:afterAutospacing="1" w:line="360" w:lineRule="auto"/>
        <w:ind w:left="360"/>
        <w:jc w:val="both"/>
        <w:rPr>
          <w:rFonts w:eastAsiaTheme="minorEastAsia" w:cs="Arial"/>
          <w:color w:val="404040"/>
          <w:kern w:val="2"/>
          <w:sz w:val="24"/>
          <w:szCs w:val="24"/>
          <w:lang w:eastAsia="zh-CN"/>
          <w14:ligatures w14:val="standardContextual"/>
        </w:rPr>
      </w:pPr>
    </w:p>
    <w:p w14:paraId="35C3380B" w14:textId="77777777" w:rsidR="00396290" w:rsidRPr="00396290" w:rsidRDefault="00396290" w:rsidP="00396290">
      <w:pPr>
        <w:keepNext/>
        <w:keepLines/>
        <w:spacing w:before="360" w:after="80" w:line="360" w:lineRule="auto"/>
        <w:outlineLvl w:val="0"/>
        <w:rPr>
          <w:rFonts w:ascii="Times New Roman" w:eastAsiaTheme="majorEastAsia" w:hAnsi="Times New Roman"/>
          <w:b/>
          <w:bCs/>
          <w:i/>
          <w:iCs/>
          <w:color w:val="0F4761" w:themeColor="accent1" w:themeShade="BF"/>
          <w:kern w:val="2"/>
          <w:sz w:val="40"/>
          <w:szCs w:val="40"/>
          <w:lang w:eastAsia="zh-CN"/>
          <w14:ligatures w14:val="standardContextual"/>
        </w:rPr>
      </w:pPr>
      <w:r w:rsidRPr="00396290">
        <w:rPr>
          <w:rFonts w:ascii="Times New Roman" w:eastAsiaTheme="majorEastAsia" w:hAnsi="Times New Roman"/>
          <w:b/>
          <w:bCs/>
          <w:i/>
          <w:iCs/>
          <w:color w:val="0F4761" w:themeColor="accent1" w:themeShade="BF"/>
          <w:kern w:val="2"/>
          <w:sz w:val="40"/>
          <w:szCs w:val="40"/>
          <w:lang w:eastAsia="zh-CN"/>
          <w14:ligatures w14:val="standardContextual"/>
        </w:rPr>
        <w:t>Philosophical and Theoretical Framework</w:t>
      </w:r>
    </w:p>
    <w:p w14:paraId="1D49C9AD" w14:textId="77777777" w:rsidR="00396290" w:rsidRPr="00396290" w:rsidRDefault="00396290" w:rsidP="00396290">
      <w:pPr>
        <w:spacing w:before="100" w:beforeAutospacing="1" w:after="100" w:afterAutospacing="1" w:line="360" w:lineRule="auto"/>
        <w:jc w:val="both"/>
        <w:rPr>
          <w:rFonts w:cs="Arial"/>
          <w:sz w:val="24"/>
          <w:szCs w:val="24"/>
          <w:lang w:eastAsia="zh-CN"/>
        </w:rPr>
      </w:pPr>
      <w:r w:rsidRPr="00396290">
        <w:rPr>
          <w:rFonts w:cs="Arial"/>
          <w:sz w:val="24"/>
          <w:szCs w:val="24"/>
          <w:lang w:eastAsia="zh-CN"/>
        </w:rPr>
        <w:t xml:space="preserve">This study draws on three complementary theoretical frameworks—interpretivism, constructivism, and phenomenology — each of which has distinct strengths in examining how students with disabilities experience China’s education system. Meanwhile, interpretivism and constructivism help explore how social factors influence the educational experiences of students with disabilities (Sloan &amp; Bowe, 2014). These approaches recognize that meaning is constructed through social interaction and varies in different contexts (Stolz, 2022). Nevertheless, their focus on subjective interpretation makes it difficult to generalize the findings to China’s diverse population of students with disabilities (Zhang &amp; Rosen, 2018). Constructivism builds on this by proposing that individuals actively construct knowledge through experience and social interaction (Berger &amp; </w:t>
      </w:r>
      <w:proofErr w:type="spellStart"/>
      <w:r w:rsidRPr="00396290">
        <w:rPr>
          <w:rFonts w:cs="Arial"/>
          <w:sz w:val="24"/>
          <w:szCs w:val="24"/>
          <w:lang w:eastAsia="zh-CN"/>
        </w:rPr>
        <w:t>Luckmann</w:t>
      </w:r>
      <w:proofErr w:type="spellEnd"/>
      <w:r w:rsidRPr="00396290">
        <w:rPr>
          <w:rFonts w:cs="Arial"/>
          <w:sz w:val="24"/>
          <w:szCs w:val="24"/>
          <w:lang w:eastAsia="zh-CN"/>
        </w:rPr>
        <w:t>, 1966). Together, these approaches emphasize several key principles: the value of personal experience, the process of creating meaning, and the social nature of what public consider “real” (Sloan &amp; Bowe, 2014; Stolz, 2022). These frameworks, when applied to disability research, reveal important insights which indicate that disability is not limited to medical diagnosis but also includes how society views and treats differences (Xu, Zhu &amp; Smith, 2022), and in the context of education in China, it means examining how students, families, and teachers jointly understand and cope with disability.</w:t>
      </w:r>
    </w:p>
    <w:p w14:paraId="32CAB6DC" w14:textId="77777777" w:rsidR="00396290" w:rsidRPr="00396290" w:rsidRDefault="00396290" w:rsidP="00396290">
      <w:pPr>
        <w:spacing w:before="100" w:beforeAutospacing="1" w:after="100" w:afterAutospacing="1" w:line="360" w:lineRule="auto"/>
        <w:jc w:val="both"/>
        <w:rPr>
          <w:rFonts w:cs="Arial"/>
          <w:sz w:val="24"/>
          <w:szCs w:val="24"/>
          <w:lang w:eastAsia="zh-CN"/>
        </w:rPr>
      </w:pPr>
      <w:r w:rsidRPr="00396290">
        <w:rPr>
          <w:rFonts w:cs="Arial"/>
          <w:sz w:val="24"/>
          <w:szCs w:val="24"/>
          <w:lang w:eastAsia="zh-CN"/>
        </w:rPr>
        <w:t xml:space="preserve">Furthermore, this study mainly uses phenomenological methods, especially interpretive phenomenology, to deeply explore the lived experiences of students with disabilities. Phenomenology strives to understand how individuals consciously experience and perceive the world (Osborn &amp; Husserl, 1932). It extends and </w:t>
      </w:r>
      <w:r w:rsidRPr="00396290">
        <w:rPr>
          <w:rFonts w:cs="Arial"/>
          <w:sz w:val="24"/>
          <w:szCs w:val="24"/>
          <w:lang w:eastAsia="zh-CN"/>
        </w:rPr>
        <w:lastRenderedPageBreak/>
        <w:t>emphasizes the interpretation of these experiences in social and cultural contexts (Stolz, 2022). Interpretive phenomenology provides a particularly valuable tool for this study. It examines in detail what it means to be a student with disabilities in the Chinese education system (Osborn &amp; Husserl, 1932). This method emphasizes the reflexivity of the researcher and requires the researcher to constantly examine their own assumptions during the interpretation of the data (Smith &amp; Osborn, 2015). Although phenomenology can provide in-depth understanding, its abstract nature requires researchers to be cautious and careful in the use of methodology, so, researchers are supposed to pay close attention to the nuances of language and contextual factors that influence the construction of meaning. The approach also requires researchers to continuously identify and address potential biases throughout the research process (Stolz, 2022).</w:t>
      </w:r>
    </w:p>
    <w:p w14:paraId="25D5D490" w14:textId="033BDC8E" w:rsidR="00396290" w:rsidRDefault="00396290" w:rsidP="00396290">
      <w:pPr>
        <w:spacing w:before="100" w:beforeAutospacing="1" w:after="100" w:afterAutospacing="1" w:line="360" w:lineRule="auto"/>
        <w:jc w:val="both"/>
        <w:rPr>
          <w:rFonts w:cs="Arial"/>
          <w:sz w:val="24"/>
          <w:szCs w:val="24"/>
          <w:lang w:eastAsia="zh-CN"/>
        </w:rPr>
      </w:pPr>
      <w:r w:rsidRPr="00396290">
        <w:rPr>
          <w:rFonts w:cs="Arial"/>
          <w:sz w:val="24"/>
          <w:szCs w:val="24"/>
          <w:lang w:eastAsia="zh-CN"/>
        </w:rPr>
        <w:t xml:space="preserve">This study integrates hermeneutic, constructivist, and phenomenological approaches to build a comprehensive theoretical foundation. These frameworks are unified by hermeneutic principles and together form a multidimensional examination of the educational experiences of students with disabilities in China. While each approach has its own unique analytical advantages, combining them enables in providing a more comprehensive understanding than any single framework. It is particularly valuable for studying marginalized groups because it captures both structural barriers and individual experiences (Sloan and Bowe, 2014; Ryan, 2018; William, 2024). </w:t>
      </w:r>
      <w:r w:rsidRPr="00396290">
        <w:rPr>
          <w:rFonts w:cs="Arial"/>
          <w:sz w:val="24"/>
          <w:szCs w:val="24"/>
          <w:lang w:eastAsia="zh-CN"/>
        </w:rPr>
        <w:t>According</w:t>
      </w:r>
      <w:r w:rsidRPr="00396290">
        <w:rPr>
          <w:rFonts w:cs="Arial"/>
          <w:sz w:val="24"/>
          <w:szCs w:val="24"/>
          <w:lang w:eastAsia="zh-CN"/>
        </w:rPr>
        <w:t xml:space="preserve"> to these researchers, frameworks complement each other - interpretivism reveals the social construction of disability, phenomenology illuminates individual cognitions, and constructivism explains the process of forming these cognitions. Thus, they facilitate analysis at multiple levels: from broad cultural norms to classroom interactions to individual educational journeys.</w:t>
      </w:r>
      <w:r w:rsidRPr="00396290">
        <w:rPr>
          <w:rFonts w:cs="Arial" w:hint="eastAsia"/>
          <w:sz w:val="24"/>
          <w:szCs w:val="24"/>
          <w:lang w:eastAsia="zh-CN"/>
        </w:rPr>
        <w:t xml:space="preserve"> </w:t>
      </w:r>
    </w:p>
    <w:p w14:paraId="613D60AD" w14:textId="77777777" w:rsidR="00396290" w:rsidRDefault="00396290" w:rsidP="00396290">
      <w:pPr>
        <w:spacing w:before="100" w:beforeAutospacing="1" w:after="100" w:afterAutospacing="1" w:line="360" w:lineRule="auto"/>
        <w:jc w:val="both"/>
        <w:rPr>
          <w:rFonts w:cs="Arial"/>
          <w:sz w:val="24"/>
          <w:szCs w:val="24"/>
          <w:lang w:eastAsia="zh-CN"/>
        </w:rPr>
      </w:pPr>
    </w:p>
    <w:p w14:paraId="156CC8A0" w14:textId="77777777" w:rsidR="00396290" w:rsidRPr="00396290" w:rsidRDefault="00396290" w:rsidP="00396290">
      <w:pPr>
        <w:keepNext/>
        <w:keepLines/>
        <w:spacing w:before="360" w:after="80" w:line="360" w:lineRule="auto"/>
        <w:outlineLvl w:val="0"/>
        <w:rPr>
          <w:rFonts w:ascii="Times New Roman" w:eastAsiaTheme="majorEastAsia" w:hAnsi="Times New Roman"/>
          <w:b/>
          <w:bCs/>
          <w:i/>
          <w:iCs/>
          <w:color w:val="0F4761" w:themeColor="accent1" w:themeShade="BF"/>
          <w:kern w:val="2"/>
          <w:sz w:val="40"/>
          <w:szCs w:val="40"/>
          <w:lang w:eastAsia="zh-CN"/>
          <w14:ligatures w14:val="standardContextual"/>
        </w:rPr>
      </w:pPr>
      <w:r w:rsidRPr="00396290">
        <w:rPr>
          <w:rFonts w:ascii="Times New Roman" w:eastAsiaTheme="majorEastAsia" w:hAnsi="Times New Roman"/>
          <w:b/>
          <w:bCs/>
          <w:i/>
          <w:iCs/>
          <w:color w:val="0F4761" w:themeColor="accent1" w:themeShade="BF"/>
          <w:kern w:val="2"/>
          <w:sz w:val="40"/>
          <w:szCs w:val="40"/>
          <w:lang w:eastAsia="zh-CN"/>
          <w14:ligatures w14:val="standardContextual"/>
        </w:rPr>
        <w:lastRenderedPageBreak/>
        <w:t>Justification of Framework Appropriateness</w:t>
      </w:r>
    </w:p>
    <w:p w14:paraId="09595993" w14:textId="77777777" w:rsidR="00396290" w:rsidRPr="00396290" w:rsidRDefault="00396290" w:rsidP="00396290">
      <w:pPr>
        <w:keepNext/>
        <w:keepLines/>
        <w:spacing w:before="360" w:after="80" w:line="360" w:lineRule="auto"/>
        <w:jc w:val="both"/>
        <w:outlineLvl w:val="0"/>
        <w:rPr>
          <w:rFonts w:cs="Arial"/>
          <w:sz w:val="24"/>
          <w:szCs w:val="24"/>
          <w:lang w:eastAsia="zh-CN"/>
        </w:rPr>
      </w:pPr>
      <w:r w:rsidRPr="00396290">
        <w:rPr>
          <w:rFonts w:cs="Arial"/>
          <w:sz w:val="24"/>
          <w:szCs w:val="24"/>
          <w:lang w:eastAsia="zh-CN"/>
        </w:rPr>
        <w:t>This study's adoption of interpretivist and constructivist approaches, enriched by phenomenological perspectives, represents a carefully considered methodological choice that aligns precisely with its research objectives. These philosophical frameworks prove particularly well-suited for investigating the complex and multifaceted educational experiences of students with disabilities within the distinctive context of China's educational system. This is because these approaches share a fundamental commitment to understanding subjective experiences and socially constructed meanings (Sloan and Bowe, 2014; Ryan, 2018; William, 2024), which proves indispensable for this investigation given its focus on personal narratives and lived realities. The strength of these combined frameworks lies in their capacity to illuminate the multiple dimensions that shape disabled students' educational trajectories. While structural factors like policy implementation and resource allocation certainly play important roles, these approaches recognize that students' experiences are equally, if not more profoundly, influenced by their personal interpretations of daily interactions within educational institutions, complex family dynamics, and evolving peer relationships (Wang, Cui &amp; Fan, 2025). Moreover, these frameworks enable a sophisticated examination of how broader sociocultural forces - including China's deep-rooted historical conceptions of disability and contemporary social expectations - fundamentally shape educational opportunities and outcomes (Qu, 2022).</w:t>
      </w:r>
      <w:r w:rsidRPr="00396290">
        <w:rPr>
          <w:rFonts w:cs="Arial" w:hint="eastAsia"/>
          <w:sz w:val="24"/>
          <w:szCs w:val="24"/>
          <w:lang w:eastAsia="zh-CN"/>
        </w:rPr>
        <w:t xml:space="preserve"> </w:t>
      </w:r>
      <w:r w:rsidRPr="00396290">
        <w:rPr>
          <w:rFonts w:cs="Arial"/>
          <w:sz w:val="24"/>
          <w:szCs w:val="24"/>
          <w:lang w:eastAsia="zh-CN"/>
        </w:rPr>
        <w:t>The complementary perspectives offer several distinct analytical advantages that merit particular emphasis. First, they provide conceptual tools to understand how individuals actively process, negotiate, and respond to various social influences, thereby contributing to the ongoing construction of their identities as both students and social participants (Ryan, 2018; William, 2024). Second, by treating disability as a culturally and socially constructed phenomenon rather than a fixed medical category, they allow for culturally sensitive analyses that avoid imposing Western-centric notions of disability while carefully attending to locally specific meanings (William, 2024). Thirdly, they facilitate careful consideration of how traditional Chinese values and belief systems continue to influence contemporary perceptions of disability within educational settings (Qu, 2022).</w:t>
      </w:r>
    </w:p>
    <w:p w14:paraId="43CE1FC3" w14:textId="77777777" w:rsidR="00396290" w:rsidRPr="00396290" w:rsidRDefault="00396290" w:rsidP="00396290">
      <w:pPr>
        <w:keepNext/>
        <w:keepLines/>
        <w:spacing w:before="360" w:after="80" w:line="360" w:lineRule="auto"/>
        <w:jc w:val="both"/>
        <w:outlineLvl w:val="0"/>
        <w:rPr>
          <w:rFonts w:cs="Arial"/>
          <w:sz w:val="24"/>
          <w:szCs w:val="24"/>
          <w:lang w:eastAsia="zh-CN"/>
        </w:rPr>
      </w:pPr>
    </w:p>
    <w:p w14:paraId="55A560FE" w14:textId="77777777" w:rsidR="00396290" w:rsidRPr="00396290" w:rsidRDefault="00396290" w:rsidP="00396290">
      <w:pPr>
        <w:keepNext/>
        <w:keepLines/>
        <w:spacing w:before="360" w:after="80" w:line="360" w:lineRule="auto"/>
        <w:jc w:val="both"/>
        <w:outlineLvl w:val="0"/>
        <w:rPr>
          <w:rFonts w:cs="Arial"/>
          <w:sz w:val="24"/>
          <w:szCs w:val="24"/>
          <w:lang w:eastAsia="zh-CN"/>
        </w:rPr>
      </w:pPr>
      <w:r w:rsidRPr="00396290">
        <w:rPr>
          <w:rFonts w:cs="Arial"/>
          <w:sz w:val="24"/>
          <w:szCs w:val="24"/>
          <w:lang w:eastAsia="zh-CN"/>
        </w:rPr>
        <w:t>The incorporation of phenomenological approaches adds essential depth and texture to the investigation by maintaining rigorous focus on students' immediate, first-person experiences (Sloan and Bowe, 2014). Through its specialized methods and conceptual framework, phenomenology reveals how disabled students consciously experience and interpret their engagement with various aspects of the educational environment (Osborn &amp; Husserl, 1932). This focus helps uncover both obstacles and opportunities that might otherwise remain obscured by more distant, third-person perspectives.</w:t>
      </w:r>
    </w:p>
    <w:p w14:paraId="4486D25B" w14:textId="77777777" w:rsidR="00396290" w:rsidRPr="00396290" w:rsidRDefault="00396290" w:rsidP="00396290">
      <w:pPr>
        <w:spacing w:after="160" w:line="360" w:lineRule="auto"/>
        <w:jc w:val="both"/>
        <w:rPr>
          <w:rFonts w:eastAsiaTheme="minorEastAsia" w:cs="Arial"/>
          <w:kern w:val="2"/>
          <w:sz w:val="24"/>
          <w:szCs w:val="24"/>
          <w:lang w:eastAsia="zh-CN"/>
          <w14:ligatures w14:val="standardContextual"/>
        </w:rPr>
      </w:pPr>
      <w:r w:rsidRPr="00396290">
        <w:rPr>
          <w:rFonts w:cs="Arial"/>
          <w:sz w:val="24"/>
          <w:szCs w:val="24"/>
          <w:lang w:eastAsia="zh-CN"/>
        </w:rPr>
        <w:t xml:space="preserve">By integrating thoughtfully, these approaches create a robust, multidimensional research framework capable of capturing: the deeply personal interpretations of school experiences; the social construction of disability within China's specific cultural context; the subtle yet powerful cultural influences on educational practice; and the immediate, felt quality of being a disabled student navigating the education system. This sophisticated combination provides an essential requirement for producing meaningful, contextually grounded research within China's distinctive educational landscape. </w:t>
      </w:r>
    </w:p>
    <w:p w14:paraId="0340BDFC" w14:textId="77777777" w:rsidR="00396290" w:rsidRPr="00396290" w:rsidRDefault="00396290" w:rsidP="00396290">
      <w:pPr>
        <w:spacing w:after="160" w:line="360" w:lineRule="auto"/>
        <w:rPr>
          <w:rFonts w:asciiTheme="minorHAnsi" w:eastAsiaTheme="minorEastAsia" w:hAnsiTheme="minorHAnsi" w:cstheme="minorBidi"/>
          <w:kern w:val="2"/>
          <w:sz w:val="24"/>
          <w:szCs w:val="24"/>
          <w:lang w:eastAsia="zh-CN"/>
          <w14:ligatures w14:val="standardContextual"/>
        </w:rPr>
      </w:pPr>
    </w:p>
    <w:p w14:paraId="65C5269D" w14:textId="77777777" w:rsidR="00396290" w:rsidRPr="00396290" w:rsidRDefault="00396290" w:rsidP="00396290">
      <w:pPr>
        <w:keepNext/>
        <w:keepLines/>
        <w:spacing w:before="360" w:after="80" w:line="360" w:lineRule="auto"/>
        <w:outlineLvl w:val="0"/>
        <w:rPr>
          <w:rFonts w:ascii="Times New Roman" w:eastAsiaTheme="majorEastAsia" w:hAnsi="Times New Roman"/>
          <w:b/>
          <w:bCs/>
          <w:i/>
          <w:iCs/>
          <w:color w:val="0F4761" w:themeColor="accent1" w:themeShade="BF"/>
          <w:kern w:val="2"/>
          <w:sz w:val="40"/>
          <w:szCs w:val="40"/>
          <w:lang w:eastAsia="zh-CN"/>
          <w14:ligatures w14:val="standardContextual"/>
        </w:rPr>
      </w:pPr>
      <w:r w:rsidRPr="00396290">
        <w:rPr>
          <w:rFonts w:ascii="Times New Roman" w:eastAsiaTheme="majorEastAsia" w:hAnsi="Times New Roman"/>
          <w:b/>
          <w:bCs/>
          <w:i/>
          <w:iCs/>
          <w:color w:val="0F4761" w:themeColor="accent1" w:themeShade="BF"/>
          <w:kern w:val="2"/>
          <w:sz w:val="40"/>
          <w:szCs w:val="40"/>
          <w:lang w:eastAsia="zh-CN"/>
          <w14:ligatures w14:val="standardContextual"/>
        </w:rPr>
        <w:t>Research Design and Methodology</w:t>
      </w:r>
    </w:p>
    <w:p w14:paraId="57674C79" w14:textId="77777777" w:rsidR="00396290" w:rsidRPr="00396290" w:rsidRDefault="00396290" w:rsidP="00396290">
      <w:pPr>
        <w:spacing w:before="100" w:beforeAutospacing="1" w:after="100" w:afterAutospacing="1" w:line="360" w:lineRule="auto"/>
        <w:jc w:val="both"/>
        <w:rPr>
          <w:rFonts w:cs="Arial"/>
          <w:sz w:val="24"/>
          <w:szCs w:val="24"/>
          <w:lang w:eastAsia="zh-CN"/>
        </w:rPr>
      </w:pPr>
      <w:r w:rsidRPr="00396290">
        <w:rPr>
          <w:rFonts w:cs="Arial"/>
          <w:sz w:val="24"/>
          <w:szCs w:val="24"/>
          <w:lang w:eastAsia="zh-CN"/>
        </w:rPr>
        <w:t>To comprehensively investigate the multifaceted social factors affecting the educational development of individuals with disabilities in China, this research employs a qualitative methodological approach, with semi-structured interviews and focus groups serving as the principal data collection techniques. The selection of qualitative methodology is fundamentally grounded in its unique ability to yield profound, contextualized understandings of participants' lived experiences, personal perspectives, and meaning-making processes (Cohen, Manion &amp; Morrison, 2018).</w:t>
      </w:r>
    </w:p>
    <w:p w14:paraId="30ED9CF8" w14:textId="77777777" w:rsidR="00396290" w:rsidRPr="00396290" w:rsidRDefault="00396290" w:rsidP="00396290">
      <w:pPr>
        <w:spacing w:before="100" w:beforeAutospacing="1" w:after="100" w:afterAutospacing="1" w:line="360" w:lineRule="auto"/>
        <w:jc w:val="both"/>
        <w:rPr>
          <w:rFonts w:cs="Arial"/>
          <w:sz w:val="24"/>
          <w:szCs w:val="24"/>
          <w:lang w:eastAsia="zh-CN"/>
        </w:rPr>
      </w:pPr>
      <w:r w:rsidRPr="00396290">
        <w:rPr>
          <w:rFonts w:cs="Arial"/>
          <w:sz w:val="24"/>
          <w:szCs w:val="24"/>
          <w:lang w:eastAsia="zh-CN"/>
        </w:rPr>
        <w:t xml:space="preserve">Qualitative methods offer distinct advantages for this study's objectives, particularly in their capacity to: (1) capture the intricate nuances of human experience that quantitative approaches might overlook; (2) explore the complex interplay between individual agency and structural constraints; and (3) illuminate the socially constructed </w:t>
      </w:r>
      <w:r w:rsidRPr="00396290">
        <w:rPr>
          <w:rFonts w:cs="Arial"/>
          <w:sz w:val="24"/>
          <w:szCs w:val="24"/>
          <w:lang w:eastAsia="zh-CN"/>
        </w:rPr>
        <w:lastRenderedPageBreak/>
        <w:t>nature of educational experiences for disabled students in China (Cohen, Manion and Morrison, 2018). As Cohen and colleagues (2018) emphasize, qualitative research excels in examining phenomena where understanding subjective meanings and contextual factors is paramount, consider the study's focus on disability experiences within China's unique educational background.</w:t>
      </w:r>
    </w:p>
    <w:p w14:paraId="26AB95DC" w14:textId="77777777" w:rsidR="00396290" w:rsidRPr="00396290" w:rsidRDefault="00396290" w:rsidP="00396290">
      <w:pPr>
        <w:spacing w:before="100" w:beforeAutospacing="1" w:after="100" w:afterAutospacing="1" w:line="360" w:lineRule="auto"/>
        <w:jc w:val="both"/>
        <w:rPr>
          <w:rFonts w:cs="Arial"/>
          <w:sz w:val="24"/>
          <w:szCs w:val="24"/>
          <w:lang w:eastAsia="zh-CN"/>
        </w:rPr>
      </w:pPr>
      <w:r w:rsidRPr="00396290">
        <w:rPr>
          <w:rFonts w:cs="Arial"/>
          <w:sz w:val="24"/>
          <w:szCs w:val="24"/>
          <w:lang w:eastAsia="zh-CN"/>
        </w:rPr>
        <w:t>The semi-structured interview format was deliberately chosen for its dual advantages of providing methodological consistency while preserving essential flexibility. According to Cohen, Manion and Morrison (2018), this approach enables researchers to: (a) maintain focus on key research questions through prepared guiding questions; (b) adapt to emerging themes and participant-led directions during interviews; and (c) create an open, conversational space where participants feel comfortable sharing sensitive personal experiences. Such characteristics make semi-structured interviews particularly effective for gathering in-depth, first-person accounts of the challenges, adaptations, and successes that disabled students encounter throughout their educational journeys.</w:t>
      </w:r>
    </w:p>
    <w:p w14:paraId="1FA0E281" w14:textId="77777777" w:rsidR="00396290" w:rsidRPr="00396290" w:rsidRDefault="00396290" w:rsidP="00396290">
      <w:pPr>
        <w:spacing w:before="100" w:beforeAutospacing="1" w:after="100" w:afterAutospacing="1" w:line="360" w:lineRule="auto"/>
        <w:jc w:val="both"/>
        <w:rPr>
          <w:rFonts w:cs="Arial"/>
          <w:sz w:val="24"/>
          <w:szCs w:val="24"/>
          <w:lang w:eastAsia="zh-CN"/>
        </w:rPr>
      </w:pPr>
      <w:r w:rsidRPr="00396290">
        <w:rPr>
          <w:rFonts w:cs="Arial"/>
          <w:sz w:val="24"/>
          <w:szCs w:val="24"/>
          <w:lang w:eastAsia="zh-CN"/>
        </w:rPr>
        <w:t>Complementing the individual interviews, focus group discussions will serve as a vital method for examining the collective dimensions of educational experience. The interactive nature of focus groups offers several unique benefits: first, they facilitate observation of how participants co-construct meanings through dialogue and debate; second, they reveal shared cultural understandings and social norms that might remain implicit in individual interviews; and third, they allow researchers to witness directly how peer dynamics and group processes influence perceptions of disability and education (Cohen et al., 2018; Qu, 2022). This method proves especially valuable for understanding how broader sociocultural forces - including traditional beliefs about disability, contemporary educational values, and institutional practices - shape the actual experiences of students with disabilities in classroom and school settings.</w:t>
      </w:r>
    </w:p>
    <w:p w14:paraId="7A1E3092" w14:textId="77777777" w:rsidR="00396290" w:rsidRPr="00396290" w:rsidRDefault="00396290" w:rsidP="00396290">
      <w:pPr>
        <w:spacing w:before="100" w:beforeAutospacing="1" w:after="100" w:afterAutospacing="1" w:line="360" w:lineRule="auto"/>
        <w:jc w:val="both"/>
        <w:rPr>
          <w:rFonts w:cs="Arial"/>
          <w:sz w:val="24"/>
          <w:szCs w:val="24"/>
          <w:lang w:eastAsia="zh-CN"/>
        </w:rPr>
      </w:pPr>
      <w:r w:rsidRPr="00396290">
        <w:rPr>
          <w:rFonts w:cs="Arial"/>
          <w:sz w:val="24"/>
          <w:szCs w:val="24"/>
          <w:lang w:eastAsia="zh-CN"/>
        </w:rPr>
        <w:t xml:space="preserve">Together, these qualitative methods form an integrated approach that addresses multiple levels of analysis: from individual lived experiences to shared cultural understandings, and from personal meaning-making to social construction of disability identities. The combination ensures that the research captures both the subjective dimensions of educational experience and the intersubjective social processes that </w:t>
      </w:r>
      <w:r w:rsidRPr="00396290">
        <w:rPr>
          <w:rFonts w:cs="Arial"/>
          <w:sz w:val="24"/>
          <w:szCs w:val="24"/>
          <w:lang w:eastAsia="zh-CN"/>
        </w:rPr>
        <w:lastRenderedPageBreak/>
        <w:t>give these experiences their character in the Chinese context. By employing this multifaceted qualitative design, the study aims to produce findings that are both empirically rich and theoretically significant, offering substantive insights into how China's educational system might better serve students with disabilities.</w:t>
      </w:r>
    </w:p>
    <w:p w14:paraId="733A5CB4" w14:textId="77777777" w:rsidR="00396290" w:rsidRPr="00396290" w:rsidRDefault="00396290" w:rsidP="00396290">
      <w:pPr>
        <w:spacing w:before="100" w:beforeAutospacing="1" w:after="100" w:afterAutospacing="1" w:line="360" w:lineRule="auto"/>
        <w:jc w:val="both"/>
        <w:outlineLvl w:val="1"/>
        <w:rPr>
          <w:rFonts w:cs="Arial"/>
          <w:sz w:val="24"/>
          <w:szCs w:val="24"/>
          <w:lang w:eastAsia="zh-CN"/>
        </w:rPr>
      </w:pPr>
      <w:r w:rsidRPr="00396290">
        <w:rPr>
          <w:rFonts w:cs="Arial"/>
          <w:sz w:val="24"/>
          <w:szCs w:val="24"/>
          <w:lang w:eastAsia="zh-CN"/>
        </w:rPr>
        <w:t>This study recognizes the significant advantages of qualitative research in exploring complex social phenomena while also acknowledging its inherent limitations that require careful consideration. The approach demands substantial time investment due to the labour-intensive processes of transcription, coding, and interpretation of interview and focus group data (Cohen, Manion &amp; Morrison, 2018). Researcher bias presents another critical challenge, as the investigator's personal perspectives may unconsciously influence data collection and analysis. Furthermore, the typically small sample sizes in qualitative studies raise questions about the generalizability of findings to the broader population of disabled students across China's diverse educational contexts.</w:t>
      </w:r>
      <w:r w:rsidRPr="00396290">
        <w:rPr>
          <w:rFonts w:cs="Arial" w:hint="eastAsia"/>
          <w:sz w:val="24"/>
          <w:szCs w:val="24"/>
          <w:lang w:eastAsia="zh-CN"/>
        </w:rPr>
        <w:t xml:space="preserve"> </w:t>
      </w:r>
      <w:r w:rsidRPr="00396290">
        <w:rPr>
          <w:rFonts w:cs="Arial"/>
          <w:sz w:val="24"/>
          <w:szCs w:val="24"/>
          <w:lang w:eastAsia="zh-CN"/>
        </w:rPr>
        <w:t>To address these methodological concerns, the study implements multiple strategies to ensure research rigor and validity. Data analysis will follow the hermeneutic circle approach, continuously moving between specific data points and broader contextual understanding to develop progressively deeper interpretations. Member checking procedures will be implemented, where participants review preliminary findings to verify the accuracy and completeness of interpretations. These measures collectively enhance the study's credibility while maintaining its qualitative depth.</w:t>
      </w:r>
    </w:p>
    <w:p w14:paraId="21035569" w14:textId="77777777" w:rsidR="00396290" w:rsidRPr="00396290" w:rsidRDefault="00396290" w:rsidP="00396290">
      <w:pPr>
        <w:spacing w:before="100" w:beforeAutospacing="1" w:after="100" w:afterAutospacing="1" w:line="360" w:lineRule="auto"/>
        <w:jc w:val="both"/>
        <w:outlineLvl w:val="1"/>
        <w:rPr>
          <w:rFonts w:cs="Arial"/>
          <w:sz w:val="24"/>
          <w:szCs w:val="24"/>
          <w:lang w:eastAsia="zh-CN"/>
        </w:rPr>
      </w:pPr>
      <w:r w:rsidRPr="00396290">
        <w:rPr>
          <w:rFonts w:cs="Arial"/>
          <w:sz w:val="24"/>
          <w:szCs w:val="24"/>
          <w:lang w:eastAsia="zh-CN"/>
        </w:rPr>
        <w:t xml:space="preserve">Otherwise, this research design incorporates phenomenological principles into its interview methodology to capture authentic lived experiences. Interview questions will avoid abstract inquiries and instead prompt participants to describe specific, meaningful moments in their educational journeys (Sloan and Bowe, 2014). For instance, rather than asking general questions about school experiences, participants will be guided to recount particular instances of inclusion or exclusion in classroom settings. This approach grounds the study in concrete experiential narratives while aligning with the theoretical frameworks of interpretivism and constructivism </w:t>
      </w:r>
      <w:r w:rsidRPr="00396290">
        <w:rPr>
          <w:rFonts w:eastAsia="Microsoft YaHei" w:cs="Arial" w:hint="eastAsia"/>
          <w:sz w:val="24"/>
          <w:szCs w:val="24"/>
          <w:lang w:eastAsia="zh-CN"/>
        </w:rPr>
        <w:t>（</w:t>
      </w:r>
      <w:r w:rsidRPr="00396290">
        <w:rPr>
          <w:rFonts w:cs="Arial" w:hint="eastAsia"/>
          <w:sz w:val="24"/>
          <w:szCs w:val="24"/>
          <w:lang w:eastAsia="zh-CN"/>
        </w:rPr>
        <w:t>Ryan</w:t>
      </w:r>
      <w:r w:rsidRPr="00396290">
        <w:rPr>
          <w:rFonts w:eastAsia="Microsoft YaHei" w:cs="Arial" w:hint="eastAsia"/>
          <w:sz w:val="24"/>
          <w:szCs w:val="24"/>
          <w:lang w:eastAsia="zh-CN"/>
        </w:rPr>
        <w:t>，</w:t>
      </w:r>
      <w:r w:rsidRPr="00396290">
        <w:rPr>
          <w:rFonts w:cs="Arial" w:hint="eastAsia"/>
          <w:sz w:val="24"/>
          <w:szCs w:val="24"/>
          <w:lang w:eastAsia="zh-CN"/>
        </w:rPr>
        <w:t>2018</w:t>
      </w:r>
      <w:r w:rsidRPr="00396290">
        <w:rPr>
          <w:rFonts w:eastAsia="Microsoft YaHei" w:cs="Arial" w:hint="eastAsia"/>
          <w:sz w:val="24"/>
          <w:szCs w:val="24"/>
          <w:lang w:eastAsia="zh-CN"/>
        </w:rPr>
        <w:t>；</w:t>
      </w:r>
      <w:r w:rsidRPr="00396290">
        <w:rPr>
          <w:rFonts w:cs="Arial" w:hint="eastAsia"/>
          <w:sz w:val="24"/>
          <w:szCs w:val="24"/>
          <w:lang w:eastAsia="zh-CN"/>
        </w:rPr>
        <w:t>William</w:t>
      </w:r>
      <w:r w:rsidRPr="00396290">
        <w:rPr>
          <w:rFonts w:eastAsia="Microsoft YaHei" w:cs="Arial" w:hint="eastAsia"/>
          <w:sz w:val="24"/>
          <w:szCs w:val="24"/>
          <w:lang w:eastAsia="zh-CN"/>
        </w:rPr>
        <w:t>，</w:t>
      </w:r>
      <w:r w:rsidRPr="00396290">
        <w:rPr>
          <w:rFonts w:cs="Arial" w:hint="eastAsia"/>
          <w:sz w:val="24"/>
          <w:szCs w:val="24"/>
          <w:lang w:eastAsia="zh-CN"/>
        </w:rPr>
        <w:t>2024</w:t>
      </w:r>
      <w:r w:rsidRPr="00396290">
        <w:rPr>
          <w:rFonts w:eastAsia="Microsoft YaHei" w:cs="Arial"/>
          <w:sz w:val="24"/>
          <w:szCs w:val="24"/>
          <w:lang w:val="en-US" w:eastAsia="zh-CN"/>
        </w:rPr>
        <w:t>）</w:t>
      </w:r>
      <w:r w:rsidRPr="00396290">
        <w:rPr>
          <w:rFonts w:cs="Arial"/>
          <w:sz w:val="24"/>
          <w:szCs w:val="24"/>
          <w:lang w:eastAsia="zh-CN"/>
        </w:rPr>
        <w:t>.</w:t>
      </w:r>
    </w:p>
    <w:p w14:paraId="17F065E7" w14:textId="77777777" w:rsidR="00396290" w:rsidRPr="00396290" w:rsidRDefault="00396290" w:rsidP="00396290">
      <w:pPr>
        <w:spacing w:before="100" w:beforeAutospacing="1" w:after="100" w:afterAutospacing="1" w:line="360" w:lineRule="auto"/>
        <w:jc w:val="both"/>
        <w:outlineLvl w:val="1"/>
        <w:rPr>
          <w:rFonts w:cs="Arial"/>
          <w:sz w:val="24"/>
          <w:szCs w:val="24"/>
          <w:lang w:eastAsia="zh-CN"/>
        </w:rPr>
      </w:pPr>
      <w:r w:rsidRPr="00396290">
        <w:rPr>
          <w:rFonts w:cs="Arial"/>
          <w:sz w:val="24"/>
          <w:szCs w:val="24"/>
          <w:lang w:eastAsia="zh-CN"/>
        </w:rPr>
        <w:lastRenderedPageBreak/>
        <w:t>While acknowledging its limitations, qualitative methodology remains ideally suited to achieve the study's objectives of understanding the complex educational experiences of disabled students in China. The combination of semi-structured interviews and focus groups allows for the collection of rich, contextual data at both individual and collective levels. By integrating multiple validation strategies and maintaining theoretical consistency throughout the research process, the study aims to produce findings that are methodologically sound while remaining deeply attuned to the nuances of participants' lived realities (Cohen, Manion and Morrison, 2018). This balanced approach ensures the research contributes meaningful insights for both academic discourse and practical improvements in inclusive education policy and practice.</w:t>
      </w:r>
    </w:p>
    <w:p w14:paraId="032D1A0D" w14:textId="77777777" w:rsidR="00396290" w:rsidRDefault="00396290" w:rsidP="00396290">
      <w:pPr>
        <w:spacing w:before="100" w:beforeAutospacing="1" w:after="100" w:afterAutospacing="1" w:line="360" w:lineRule="auto"/>
        <w:jc w:val="both"/>
        <w:rPr>
          <w:rFonts w:cs="Arial"/>
          <w:sz w:val="24"/>
          <w:szCs w:val="24"/>
          <w:lang w:eastAsia="zh-CN"/>
        </w:rPr>
      </w:pPr>
    </w:p>
    <w:p w14:paraId="3618DAAC" w14:textId="77777777" w:rsidR="00C1786A" w:rsidRPr="00C1786A" w:rsidRDefault="00C1786A" w:rsidP="00C1786A">
      <w:pPr>
        <w:keepNext/>
        <w:keepLines/>
        <w:spacing w:before="360" w:after="80" w:line="360" w:lineRule="auto"/>
        <w:outlineLvl w:val="0"/>
        <w:rPr>
          <w:rFonts w:ascii="Times New Roman" w:eastAsiaTheme="majorEastAsia" w:hAnsi="Times New Roman"/>
          <w:b/>
          <w:bCs/>
          <w:i/>
          <w:iCs/>
          <w:color w:val="0F4761" w:themeColor="accent1" w:themeShade="BF"/>
          <w:kern w:val="2"/>
          <w:sz w:val="40"/>
          <w:szCs w:val="40"/>
          <w:lang w:eastAsia="zh-CN"/>
          <w14:ligatures w14:val="standardContextual"/>
        </w:rPr>
      </w:pPr>
      <w:r w:rsidRPr="00C1786A">
        <w:rPr>
          <w:rFonts w:ascii="Times New Roman" w:eastAsiaTheme="majorEastAsia" w:hAnsi="Times New Roman"/>
          <w:b/>
          <w:bCs/>
          <w:i/>
          <w:iCs/>
          <w:color w:val="0F4761" w:themeColor="accent1" w:themeShade="BF"/>
          <w:kern w:val="2"/>
          <w:sz w:val="40"/>
          <w:szCs w:val="40"/>
          <w:lang w:eastAsia="zh-CN"/>
          <w14:ligatures w14:val="standardContextual"/>
        </w:rPr>
        <w:t>Data Collection and Analysis Plan</w:t>
      </w:r>
    </w:p>
    <w:p w14:paraId="7289CD27" w14:textId="77777777" w:rsidR="00C1786A" w:rsidRPr="00C1786A" w:rsidRDefault="00C1786A" w:rsidP="00C1786A">
      <w:pPr>
        <w:spacing w:before="100" w:beforeAutospacing="1" w:after="100" w:afterAutospacing="1" w:line="360" w:lineRule="auto"/>
        <w:jc w:val="both"/>
        <w:outlineLvl w:val="1"/>
        <w:rPr>
          <w:rFonts w:cs="Arial"/>
          <w:sz w:val="24"/>
          <w:szCs w:val="24"/>
          <w:lang w:eastAsia="zh-CN"/>
        </w:rPr>
      </w:pPr>
      <w:r w:rsidRPr="00C1786A">
        <w:rPr>
          <w:rFonts w:cs="Arial"/>
          <w:sz w:val="24"/>
          <w:szCs w:val="24"/>
          <w:lang w:eastAsia="zh-CN"/>
        </w:rPr>
        <w:t>This study adopts a rigorous methodological approach to ensure the validity and reliability of its findings (Cohen, Manion and Morrison, 2018). The data collection process utilizes purposive sampling to select participants who represent diverse educational experiences of students with disabilities in China. Recruitment will be conducted through specialized institutions and schools to ensure appropriate participant selection.</w:t>
      </w:r>
      <w:r w:rsidRPr="00C1786A">
        <w:rPr>
          <w:rFonts w:cs="Arial" w:hint="eastAsia"/>
          <w:sz w:val="24"/>
          <w:szCs w:val="24"/>
          <w:lang w:eastAsia="zh-CN"/>
        </w:rPr>
        <w:t xml:space="preserve"> </w:t>
      </w:r>
      <w:r w:rsidRPr="00C1786A">
        <w:rPr>
          <w:rFonts w:cs="Arial"/>
          <w:sz w:val="24"/>
          <w:szCs w:val="24"/>
          <w:lang w:eastAsia="zh-CN"/>
        </w:rPr>
        <w:t xml:space="preserve">For data analysis, the study employs thematic analysis as the primary method, complemented by phenomenological techniques to identify meaningful patterns and core themes. The analytical process involves systematic coding of interview transcripts and focus group discussions, with particular attention to recurring themes and significant experiential accounts. To maintain analytical rigor, the research team will implement verification procedures including peer debriefing and consistency checks. By aiming at balancing approach ensures the findings are both methodologically sound and deeply grounded in participants' lived experiences, the methodology maintains strict adherence to ethical standards throughout all research phases, from participant recruitment to data interpretation. </w:t>
      </w:r>
    </w:p>
    <w:p w14:paraId="5ECCA7D5" w14:textId="77777777" w:rsidR="00C1786A" w:rsidRPr="00C1786A" w:rsidRDefault="00C1786A" w:rsidP="00C1786A">
      <w:pPr>
        <w:keepNext/>
        <w:keepLines/>
        <w:spacing w:before="160" w:after="80" w:line="360" w:lineRule="auto"/>
        <w:outlineLvl w:val="1"/>
        <w:rPr>
          <w:rFonts w:ascii="Times New Roman" w:eastAsiaTheme="majorEastAsia" w:hAnsi="Times New Roman"/>
          <w:b/>
          <w:bCs/>
          <w:i/>
          <w:iCs/>
          <w:color w:val="0F4761" w:themeColor="accent1" w:themeShade="BF"/>
          <w:kern w:val="2"/>
          <w:sz w:val="32"/>
          <w:szCs w:val="32"/>
          <w:lang w:eastAsia="zh-CN"/>
          <w14:ligatures w14:val="standardContextual"/>
        </w:rPr>
      </w:pPr>
      <w:r w:rsidRPr="00C1786A">
        <w:rPr>
          <w:rFonts w:ascii="Times New Roman" w:eastAsiaTheme="majorEastAsia" w:hAnsi="Times New Roman"/>
          <w:b/>
          <w:bCs/>
          <w:i/>
          <w:iCs/>
          <w:color w:val="0F4761" w:themeColor="accent1" w:themeShade="BF"/>
          <w:kern w:val="2"/>
          <w:sz w:val="32"/>
          <w:szCs w:val="32"/>
          <w:lang w:eastAsia="zh-CN"/>
          <w14:ligatures w14:val="standardContextual"/>
        </w:rPr>
        <w:lastRenderedPageBreak/>
        <w:t>Data Collection Procedures</w:t>
      </w:r>
    </w:p>
    <w:p w14:paraId="6C4F90BC" w14:textId="1CF93557" w:rsidR="00C1786A" w:rsidRPr="00C1786A" w:rsidRDefault="00C1786A" w:rsidP="00C1786A">
      <w:pPr>
        <w:spacing w:before="100" w:beforeAutospacing="1" w:after="100" w:afterAutospacing="1" w:line="360" w:lineRule="auto"/>
        <w:jc w:val="both"/>
        <w:outlineLvl w:val="1"/>
        <w:rPr>
          <w:rFonts w:cs="Arial"/>
          <w:sz w:val="24"/>
          <w:szCs w:val="24"/>
          <w:lang w:eastAsia="zh-CN"/>
        </w:rPr>
      </w:pPr>
      <w:r w:rsidRPr="00C1786A">
        <w:rPr>
          <w:rFonts w:cs="Arial"/>
          <w:sz w:val="24"/>
          <w:szCs w:val="24"/>
          <w:lang w:eastAsia="zh-CN"/>
        </w:rPr>
        <w:t>This research employs purposive sampling to select participants who can provide meaningful insights into the educational experiences of students with disabilities in China</w:t>
      </w:r>
      <w:r>
        <w:rPr>
          <w:rFonts w:cs="Arial"/>
          <w:sz w:val="24"/>
          <w:szCs w:val="24"/>
          <w:lang w:eastAsia="zh-CN"/>
        </w:rPr>
        <w:t xml:space="preserve"> </w:t>
      </w:r>
      <w:r w:rsidRPr="00C1786A">
        <w:rPr>
          <w:rFonts w:cs="Arial"/>
          <w:sz w:val="24"/>
          <w:szCs w:val="24"/>
          <w:lang w:eastAsia="zh-CN"/>
        </w:rPr>
        <w:t>(Campbell et al., 2020). This sampling approach enables the deliberate selection of informants based on predefined criteria aligned with the study's objectives (Cohen, Manion &amp; Morrison, 2018). The sample will include students, educators, and family members recruited through special education institutions, mainstream schools with inclusive programs, and disability support organizations across different regions of China.</w:t>
      </w:r>
      <w:r w:rsidRPr="00C1786A">
        <w:rPr>
          <w:rFonts w:cs="Arial" w:hint="eastAsia"/>
          <w:sz w:val="24"/>
          <w:szCs w:val="24"/>
          <w:lang w:eastAsia="zh-CN"/>
        </w:rPr>
        <w:t xml:space="preserve"> </w:t>
      </w:r>
      <w:r w:rsidRPr="00C1786A">
        <w:rPr>
          <w:rFonts w:cs="Arial"/>
          <w:sz w:val="24"/>
          <w:szCs w:val="24"/>
          <w:lang w:eastAsia="zh-CN"/>
        </w:rPr>
        <w:t>The recruitment strategy incorporates multiple approaches to ensure diverse representation. Initial contact will be made with educational administrators and disability advocacy groups to facilitate participant identification. Digital platforms will be expected to supplement traditional recruitment methods, particularly for reaching student populations. All potential participants will receive comprehensive information about the study's purpose, methodology, and their rights as research subjects before providing informed consent.</w:t>
      </w:r>
    </w:p>
    <w:p w14:paraId="6489F8B9" w14:textId="77777777" w:rsidR="00C1786A" w:rsidRPr="00C1786A" w:rsidRDefault="00C1786A" w:rsidP="00C1786A">
      <w:pPr>
        <w:spacing w:before="100" w:beforeAutospacing="1" w:after="100" w:afterAutospacing="1" w:line="360" w:lineRule="auto"/>
        <w:jc w:val="both"/>
        <w:outlineLvl w:val="1"/>
        <w:rPr>
          <w:rFonts w:cs="Arial"/>
          <w:sz w:val="24"/>
          <w:szCs w:val="24"/>
          <w:lang w:eastAsia="zh-CN"/>
        </w:rPr>
      </w:pPr>
      <w:r w:rsidRPr="00C1786A">
        <w:rPr>
          <w:rFonts w:cs="Arial"/>
          <w:sz w:val="24"/>
          <w:szCs w:val="24"/>
          <w:lang w:eastAsia="zh-CN"/>
        </w:rPr>
        <w:t>Data collection instruments include carefully developed semi-structured interview guides and focus group protocols. The interview protocol emphasizes individual narratives and personal experiences, while the focus group format stimulates discussion of collective experiences and shared perspectives. Both instruments underwent pilot testing with representative users to verify their effectiveness and cultural sensitivity (Cohen et al., 2018).</w:t>
      </w:r>
      <w:r w:rsidRPr="00C1786A">
        <w:rPr>
          <w:rFonts w:cs="Arial" w:hint="eastAsia"/>
          <w:sz w:val="24"/>
          <w:szCs w:val="24"/>
          <w:lang w:eastAsia="zh-CN"/>
        </w:rPr>
        <w:t xml:space="preserve"> </w:t>
      </w:r>
      <w:r w:rsidRPr="00C1786A">
        <w:rPr>
          <w:rFonts w:cs="Arial"/>
          <w:sz w:val="24"/>
          <w:szCs w:val="24"/>
          <w:lang w:eastAsia="zh-CN"/>
        </w:rPr>
        <w:t>Ethical safeguards are implemented at all stages of the research process. These include:</w:t>
      </w:r>
    </w:p>
    <w:p w14:paraId="1C17BA69" w14:textId="77777777" w:rsidR="00C1786A" w:rsidRPr="00C1786A" w:rsidRDefault="00C1786A" w:rsidP="00C1786A">
      <w:pPr>
        <w:keepNext/>
        <w:keepLines/>
        <w:numPr>
          <w:ilvl w:val="0"/>
          <w:numId w:val="6"/>
        </w:numPr>
        <w:spacing w:before="160" w:after="80" w:line="360" w:lineRule="auto"/>
        <w:jc w:val="both"/>
        <w:outlineLvl w:val="1"/>
        <w:rPr>
          <w:rFonts w:cs="Arial"/>
          <w:sz w:val="24"/>
          <w:szCs w:val="24"/>
          <w:lang w:eastAsia="zh-CN"/>
        </w:rPr>
      </w:pPr>
      <w:r w:rsidRPr="00C1786A">
        <w:rPr>
          <w:rFonts w:cs="Arial"/>
          <w:sz w:val="24"/>
          <w:szCs w:val="24"/>
          <w:lang w:eastAsia="zh-CN"/>
        </w:rPr>
        <w:lastRenderedPageBreak/>
        <w:t>Obtaining voluntary informed consent with clear withdrawal options</w:t>
      </w:r>
    </w:p>
    <w:p w14:paraId="55570285" w14:textId="77777777" w:rsidR="00C1786A" w:rsidRPr="00C1786A" w:rsidRDefault="00C1786A" w:rsidP="00C1786A">
      <w:pPr>
        <w:keepNext/>
        <w:keepLines/>
        <w:numPr>
          <w:ilvl w:val="0"/>
          <w:numId w:val="6"/>
        </w:numPr>
        <w:spacing w:before="160" w:after="80" w:line="360" w:lineRule="auto"/>
        <w:jc w:val="both"/>
        <w:outlineLvl w:val="1"/>
        <w:rPr>
          <w:rFonts w:cs="Arial"/>
          <w:sz w:val="24"/>
          <w:szCs w:val="24"/>
          <w:lang w:eastAsia="zh-CN"/>
        </w:rPr>
      </w:pPr>
      <w:r w:rsidRPr="00C1786A">
        <w:rPr>
          <w:rFonts w:cs="Arial"/>
          <w:sz w:val="24"/>
          <w:szCs w:val="24"/>
          <w:lang w:eastAsia="zh-CN"/>
        </w:rPr>
        <w:t>Using pseudonyms and secure data storage to protect confidentiality</w:t>
      </w:r>
    </w:p>
    <w:p w14:paraId="060880E3" w14:textId="77777777" w:rsidR="00C1786A" w:rsidRPr="00C1786A" w:rsidRDefault="00C1786A" w:rsidP="00C1786A">
      <w:pPr>
        <w:keepNext/>
        <w:keepLines/>
        <w:numPr>
          <w:ilvl w:val="0"/>
          <w:numId w:val="6"/>
        </w:numPr>
        <w:spacing w:before="160" w:after="80" w:line="360" w:lineRule="auto"/>
        <w:jc w:val="both"/>
        <w:outlineLvl w:val="1"/>
        <w:rPr>
          <w:rFonts w:cs="Arial"/>
          <w:sz w:val="24"/>
          <w:szCs w:val="24"/>
          <w:lang w:eastAsia="zh-CN"/>
        </w:rPr>
      </w:pPr>
      <w:r w:rsidRPr="00C1786A">
        <w:rPr>
          <w:rFonts w:cs="Arial"/>
          <w:sz w:val="24"/>
          <w:szCs w:val="24"/>
          <w:lang w:eastAsia="zh-CN"/>
        </w:rPr>
        <w:t>Providing emotional support resources for participants when needed</w:t>
      </w:r>
    </w:p>
    <w:p w14:paraId="6BC53E23" w14:textId="77777777" w:rsidR="00C1786A" w:rsidRPr="00C1786A" w:rsidRDefault="00C1786A" w:rsidP="00C1786A">
      <w:pPr>
        <w:keepNext/>
        <w:keepLines/>
        <w:numPr>
          <w:ilvl w:val="0"/>
          <w:numId w:val="6"/>
        </w:numPr>
        <w:spacing w:before="160" w:after="80" w:line="360" w:lineRule="auto"/>
        <w:jc w:val="both"/>
        <w:outlineLvl w:val="1"/>
        <w:rPr>
          <w:rFonts w:cs="Arial"/>
          <w:sz w:val="24"/>
          <w:szCs w:val="24"/>
          <w:lang w:eastAsia="zh-CN"/>
        </w:rPr>
      </w:pPr>
      <w:r w:rsidRPr="00C1786A">
        <w:rPr>
          <w:rFonts w:cs="Arial"/>
          <w:sz w:val="24"/>
          <w:szCs w:val="24"/>
          <w:lang w:eastAsia="zh-CN"/>
        </w:rPr>
        <w:t>Ensuring physically and psychologically accessible research environments</w:t>
      </w:r>
    </w:p>
    <w:p w14:paraId="08EDB2F0" w14:textId="77777777" w:rsidR="00C1786A" w:rsidRPr="00C1786A" w:rsidRDefault="00C1786A" w:rsidP="00C1786A">
      <w:pPr>
        <w:keepNext/>
        <w:keepLines/>
        <w:spacing w:before="160" w:after="80" w:line="360" w:lineRule="auto"/>
        <w:jc w:val="both"/>
        <w:outlineLvl w:val="1"/>
        <w:rPr>
          <w:rFonts w:cs="Arial"/>
          <w:sz w:val="24"/>
          <w:szCs w:val="24"/>
          <w:lang w:eastAsia="zh-CN"/>
        </w:rPr>
      </w:pPr>
      <w:r w:rsidRPr="00C1786A">
        <w:rPr>
          <w:rFonts w:cs="Arial"/>
          <w:sz w:val="24"/>
          <w:szCs w:val="24"/>
          <w:lang w:eastAsia="zh-CN"/>
        </w:rPr>
        <w:t>This approach aims to generate authentic, nuanced data while upholding the highest ethical standards in qualitative research practice.</w:t>
      </w:r>
    </w:p>
    <w:p w14:paraId="0BAFA432" w14:textId="77777777" w:rsidR="00C1786A" w:rsidRPr="00C1786A" w:rsidRDefault="00C1786A" w:rsidP="00C1786A">
      <w:pPr>
        <w:keepNext/>
        <w:keepLines/>
        <w:spacing w:before="160" w:after="80" w:line="360" w:lineRule="auto"/>
        <w:outlineLvl w:val="1"/>
        <w:rPr>
          <w:rFonts w:ascii="Times New Roman" w:eastAsiaTheme="majorEastAsia" w:hAnsi="Times New Roman"/>
          <w:b/>
          <w:bCs/>
          <w:i/>
          <w:iCs/>
          <w:color w:val="0F4761" w:themeColor="accent1" w:themeShade="BF"/>
          <w:kern w:val="2"/>
          <w:sz w:val="32"/>
          <w:szCs w:val="32"/>
          <w:lang w:eastAsia="zh-CN"/>
          <w14:ligatures w14:val="standardContextual"/>
        </w:rPr>
      </w:pPr>
      <w:r w:rsidRPr="00C1786A">
        <w:rPr>
          <w:rFonts w:ascii="Times New Roman" w:eastAsiaTheme="majorEastAsia" w:hAnsi="Times New Roman"/>
          <w:b/>
          <w:bCs/>
          <w:i/>
          <w:iCs/>
          <w:color w:val="0F4761" w:themeColor="accent1" w:themeShade="BF"/>
          <w:kern w:val="2"/>
          <w:sz w:val="32"/>
          <w:szCs w:val="32"/>
          <w:lang w:eastAsia="zh-CN"/>
          <w14:ligatures w14:val="standardContextual"/>
        </w:rPr>
        <w:t>Data Analysis Plan</w:t>
      </w:r>
    </w:p>
    <w:p w14:paraId="6C3ABDFF" w14:textId="77777777" w:rsidR="00C1786A" w:rsidRPr="00C1786A" w:rsidRDefault="00C1786A" w:rsidP="00C1786A">
      <w:pPr>
        <w:keepNext/>
        <w:keepLines/>
        <w:spacing w:before="160" w:after="80" w:line="360" w:lineRule="auto"/>
        <w:jc w:val="both"/>
        <w:outlineLvl w:val="1"/>
        <w:rPr>
          <w:rFonts w:cs="Arial"/>
          <w:sz w:val="24"/>
          <w:szCs w:val="24"/>
          <w:lang w:eastAsia="zh-CN"/>
        </w:rPr>
      </w:pPr>
      <w:r w:rsidRPr="00C1786A">
        <w:rPr>
          <w:rFonts w:cs="Arial"/>
          <w:sz w:val="24"/>
          <w:szCs w:val="24"/>
          <w:lang w:eastAsia="zh-CN"/>
        </w:rPr>
        <w:t>The study will employ a dual analytical approach combining thematic analysis with phenomenological techniques to systematically examine the collected data. Following Braun and Clarke's (2006) established methodology, the thematic analysis will progress through six iterative phases: initial transcription of all audio recordings into verbatim texts, repeated reading for data immersion, systematic generation of codes across the entire dataset, preliminary theme identification through code clustering, ongoing theme refinement and validation, and final thematic mapping with theoretical interpretation. This process will be conducted using qualitative analysis software to ensure systematic coding and retrieval of data segments.</w:t>
      </w:r>
    </w:p>
    <w:p w14:paraId="03F055DA" w14:textId="77777777" w:rsidR="00C1786A" w:rsidRDefault="00C1786A" w:rsidP="00C1786A">
      <w:pPr>
        <w:pStyle w:val="Heading2"/>
        <w:spacing w:line="360" w:lineRule="auto"/>
        <w:jc w:val="both"/>
        <w:rPr>
          <w:rFonts w:ascii="Arial" w:eastAsia="Times New Roman" w:hAnsi="Arial" w:cs="Arial"/>
          <w:color w:val="auto"/>
          <w:sz w:val="24"/>
          <w:szCs w:val="24"/>
        </w:rPr>
      </w:pPr>
      <w:r w:rsidRPr="002A272A">
        <w:rPr>
          <w:rFonts w:ascii="Arial" w:eastAsia="Times New Roman" w:hAnsi="Arial" w:cs="Arial"/>
          <w:color w:val="auto"/>
          <w:sz w:val="24"/>
          <w:szCs w:val="24"/>
        </w:rPr>
        <w:t>To strengthen analytical rigor, the research team will implement multiple verification procedures. These include conducting member checks by sharing preliminary interpretations with participants for validation, maintaining an audit trail of all analytical decisions, and holding regular peer debriefing sessions with fellow researchers to examine emerging findings (</w:t>
      </w:r>
      <w:r w:rsidRPr="007A1D75">
        <w:rPr>
          <w:rFonts w:ascii="Arial" w:eastAsia="Times New Roman" w:hAnsi="Arial" w:cs="Arial"/>
          <w:color w:val="auto"/>
          <w:sz w:val="24"/>
          <w:szCs w:val="24"/>
        </w:rPr>
        <w:t>Braun and Clarke, 2006</w:t>
      </w:r>
      <w:r>
        <w:rPr>
          <w:rFonts w:ascii="Arial" w:eastAsia="Times New Roman" w:hAnsi="Arial" w:cs="Arial"/>
          <w:color w:val="auto"/>
          <w:sz w:val="24"/>
          <w:szCs w:val="24"/>
        </w:rPr>
        <w:t xml:space="preserve">; </w:t>
      </w:r>
      <w:r w:rsidRPr="002A272A">
        <w:rPr>
          <w:rFonts w:ascii="Arial" w:eastAsia="Times New Roman" w:hAnsi="Arial" w:cs="Arial"/>
          <w:color w:val="auto"/>
          <w:sz w:val="24"/>
          <w:szCs w:val="24"/>
        </w:rPr>
        <w:t>Cohen, Manion &amp; Morrison, 2018). The analysis will particularly focus on identifying both semantic-level themes apparent in surface meanings and latent-level themes reflecting underlying assumptions and conceptual frameworks.</w:t>
      </w:r>
      <w:r>
        <w:rPr>
          <w:rFonts w:ascii="Arial" w:eastAsia="Times New Roman" w:hAnsi="Arial" w:cs="Arial"/>
          <w:color w:val="auto"/>
          <w:sz w:val="24"/>
          <w:szCs w:val="24"/>
        </w:rPr>
        <w:t xml:space="preserve"> By c</w:t>
      </w:r>
      <w:r w:rsidRPr="002A272A">
        <w:rPr>
          <w:rFonts w:ascii="Arial" w:eastAsia="Times New Roman" w:hAnsi="Arial" w:cs="Arial"/>
          <w:color w:val="auto"/>
          <w:sz w:val="24"/>
          <w:szCs w:val="24"/>
        </w:rPr>
        <w:t>omplementing the thematic analysis, phenomenological reduction techniques will be applied to distil the essential structures of participants' lived experiences (Stolz, 2022). This involves: (1) identifying meaning units through horizontalization of the data, (2) transforming these units into psychologically relevant statements, (3) clustering the statements into thematic groups, and (4) synthesizing them into exhaustive descriptions of the phenomena</w:t>
      </w:r>
      <w:r>
        <w:rPr>
          <w:rFonts w:ascii="Arial" w:eastAsia="Times New Roman" w:hAnsi="Arial" w:cs="Arial"/>
          <w:color w:val="auto"/>
          <w:sz w:val="24"/>
          <w:szCs w:val="24"/>
        </w:rPr>
        <w:t xml:space="preserve"> </w:t>
      </w:r>
      <w:r w:rsidRPr="007A1D75">
        <w:rPr>
          <w:rFonts w:ascii="Arial" w:eastAsia="Times New Roman" w:hAnsi="Arial" w:cs="Arial"/>
          <w:color w:val="auto"/>
          <w:sz w:val="24"/>
          <w:szCs w:val="24"/>
        </w:rPr>
        <w:t>(Braun and Clarke, 2006</w:t>
      </w:r>
      <w:r>
        <w:rPr>
          <w:rFonts w:ascii="Arial" w:eastAsia="Times New Roman" w:hAnsi="Arial" w:cs="Arial"/>
          <w:color w:val="auto"/>
          <w:sz w:val="24"/>
          <w:szCs w:val="24"/>
        </w:rPr>
        <w:t xml:space="preserve">; </w:t>
      </w:r>
      <w:r w:rsidRPr="007A1D75">
        <w:rPr>
          <w:rFonts w:ascii="Arial" w:eastAsia="Times New Roman" w:hAnsi="Arial" w:cs="Arial"/>
          <w:color w:val="auto"/>
          <w:sz w:val="24"/>
          <w:szCs w:val="24"/>
        </w:rPr>
        <w:t>Sloan and Bowe, 2014)</w:t>
      </w:r>
      <w:r w:rsidRPr="002A272A">
        <w:rPr>
          <w:rFonts w:ascii="Arial" w:eastAsia="Times New Roman" w:hAnsi="Arial" w:cs="Arial"/>
          <w:color w:val="auto"/>
          <w:sz w:val="24"/>
          <w:szCs w:val="24"/>
        </w:rPr>
        <w:t xml:space="preserve">. </w:t>
      </w:r>
    </w:p>
    <w:p w14:paraId="56D4AC8C" w14:textId="4CE8B2CD" w:rsidR="00C1786A" w:rsidRPr="00C1786A" w:rsidRDefault="00C1786A" w:rsidP="00C1786A">
      <w:pPr>
        <w:pStyle w:val="Heading2"/>
        <w:spacing w:line="360" w:lineRule="auto"/>
        <w:jc w:val="both"/>
        <w:rPr>
          <w:rFonts w:ascii="Arial" w:eastAsia="Times New Roman" w:hAnsi="Arial" w:cs="Arial"/>
          <w:color w:val="auto"/>
          <w:sz w:val="24"/>
          <w:szCs w:val="24"/>
        </w:rPr>
      </w:pPr>
      <w:r w:rsidRPr="002A272A">
        <w:rPr>
          <w:rFonts w:ascii="Arial" w:eastAsia="Times New Roman" w:hAnsi="Arial" w:cs="Arial"/>
          <w:color w:val="auto"/>
          <w:sz w:val="24"/>
          <w:szCs w:val="24"/>
        </w:rPr>
        <w:lastRenderedPageBreak/>
        <w:t>The integrated analytical approach allows for comprehensive examination of both the manifest content of participants' accounts and the deeper existential meanings underlying their educational experiences. All interpretations will be grounded in the study's theoretical framework while remaining faithful to the original data. Final themes will be illustrated with representative verbatim extracts that demonstrate their empirical foundation and contextual richness. This meticulous analytical process ensures the findings are both methodologically robust and substantively meaningful for understanding disability experiences in Chinese educational settings.</w:t>
      </w:r>
    </w:p>
    <w:p w14:paraId="1101A239" w14:textId="77777777" w:rsidR="00C1786A" w:rsidRPr="00C1786A" w:rsidRDefault="00C1786A" w:rsidP="00C1786A">
      <w:pPr>
        <w:keepNext/>
        <w:keepLines/>
        <w:spacing w:before="160" w:after="80" w:line="360" w:lineRule="auto"/>
        <w:outlineLvl w:val="1"/>
        <w:rPr>
          <w:rFonts w:ascii="Times New Roman" w:eastAsiaTheme="majorEastAsia" w:hAnsi="Times New Roman"/>
          <w:b/>
          <w:bCs/>
          <w:i/>
          <w:iCs/>
          <w:color w:val="0F4761" w:themeColor="accent1" w:themeShade="BF"/>
          <w:kern w:val="2"/>
          <w:sz w:val="32"/>
          <w:szCs w:val="32"/>
          <w:lang w:eastAsia="zh-CN"/>
          <w14:ligatures w14:val="standardContextual"/>
        </w:rPr>
      </w:pPr>
      <w:r w:rsidRPr="00C1786A">
        <w:rPr>
          <w:rFonts w:ascii="Times New Roman" w:eastAsiaTheme="majorEastAsia" w:hAnsi="Times New Roman"/>
          <w:b/>
          <w:bCs/>
          <w:i/>
          <w:iCs/>
          <w:color w:val="0F4761" w:themeColor="accent1" w:themeShade="BF"/>
          <w:kern w:val="2"/>
          <w:sz w:val="32"/>
          <w:szCs w:val="32"/>
          <w:lang w:eastAsia="zh-CN"/>
          <w14:ligatures w14:val="standardContextual"/>
        </w:rPr>
        <w:t>Strengths and Limitations</w:t>
      </w:r>
    </w:p>
    <w:p w14:paraId="06B92586" w14:textId="77777777" w:rsidR="00C1786A" w:rsidRPr="00C1786A" w:rsidRDefault="00C1786A" w:rsidP="00C1786A">
      <w:pPr>
        <w:spacing w:before="100" w:beforeAutospacing="1" w:after="100" w:afterAutospacing="1" w:line="360" w:lineRule="auto"/>
        <w:jc w:val="both"/>
        <w:rPr>
          <w:rFonts w:cs="Arial"/>
          <w:sz w:val="24"/>
          <w:szCs w:val="24"/>
          <w:lang w:eastAsia="zh-CN"/>
        </w:rPr>
      </w:pPr>
      <w:r w:rsidRPr="00C1786A">
        <w:rPr>
          <w:rFonts w:cs="Arial"/>
          <w:sz w:val="24"/>
          <w:szCs w:val="24"/>
          <w:lang w:eastAsia="zh-CN"/>
        </w:rPr>
        <w:t xml:space="preserve">This study's methodological approach presents several significant strengths that enhance its scholarly value. The purposive sampling design ensures the inclusion of participants with varied educational backgrounds and disability experiences, thereby capturing a comprehensive range of perspectives within the Chinese context (Campbell et al., 2020). The implementation of multiple ethical protections, including informed consent procedures and confidentiality measures, safeguards participant welfare while promoting authentic disclosure. The dual analytical framework combining thematic and phenomenological methods provides both breadth and depth in examining the complex educational experiences of students with disabilities ((Stolz, 2022; </w:t>
      </w:r>
      <w:proofErr w:type="spellStart"/>
      <w:r w:rsidRPr="00C1786A">
        <w:rPr>
          <w:rFonts w:cs="Arial"/>
          <w:sz w:val="24"/>
          <w:szCs w:val="24"/>
          <w:lang w:eastAsia="zh-CN"/>
        </w:rPr>
        <w:t>Sovacool</w:t>
      </w:r>
      <w:proofErr w:type="spellEnd"/>
      <w:r w:rsidRPr="00C1786A">
        <w:rPr>
          <w:rFonts w:cs="Arial"/>
          <w:sz w:val="24"/>
          <w:szCs w:val="24"/>
          <w:lang w:eastAsia="zh-CN"/>
        </w:rPr>
        <w:t>, Iskandarova and Hall, 2023).</w:t>
      </w:r>
    </w:p>
    <w:p w14:paraId="36B9C113" w14:textId="7F3A68D4" w:rsidR="00C1786A" w:rsidRDefault="00C1786A" w:rsidP="00396290">
      <w:pPr>
        <w:spacing w:before="100" w:beforeAutospacing="1" w:after="100" w:afterAutospacing="1" w:line="360" w:lineRule="auto"/>
        <w:jc w:val="both"/>
        <w:rPr>
          <w:rFonts w:cs="Arial"/>
          <w:sz w:val="24"/>
          <w:szCs w:val="24"/>
          <w:lang w:eastAsia="zh-CN"/>
        </w:rPr>
      </w:pPr>
      <w:r w:rsidRPr="00C1786A">
        <w:rPr>
          <w:rFonts w:cs="Arial"/>
          <w:sz w:val="24"/>
          <w:szCs w:val="24"/>
          <w:lang w:eastAsia="zh-CN"/>
        </w:rPr>
        <w:t xml:space="preserve">Several limitations warrant careful consideration in interpreting the study's findings. The purposive sampling approach, while valuable for obtaining information-rich cases, may inadvertently exclude certain populations such as students in remote rural areas or those not connected to formal support systems. The qualitative nature of the research inherently limits the generalizability of results beyond the specific study context (Cohen, Manion and Morrison, 2018). Additionally, the interpretive process necessarily involves researcher subjectivity, despite systematic efforts to bracket preconceptions through reflexivity practices. Despite with these limitations, the study's methodological design incorporates multiple safeguards to ensure rigor. The combination of member checking, peer debriefing, and audit trails enhances the trustworthiness of findings. The explicit theoretical grounding in interpretivist and phenomenological frameworks provides a coherent structure for data interpretation </w:t>
      </w:r>
      <w:r w:rsidRPr="00C1786A">
        <w:rPr>
          <w:rFonts w:cs="Arial"/>
          <w:sz w:val="24"/>
          <w:szCs w:val="24"/>
          <w:lang w:eastAsia="zh-CN"/>
        </w:rPr>
        <w:lastRenderedPageBreak/>
        <w:t>while maintaining sensitivity to contextual factors (Ryan, 2018; William, 2024).  These methodological choices collectively offer a balanced approach to investigating the multifaceted educational experiences of students with disabilities in China, producing findings that are both empirically grounded and theoretically informed (Cohen, Manion and Morrison, 2018). The study's limitations are appropriately offset by its methodological strengths, particularly its capacity to generate nuanced understandings of complex social phenomena.</w:t>
      </w:r>
    </w:p>
    <w:p w14:paraId="00BB3657" w14:textId="77777777" w:rsidR="00C1786A" w:rsidRDefault="00C1786A" w:rsidP="00396290">
      <w:pPr>
        <w:spacing w:before="100" w:beforeAutospacing="1" w:after="100" w:afterAutospacing="1" w:line="360" w:lineRule="auto"/>
        <w:jc w:val="both"/>
        <w:rPr>
          <w:rFonts w:cs="Arial"/>
          <w:sz w:val="24"/>
          <w:szCs w:val="24"/>
          <w:lang w:eastAsia="zh-CN"/>
        </w:rPr>
      </w:pPr>
    </w:p>
    <w:p w14:paraId="7F545F30" w14:textId="1DD9EEC1" w:rsidR="00C1786A" w:rsidRPr="00C1786A" w:rsidRDefault="00C1786A" w:rsidP="00C1786A">
      <w:pPr>
        <w:keepNext/>
        <w:keepLines/>
        <w:spacing w:before="360" w:after="80" w:line="360" w:lineRule="auto"/>
        <w:outlineLvl w:val="0"/>
        <w:rPr>
          <w:rFonts w:ascii="Times New Roman" w:eastAsiaTheme="majorEastAsia" w:hAnsi="Times New Roman"/>
          <w:b/>
          <w:bCs/>
          <w:i/>
          <w:iCs/>
          <w:color w:val="0F4761" w:themeColor="accent1" w:themeShade="BF"/>
          <w:kern w:val="2"/>
          <w:sz w:val="40"/>
          <w:szCs w:val="40"/>
          <w:lang w:eastAsia="zh-CN"/>
          <w14:ligatures w14:val="standardContextual"/>
        </w:rPr>
      </w:pPr>
      <w:r w:rsidRPr="00C1786A">
        <w:rPr>
          <w:rFonts w:ascii="Times New Roman" w:eastAsiaTheme="majorEastAsia" w:hAnsi="Times New Roman"/>
          <w:b/>
          <w:bCs/>
          <w:i/>
          <w:iCs/>
          <w:color w:val="0F4761" w:themeColor="accent1" w:themeShade="BF"/>
          <w:kern w:val="2"/>
          <w:sz w:val="40"/>
          <w:szCs w:val="40"/>
          <w:lang w:eastAsia="zh-CN"/>
          <w14:ligatures w14:val="standardContextual"/>
        </w:rPr>
        <w:t>Conclusion</w:t>
      </w:r>
    </w:p>
    <w:p w14:paraId="62D4BAA2" w14:textId="77777777" w:rsidR="00C1786A" w:rsidRPr="00C1786A" w:rsidRDefault="00C1786A" w:rsidP="00C1786A">
      <w:pPr>
        <w:spacing w:after="160" w:line="360" w:lineRule="auto"/>
        <w:jc w:val="both"/>
        <w:rPr>
          <w:rFonts w:eastAsiaTheme="minorEastAsia" w:cs="Arial"/>
          <w:color w:val="111111"/>
          <w:sz w:val="24"/>
          <w:szCs w:val="24"/>
          <w:lang w:eastAsia="zh-CN"/>
          <w14:ligatures w14:val="standardContextual"/>
        </w:rPr>
      </w:pPr>
      <w:r w:rsidRPr="00C1786A">
        <w:rPr>
          <w:rFonts w:eastAsiaTheme="minorEastAsia" w:cs="Arial"/>
          <w:color w:val="111111"/>
          <w:sz w:val="24"/>
          <w:szCs w:val="24"/>
          <w:lang w:eastAsia="zh-CN"/>
          <w14:ligatures w14:val="standardContextual"/>
        </w:rPr>
        <w:t>This study presents a rigorous investigation into the multifaceted social dimensions affecting the educational experiences of students with disabilities in China. Grounded in interpretivist and constructivist paradigms with phenomenological integration, the research design provides an appropriate framework for examining the subjective realities and meaning-making processes that characterize disability experiences within Chinese educational contexts. The proposed four-dimensional analytical approach - addressing family resources, institutional structures, cultural perceptions, and peer dynamics - offers a comprehensive lens to analyse both barriers and facilitators of inclusive education.</w:t>
      </w:r>
      <w:r w:rsidRPr="00C1786A">
        <w:rPr>
          <w:rFonts w:eastAsiaTheme="minorEastAsia" w:cs="Arial" w:hint="eastAsia"/>
          <w:color w:val="111111"/>
          <w:sz w:val="24"/>
          <w:szCs w:val="24"/>
          <w:lang w:eastAsia="zh-CN"/>
          <w14:ligatures w14:val="standardContextual"/>
        </w:rPr>
        <w:t xml:space="preserve"> </w:t>
      </w:r>
      <w:r w:rsidRPr="00C1786A">
        <w:rPr>
          <w:rFonts w:eastAsiaTheme="minorEastAsia" w:cs="Arial"/>
          <w:color w:val="111111"/>
          <w:sz w:val="24"/>
          <w:szCs w:val="24"/>
          <w:lang w:eastAsia="zh-CN"/>
          <w14:ligatures w14:val="standardContextual"/>
        </w:rPr>
        <w:t>The study's significance lies in its potential to generate culturally situated knowledge that addresses critical gaps in current understanding. By centring the lived experiences of students with disabilities, the research moves beyond policy analysis to reveal how inclusive education principles manifest in daily practice. The methodological integration of qualitative techniques ensures depth of analysis while maintaining scholarly rigor through systematic verification procedures.</w:t>
      </w:r>
      <w:r w:rsidRPr="00C1786A">
        <w:rPr>
          <w:rFonts w:eastAsiaTheme="minorEastAsia" w:cs="Arial" w:hint="eastAsia"/>
          <w:color w:val="111111"/>
          <w:sz w:val="24"/>
          <w:szCs w:val="24"/>
          <w:lang w:eastAsia="zh-CN"/>
          <w14:ligatures w14:val="standardContextual"/>
        </w:rPr>
        <w:t xml:space="preserve"> </w:t>
      </w:r>
      <w:r w:rsidRPr="00C1786A">
        <w:rPr>
          <w:rFonts w:eastAsiaTheme="minorEastAsia" w:cs="Arial"/>
          <w:color w:val="111111"/>
          <w:sz w:val="24"/>
          <w:szCs w:val="24"/>
          <w:lang w:eastAsia="zh-CN"/>
          <w14:ligatures w14:val="standardContextual"/>
        </w:rPr>
        <w:t>This investigation makes three primary contributions: first, it advances theoretical understanding of disability as socially constructed within China's unique cultural context; second, it provides empirical evidence about the implementation challenges of inclusive education policies; third, it offers practical insights for developing more effective support systems. The findings will inform policy discussions while remaining grounded in the concrete realities of students' educational experiences.</w:t>
      </w:r>
    </w:p>
    <w:p w14:paraId="1608BEFB" w14:textId="77777777" w:rsidR="00C1786A" w:rsidRPr="00C1786A" w:rsidRDefault="00C1786A" w:rsidP="00C1786A">
      <w:pPr>
        <w:spacing w:after="160" w:line="360" w:lineRule="auto"/>
        <w:jc w:val="both"/>
        <w:rPr>
          <w:rFonts w:eastAsiaTheme="minorEastAsia" w:cs="Arial"/>
          <w:kern w:val="2"/>
          <w:sz w:val="24"/>
          <w:szCs w:val="24"/>
          <w:lang w:eastAsia="zh-CN"/>
          <w14:ligatures w14:val="standardContextual"/>
        </w:rPr>
      </w:pPr>
      <w:r w:rsidRPr="00C1786A">
        <w:rPr>
          <w:rFonts w:eastAsiaTheme="minorEastAsia" w:cs="Arial"/>
          <w:color w:val="111111"/>
          <w:sz w:val="24"/>
          <w:szCs w:val="24"/>
          <w:lang w:eastAsia="zh-CN"/>
          <w14:ligatures w14:val="standardContextual"/>
        </w:rPr>
        <w:lastRenderedPageBreak/>
        <w:t xml:space="preserve">In conclusion, the study aims to reframe disability within Chinese educational discourse - from a deficit perspective to recognition of </w:t>
      </w:r>
      <w:r w:rsidRPr="00C1786A">
        <w:rPr>
          <w:rFonts w:eastAsiaTheme="minorEastAsia" w:cs="Arial" w:hint="eastAsia"/>
          <w:color w:val="111111"/>
          <w:sz w:val="24"/>
          <w:szCs w:val="24"/>
          <w:lang w:eastAsia="zh-CN"/>
          <w14:ligatures w14:val="standardContextual"/>
        </w:rPr>
        <w:t>disability</w:t>
      </w:r>
      <w:r w:rsidRPr="00C1786A">
        <w:rPr>
          <w:rFonts w:eastAsiaTheme="minorEastAsia" w:cs="Arial"/>
          <w:color w:val="111111"/>
          <w:sz w:val="24"/>
          <w:szCs w:val="24"/>
          <w:lang w:eastAsia="zh-CN"/>
          <w14:ligatures w14:val="standardContextual"/>
        </w:rPr>
        <w:t xml:space="preserve"> as a valuable aspect of human variation. By bridging the persistent gap between inclusive education policy and classroom practice, the research seeks to contribute to more equitable learning environments that genuinely value and support students with disabilities. The culturally sensitive approach ensures relevance for Chinese educational reform while offering comparative insights for global inclusive education initiatives.</w:t>
      </w:r>
    </w:p>
    <w:p w14:paraId="2501AF8B" w14:textId="77777777" w:rsidR="00C1786A" w:rsidRDefault="00C1786A" w:rsidP="00396290">
      <w:pPr>
        <w:spacing w:before="100" w:beforeAutospacing="1" w:after="100" w:afterAutospacing="1" w:line="360" w:lineRule="auto"/>
        <w:jc w:val="both"/>
        <w:rPr>
          <w:rFonts w:cs="Arial"/>
          <w:sz w:val="24"/>
          <w:szCs w:val="24"/>
          <w:lang w:eastAsia="zh-CN"/>
        </w:rPr>
      </w:pPr>
    </w:p>
    <w:p w14:paraId="6F45A989" w14:textId="77777777" w:rsidR="00C1786A" w:rsidRPr="00396290" w:rsidRDefault="00C1786A" w:rsidP="00396290">
      <w:pPr>
        <w:spacing w:before="100" w:beforeAutospacing="1" w:after="100" w:afterAutospacing="1" w:line="360" w:lineRule="auto"/>
        <w:jc w:val="both"/>
        <w:rPr>
          <w:rFonts w:cs="Arial"/>
          <w:sz w:val="24"/>
          <w:szCs w:val="24"/>
          <w:lang w:eastAsia="zh-CN"/>
        </w:rPr>
      </w:pPr>
    </w:p>
    <w:p w14:paraId="33AB316E" w14:textId="77777777" w:rsidR="00062868" w:rsidRPr="00062868" w:rsidRDefault="00062868" w:rsidP="00062868">
      <w:pPr>
        <w:spacing w:before="100" w:beforeAutospacing="1" w:after="100" w:afterAutospacing="1" w:line="360" w:lineRule="auto"/>
        <w:jc w:val="both"/>
        <w:rPr>
          <w:rFonts w:cs="Arial" w:hint="eastAsia"/>
          <w:sz w:val="24"/>
          <w:szCs w:val="24"/>
          <w:lang w:eastAsia="zh-CN"/>
        </w:rPr>
      </w:pPr>
    </w:p>
    <w:p w14:paraId="38148E79" w14:textId="77777777" w:rsidR="00062868" w:rsidRDefault="00062868" w:rsidP="004C6AB4">
      <w:pPr>
        <w:spacing w:after="160" w:line="278" w:lineRule="auto"/>
        <w:rPr>
          <w:rFonts w:cs="Arial" w:hint="eastAsia"/>
          <w:b/>
          <w:sz w:val="22"/>
          <w:szCs w:val="22"/>
          <w:lang w:eastAsia="zh-CN"/>
        </w:rPr>
      </w:pPr>
    </w:p>
    <w:p w14:paraId="71EE3B39" w14:textId="77777777" w:rsidR="004C6AB4" w:rsidRDefault="004C6AB4" w:rsidP="004C6AB4">
      <w:pPr>
        <w:spacing w:after="160" w:line="278" w:lineRule="auto"/>
        <w:rPr>
          <w:rFonts w:cs="Arial"/>
          <w:b/>
          <w:sz w:val="22"/>
          <w:szCs w:val="22"/>
        </w:rPr>
      </w:pPr>
    </w:p>
    <w:p w14:paraId="7A96A561" w14:textId="77777777" w:rsidR="004C6AB4" w:rsidRDefault="004C6AB4" w:rsidP="004C6AB4">
      <w:pPr>
        <w:spacing w:after="160" w:line="278" w:lineRule="auto"/>
        <w:rPr>
          <w:rFonts w:cs="Arial"/>
          <w:b/>
          <w:sz w:val="22"/>
          <w:szCs w:val="22"/>
        </w:rPr>
      </w:pPr>
    </w:p>
    <w:p w14:paraId="19D59D88" w14:textId="77777777" w:rsidR="004C6AB4" w:rsidRDefault="004C6AB4" w:rsidP="004C6AB4">
      <w:pPr>
        <w:spacing w:after="160" w:line="278" w:lineRule="auto"/>
        <w:rPr>
          <w:rFonts w:cs="Arial"/>
          <w:b/>
          <w:sz w:val="22"/>
          <w:szCs w:val="22"/>
        </w:rPr>
      </w:pPr>
    </w:p>
    <w:p w14:paraId="02EE4310" w14:textId="77777777" w:rsidR="004C6AB4" w:rsidRDefault="004C6AB4" w:rsidP="004C6AB4">
      <w:pPr>
        <w:spacing w:after="160" w:line="278" w:lineRule="auto"/>
        <w:rPr>
          <w:rFonts w:cs="Arial"/>
          <w:b/>
          <w:sz w:val="22"/>
          <w:szCs w:val="22"/>
        </w:rPr>
      </w:pPr>
    </w:p>
    <w:p w14:paraId="5F635217" w14:textId="77777777" w:rsidR="004C6AB4" w:rsidRDefault="004C6AB4" w:rsidP="004C6AB4">
      <w:pPr>
        <w:spacing w:after="160" w:line="278" w:lineRule="auto"/>
        <w:rPr>
          <w:rFonts w:cs="Arial"/>
          <w:b/>
          <w:sz w:val="22"/>
          <w:szCs w:val="22"/>
        </w:rPr>
      </w:pPr>
    </w:p>
    <w:p w14:paraId="430C0378" w14:textId="77777777" w:rsidR="004C6AB4" w:rsidRDefault="004C6AB4" w:rsidP="004C6AB4">
      <w:pPr>
        <w:spacing w:after="160" w:line="278" w:lineRule="auto"/>
        <w:rPr>
          <w:rFonts w:cs="Arial"/>
          <w:b/>
          <w:sz w:val="22"/>
          <w:szCs w:val="22"/>
        </w:rPr>
      </w:pPr>
    </w:p>
    <w:p w14:paraId="48A29DBC" w14:textId="77777777" w:rsidR="004C6AB4" w:rsidRDefault="004C6AB4" w:rsidP="004C6AB4">
      <w:pPr>
        <w:spacing w:after="160" w:line="278" w:lineRule="auto"/>
        <w:rPr>
          <w:rFonts w:cs="Arial"/>
          <w:b/>
          <w:sz w:val="22"/>
          <w:szCs w:val="22"/>
        </w:rPr>
      </w:pPr>
    </w:p>
    <w:p w14:paraId="4A538DCA" w14:textId="77777777" w:rsidR="004C6AB4" w:rsidRDefault="004C6AB4" w:rsidP="004C6AB4">
      <w:pPr>
        <w:spacing w:after="160" w:line="278" w:lineRule="auto"/>
        <w:rPr>
          <w:rFonts w:cs="Arial"/>
          <w:b/>
          <w:sz w:val="22"/>
          <w:szCs w:val="22"/>
        </w:rPr>
      </w:pPr>
    </w:p>
    <w:p w14:paraId="1E543126" w14:textId="77777777" w:rsidR="004C6AB4" w:rsidRDefault="004C6AB4" w:rsidP="004C6AB4">
      <w:pPr>
        <w:spacing w:after="160" w:line="278" w:lineRule="auto"/>
        <w:rPr>
          <w:rFonts w:cs="Arial"/>
          <w:b/>
          <w:sz w:val="22"/>
          <w:szCs w:val="22"/>
        </w:rPr>
      </w:pPr>
    </w:p>
    <w:p w14:paraId="34C968C9" w14:textId="77777777" w:rsidR="004C6AB4" w:rsidRDefault="004C6AB4" w:rsidP="004C6AB4">
      <w:pPr>
        <w:spacing w:after="160" w:line="278" w:lineRule="auto"/>
        <w:rPr>
          <w:rFonts w:cs="Arial"/>
          <w:b/>
          <w:sz w:val="22"/>
          <w:szCs w:val="22"/>
        </w:rPr>
      </w:pPr>
    </w:p>
    <w:p w14:paraId="6DFE7780" w14:textId="77777777" w:rsidR="00C1786A" w:rsidRDefault="00C1786A" w:rsidP="004C6AB4">
      <w:pPr>
        <w:spacing w:after="160" w:line="278" w:lineRule="auto"/>
        <w:rPr>
          <w:rFonts w:cs="Arial"/>
          <w:b/>
          <w:sz w:val="22"/>
          <w:szCs w:val="22"/>
        </w:rPr>
      </w:pPr>
    </w:p>
    <w:p w14:paraId="3C50BE3B" w14:textId="77777777" w:rsidR="00C1786A" w:rsidRDefault="00C1786A" w:rsidP="004C6AB4">
      <w:pPr>
        <w:spacing w:after="160" w:line="278" w:lineRule="auto"/>
        <w:rPr>
          <w:rFonts w:cs="Arial"/>
          <w:b/>
          <w:sz w:val="22"/>
          <w:szCs w:val="22"/>
        </w:rPr>
      </w:pPr>
    </w:p>
    <w:p w14:paraId="171A02DF" w14:textId="77777777" w:rsidR="004C6AB4" w:rsidRDefault="004C6AB4" w:rsidP="004C6AB4">
      <w:pPr>
        <w:spacing w:after="160" w:line="278" w:lineRule="auto"/>
        <w:rPr>
          <w:rFonts w:cs="Arial"/>
          <w:b/>
          <w:sz w:val="22"/>
          <w:szCs w:val="22"/>
        </w:rPr>
      </w:pPr>
    </w:p>
    <w:p w14:paraId="5BDD1E85" w14:textId="77777777" w:rsidR="00C1786A" w:rsidRDefault="00C1786A" w:rsidP="004C6AB4">
      <w:pPr>
        <w:spacing w:after="160" w:line="278" w:lineRule="auto"/>
        <w:rPr>
          <w:rFonts w:cs="Arial"/>
          <w:b/>
          <w:sz w:val="22"/>
          <w:szCs w:val="22"/>
        </w:rPr>
      </w:pPr>
    </w:p>
    <w:p w14:paraId="2A8A2A71" w14:textId="77777777" w:rsidR="004C6AB4" w:rsidRDefault="004C6AB4" w:rsidP="004C6AB4">
      <w:pPr>
        <w:spacing w:after="160" w:line="278" w:lineRule="auto"/>
        <w:rPr>
          <w:rFonts w:cs="Arial"/>
          <w:b/>
          <w:sz w:val="22"/>
          <w:szCs w:val="22"/>
        </w:rPr>
      </w:pPr>
    </w:p>
    <w:p w14:paraId="1D5EA7D0" w14:textId="77777777" w:rsidR="004C6AB4" w:rsidRDefault="004C6AB4" w:rsidP="004C6AB4">
      <w:pPr>
        <w:spacing w:after="160" w:line="278" w:lineRule="auto"/>
        <w:rPr>
          <w:rFonts w:cs="Arial"/>
          <w:b/>
          <w:sz w:val="22"/>
          <w:szCs w:val="22"/>
        </w:rPr>
      </w:pPr>
    </w:p>
    <w:p w14:paraId="5BBB7B24" w14:textId="24745AB3" w:rsidR="004C6AB4" w:rsidRDefault="004C6AB4" w:rsidP="004C6AB4">
      <w:pPr>
        <w:spacing w:after="160" w:line="278" w:lineRule="auto"/>
        <w:rPr>
          <w:rFonts w:asciiTheme="majorHAnsi" w:hAnsiTheme="majorHAnsi"/>
          <w:sz w:val="24"/>
          <w:szCs w:val="24"/>
        </w:rPr>
      </w:pPr>
      <w:r w:rsidRPr="004C6AB4">
        <w:rPr>
          <w:rFonts w:asciiTheme="majorHAnsi" w:hAnsiTheme="majorHAnsi"/>
          <w:sz w:val="24"/>
          <w:szCs w:val="24"/>
        </w:rPr>
        <w:t>Wordcount:</w:t>
      </w:r>
      <w:r w:rsidR="00C1786A">
        <w:rPr>
          <w:rFonts w:asciiTheme="majorHAnsi" w:hAnsiTheme="majorHAnsi"/>
          <w:sz w:val="24"/>
          <w:szCs w:val="24"/>
        </w:rPr>
        <w:t xml:space="preserve"> 4072</w:t>
      </w:r>
    </w:p>
    <w:p w14:paraId="0634701C" w14:textId="04B45C7D" w:rsidR="00C1786A" w:rsidRDefault="00C1786A" w:rsidP="004C6AB4">
      <w:pPr>
        <w:spacing w:after="160" w:line="278" w:lineRule="auto"/>
        <w:rPr>
          <w:rFonts w:asciiTheme="majorHAnsi" w:hAnsiTheme="majorHAnsi" w:cs="Arial"/>
          <w:sz w:val="24"/>
          <w:szCs w:val="24"/>
        </w:rPr>
      </w:pPr>
    </w:p>
    <w:p w14:paraId="306C8356" w14:textId="77777777" w:rsidR="00C1786A" w:rsidRDefault="00C1786A" w:rsidP="00C1786A">
      <w:pPr>
        <w:pStyle w:val="Heading1"/>
        <w:spacing w:before="0" w:after="240" w:line="540" w:lineRule="atLeast"/>
        <w:rPr>
          <w:rFonts w:ascii="Times New Roman" w:hAnsi="Times New Roman"/>
          <w:color w:val="000000"/>
          <w:sz w:val="36"/>
          <w:szCs w:val="36"/>
          <w:lang w:eastAsia="zh-CN"/>
        </w:rPr>
      </w:pPr>
      <w:r>
        <w:rPr>
          <w:color w:val="000000"/>
          <w:sz w:val="36"/>
          <w:szCs w:val="36"/>
        </w:rPr>
        <w:t>Reference list</w:t>
      </w:r>
    </w:p>
    <w:p w14:paraId="4DF737D5" w14:textId="77777777" w:rsidR="00C1786A" w:rsidRDefault="00C1786A" w:rsidP="00C1786A">
      <w:pPr>
        <w:pStyle w:val="NormalWeb"/>
        <w:spacing w:before="0" w:beforeAutospacing="0" w:after="240" w:afterAutospacing="0" w:line="360" w:lineRule="atLeast"/>
        <w:rPr>
          <w:color w:val="000000"/>
        </w:rPr>
      </w:pPr>
      <w:r>
        <w:rPr>
          <w:color w:val="000000"/>
        </w:rPr>
        <w:t xml:space="preserve">Berger, P.L. and </w:t>
      </w:r>
      <w:proofErr w:type="spellStart"/>
      <w:r>
        <w:rPr>
          <w:color w:val="000000"/>
        </w:rPr>
        <w:t>Luckmann</w:t>
      </w:r>
      <w:proofErr w:type="spellEnd"/>
      <w:r>
        <w:rPr>
          <w:color w:val="000000"/>
        </w:rPr>
        <w:t xml:space="preserve">, T. (1966) ‘The Social Construction of Reality: </w:t>
      </w:r>
      <w:proofErr w:type="gramStart"/>
      <w:r>
        <w:rPr>
          <w:color w:val="000000"/>
        </w:rPr>
        <w:t>a</w:t>
      </w:r>
      <w:proofErr w:type="gramEnd"/>
      <w:r>
        <w:rPr>
          <w:color w:val="000000"/>
        </w:rPr>
        <w:t xml:space="preserve"> Treatise in the Sociology of Knowledge’,</w:t>
      </w:r>
      <w:r>
        <w:rPr>
          <w:rStyle w:val="apple-converted-space"/>
          <w:rFonts w:eastAsiaTheme="majorEastAsia"/>
          <w:color w:val="000000"/>
        </w:rPr>
        <w:t> </w:t>
      </w:r>
      <w:r>
        <w:rPr>
          <w:i/>
          <w:iCs/>
          <w:color w:val="000000"/>
        </w:rPr>
        <w:t>Sociological Analysis</w:t>
      </w:r>
      <w:r>
        <w:rPr>
          <w:color w:val="000000"/>
        </w:rPr>
        <w:t>, 28(1), p. 55. Available at: https://doi.org/10.2307/3710424.</w:t>
      </w:r>
    </w:p>
    <w:p w14:paraId="2025CC0F" w14:textId="77777777" w:rsidR="00C1786A" w:rsidRDefault="00C1786A" w:rsidP="00C1786A">
      <w:pPr>
        <w:pStyle w:val="NormalWeb"/>
        <w:spacing w:before="0" w:beforeAutospacing="0" w:after="240" w:afterAutospacing="0" w:line="360" w:lineRule="atLeast"/>
        <w:rPr>
          <w:color w:val="000000"/>
        </w:rPr>
      </w:pPr>
      <w:r>
        <w:rPr>
          <w:color w:val="000000"/>
        </w:rPr>
        <w:t>Bourdieu, P. (1986)</w:t>
      </w:r>
      <w:r>
        <w:rPr>
          <w:rStyle w:val="apple-converted-space"/>
          <w:rFonts w:eastAsiaTheme="majorEastAsia"/>
          <w:color w:val="000000"/>
        </w:rPr>
        <w:t> </w:t>
      </w:r>
      <w:r>
        <w:rPr>
          <w:i/>
          <w:iCs/>
          <w:color w:val="000000"/>
        </w:rPr>
        <w:t>The Forms of Capital</w:t>
      </w:r>
      <w:r>
        <w:rPr>
          <w:color w:val="000000"/>
        </w:rPr>
        <w:t>,</w:t>
      </w:r>
      <w:r>
        <w:rPr>
          <w:rStyle w:val="apple-converted-space"/>
          <w:rFonts w:eastAsiaTheme="majorEastAsia"/>
          <w:color w:val="000000"/>
        </w:rPr>
        <w:t> </w:t>
      </w:r>
      <w:r>
        <w:rPr>
          <w:i/>
          <w:iCs/>
          <w:color w:val="000000"/>
        </w:rPr>
        <w:t>Handbook of theory and research for the sociology of education</w:t>
      </w:r>
      <w:r>
        <w:rPr>
          <w:color w:val="000000"/>
        </w:rPr>
        <w:t>. Westport, Conn.: Greenwood Press, pp. 241–258. Available at: https://www.ucg.ac.me/skladiste/blog_9155/objava_66783/fajlovi/Bourdieu%20The%20Forms%20of%20Capital%20_1_.pdf.</w:t>
      </w:r>
    </w:p>
    <w:p w14:paraId="65122195" w14:textId="77777777" w:rsidR="00C1786A" w:rsidRDefault="00C1786A" w:rsidP="00C1786A">
      <w:pPr>
        <w:pStyle w:val="NormalWeb"/>
        <w:spacing w:before="0" w:beforeAutospacing="0" w:after="240" w:afterAutospacing="0" w:line="360" w:lineRule="atLeast"/>
        <w:rPr>
          <w:color w:val="000000"/>
        </w:rPr>
      </w:pPr>
      <w:r>
        <w:rPr>
          <w:color w:val="000000"/>
        </w:rPr>
        <w:t>Braun, V. and Clarke, V. (2006) ‘Using Thematic Analysis in Psychology’,</w:t>
      </w:r>
      <w:r>
        <w:rPr>
          <w:rStyle w:val="apple-converted-space"/>
          <w:rFonts w:eastAsiaTheme="majorEastAsia"/>
          <w:color w:val="000000"/>
        </w:rPr>
        <w:t> </w:t>
      </w:r>
      <w:r>
        <w:rPr>
          <w:i/>
          <w:iCs/>
          <w:color w:val="000000"/>
        </w:rPr>
        <w:t>Qualitative Research in Psychology</w:t>
      </w:r>
      <w:r>
        <w:rPr>
          <w:color w:val="000000"/>
        </w:rPr>
        <w:t>, 3(2), pp. 77–101. Available at: https://doi.org/10.1191/1478088706qp063oa.</w:t>
      </w:r>
    </w:p>
    <w:p w14:paraId="039F2B92" w14:textId="77777777" w:rsidR="00C1786A" w:rsidRDefault="00C1786A" w:rsidP="00C1786A">
      <w:pPr>
        <w:pStyle w:val="NormalWeb"/>
        <w:spacing w:before="0" w:beforeAutospacing="0" w:after="240" w:afterAutospacing="0" w:line="360" w:lineRule="atLeast"/>
        <w:rPr>
          <w:color w:val="000000"/>
        </w:rPr>
      </w:pPr>
      <w:r>
        <w:rPr>
          <w:color w:val="000000"/>
        </w:rPr>
        <w:t>Campbell, S.</w:t>
      </w:r>
      <w:r>
        <w:rPr>
          <w:rStyle w:val="apple-converted-space"/>
          <w:rFonts w:eastAsiaTheme="majorEastAsia"/>
          <w:color w:val="000000"/>
        </w:rPr>
        <w:t> </w:t>
      </w:r>
      <w:r>
        <w:rPr>
          <w:i/>
          <w:iCs/>
          <w:color w:val="000000"/>
        </w:rPr>
        <w:t>et al.</w:t>
      </w:r>
      <w:r>
        <w:rPr>
          <w:rStyle w:val="apple-converted-space"/>
          <w:rFonts w:eastAsiaTheme="majorEastAsia"/>
          <w:color w:val="000000"/>
        </w:rPr>
        <w:t> </w:t>
      </w:r>
      <w:r>
        <w:rPr>
          <w:color w:val="000000"/>
        </w:rPr>
        <w:t>(2020) ‘Purposive sampling: Complex or simple? Research Case Examples’,</w:t>
      </w:r>
      <w:r>
        <w:rPr>
          <w:rStyle w:val="apple-converted-space"/>
          <w:rFonts w:eastAsiaTheme="majorEastAsia"/>
          <w:color w:val="000000"/>
        </w:rPr>
        <w:t> </w:t>
      </w:r>
      <w:r>
        <w:rPr>
          <w:i/>
          <w:iCs/>
          <w:color w:val="000000"/>
        </w:rPr>
        <w:t>Journal of Research in Nursing</w:t>
      </w:r>
      <w:r>
        <w:rPr>
          <w:color w:val="000000"/>
        </w:rPr>
        <w:t>, 25(8), pp. 652–661. Available at: https://doi.org/10.1177/1744987120927206.</w:t>
      </w:r>
    </w:p>
    <w:p w14:paraId="0C573CBC" w14:textId="77777777" w:rsidR="00C1786A" w:rsidRDefault="00C1786A" w:rsidP="00C1786A">
      <w:pPr>
        <w:pStyle w:val="NormalWeb"/>
        <w:spacing w:before="0" w:beforeAutospacing="0" w:after="240" w:afterAutospacing="0" w:line="360" w:lineRule="atLeast"/>
        <w:rPr>
          <w:color w:val="000000"/>
        </w:rPr>
      </w:pPr>
      <w:r>
        <w:rPr>
          <w:color w:val="000000"/>
        </w:rPr>
        <w:t>Cerna, L.</w:t>
      </w:r>
      <w:r>
        <w:rPr>
          <w:rStyle w:val="apple-converted-space"/>
          <w:rFonts w:eastAsiaTheme="majorEastAsia"/>
          <w:color w:val="000000"/>
        </w:rPr>
        <w:t> </w:t>
      </w:r>
      <w:r>
        <w:rPr>
          <w:i/>
          <w:iCs/>
          <w:color w:val="000000"/>
        </w:rPr>
        <w:t>et al.</w:t>
      </w:r>
      <w:r>
        <w:rPr>
          <w:rStyle w:val="apple-converted-space"/>
          <w:rFonts w:eastAsiaTheme="majorEastAsia"/>
          <w:color w:val="000000"/>
        </w:rPr>
        <w:t> </w:t>
      </w:r>
      <w:r>
        <w:rPr>
          <w:color w:val="000000"/>
        </w:rPr>
        <w:t>(2021) ‘Promoting Inclusive Education for Diverse Societies’,</w:t>
      </w:r>
      <w:r>
        <w:rPr>
          <w:rStyle w:val="apple-converted-space"/>
          <w:rFonts w:eastAsiaTheme="majorEastAsia"/>
          <w:color w:val="000000"/>
        </w:rPr>
        <w:t> </w:t>
      </w:r>
      <w:r>
        <w:rPr>
          <w:i/>
          <w:iCs/>
          <w:color w:val="000000"/>
        </w:rPr>
        <w:t>OECD Education Working Papers</w:t>
      </w:r>
      <w:r>
        <w:rPr>
          <w:color w:val="000000"/>
        </w:rPr>
        <w:t>, 260. Available at: https://doi.org/10.1787/94ab68c6-en.</w:t>
      </w:r>
    </w:p>
    <w:p w14:paraId="09C1B0B9" w14:textId="77777777" w:rsidR="00C1786A" w:rsidRDefault="00C1786A" w:rsidP="00C1786A">
      <w:pPr>
        <w:pStyle w:val="NormalWeb"/>
        <w:spacing w:before="0" w:beforeAutospacing="0" w:after="240" w:afterAutospacing="0" w:line="360" w:lineRule="atLeast"/>
        <w:rPr>
          <w:color w:val="000000"/>
        </w:rPr>
      </w:pPr>
      <w:r>
        <w:rPr>
          <w:color w:val="000000"/>
        </w:rPr>
        <w:t>Cohen, L., Manion, L. and Morrison, K. (2018)</w:t>
      </w:r>
      <w:r>
        <w:rPr>
          <w:rStyle w:val="apple-converted-space"/>
          <w:rFonts w:eastAsiaTheme="majorEastAsia"/>
          <w:color w:val="000000"/>
        </w:rPr>
        <w:t> </w:t>
      </w:r>
      <w:r>
        <w:rPr>
          <w:i/>
          <w:iCs/>
          <w:color w:val="000000"/>
        </w:rPr>
        <w:t>Research Methods in Education</w:t>
      </w:r>
      <w:r>
        <w:rPr>
          <w:color w:val="000000"/>
        </w:rPr>
        <w:t xml:space="preserve">. 8th </w:t>
      </w:r>
      <w:proofErr w:type="spellStart"/>
      <w:r>
        <w:rPr>
          <w:color w:val="000000"/>
        </w:rPr>
        <w:t>edn</w:t>
      </w:r>
      <w:proofErr w:type="spellEnd"/>
      <w:r>
        <w:rPr>
          <w:color w:val="000000"/>
        </w:rPr>
        <w:t>. London: Routledge.</w:t>
      </w:r>
    </w:p>
    <w:p w14:paraId="66A55410" w14:textId="77777777" w:rsidR="00C1786A" w:rsidRDefault="00C1786A" w:rsidP="00C1786A">
      <w:pPr>
        <w:pStyle w:val="NormalWeb"/>
        <w:spacing w:before="0" w:beforeAutospacing="0" w:after="240" w:afterAutospacing="0" w:line="360" w:lineRule="atLeast"/>
        <w:rPr>
          <w:color w:val="000000"/>
        </w:rPr>
      </w:pPr>
      <w:r>
        <w:rPr>
          <w:color w:val="000000"/>
        </w:rPr>
        <w:t>Deng, M., Poon-</w:t>
      </w:r>
      <w:proofErr w:type="spellStart"/>
      <w:r>
        <w:rPr>
          <w:color w:val="000000"/>
        </w:rPr>
        <w:t>Mcbrayer</w:t>
      </w:r>
      <w:proofErr w:type="spellEnd"/>
      <w:r>
        <w:rPr>
          <w:color w:val="000000"/>
        </w:rPr>
        <w:t>, K.F. and Farnsworth, E.B. (2001) ‘The Development of Special Education in China’,</w:t>
      </w:r>
      <w:r>
        <w:rPr>
          <w:rStyle w:val="apple-converted-space"/>
          <w:rFonts w:eastAsiaTheme="majorEastAsia"/>
          <w:color w:val="000000"/>
        </w:rPr>
        <w:t> </w:t>
      </w:r>
      <w:r>
        <w:rPr>
          <w:i/>
          <w:iCs/>
          <w:color w:val="000000"/>
        </w:rPr>
        <w:t>Remedial and Special Education</w:t>
      </w:r>
      <w:r>
        <w:rPr>
          <w:color w:val="000000"/>
        </w:rPr>
        <w:t>, 22(5), pp. 288–298. Available at: https://doi.org/10.1177/074193250102200504.</w:t>
      </w:r>
    </w:p>
    <w:p w14:paraId="6F96E61E" w14:textId="77777777" w:rsidR="00C1786A" w:rsidRDefault="00C1786A" w:rsidP="00C1786A">
      <w:pPr>
        <w:pStyle w:val="NormalWeb"/>
        <w:spacing w:before="0" w:beforeAutospacing="0" w:after="240" w:afterAutospacing="0" w:line="360" w:lineRule="atLeast"/>
        <w:rPr>
          <w:color w:val="000000"/>
        </w:rPr>
      </w:pPr>
      <w:r>
        <w:rPr>
          <w:color w:val="000000"/>
        </w:rPr>
        <w:t>Goffman, E. (1963)</w:t>
      </w:r>
      <w:r>
        <w:rPr>
          <w:rStyle w:val="apple-converted-space"/>
          <w:rFonts w:eastAsiaTheme="majorEastAsia"/>
          <w:color w:val="000000"/>
        </w:rPr>
        <w:t> </w:t>
      </w:r>
      <w:r>
        <w:rPr>
          <w:i/>
          <w:iCs/>
          <w:color w:val="000000"/>
        </w:rPr>
        <w:t>Stigma: Notes on the Management of Spoiled Identity</w:t>
      </w:r>
      <w:r>
        <w:rPr>
          <w:color w:val="000000"/>
        </w:rPr>
        <w:t>. London: Penguin Books.</w:t>
      </w:r>
    </w:p>
    <w:p w14:paraId="0B06F3DA" w14:textId="77777777" w:rsidR="00C1786A" w:rsidRDefault="00C1786A" w:rsidP="00C1786A">
      <w:pPr>
        <w:pStyle w:val="NormalWeb"/>
        <w:spacing w:before="0" w:beforeAutospacing="0" w:after="240" w:afterAutospacing="0" w:line="360" w:lineRule="atLeast"/>
        <w:rPr>
          <w:color w:val="000000"/>
        </w:rPr>
      </w:pPr>
      <w:r>
        <w:rPr>
          <w:color w:val="000000"/>
        </w:rPr>
        <w:t>Jones, G.A., Ni, D. and Wang, W. (2021) ‘Nothing about Us without us: Deaf Education and Sign Language Access in China’,</w:t>
      </w:r>
      <w:r>
        <w:rPr>
          <w:rStyle w:val="apple-converted-space"/>
          <w:rFonts w:eastAsiaTheme="majorEastAsia"/>
          <w:color w:val="000000"/>
        </w:rPr>
        <w:t> </w:t>
      </w:r>
      <w:r>
        <w:rPr>
          <w:i/>
          <w:iCs/>
          <w:color w:val="000000"/>
        </w:rPr>
        <w:t>Deafness &amp; Education International</w:t>
      </w:r>
      <w:r>
        <w:rPr>
          <w:color w:val="000000"/>
        </w:rPr>
        <w:t>, 23(3), pp. 1–22. Available at: https://doi.org/10.1080/14643154.2021.1885576.</w:t>
      </w:r>
    </w:p>
    <w:p w14:paraId="24C5BBB4" w14:textId="77777777" w:rsidR="00C1786A" w:rsidRDefault="00C1786A" w:rsidP="00C1786A">
      <w:pPr>
        <w:pStyle w:val="NormalWeb"/>
        <w:spacing w:before="0" w:beforeAutospacing="0" w:after="240" w:afterAutospacing="0" w:line="360" w:lineRule="atLeast"/>
        <w:rPr>
          <w:color w:val="000000"/>
        </w:rPr>
      </w:pPr>
      <w:r>
        <w:rPr>
          <w:color w:val="000000"/>
        </w:rPr>
        <w:t>Li, H.</w:t>
      </w:r>
      <w:r>
        <w:rPr>
          <w:rStyle w:val="apple-converted-space"/>
          <w:rFonts w:eastAsiaTheme="majorEastAsia"/>
          <w:color w:val="000000"/>
        </w:rPr>
        <w:t> </w:t>
      </w:r>
      <w:r>
        <w:rPr>
          <w:i/>
          <w:iCs/>
          <w:color w:val="000000"/>
        </w:rPr>
        <w:t>et al.</w:t>
      </w:r>
      <w:r>
        <w:rPr>
          <w:rStyle w:val="apple-converted-space"/>
          <w:rFonts w:eastAsiaTheme="majorEastAsia"/>
          <w:color w:val="000000"/>
        </w:rPr>
        <w:t> </w:t>
      </w:r>
      <w:r>
        <w:rPr>
          <w:color w:val="000000"/>
        </w:rPr>
        <w:t>(2021) ‘“How Do I Survive exclusion?” Voices of Students with Disabilities at China’s Top Universities’,</w:t>
      </w:r>
      <w:r>
        <w:rPr>
          <w:rStyle w:val="apple-converted-space"/>
          <w:rFonts w:eastAsiaTheme="majorEastAsia"/>
          <w:color w:val="000000"/>
        </w:rPr>
        <w:t> </w:t>
      </w:r>
      <w:r>
        <w:rPr>
          <w:i/>
          <w:iCs/>
          <w:color w:val="000000"/>
        </w:rPr>
        <w:t>Children and Youth Services Review</w:t>
      </w:r>
      <w:r>
        <w:rPr>
          <w:color w:val="000000"/>
        </w:rPr>
        <w:t>, 120, p. 105738. Available at: https://doi.org/10.1016/j.childyouth.2020.105738.</w:t>
      </w:r>
    </w:p>
    <w:p w14:paraId="50BEA322" w14:textId="77777777" w:rsidR="00C1786A" w:rsidRDefault="00C1786A" w:rsidP="00C1786A">
      <w:pPr>
        <w:pStyle w:val="NormalWeb"/>
        <w:spacing w:before="0" w:beforeAutospacing="0" w:after="240" w:afterAutospacing="0" w:line="360" w:lineRule="atLeast"/>
        <w:rPr>
          <w:color w:val="000000"/>
        </w:rPr>
      </w:pPr>
      <w:r>
        <w:rPr>
          <w:color w:val="000000"/>
        </w:rPr>
        <w:lastRenderedPageBreak/>
        <w:t>Mamas, C.</w:t>
      </w:r>
      <w:r>
        <w:rPr>
          <w:rStyle w:val="apple-converted-space"/>
          <w:rFonts w:eastAsiaTheme="majorEastAsia"/>
          <w:color w:val="000000"/>
        </w:rPr>
        <w:t> </w:t>
      </w:r>
      <w:r>
        <w:rPr>
          <w:i/>
          <w:iCs/>
          <w:color w:val="000000"/>
        </w:rPr>
        <w:t>et al.</w:t>
      </w:r>
      <w:r>
        <w:rPr>
          <w:rStyle w:val="apple-converted-space"/>
          <w:rFonts w:eastAsiaTheme="majorEastAsia"/>
          <w:color w:val="000000"/>
        </w:rPr>
        <w:t> </w:t>
      </w:r>
      <w:r>
        <w:rPr>
          <w:color w:val="000000"/>
        </w:rPr>
        <w:t>(2020) ‘Friendship and Support Networks among Students with Disabilities in Middle School’,</w:t>
      </w:r>
      <w:r>
        <w:rPr>
          <w:rStyle w:val="apple-converted-space"/>
          <w:rFonts w:eastAsiaTheme="majorEastAsia"/>
          <w:color w:val="000000"/>
        </w:rPr>
        <w:t> </w:t>
      </w:r>
      <w:r>
        <w:rPr>
          <w:i/>
          <w:iCs/>
          <w:color w:val="000000"/>
        </w:rPr>
        <w:t>International Journal of Educational Research</w:t>
      </w:r>
      <w:r>
        <w:rPr>
          <w:color w:val="000000"/>
        </w:rPr>
        <w:t>, 103, p. 101608. Available at: https://doi.org/10.1016/j.ijer.2020.101608.</w:t>
      </w:r>
    </w:p>
    <w:p w14:paraId="3C8538C7" w14:textId="77777777" w:rsidR="00C1786A" w:rsidRDefault="00C1786A" w:rsidP="00C1786A">
      <w:pPr>
        <w:pStyle w:val="NormalWeb"/>
        <w:spacing w:before="0" w:beforeAutospacing="0" w:after="240" w:afterAutospacing="0" w:line="360" w:lineRule="atLeast"/>
        <w:rPr>
          <w:color w:val="000000"/>
        </w:rPr>
      </w:pPr>
      <w:r>
        <w:rPr>
          <w:color w:val="000000"/>
        </w:rPr>
        <w:t>McGregor, K.K.</w:t>
      </w:r>
      <w:r>
        <w:rPr>
          <w:rStyle w:val="apple-converted-space"/>
          <w:rFonts w:eastAsiaTheme="majorEastAsia"/>
          <w:color w:val="000000"/>
        </w:rPr>
        <w:t> </w:t>
      </w:r>
      <w:r>
        <w:rPr>
          <w:i/>
          <w:iCs/>
          <w:color w:val="000000"/>
        </w:rPr>
        <w:t>et al.</w:t>
      </w:r>
      <w:r>
        <w:rPr>
          <w:rStyle w:val="apple-converted-space"/>
          <w:rFonts w:eastAsiaTheme="majorEastAsia"/>
          <w:color w:val="000000"/>
        </w:rPr>
        <w:t> </w:t>
      </w:r>
      <w:r>
        <w:rPr>
          <w:color w:val="000000"/>
        </w:rPr>
        <w:t>(2016) ‘The University Experiences of Students with Learning Disabilities’,</w:t>
      </w:r>
      <w:r>
        <w:rPr>
          <w:rStyle w:val="apple-converted-space"/>
          <w:rFonts w:eastAsiaTheme="majorEastAsia"/>
          <w:color w:val="000000"/>
        </w:rPr>
        <w:t> </w:t>
      </w:r>
      <w:r>
        <w:rPr>
          <w:i/>
          <w:iCs/>
          <w:color w:val="000000"/>
        </w:rPr>
        <w:t>Learning Disabilities Research &amp; Practice</w:t>
      </w:r>
      <w:r>
        <w:rPr>
          <w:color w:val="000000"/>
        </w:rPr>
        <w:t>, 31(2), pp. 90–102. Available at: https://doi.org/10.1111/ldrp.12102.</w:t>
      </w:r>
    </w:p>
    <w:p w14:paraId="5DDFF392" w14:textId="77777777" w:rsidR="00C1786A" w:rsidRDefault="00C1786A" w:rsidP="00C1786A">
      <w:pPr>
        <w:pStyle w:val="NormalWeb"/>
        <w:spacing w:before="0" w:beforeAutospacing="0" w:after="240" w:afterAutospacing="0" w:line="360" w:lineRule="atLeast"/>
        <w:rPr>
          <w:color w:val="000000"/>
        </w:rPr>
      </w:pPr>
      <w:r>
        <w:rPr>
          <w:color w:val="000000"/>
        </w:rPr>
        <w:t>Ministry of Education (2023)</w:t>
      </w:r>
      <w:r>
        <w:rPr>
          <w:rStyle w:val="apple-converted-space"/>
          <w:rFonts w:eastAsiaTheme="majorEastAsia"/>
          <w:color w:val="000000"/>
        </w:rPr>
        <w:t> </w:t>
      </w:r>
      <w:r>
        <w:rPr>
          <w:i/>
          <w:iCs/>
          <w:color w:val="000000"/>
        </w:rPr>
        <w:t>Statistical Report on China’s Educational Achievements in 2022 - Ministry of Education of the People’s Republic of China</w:t>
      </w:r>
      <w:r>
        <w:rPr>
          <w:color w:val="000000"/>
        </w:rPr>
        <w:t>,</w:t>
      </w:r>
      <w:r>
        <w:rPr>
          <w:rStyle w:val="apple-converted-space"/>
          <w:rFonts w:eastAsiaTheme="majorEastAsia"/>
          <w:color w:val="000000"/>
        </w:rPr>
        <w:t> </w:t>
      </w:r>
      <w:r>
        <w:rPr>
          <w:i/>
          <w:iCs/>
          <w:color w:val="000000"/>
        </w:rPr>
        <w:t>en.moe.gov.cn</w:t>
      </w:r>
      <w:r>
        <w:rPr>
          <w:color w:val="000000"/>
        </w:rPr>
        <w:t>. Available at: http://en.moe.gov.cn/documents/reports/202304/t20230403_1054100.html.</w:t>
      </w:r>
    </w:p>
    <w:p w14:paraId="73901A9A" w14:textId="77777777" w:rsidR="00C1786A" w:rsidRDefault="00C1786A" w:rsidP="00C1786A">
      <w:pPr>
        <w:pStyle w:val="NormalWeb"/>
        <w:spacing w:before="0" w:beforeAutospacing="0" w:after="240" w:afterAutospacing="0" w:line="360" w:lineRule="atLeast"/>
        <w:rPr>
          <w:color w:val="000000"/>
        </w:rPr>
      </w:pPr>
      <w:r>
        <w:rPr>
          <w:color w:val="000000"/>
        </w:rPr>
        <w:t>OECD (2020)</w:t>
      </w:r>
      <w:r>
        <w:rPr>
          <w:rStyle w:val="apple-converted-space"/>
          <w:rFonts w:eastAsiaTheme="majorEastAsia"/>
          <w:color w:val="000000"/>
        </w:rPr>
        <w:t> </w:t>
      </w:r>
      <w:r>
        <w:rPr>
          <w:i/>
          <w:iCs/>
          <w:color w:val="000000"/>
        </w:rPr>
        <w:t>Benchmarking the Performance of China’s Education System</w:t>
      </w:r>
      <w:r>
        <w:rPr>
          <w:color w:val="000000"/>
        </w:rPr>
        <w:t>,</w:t>
      </w:r>
      <w:r>
        <w:rPr>
          <w:rStyle w:val="apple-converted-space"/>
          <w:rFonts w:eastAsiaTheme="majorEastAsia"/>
          <w:color w:val="000000"/>
        </w:rPr>
        <w:t> </w:t>
      </w:r>
      <w:r>
        <w:rPr>
          <w:i/>
          <w:iCs/>
          <w:color w:val="000000"/>
        </w:rPr>
        <w:t>PISA</w:t>
      </w:r>
      <w:r>
        <w:rPr>
          <w:color w:val="000000"/>
        </w:rPr>
        <w:t>. OECD. Available at: https://doi.org/10.1787/4ab33702-en.</w:t>
      </w:r>
    </w:p>
    <w:p w14:paraId="7A597BBB" w14:textId="77777777" w:rsidR="00C1786A" w:rsidRDefault="00C1786A" w:rsidP="00C1786A">
      <w:pPr>
        <w:pStyle w:val="NormalWeb"/>
        <w:spacing w:before="0" w:beforeAutospacing="0" w:after="240" w:afterAutospacing="0" w:line="360" w:lineRule="atLeast"/>
        <w:rPr>
          <w:color w:val="000000"/>
        </w:rPr>
      </w:pPr>
      <w:r>
        <w:rPr>
          <w:color w:val="000000"/>
        </w:rPr>
        <w:t>Osborn, A.D. and Husserl, E. (1932) ‘Ideas: General Introduction to Pure Phenomenology.’,</w:t>
      </w:r>
      <w:r>
        <w:rPr>
          <w:rStyle w:val="apple-converted-space"/>
          <w:rFonts w:eastAsiaTheme="majorEastAsia"/>
          <w:color w:val="000000"/>
        </w:rPr>
        <w:t> </w:t>
      </w:r>
      <w:r>
        <w:rPr>
          <w:i/>
          <w:iCs/>
          <w:color w:val="000000"/>
        </w:rPr>
        <w:t>The Journal of Philosophy</w:t>
      </w:r>
      <w:r>
        <w:rPr>
          <w:color w:val="000000"/>
        </w:rPr>
        <w:t>, 29(6), p. 163. Available at: https://doi.org/10.2307/2015791.</w:t>
      </w:r>
    </w:p>
    <w:p w14:paraId="55ECA374" w14:textId="77777777" w:rsidR="00C1786A" w:rsidRDefault="00C1786A" w:rsidP="00C1786A">
      <w:pPr>
        <w:pStyle w:val="NormalWeb"/>
        <w:spacing w:before="0" w:beforeAutospacing="0" w:after="240" w:afterAutospacing="0" w:line="360" w:lineRule="atLeast"/>
        <w:rPr>
          <w:color w:val="000000"/>
        </w:rPr>
      </w:pPr>
      <w:r>
        <w:rPr>
          <w:color w:val="000000"/>
        </w:rPr>
        <w:t>Qu, X. (2022) ‘Structural Barriers to Inclusive Education for Children with Special Educational Needs and Disabilities in China’,</w:t>
      </w:r>
      <w:r>
        <w:rPr>
          <w:rStyle w:val="apple-converted-space"/>
          <w:rFonts w:eastAsiaTheme="majorEastAsia"/>
          <w:color w:val="000000"/>
        </w:rPr>
        <w:t> </w:t>
      </w:r>
      <w:r>
        <w:rPr>
          <w:i/>
          <w:iCs/>
          <w:color w:val="000000"/>
        </w:rPr>
        <w:t>Journal of Educational Change</w:t>
      </w:r>
      <w:r>
        <w:rPr>
          <w:color w:val="000000"/>
        </w:rPr>
        <w:t>, 23(2), pp. 253–276. Available at: https://doi.org/10.1007/s10833-021-09426-2.</w:t>
      </w:r>
    </w:p>
    <w:p w14:paraId="72476FFB" w14:textId="77777777" w:rsidR="00C1786A" w:rsidRDefault="00C1786A" w:rsidP="00C1786A">
      <w:pPr>
        <w:pStyle w:val="NormalWeb"/>
        <w:spacing w:before="0" w:beforeAutospacing="0" w:after="240" w:afterAutospacing="0" w:line="360" w:lineRule="atLeast"/>
        <w:rPr>
          <w:color w:val="000000"/>
        </w:rPr>
      </w:pPr>
      <w:r>
        <w:rPr>
          <w:color w:val="000000"/>
        </w:rPr>
        <w:t>Ryan, G. (2018) ‘Introduction to positivism, Interpretivism and Critical Theory’,</w:t>
      </w:r>
      <w:r>
        <w:rPr>
          <w:rStyle w:val="apple-converted-space"/>
          <w:rFonts w:eastAsiaTheme="majorEastAsia"/>
          <w:color w:val="000000"/>
        </w:rPr>
        <w:t> </w:t>
      </w:r>
      <w:r>
        <w:rPr>
          <w:i/>
          <w:iCs/>
          <w:color w:val="000000"/>
        </w:rPr>
        <w:t>Nurse Researcher</w:t>
      </w:r>
      <w:r>
        <w:rPr>
          <w:color w:val="000000"/>
        </w:rPr>
        <w:t>, 25(4), pp. 41–49. Available at: https://doi.org/10.7748/nr.2018.e1466.</w:t>
      </w:r>
    </w:p>
    <w:p w14:paraId="399FDE07" w14:textId="77777777" w:rsidR="00C1786A" w:rsidRDefault="00C1786A" w:rsidP="00C1786A">
      <w:pPr>
        <w:pStyle w:val="NormalWeb"/>
        <w:spacing w:before="0" w:beforeAutospacing="0" w:after="240" w:afterAutospacing="0" w:line="360" w:lineRule="atLeast"/>
        <w:rPr>
          <w:color w:val="000000"/>
        </w:rPr>
      </w:pPr>
      <w:r>
        <w:rPr>
          <w:color w:val="000000"/>
        </w:rPr>
        <w:t xml:space="preserve">Semmel, M.I. and Gao, X. (1992) ‘Teacher Perceptions of the Classroom </w:t>
      </w:r>
      <w:proofErr w:type="spellStart"/>
      <w:r>
        <w:rPr>
          <w:color w:val="000000"/>
        </w:rPr>
        <w:t>Behaviors</w:t>
      </w:r>
      <w:proofErr w:type="spellEnd"/>
      <w:r>
        <w:rPr>
          <w:color w:val="000000"/>
        </w:rPr>
        <w:t xml:space="preserve"> of Nominated Handicapped and Nonhandicapped Students in China’,</w:t>
      </w:r>
      <w:r>
        <w:rPr>
          <w:rStyle w:val="apple-converted-space"/>
          <w:rFonts w:eastAsiaTheme="majorEastAsia"/>
          <w:color w:val="000000"/>
        </w:rPr>
        <w:t> </w:t>
      </w:r>
      <w:r>
        <w:rPr>
          <w:i/>
          <w:iCs/>
          <w:color w:val="000000"/>
        </w:rPr>
        <w:t>The Journal of Special Education</w:t>
      </w:r>
      <w:r>
        <w:rPr>
          <w:color w:val="000000"/>
        </w:rPr>
        <w:t>, 25(4), pp. 415–430. Available at: https://doi.org/10.1177/002246699202500402.</w:t>
      </w:r>
    </w:p>
    <w:p w14:paraId="45159752" w14:textId="77777777" w:rsidR="00C1786A" w:rsidRDefault="00C1786A" w:rsidP="00C1786A">
      <w:pPr>
        <w:pStyle w:val="NormalWeb"/>
        <w:spacing w:before="0" w:beforeAutospacing="0" w:after="240" w:afterAutospacing="0" w:line="360" w:lineRule="atLeast"/>
        <w:rPr>
          <w:color w:val="000000"/>
        </w:rPr>
      </w:pPr>
      <w:r>
        <w:rPr>
          <w:color w:val="000000"/>
        </w:rPr>
        <w:t>Sloan, A. and Bowe, B. (2014) ‘Phenomenology and Hermeneutic phenomenology: the philosophy, the methodologies, and Using Hermeneutic Phenomenology to Investigate Lecturers’ Experiences of Curriculum Design’,</w:t>
      </w:r>
      <w:r>
        <w:rPr>
          <w:rStyle w:val="apple-converted-space"/>
          <w:rFonts w:eastAsiaTheme="majorEastAsia"/>
          <w:color w:val="000000"/>
        </w:rPr>
        <w:t> </w:t>
      </w:r>
      <w:r>
        <w:rPr>
          <w:i/>
          <w:iCs/>
          <w:color w:val="000000"/>
        </w:rPr>
        <w:t>Quality &amp; Quantity</w:t>
      </w:r>
      <w:r>
        <w:rPr>
          <w:color w:val="000000"/>
        </w:rPr>
        <w:t>, 48(3), pp. 1291–1303. Available at: https://doi.org/10.1007/s11135-013-9835-3.</w:t>
      </w:r>
    </w:p>
    <w:p w14:paraId="685B0A64" w14:textId="77777777" w:rsidR="00C1786A" w:rsidRDefault="00C1786A" w:rsidP="00C1786A">
      <w:pPr>
        <w:pStyle w:val="NormalWeb"/>
        <w:spacing w:before="0" w:beforeAutospacing="0" w:after="240" w:afterAutospacing="0" w:line="360" w:lineRule="atLeast"/>
        <w:rPr>
          <w:color w:val="000000"/>
        </w:rPr>
      </w:pPr>
      <w:r>
        <w:rPr>
          <w:color w:val="000000"/>
        </w:rPr>
        <w:t>Smith, J.A. and Osborn, M. (2015) ‘Interpretative Phenomenological Analysis as a Useful Methodology for Research on the Lived Experience of Pain’,</w:t>
      </w:r>
      <w:r>
        <w:rPr>
          <w:rStyle w:val="apple-converted-space"/>
          <w:rFonts w:eastAsiaTheme="majorEastAsia"/>
          <w:color w:val="000000"/>
        </w:rPr>
        <w:t> </w:t>
      </w:r>
      <w:r>
        <w:rPr>
          <w:i/>
          <w:iCs/>
          <w:color w:val="000000"/>
        </w:rPr>
        <w:t>British Journal of Pain</w:t>
      </w:r>
      <w:r>
        <w:rPr>
          <w:color w:val="000000"/>
        </w:rPr>
        <w:t>, 9(1), pp. 41–42. Available at: https://doi.org/10.1177/2049463714541642.</w:t>
      </w:r>
    </w:p>
    <w:p w14:paraId="07AA83DC" w14:textId="77777777" w:rsidR="00C1786A" w:rsidRDefault="00C1786A" w:rsidP="00C1786A">
      <w:pPr>
        <w:pStyle w:val="NormalWeb"/>
        <w:spacing w:before="0" w:beforeAutospacing="0" w:after="240" w:afterAutospacing="0" w:line="360" w:lineRule="atLeast"/>
        <w:rPr>
          <w:color w:val="000000"/>
        </w:rPr>
      </w:pPr>
      <w:proofErr w:type="spellStart"/>
      <w:r>
        <w:rPr>
          <w:color w:val="000000"/>
        </w:rPr>
        <w:lastRenderedPageBreak/>
        <w:t>Sovacool</w:t>
      </w:r>
      <w:proofErr w:type="spellEnd"/>
      <w:r>
        <w:rPr>
          <w:color w:val="000000"/>
        </w:rPr>
        <w:t>, B.K., Iskandarova, M. and Hall, J. (2023) ‘Industrializing theories: a Thematic Analysis of Conceptual Frameworks and Typologies for Industrial Sociotechnical Change in a low-carbon Future’,</w:t>
      </w:r>
      <w:r>
        <w:rPr>
          <w:rStyle w:val="apple-converted-space"/>
          <w:rFonts w:eastAsiaTheme="majorEastAsia"/>
          <w:color w:val="000000"/>
        </w:rPr>
        <w:t> </w:t>
      </w:r>
      <w:r>
        <w:rPr>
          <w:i/>
          <w:iCs/>
          <w:color w:val="000000"/>
        </w:rPr>
        <w:t>Energy Research &amp; Social Science</w:t>
      </w:r>
      <w:r>
        <w:rPr>
          <w:color w:val="000000"/>
        </w:rPr>
        <w:t>, 97, p. 102954.</w:t>
      </w:r>
    </w:p>
    <w:p w14:paraId="3391471F" w14:textId="77777777" w:rsidR="00C1786A" w:rsidRDefault="00C1786A" w:rsidP="00C1786A">
      <w:pPr>
        <w:pStyle w:val="NormalWeb"/>
        <w:spacing w:before="0" w:beforeAutospacing="0" w:after="240" w:afterAutospacing="0" w:line="360" w:lineRule="atLeast"/>
        <w:rPr>
          <w:color w:val="000000"/>
        </w:rPr>
      </w:pPr>
      <w:r>
        <w:rPr>
          <w:color w:val="000000"/>
        </w:rPr>
        <w:t>State Council (2021)</w:t>
      </w:r>
      <w:r>
        <w:rPr>
          <w:rStyle w:val="apple-converted-space"/>
          <w:rFonts w:eastAsiaTheme="majorEastAsia"/>
          <w:color w:val="000000"/>
        </w:rPr>
        <w:t> </w:t>
      </w:r>
      <w:r>
        <w:rPr>
          <w:i/>
          <w:iCs/>
          <w:color w:val="000000"/>
        </w:rPr>
        <w:t>Regulations on Education for Individuals with Disabilities - Ministry of Education of the People’s Republic of China</w:t>
      </w:r>
      <w:r>
        <w:rPr>
          <w:color w:val="000000"/>
        </w:rPr>
        <w:t>,</w:t>
      </w:r>
      <w:r>
        <w:rPr>
          <w:rStyle w:val="apple-converted-space"/>
          <w:rFonts w:eastAsiaTheme="majorEastAsia"/>
          <w:color w:val="000000"/>
        </w:rPr>
        <w:t> </w:t>
      </w:r>
      <w:r>
        <w:rPr>
          <w:i/>
          <w:iCs/>
          <w:color w:val="000000"/>
        </w:rPr>
        <w:t>en.moe.gov.cn</w:t>
      </w:r>
      <w:r>
        <w:rPr>
          <w:color w:val="000000"/>
        </w:rPr>
        <w:t>. Available at: http://en.moe.gov.cn/documents/laws_policies/202109/t20210922_565723.html.</w:t>
      </w:r>
    </w:p>
    <w:p w14:paraId="67622C94" w14:textId="77777777" w:rsidR="00C1786A" w:rsidRDefault="00C1786A" w:rsidP="00C1786A">
      <w:pPr>
        <w:pStyle w:val="NormalWeb"/>
        <w:spacing w:before="0" w:beforeAutospacing="0" w:after="240" w:afterAutospacing="0" w:line="360" w:lineRule="atLeast"/>
        <w:rPr>
          <w:color w:val="000000"/>
        </w:rPr>
      </w:pPr>
      <w:r>
        <w:rPr>
          <w:color w:val="000000"/>
        </w:rPr>
        <w:t>Stolz, S.A. (2022) ‘The Practice of Phenomenology in Educational Research’,</w:t>
      </w:r>
      <w:r>
        <w:rPr>
          <w:rStyle w:val="apple-converted-space"/>
          <w:rFonts w:eastAsiaTheme="majorEastAsia"/>
          <w:color w:val="000000"/>
        </w:rPr>
        <w:t> </w:t>
      </w:r>
      <w:r>
        <w:rPr>
          <w:i/>
          <w:iCs/>
          <w:color w:val="000000"/>
        </w:rPr>
        <w:t>Educational Philosophy and Theory</w:t>
      </w:r>
      <w:r>
        <w:rPr>
          <w:color w:val="000000"/>
        </w:rPr>
        <w:t>, 55(7), pp. 1–13. Available at: https://doi.org/10.1080/00131857.2022.2138745.</w:t>
      </w:r>
    </w:p>
    <w:p w14:paraId="3C550C12" w14:textId="77777777" w:rsidR="00C1786A" w:rsidRDefault="00C1786A" w:rsidP="00C1786A">
      <w:pPr>
        <w:pStyle w:val="NormalWeb"/>
        <w:spacing w:before="0" w:beforeAutospacing="0" w:after="240" w:afterAutospacing="0" w:line="360" w:lineRule="atLeast"/>
        <w:rPr>
          <w:color w:val="000000"/>
        </w:rPr>
      </w:pPr>
      <w:r>
        <w:rPr>
          <w:color w:val="000000"/>
        </w:rPr>
        <w:t>UNESCO (2020)</w:t>
      </w:r>
      <w:r>
        <w:rPr>
          <w:rStyle w:val="apple-converted-space"/>
          <w:rFonts w:eastAsiaTheme="majorEastAsia"/>
          <w:color w:val="000000"/>
        </w:rPr>
        <w:t> </w:t>
      </w:r>
      <w:r>
        <w:rPr>
          <w:i/>
          <w:iCs/>
          <w:color w:val="000000"/>
        </w:rPr>
        <w:t>Global Education Monitoring (GEM) Report 2020 | UNESCO</w:t>
      </w:r>
      <w:r>
        <w:rPr>
          <w:color w:val="000000"/>
        </w:rPr>
        <w:t>,</w:t>
      </w:r>
      <w:r>
        <w:rPr>
          <w:rStyle w:val="apple-converted-space"/>
          <w:rFonts w:eastAsiaTheme="majorEastAsia"/>
          <w:color w:val="000000"/>
        </w:rPr>
        <w:t> </w:t>
      </w:r>
      <w:r>
        <w:rPr>
          <w:i/>
          <w:iCs/>
          <w:color w:val="000000"/>
        </w:rPr>
        <w:t>www.unesco.org</w:t>
      </w:r>
      <w:r>
        <w:rPr>
          <w:color w:val="000000"/>
        </w:rPr>
        <w:t>. Available at: https://www.unesco.org/en/articles/global-education-monitoring-gem-report-2020.</w:t>
      </w:r>
    </w:p>
    <w:p w14:paraId="25BCF45E" w14:textId="77777777" w:rsidR="00C1786A" w:rsidRDefault="00C1786A" w:rsidP="00C1786A">
      <w:pPr>
        <w:pStyle w:val="NormalWeb"/>
        <w:spacing w:before="0" w:beforeAutospacing="0" w:after="240" w:afterAutospacing="0" w:line="360" w:lineRule="atLeast"/>
        <w:rPr>
          <w:color w:val="000000"/>
        </w:rPr>
      </w:pPr>
      <w:r>
        <w:rPr>
          <w:color w:val="000000"/>
        </w:rPr>
        <w:t>Wang, X., Cui, Y. and Fan, X. (2025) ‘Employment Experiences and Challenges of Parents Supporting Young People with Intellectual Disabilities in Harbin, China’,</w:t>
      </w:r>
      <w:r>
        <w:rPr>
          <w:rStyle w:val="apple-converted-space"/>
          <w:rFonts w:eastAsiaTheme="majorEastAsia"/>
          <w:color w:val="000000"/>
        </w:rPr>
        <w:t> </w:t>
      </w:r>
      <w:r>
        <w:rPr>
          <w:i/>
          <w:iCs/>
          <w:color w:val="000000"/>
        </w:rPr>
        <w:t>Journal of Intellectual &amp; Developmental Disability</w:t>
      </w:r>
      <w:r>
        <w:rPr>
          <w:color w:val="000000"/>
        </w:rPr>
        <w:t>, pp. 1–13. Available at: https://doi.org/10.3109/13668250.2025.2480536.</w:t>
      </w:r>
    </w:p>
    <w:p w14:paraId="5CF78E37" w14:textId="77777777" w:rsidR="00C1786A" w:rsidRDefault="00C1786A" w:rsidP="00C1786A">
      <w:pPr>
        <w:pStyle w:val="NormalWeb"/>
        <w:spacing w:before="0" w:beforeAutospacing="0" w:after="240" w:afterAutospacing="0" w:line="360" w:lineRule="atLeast"/>
        <w:rPr>
          <w:color w:val="000000"/>
        </w:rPr>
      </w:pPr>
      <w:r>
        <w:rPr>
          <w:color w:val="000000"/>
        </w:rPr>
        <w:t>William, A. (2024) ‘Interpretivism or Constructivism: Navigating Research Paradigms in Social Science Research’,</w:t>
      </w:r>
      <w:r>
        <w:rPr>
          <w:rStyle w:val="apple-converted-space"/>
          <w:rFonts w:eastAsiaTheme="majorEastAsia"/>
          <w:color w:val="000000"/>
        </w:rPr>
        <w:t> </w:t>
      </w:r>
      <w:r>
        <w:rPr>
          <w:i/>
          <w:iCs/>
          <w:color w:val="000000"/>
        </w:rPr>
        <w:t>International Journal of Research Publications</w:t>
      </w:r>
      <w:r>
        <w:rPr>
          <w:color w:val="000000"/>
        </w:rPr>
        <w:t>, 143(1). Available at: https://doi.org/10.47119/ijrp1001431220246122.</w:t>
      </w:r>
    </w:p>
    <w:p w14:paraId="2017CC8B" w14:textId="77777777" w:rsidR="00C1786A" w:rsidRDefault="00C1786A" w:rsidP="00C1786A">
      <w:pPr>
        <w:pStyle w:val="NormalWeb"/>
        <w:spacing w:before="0" w:beforeAutospacing="0" w:after="240" w:afterAutospacing="0" w:line="360" w:lineRule="atLeast"/>
        <w:rPr>
          <w:color w:val="000000"/>
        </w:rPr>
      </w:pPr>
      <w:r>
        <w:rPr>
          <w:color w:val="000000"/>
        </w:rPr>
        <w:t>Xu, S.Q., Cooper, P. and Sin, K. (2018) ‘The “Learning in Regular Classrooms” Initiative for Inclusive Education in China’,</w:t>
      </w:r>
      <w:r>
        <w:rPr>
          <w:rStyle w:val="apple-converted-space"/>
          <w:rFonts w:eastAsiaTheme="majorEastAsia"/>
          <w:color w:val="000000"/>
        </w:rPr>
        <w:t> </w:t>
      </w:r>
      <w:r>
        <w:rPr>
          <w:i/>
          <w:iCs/>
          <w:color w:val="000000"/>
        </w:rPr>
        <w:t>International Journal of Inclusive Education</w:t>
      </w:r>
      <w:r>
        <w:rPr>
          <w:color w:val="000000"/>
        </w:rPr>
        <w:t>, 22(1), pp. 54–73. Available at: https://doi.org/10.1080/13603116.2017.1348547.</w:t>
      </w:r>
    </w:p>
    <w:p w14:paraId="4C0EADF0" w14:textId="77777777" w:rsidR="00C1786A" w:rsidRDefault="00C1786A" w:rsidP="00C1786A">
      <w:pPr>
        <w:pStyle w:val="NormalWeb"/>
        <w:spacing w:before="0" w:beforeAutospacing="0" w:after="240" w:afterAutospacing="0" w:line="360" w:lineRule="atLeast"/>
        <w:rPr>
          <w:color w:val="000000"/>
        </w:rPr>
      </w:pPr>
      <w:r>
        <w:rPr>
          <w:color w:val="000000"/>
        </w:rPr>
        <w:t>Xu, S.Q., Zhu, J. and Smith, S. (2022) ‘Primary School Students’ Perceptions of Class Environment and Their Attitudes Towards Inclusive Education in China’,</w:t>
      </w:r>
      <w:r>
        <w:rPr>
          <w:rStyle w:val="apple-converted-space"/>
          <w:rFonts w:eastAsiaTheme="majorEastAsia"/>
          <w:color w:val="000000"/>
        </w:rPr>
        <w:t> </w:t>
      </w:r>
      <w:r>
        <w:rPr>
          <w:i/>
          <w:iCs/>
          <w:color w:val="000000"/>
        </w:rPr>
        <w:t>International Journal of Disability, Development and Education</w:t>
      </w:r>
      <w:r>
        <w:rPr>
          <w:color w:val="000000"/>
        </w:rPr>
        <w:t>, 71(4), pp. 1–19. Available at: https://doi.org/10.1080/1034912x.2022.2138834.</w:t>
      </w:r>
    </w:p>
    <w:p w14:paraId="6A33A7ED" w14:textId="77777777" w:rsidR="00C1786A" w:rsidRDefault="00C1786A" w:rsidP="00C1786A">
      <w:pPr>
        <w:pStyle w:val="NormalWeb"/>
        <w:spacing w:before="0" w:beforeAutospacing="0" w:after="240" w:afterAutospacing="0" w:line="360" w:lineRule="atLeast"/>
        <w:rPr>
          <w:color w:val="000000"/>
        </w:rPr>
      </w:pPr>
      <w:r>
        <w:rPr>
          <w:color w:val="000000"/>
        </w:rPr>
        <w:t>Yang, Y. (2020)</w:t>
      </w:r>
      <w:r>
        <w:rPr>
          <w:rStyle w:val="apple-converted-space"/>
          <w:rFonts w:eastAsiaTheme="majorEastAsia"/>
          <w:color w:val="000000"/>
        </w:rPr>
        <w:t> </w:t>
      </w:r>
      <w:r>
        <w:rPr>
          <w:i/>
          <w:iCs/>
          <w:color w:val="000000"/>
        </w:rPr>
        <w:t>Phase II in Special Education Program launched: China on Track to Achieve 95% Enrolment for Children with Disabilities by 2020 - Ministry of Education of the People’s Republic of China</w:t>
      </w:r>
      <w:r>
        <w:rPr>
          <w:color w:val="000000"/>
        </w:rPr>
        <w:t>,</w:t>
      </w:r>
      <w:r>
        <w:rPr>
          <w:rStyle w:val="apple-converted-space"/>
          <w:rFonts w:eastAsiaTheme="majorEastAsia"/>
          <w:color w:val="000000"/>
        </w:rPr>
        <w:t> </w:t>
      </w:r>
      <w:r>
        <w:rPr>
          <w:i/>
          <w:iCs/>
          <w:color w:val="000000"/>
        </w:rPr>
        <w:t>Moe.gov.cn</w:t>
      </w:r>
      <w:r>
        <w:rPr>
          <w:color w:val="000000"/>
        </w:rPr>
        <w:t>. Available at: http://en.moe.gov.cn/Specials/Review/Highlights/201806/t20180606_338549.html (Accessed: 28 April 2025).</w:t>
      </w:r>
    </w:p>
    <w:p w14:paraId="5ABE23D6" w14:textId="77777777" w:rsidR="00C1786A" w:rsidRDefault="00C1786A" w:rsidP="00C1786A">
      <w:pPr>
        <w:pStyle w:val="NormalWeb"/>
        <w:spacing w:before="0" w:beforeAutospacing="0" w:after="240" w:afterAutospacing="0" w:line="360" w:lineRule="atLeast"/>
        <w:rPr>
          <w:color w:val="000000"/>
        </w:rPr>
      </w:pPr>
      <w:r>
        <w:rPr>
          <w:color w:val="000000"/>
        </w:rPr>
        <w:lastRenderedPageBreak/>
        <w:t>Zhang, C. and Miao, X. (2022) ‘Systematic Review on Chinese Special Education and Inclusive Education: China’s Solution in Globalization’,</w:t>
      </w:r>
      <w:r>
        <w:rPr>
          <w:rStyle w:val="apple-converted-space"/>
          <w:rFonts w:eastAsiaTheme="majorEastAsia"/>
          <w:color w:val="000000"/>
        </w:rPr>
        <w:t> </w:t>
      </w:r>
      <w:r>
        <w:rPr>
          <w:i/>
          <w:iCs/>
          <w:color w:val="000000"/>
        </w:rPr>
        <w:t>ECNU Review of Education</w:t>
      </w:r>
      <w:r>
        <w:rPr>
          <w:color w:val="000000"/>
        </w:rPr>
        <w:t>, p. 209653112211473. Available at: https://doi.org/10.1177/20965311221147310.</w:t>
      </w:r>
    </w:p>
    <w:p w14:paraId="4B71A26E" w14:textId="77777777" w:rsidR="00C1786A" w:rsidRDefault="00C1786A" w:rsidP="00C1786A">
      <w:pPr>
        <w:pStyle w:val="NormalWeb"/>
        <w:spacing w:before="0" w:beforeAutospacing="0" w:after="240" w:afterAutospacing="0" w:line="360" w:lineRule="atLeast"/>
        <w:rPr>
          <w:color w:val="000000"/>
        </w:rPr>
      </w:pPr>
      <w:r>
        <w:rPr>
          <w:color w:val="000000"/>
        </w:rPr>
        <w:t>Zhang, Y. and Rosen, S. (2018) ‘Confucian Philosophy and Contemporary Chinese Societal Attitudes toward People with Disabilities and Inclusive Education’,</w:t>
      </w:r>
      <w:r>
        <w:rPr>
          <w:rStyle w:val="apple-converted-space"/>
          <w:rFonts w:eastAsiaTheme="majorEastAsia"/>
          <w:color w:val="000000"/>
        </w:rPr>
        <w:t> </w:t>
      </w:r>
      <w:r>
        <w:rPr>
          <w:i/>
          <w:iCs/>
          <w:color w:val="000000"/>
        </w:rPr>
        <w:t>Educational Philosophy and Theory</w:t>
      </w:r>
      <w:r>
        <w:rPr>
          <w:color w:val="000000"/>
        </w:rPr>
        <w:t>, 50(12), pp. 1113–1123. Available at: https://doi.org/10.1080/00131857.2018.1434505.</w:t>
      </w:r>
    </w:p>
    <w:p w14:paraId="6171400F" w14:textId="77777777" w:rsidR="00C1786A" w:rsidRDefault="00C1786A" w:rsidP="00C1786A">
      <w:pPr>
        <w:pStyle w:val="NormalWeb"/>
        <w:spacing w:before="0" w:beforeAutospacing="0" w:after="240" w:afterAutospacing="0" w:line="360" w:lineRule="atLeast"/>
        <w:rPr>
          <w:color w:val="000000"/>
        </w:rPr>
      </w:pPr>
      <w:r>
        <w:rPr>
          <w:color w:val="000000"/>
        </w:rPr>
        <w:t>Zhou, M. (2024) ‘Inclusive Education in China: Complications and Causes’,</w:t>
      </w:r>
      <w:r>
        <w:rPr>
          <w:rStyle w:val="apple-converted-space"/>
          <w:rFonts w:eastAsiaTheme="majorEastAsia"/>
          <w:color w:val="000000"/>
        </w:rPr>
        <w:t> </w:t>
      </w:r>
      <w:r>
        <w:rPr>
          <w:i/>
          <w:iCs/>
          <w:color w:val="000000"/>
        </w:rPr>
        <w:t>Science Insights Education Frontiers</w:t>
      </w:r>
      <w:r>
        <w:rPr>
          <w:color w:val="000000"/>
        </w:rPr>
        <w:t>, 22(1), pp. 3529–3544. Available at: https://doi.org/10.15354/sief.24.re361.</w:t>
      </w:r>
    </w:p>
    <w:p w14:paraId="1A9296EA" w14:textId="1C67D44C" w:rsidR="00C1786A" w:rsidRPr="004C6AB4" w:rsidRDefault="00C1786A" w:rsidP="004C6AB4">
      <w:pPr>
        <w:spacing w:after="160" w:line="278" w:lineRule="auto"/>
        <w:rPr>
          <w:rFonts w:asciiTheme="majorHAnsi" w:hAnsiTheme="majorHAnsi" w:cs="Arial"/>
          <w:sz w:val="24"/>
          <w:szCs w:val="24"/>
        </w:rPr>
      </w:pPr>
      <w:r>
        <w:rPr>
          <w:rFonts w:asciiTheme="majorHAnsi" w:hAnsiTheme="majorHAnsi" w:cs="Arial"/>
          <w:sz w:val="24"/>
          <w:szCs w:val="24"/>
        </w:rPr>
        <w:br w:type="page"/>
      </w:r>
    </w:p>
    <w:p w14:paraId="4A4CC13E" w14:textId="650A6B19" w:rsidR="006B52DD" w:rsidRPr="00E243A8" w:rsidRDefault="006B52DD" w:rsidP="006B52DD">
      <w:pPr>
        <w:rPr>
          <w:b/>
          <w:bCs/>
          <w:sz w:val="32"/>
          <w:szCs w:val="32"/>
          <w:u w:val="single"/>
        </w:rPr>
      </w:pPr>
      <w:r w:rsidRPr="00E243A8">
        <w:rPr>
          <w:b/>
          <w:bCs/>
          <w:sz w:val="32"/>
          <w:szCs w:val="32"/>
          <w:u w:val="single"/>
        </w:rPr>
        <w:lastRenderedPageBreak/>
        <w:t>AI Acknowledgement</w:t>
      </w:r>
    </w:p>
    <w:p w14:paraId="7D9E3F09" w14:textId="77777777" w:rsidR="006B52DD" w:rsidRDefault="006B52DD" w:rsidP="006B52DD"/>
    <w:p w14:paraId="3AE54277" w14:textId="77777777" w:rsidR="006B52DD" w:rsidRPr="001F72F5" w:rsidRDefault="006B52DD" w:rsidP="006B52DD">
      <w:pPr>
        <w:rPr>
          <w:rFonts w:ascii="Aptos" w:hAnsi="Aptos"/>
          <w:sz w:val="24"/>
          <w:szCs w:val="24"/>
        </w:rPr>
      </w:pPr>
      <w:r w:rsidRPr="001F72F5">
        <w:rPr>
          <w:rFonts w:ascii="Aptos" w:hAnsi="Aptos"/>
          <w:sz w:val="24"/>
          <w:szCs w:val="24"/>
        </w:rPr>
        <w:t xml:space="preserve">I confirm that I have not used any AI tools in the research and creation of this assignment. </w:t>
      </w:r>
    </w:p>
    <w:p w14:paraId="0833B55D" w14:textId="77777777" w:rsidR="006B52DD" w:rsidRPr="001F72F5" w:rsidRDefault="006B52DD" w:rsidP="006B52DD">
      <w:pPr>
        <w:rPr>
          <w:rFonts w:ascii="Aptos" w:hAnsi="Aptos"/>
          <w:sz w:val="24"/>
          <w:szCs w:val="24"/>
        </w:rPr>
      </w:pPr>
      <w:r w:rsidRPr="001F72F5">
        <w:rPr>
          <w:rFonts w:ascii="Aptos" w:hAnsi="Aptos"/>
          <w:sz w:val="24"/>
          <w:szCs w:val="24"/>
        </w:rPr>
        <w:t xml:space="preserve">I confirm that I have not presented any AI generated materials as my own work. </w:t>
      </w:r>
    </w:p>
    <w:p w14:paraId="42C15400" w14:textId="77777777" w:rsidR="006B52DD" w:rsidRPr="001F72F5" w:rsidRDefault="006B52DD" w:rsidP="006B52DD">
      <w:pPr>
        <w:rPr>
          <w:rFonts w:ascii="Aptos" w:hAnsi="Aptos"/>
          <w:sz w:val="24"/>
          <w:szCs w:val="24"/>
        </w:rPr>
      </w:pPr>
      <w:r w:rsidRPr="001F72F5">
        <w:rPr>
          <w:rFonts w:ascii="Aptos" w:hAnsi="Aptos"/>
          <w:sz w:val="24"/>
          <w:szCs w:val="24"/>
        </w:rPr>
        <w:t>I confirm that I have copies of my drafts, notes, and other resources I used, which I may be asked to provide in evidence.</w:t>
      </w:r>
    </w:p>
    <w:p w14:paraId="0DC06C14" w14:textId="77777777" w:rsidR="006B52DD" w:rsidRPr="001F72F5" w:rsidRDefault="006B52DD" w:rsidP="006B52DD">
      <w:pPr>
        <w:rPr>
          <w:rFonts w:ascii="Aptos" w:hAnsi="Aptos"/>
          <w:sz w:val="24"/>
          <w:szCs w:val="24"/>
        </w:rPr>
      </w:pPr>
    </w:p>
    <w:p w14:paraId="29FEFA35" w14:textId="77777777" w:rsidR="006B52DD" w:rsidRPr="001F72F5" w:rsidRDefault="006B52DD" w:rsidP="006B52DD">
      <w:pPr>
        <w:rPr>
          <w:rFonts w:ascii="Aptos" w:hAnsi="Aptos"/>
          <w:b/>
          <w:bCs/>
          <w:sz w:val="24"/>
          <w:szCs w:val="24"/>
        </w:rPr>
      </w:pPr>
      <w:r w:rsidRPr="001F72F5">
        <w:rPr>
          <w:rFonts w:ascii="Aptos" w:hAnsi="Aptos"/>
          <w:b/>
          <w:bCs/>
          <w:sz w:val="24"/>
          <w:szCs w:val="24"/>
        </w:rPr>
        <w:t>OR:</w:t>
      </w:r>
    </w:p>
    <w:p w14:paraId="35D18CE9" w14:textId="77777777" w:rsidR="006B52DD" w:rsidRPr="001F72F5" w:rsidRDefault="006B52DD" w:rsidP="006B52DD">
      <w:pPr>
        <w:rPr>
          <w:rFonts w:ascii="Aptos" w:hAnsi="Aptos"/>
          <w:sz w:val="24"/>
          <w:szCs w:val="24"/>
        </w:rPr>
      </w:pPr>
    </w:p>
    <w:p w14:paraId="43178F53" w14:textId="77777777" w:rsidR="006B52DD" w:rsidRPr="001F72F5" w:rsidRDefault="006B52DD" w:rsidP="006B52DD">
      <w:pPr>
        <w:rPr>
          <w:rFonts w:ascii="Aptos" w:hAnsi="Aptos"/>
          <w:sz w:val="24"/>
          <w:szCs w:val="24"/>
        </w:rPr>
      </w:pPr>
      <w:r w:rsidRPr="001F72F5">
        <w:rPr>
          <w:rFonts w:ascii="Aptos" w:hAnsi="Aptos"/>
          <w:sz w:val="24"/>
          <w:szCs w:val="24"/>
        </w:rPr>
        <w:t xml:space="preserve">I acknowledge the use of [AI Tool] [(AI Tool </w:t>
      </w:r>
      <w:proofErr w:type="spellStart"/>
      <w:r w:rsidRPr="001F72F5">
        <w:rPr>
          <w:rFonts w:ascii="Aptos" w:hAnsi="Aptos"/>
          <w:sz w:val="24"/>
          <w:szCs w:val="24"/>
        </w:rPr>
        <w:t>url</w:t>
      </w:r>
      <w:proofErr w:type="spellEnd"/>
      <w:r w:rsidRPr="001F72F5">
        <w:rPr>
          <w:rFonts w:ascii="Aptos" w:hAnsi="Aptos"/>
          <w:sz w:val="24"/>
          <w:szCs w:val="24"/>
        </w:rPr>
        <w:t xml:space="preserve">)] on [Date] to [Purpose my work]. I used the prompt(s): </w:t>
      </w:r>
    </w:p>
    <w:p w14:paraId="79E24455" w14:textId="77777777" w:rsidR="006B52DD" w:rsidRPr="001F72F5" w:rsidRDefault="006B52DD" w:rsidP="006B52DD">
      <w:pPr>
        <w:rPr>
          <w:rFonts w:ascii="Aptos" w:hAnsi="Aptos"/>
          <w:sz w:val="24"/>
          <w:szCs w:val="24"/>
        </w:rPr>
      </w:pPr>
      <w:r w:rsidRPr="001F72F5">
        <w:rPr>
          <w:rFonts w:ascii="Aptos" w:hAnsi="Aptos"/>
          <w:sz w:val="24"/>
          <w:szCs w:val="24"/>
        </w:rPr>
        <w:t xml:space="preserve">1. [Prompt] </w:t>
      </w:r>
    </w:p>
    <w:p w14:paraId="78646145" w14:textId="77777777" w:rsidR="006B52DD" w:rsidRPr="001F72F5" w:rsidRDefault="006B52DD" w:rsidP="006B52DD">
      <w:pPr>
        <w:rPr>
          <w:rFonts w:ascii="Aptos" w:hAnsi="Aptos"/>
          <w:sz w:val="24"/>
          <w:szCs w:val="24"/>
        </w:rPr>
      </w:pPr>
      <w:r w:rsidRPr="001F72F5">
        <w:rPr>
          <w:rFonts w:ascii="Aptos" w:hAnsi="Aptos"/>
          <w:sz w:val="24"/>
          <w:szCs w:val="24"/>
        </w:rPr>
        <w:t xml:space="preserve">2. [Prompt] </w:t>
      </w:r>
    </w:p>
    <w:p w14:paraId="3DF47F97" w14:textId="77777777" w:rsidR="006B52DD" w:rsidRPr="001F72F5" w:rsidRDefault="006B52DD" w:rsidP="006B52DD">
      <w:pPr>
        <w:rPr>
          <w:rFonts w:ascii="Aptos" w:hAnsi="Aptos"/>
          <w:sz w:val="24"/>
          <w:szCs w:val="24"/>
        </w:rPr>
      </w:pPr>
      <w:r w:rsidRPr="001F72F5">
        <w:rPr>
          <w:rFonts w:ascii="Aptos" w:hAnsi="Aptos"/>
          <w:sz w:val="24"/>
          <w:szCs w:val="24"/>
        </w:rPr>
        <w:t xml:space="preserve">3. [Prompt] </w:t>
      </w:r>
    </w:p>
    <w:p w14:paraId="67CF9081" w14:textId="77777777" w:rsidR="006B52DD" w:rsidRPr="001F72F5" w:rsidRDefault="006B52DD" w:rsidP="006B52DD">
      <w:pPr>
        <w:rPr>
          <w:rFonts w:ascii="Aptos" w:hAnsi="Aptos"/>
          <w:sz w:val="24"/>
          <w:szCs w:val="24"/>
        </w:rPr>
      </w:pPr>
      <w:r w:rsidRPr="001F72F5">
        <w:rPr>
          <w:rFonts w:ascii="Aptos" w:hAnsi="Aptos"/>
          <w:sz w:val="24"/>
          <w:szCs w:val="24"/>
        </w:rPr>
        <w:t xml:space="preserve">I confirm that I have not presented any AI generated text as my own work. </w:t>
      </w:r>
    </w:p>
    <w:p w14:paraId="20E79E19" w14:textId="77777777" w:rsidR="006B52DD" w:rsidRPr="001F72F5" w:rsidRDefault="006B52DD" w:rsidP="006B52DD">
      <w:pPr>
        <w:rPr>
          <w:rFonts w:ascii="Aptos" w:hAnsi="Aptos"/>
          <w:sz w:val="24"/>
          <w:szCs w:val="24"/>
        </w:rPr>
      </w:pPr>
      <w:r w:rsidRPr="001F72F5">
        <w:rPr>
          <w:rFonts w:ascii="Aptos" w:hAnsi="Aptos"/>
          <w:sz w:val="24"/>
          <w:szCs w:val="24"/>
        </w:rPr>
        <w:t xml:space="preserve">I confirm that I have copies of my drafts, notes, and other resources I used before and after the use of AI tools which I may be asked to provide in evidence. </w:t>
      </w:r>
    </w:p>
    <w:p w14:paraId="70A8FADF" w14:textId="77777777" w:rsidR="006B52DD" w:rsidRPr="001F72F5" w:rsidRDefault="006B52DD" w:rsidP="006B52DD">
      <w:pPr>
        <w:rPr>
          <w:rFonts w:ascii="Aptos" w:hAnsi="Aptos"/>
          <w:sz w:val="24"/>
          <w:szCs w:val="24"/>
        </w:rPr>
      </w:pPr>
    </w:p>
    <w:p w14:paraId="1DAD3C64" w14:textId="77777777" w:rsidR="006B52DD" w:rsidRPr="001F72F5" w:rsidRDefault="006B52DD" w:rsidP="006B52DD">
      <w:pPr>
        <w:rPr>
          <w:rFonts w:ascii="Aptos" w:hAnsi="Aptos"/>
          <w:sz w:val="24"/>
          <w:szCs w:val="24"/>
        </w:rPr>
      </w:pPr>
    </w:p>
    <w:p w14:paraId="19F29A14" w14:textId="77777777" w:rsidR="006B52DD" w:rsidRDefault="006B52DD" w:rsidP="006B52DD"/>
    <w:p w14:paraId="0B0DAB44" w14:textId="77777777" w:rsidR="006B52DD" w:rsidRDefault="006B52DD" w:rsidP="006B52DD"/>
    <w:p w14:paraId="266FF372" w14:textId="77777777" w:rsidR="006B52DD" w:rsidRPr="001F72F5" w:rsidRDefault="006B52DD" w:rsidP="006B52DD">
      <w:pPr>
        <w:rPr>
          <w:rFonts w:ascii="Aptos" w:hAnsi="Aptos"/>
          <w:sz w:val="24"/>
          <w:szCs w:val="24"/>
        </w:rPr>
      </w:pPr>
      <w:r w:rsidRPr="001F72F5">
        <w:rPr>
          <w:rFonts w:ascii="Aptos" w:hAnsi="Aptos"/>
          <w:sz w:val="24"/>
          <w:szCs w:val="24"/>
        </w:rPr>
        <w:t xml:space="preserve">Please refer to the </w:t>
      </w:r>
      <w:r>
        <w:rPr>
          <w:rFonts w:ascii="Aptos" w:hAnsi="Aptos"/>
          <w:sz w:val="24"/>
          <w:szCs w:val="24"/>
        </w:rPr>
        <w:t>section below</w:t>
      </w:r>
      <w:r w:rsidRPr="001F72F5">
        <w:rPr>
          <w:rFonts w:ascii="Aptos" w:hAnsi="Aptos"/>
          <w:sz w:val="24"/>
          <w:szCs w:val="24"/>
        </w:rPr>
        <w:t xml:space="preserve"> for examples.</w:t>
      </w:r>
    </w:p>
    <w:p w14:paraId="2FDB288B" w14:textId="77777777" w:rsidR="006B52DD" w:rsidRDefault="006B52DD" w:rsidP="006B52DD">
      <w:pPr>
        <w:rPr>
          <w:rFonts w:ascii="Aptos" w:hAnsi="Aptos"/>
          <w:sz w:val="24"/>
          <w:szCs w:val="24"/>
        </w:rPr>
      </w:pPr>
      <w:r w:rsidRPr="001F72F5">
        <w:rPr>
          <w:rFonts w:ascii="Aptos" w:hAnsi="Aptos"/>
          <w:sz w:val="24"/>
          <w:szCs w:val="24"/>
        </w:rPr>
        <w:t>Prior to submission of your assignment, please delete any information on these pages that is not relevant to your submission, including the examples given below.</w:t>
      </w:r>
    </w:p>
    <w:p w14:paraId="05AF24F5" w14:textId="77777777" w:rsidR="006B52DD" w:rsidRPr="001F72F5" w:rsidRDefault="006B52DD" w:rsidP="006B52DD">
      <w:pPr>
        <w:rPr>
          <w:rFonts w:ascii="Aptos" w:hAnsi="Aptos"/>
          <w:sz w:val="24"/>
          <w:szCs w:val="24"/>
        </w:rPr>
      </w:pPr>
    </w:p>
    <w:p w14:paraId="2B2970EB" w14:textId="77777777" w:rsidR="006B52DD" w:rsidRDefault="006B52DD" w:rsidP="006B52DD"/>
    <w:p w14:paraId="6FDDBDC3" w14:textId="77777777" w:rsidR="006B52DD" w:rsidRPr="00E10797" w:rsidRDefault="006B52DD" w:rsidP="006B52DD">
      <w:pPr>
        <w:rPr>
          <w:b/>
          <w:bCs/>
          <w:u w:val="single"/>
        </w:rPr>
      </w:pPr>
      <w:r w:rsidRPr="00E10797">
        <w:rPr>
          <w:b/>
          <w:bCs/>
          <w:u w:val="single"/>
        </w:rPr>
        <w:t>Examples of AI statements</w:t>
      </w:r>
    </w:p>
    <w:p w14:paraId="28C5CC3D" w14:textId="77777777" w:rsidR="006B52DD" w:rsidRDefault="006B52DD" w:rsidP="006B52DD">
      <w:pPr>
        <w:rPr>
          <w:b/>
          <w:bCs/>
          <w:sz w:val="16"/>
          <w:szCs w:val="16"/>
        </w:rPr>
      </w:pPr>
    </w:p>
    <w:p w14:paraId="4739174D" w14:textId="77777777" w:rsidR="006B52DD" w:rsidRPr="00C63D3D" w:rsidRDefault="006B52DD" w:rsidP="006B52DD">
      <w:pPr>
        <w:rPr>
          <w:rFonts w:ascii="Aptos" w:hAnsi="Aptos"/>
          <w:sz w:val="16"/>
          <w:szCs w:val="16"/>
        </w:rPr>
      </w:pPr>
      <w:r w:rsidRPr="00C63D3D">
        <w:rPr>
          <w:rFonts w:ascii="Aptos" w:hAnsi="Aptos"/>
          <w:b/>
          <w:bCs/>
          <w:sz w:val="16"/>
          <w:szCs w:val="16"/>
        </w:rPr>
        <w:t xml:space="preserve">Example 1: </w:t>
      </w:r>
    </w:p>
    <w:p w14:paraId="743FC853" w14:textId="77777777" w:rsidR="006B52DD" w:rsidRPr="00C63D3D" w:rsidRDefault="006B52DD" w:rsidP="006B52DD">
      <w:pPr>
        <w:rPr>
          <w:rFonts w:ascii="Aptos" w:hAnsi="Aptos"/>
          <w:sz w:val="16"/>
          <w:szCs w:val="16"/>
        </w:rPr>
      </w:pPr>
      <w:r w:rsidRPr="00C63D3D">
        <w:rPr>
          <w:rFonts w:ascii="Aptos" w:hAnsi="Aptos"/>
          <w:sz w:val="16"/>
          <w:szCs w:val="16"/>
        </w:rPr>
        <w:t xml:space="preserve">I acknowledge the use of Grammarly (https://www.grammarly.com/) on 10 February 2024 to check my work using the prompt(s): </w:t>
      </w:r>
    </w:p>
    <w:p w14:paraId="4DF512CF" w14:textId="77777777" w:rsidR="006B52DD" w:rsidRPr="00C63D3D" w:rsidRDefault="006B52DD" w:rsidP="006B52DD">
      <w:pPr>
        <w:rPr>
          <w:rFonts w:ascii="Aptos" w:hAnsi="Aptos"/>
          <w:sz w:val="16"/>
          <w:szCs w:val="16"/>
        </w:rPr>
      </w:pPr>
      <w:r w:rsidRPr="00C63D3D">
        <w:rPr>
          <w:rFonts w:ascii="Aptos" w:hAnsi="Aptos"/>
          <w:sz w:val="16"/>
          <w:szCs w:val="16"/>
        </w:rPr>
        <w:t xml:space="preserve">1. Please check the following text for readability, grammar and syntax. </w:t>
      </w:r>
    </w:p>
    <w:p w14:paraId="4DDF7660" w14:textId="77777777" w:rsidR="006B52DD" w:rsidRPr="00C63D3D" w:rsidRDefault="006B52DD" w:rsidP="006B52DD">
      <w:pPr>
        <w:rPr>
          <w:rFonts w:ascii="Aptos" w:hAnsi="Aptos"/>
          <w:sz w:val="16"/>
          <w:szCs w:val="16"/>
        </w:rPr>
      </w:pPr>
      <w:r w:rsidRPr="00C63D3D">
        <w:rPr>
          <w:rFonts w:ascii="Aptos" w:hAnsi="Aptos"/>
          <w:sz w:val="16"/>
          <w:szCs w:val="16"/>
        </w:rPr>
        <w:t xml:space="preserve">I confirm that I have not presented any AI generated text as my own work. I confirm that I have copies of my drafts, notes, and other resources I used before, and after the use of AI tools which I may be asked to provide in evidence. </w:t>
      </w:r>
    </w:p>
    <w:p w14:paraId="10CD1F4A" w14:textId="77777777" w:rsidR="006B52DD" w:rsidRPr="00C63D3D" w:rsidRDefault="006B52DD" w:rsidP="006B52DD">
      <w:pPr>
        <w:rPr>
          <w:rFonts w:ascii="Aptos" w:hAnsi="Aptos"/>
          <w:sz w:val="16"/>
          <w:szCs w:val="16"/>
        </w:rPr>
      </w:pPr>
      <w:r w:rsidRPr="00C63D3D">
        <w:rPr>
          <w:rFonts w:ascii="Aptos" w:hAnsi="Aptos"/>
          <w:b/>
          <w:bCs/>
          <w:sz w:val="16"/>
          <w:szCs w:val="16"/>
        </w:rPr>
        <w:t xml:space="preserve">Example 2: </w:t>
      </w:r>
    </w:p>
    <w:p w14:paraId="28360844" w14:textId="77777777" w:rsidR="006B52DD" w:rsidRPr="00C63D3D" w:rsidRDefault="006B52DD" w:rsidP="006B52DD">
      <w:pPr>
        <w:rPr>
          <w:rFonts w:ascii="Aptos" w:hAnsi="Aptos"/>
          <w:sz w:val="16"/>
          <w:szCs w:val="16"/>
        </w:rPr>
      </w:pPr>
      <w:r w:rsidRPr="00C63D3D">
        <w:rPr>
          <w:rFonts w:ascii="Aptos" w:hAnsi="Aptos"/>
          <w:sz w:val="16"/>
          <w:szCs w:val="16"/>
        </w:rPr>
        <w:t xml:space="preserve">I acknowledge the use of </w:t>
      </w:r>
      <w:proofErr w:type="spellStart"/>
      <w:r w:rsidRPr="00C63D3D">
        <w:rPr>
          <w:rFonts w:ascii="Aptos" w:hAnsi="Aptos"/>
          <w:sz w:val="16"/>
          <w:szCs w:val="16"/>
        </w:rPr>
        <w:t>SciSpace</w:t>
      </w:r>
      <w:proofErr w:type="spellEnd"/>
      <w:r w:rsidRPr="00C63D3D">
        <w:rPr>
          <w:rFonts w:ascii="Aptos" w:hAnsi="Aptos"/>
          <w:sz w:val="16"/>
          <w:szCs w:val="16"/>
        </w:rPr>
        <w:t xml:space="preserve"> (https://typeset.io/) on 7 March 2024 to support my research using the prompt(s): </w:t>
      </w:r>
    </w:p>
    <w:p w14:paraId="3BE7DCE3" w14:textId="77777777" w:rsidR="006B52DD" w:rsidRPr="00C63D3D" w:rsidRDefault="006B52DD" w:rsidP="006B52DD">
      <w:pPr>
        <w:rPr>
          <w:rFonts w:ascii="Aptos" w:hAnsi="Aptos"/>
          <w:sz w:val="16"/>
          <w:szCs w:val="16"/>
        </w:rPr>
      </w:pPr>
      <w:r w:rsidRPr="00C63D3D">
        <w:rPr>
          <w:rFonts w:ascii="Aptos" w:hAnsi="Aptos"/>
          <w:sz w:val="16"/>
          <w:szCs w:val="16"/>
        </w:rPr>
        <w:t xml:space="preserve">1. Please provide me with materials on the biology of the liver. </w:t>
      </w:r>
    </w:p>
    <w:p w14:paraId="4911D58B" w14:textId="77777777" w:rsidR="006B52DD" w:rsidRPr="00C63D3D" w:rsidRDefault="006B52DD" w:rsidP="006B52DD">
      <w:pPr>
        <w:rPr>
          <w:rFonts w:ascii="Aptos" w:hAnsi="Aptos"/>
          <w:sz w:val="16"/>
          <w:szCs w:val="16"/>
        </w:rPr>
      </w:pPr>
      <w:r w:rsidRPr="00C63D3D">
        <w:rPr>
          <w:rFonts w:ascii="Aptos" w:hAnsi="Aptos"/>
          <w:sz w:val="16"/>
          <w:szCs w:val="16"/>
        </w:rPr>
        <w:t xml:space="preserve">2. Please provide me with materials on liver cells. </w:t>
      </w:r>
    </w:p>
    <w:p w14:paraId="4C3A109C" w14:textId="77777777" w:rsidR="006B52DD" w:rsidRPr="00C63D3D" w:rsidRDefault="006B52DD" w:rsidP="006B52DD">
      <w:pPr>
        <w:rPr>
          <w:rFonts w:ascii="Aptos" w:hAnsi="Aptos"/>
          <w:sz w:val="16"/>
          <w:szCs w:val="16"/>
        </w:rPr>
      </w:pPr>
      <w:r w:rsidRPr="00C63D3D">
        <w:rPr>
          <w:rFonts w:ascii="Aptos" w:hAnsi="Aptos"/>
          <w:sz w:val="16"/>
          <w:szCs w:val="16"/>
        </w:rPr>
        <w:t xml:space="preserve">I confirm that I have not presented any AI generated text as my own work. I confirm that I have copies of my drafts, notes, and other resources I used before, and after the use of AI tools which I may be asked to provide in evidence. </w:t>
      </w:r>
    </w:p>
    <w:p w14:paraId="6A9C05B7" w14:textId="77777777" w:rsidR="006B52DD" w:rsidRPr="00C63D3D" w:rsidRDefault="006B52DD" w:rsidP="006B52DD">
      <w:pPr>
        <w:rPr>
          <w:rFonts w:ascii="Aptos" w:hAnsi="Aptos"/>
          <w:sz w:val="16"/>
          <w:szCs w:val="16"/>
        </w:rPr>
      </w:pPr>
      <w:r w:rsidRPr="00C63D3D">
        <w:rPr>
          <w:rFonts w:ascii="Aptos" w:hAnsi="Aptos"/>
          <w:b/>
          <w:bCs/>
          <w:sz w:val="16"/>
          <w:szCs w:val="16"/>
        </w:rPr>
        <w:t xml:space="preserve">Example 3: </w:t>
      </w:r>
    </w:p>
    <w:p w14:paraId="7E941D89" w14:textId="77777777" w:rsidR="006B52DD" w:rsidRPr="00C63D3D" w:rsidRDefault="006B52DD" w:rsidP="006B52DD">
      <w:pPr>
        <w:rPr>
          <w:rFonts w:ascii="Aptos" w:hAnsi="Aptos"/>
          <w:sz w:val="16"/>
          <w:szCs w:val="16"/>
        </w:rPr>
      </w:pPr>
      <w:r w:rsidRPr="00C63D3D">
        <w:rPr>
          <w:rFonts w:ascii="Aptos" w:hAnsi="Aptos"/>
          <w:sz w:val="16"/>
          <w:szCs w:val="16"/>
        </w:rPr>
        <w:t xml:space="preserve">I acknowledge the use of ChatGPT (https://chatgpt.com/) on 13 April 2024 to write my notes into submission format using the prompt(s): </w:t>
      </w:r>
    </w:p>
    <w:p w14:paraId="133E0BBB" w14:textId="77777777" w:rsidR="006B52DD" w:rsidRPr="00C63D3D" w:rsidRDefault="006B52DD" w:rsidP="006B52DD">
      <w:pPr>
        <w:rPr>
          <w:rFonts w:ascii="Aptos" w:hAnsi="Aptos"/>
          <w:sz w:val="16"/>
          <w:szCs w:val="16"/>
        </w:rPr>
      </w:pPr>
      <w:r w:rsidRPr="00C63D3D">
        <w:rPr>
          <w:rFonts w:ascii="Aptos" w:hAnsi="Aptos"/>
          <w:sz w:val="16"/>
          <w:szCs w:val="16"/>
        </w:rPr>
        <w:t xml:space="preserve">1. Please write up these bullet points as an essay paragraph at university level. </w:t>
      </w:r>
    </w:p>
    <w:p w14:paraId="4E54BB42" w14:textId="77777777" w:rsidR="006B52DD" w:rsidRPr="00C63D3D" w:rsidRDefault="006B52DD" w:rsidP="006B52DD">
      <w:pPr>
        <w:rPr>
          <w:rFonts w:ascii="Aptos" w:hAnsi="Aptos"/>
          <w:sz w:val="16"/>
          <w:szCs w:val="16"/>
        </w:rPr>
      </w:pPr>
      <w:r w:rsidRPr="00C63D3D">
        <w:rPr>
          <w:rFonts w:ascii="Aptos" w:hAnsi="Aptos"/>
          <w:sz w:val="16"/>
          <w:szCs w:val="16"/>
        </w:rPr>
        <w:t xml:space="preserve">I confirm that I have not presented any AI generated text as my own work. I confirm that I have copies of my drafts, notes, and other resources I used before, and after the use of AI tools which I may be asked to provide in evidence. </w:t>
      </w:r>
    </w:p>
    <w:p w14:paraId="23A0A0E7" w14:textId="77777777" w:rsidR="006B52DD" w:rsidRPr="00C63D3D" w:rsidRDefault="006B52DD" w:rsidP="006B52DD">
      <w:pPr>
        <w:rPr>
          <w:rFonts w:ascii="Aptos" w:hAnsi="Aptos"/>
          <w:b/>
          <w:bCs/>
          <w:sz w:val="16"/>
          <w:szCs w:val="16"/>
          <w:u w:val="single"/>
        </w:rPr>
      </w:pPr>
    </w:p>
    <w:p w14:paraId="64499429" w14:textId="77777777" w:rsidR="006B52DD" w:rsidRPr="00C63D3D" w:rsidRDefault="006B52DD" w:rsidP="006B52DD">
      <w:pPr>
        <w:rPr>
          <w:rFonts w:ascii="Aptos" w:hAnsi="Aptos"/>
          <w:b/>
          <w:bCs/>
          <w:sz w:val="16"/>
          <w:szCs w:val="16"/>
          <w:u w:val="single"/>
        </w:rPr>
      </w:pPr>
      <w:r w:rsidRPr="00C63D3D">
        <w:rPr>
          <w:rFonts w:ascii="Aptos" w:hAnsi="Aptos"/>
          <w:b/>
          <w:bCs/>
          <w:sz w:val="16"/>
          <w:szCs w:val="16"/>
        </w:rPr>
        <w:t>Example 4 - acknowledgement of the use of multiple AI tools:</w:t>
      </w:r>
      <w:r w:rsidRPr="00C63D3D">
        <w:rPr>
          <w:rFonts w:ascii="Aptos" w:hAnsi="Aptos"/>
          <w:b/>
          <w:bCs/>
          <w:sz w:val="16"/>
          <w:szCs w:val="16"/>
          <w:u w:val="single"/>
        </w:rPr>
        <w:t xml:space="preserve"> </w:t>
      </w:r>
    </w:p>
    <w:p w14:paraId="75C5C55A" w14:textId="77777777" w:rsidR="006B52DD" w:rsidRPr="00C63D3D" w:rsidRDefault="006B52DD" w:rsidP="006B52DD">
      <w:pPr>
        <w:rPr>
          <w:rFonts w:ascii="Aptos" w:hAnsi="Aptos"/>
          <w:sz w:val="16"/>
          <w:szCs w:val="16"/>
        </w:rPr>
      </w:pPr>
      <w:r w:rsidRPr="00C63D3D">
        <w:rPr>
          <w:rFonts w:ascii="Aptos" w:hAnsi="Aptos"/>
          <w:sz w:val="16"/>
          <w:szCs w:val="16"/>
        </w:rPr>
        <w:t xml:space="preserve">I acknowledge the use of </w:t>
      </w:r>
      <w:proofErr w:type="spellStart"/>
      <w:r w:rsidRPr="00C63D3D">
        <w:rPr>
          <w:rFonts w:ascii="Aptos" w:hAnsi="Aptos"/>
          <w:sz w:val="16"/>
          <w:szCs w:val="16"/>
        </w:rPr>
        <w:t>SciSpace</w:t>
      </w:r>
      <w:proofErr w:type="spellEnd"/>
      <w:r w:rsidRPr="00C63D3D">
        <w:rPr>
          <w:rFonts w:ascii="Aptos" w:hAnsi="Aptos"/>
          <w:sz w:val="16"/>
          <w:szCs w:val="16"/>
        </w:rPr>
        <w:t xml:space="preserve"> (https://typeset.io/) on 28 June 2024 to support my research using the prompt(s): </w:t>
      </w:r>
    </w:p>
    <w:p w14:paraId="3F311371" w14:textId="77777777" w:rsidR="006B52DD" w:rsidRPr="00C63D3D" w:rsidRDefault="006B52DD" w:rsidP="006B52DD">
      <w:pPr>
        <w:rPr>
          <w:rFonts w:ascii="Aptos" w:hAnsi="Aptos"/>
          <w:sz w:val="16"/>
          <w:szCs w:val="16"/>
        </w:rPr>
      </w:pPr>
      <w:r w:rsidRPr="00C63D3D">
        <w:rPr>
          <w:rFonts w:ascii="Aptos" w:hAnsi="Aptos"/>
          <w:sz w:val="16"/>
          <w:szCs w:val="16"/>
        </w:rPr>
        <w:t xml:space="preserve">1. Please provide me with materials on the American Civil War. </w:t>
      </w:r>
    </w:p>
    <w:p w14:paraId="58C3B8BB" w14:textId="77777777" w:rsidR="006B52DD" w:rsidRPr="00C63D3D" w:rsidRDefault="006B52DD" w:rsidP="006B52DD">
      <w:pPr>
        <w:rPr>
          <w:rFonts w:ascii="Aptos" w:hAnsi="Aptos"/>
          <w:sz w:val="16"/>
          <w:szCs w:val="16"/>
        </w:rPr>
      </w:pPr>
      <w:r w:rsidRPr="00C63D3D">
        <w:rPr>
          <w:rFonts w:ascii="Aptos" w:hAnsi="Aptos"/>
          <w:sz w:val="16"/>
          <w:szCs w:val="16"/>
        </w:rPr>
        <w:t xml:space="preserve">2. Please provide me with materials on the reception of Gone with the Wind. </w:t>
      </w:r>
    </w:p>
    <w:p w14:paraId="6792C03D" w14:textId="77777777" w:rsidR="006B52DD" w:rsidRPr="00C63D3D" w:rsidRDefault="006B52DD" w:rsidP="006B52DD">
      <w:pPr>
        <w:rPr>
          <w:rFonts w:ascii="Aptos" w:hAnsi="Aptos"/>
          <w:sz w:val="16"/>
          <w:szCs w:val="16"/>
        </w:rPr>
      </w:pPr>
      <w:r w:rsidRPr="00C63D3D">
        <w:rPr>
          <w:rFonts w:ascii="Aptos" w:hAnsi="Aptos"/>
          <w:sz w:val="16"/>
          <w:szCs w:val="16"/>
        </w:rPr>
        <w:t xml:space="preserve">I confirm that I have not presented any AI generated text as my own work. I confirm that I have copies of my drafts, notes, and other resources I used before, and after the use of AI tools which I may be asked to provide in evidence. </w:t>
      </w:r>
    </w:p>
    <w:p w14:paraId="03E5C9FE" w14:textId="77777777" w:rsidR="006B52DD" w:rsidRPr="00C63D3D" w:rsidRDefault="006B52DD" w:rsidP="006B52DD">
      <w:pPr>
        <w:rPr>
          <w:rFonts w:ascii="Aptos" w:hAnsi="Aptos"/>
          <w:sz w:val="16"/>
          <w:szCs w:val="16"/>
        </w:rPr>
      </w:pPr>
      <w:r w:rsidRPr="00C63D3D">
        <w:rPr>
          <w:rFonts w:ascii="Aptos" w:hAnsi="Aptos"/>
          <w:sz w:val="16"/>
          <w:szCs w:val="16"/>
        </w:rPr>
        <w:t xml:space="preserve">I acknowledge the use of Adobe Express (https://www.adobe.com/express/) on 24 June 2024 to edit photographic material: </w:t>
      </w:r>
    </w:p>
    <w:p w14:paraId="2182C2FB" w14:textId="77777777" w:rsidR="006B52DD" w:rsidRPr="00C63D3D" w:rsidRDefault="006B52DD" w:rsidP="006B52DD">
      <w:pPr>
        <w:rPr>
          <w:rFonts w:ascii="Aptos" w:hAnsi="Aptos"/>
          <w:sz w:val="16"/>
          <w:szCs w:val="16"/>
        </w:rPr>
      </w:pPr>
      <w:r w:rsidRPr="00C63D3D">
        <w:rPr>
          <w:rFonts w:ascii="Aptos" w:hAnsi="Aptos"/>
          <w:sz w:val="16"/>
          <w:szCs w:val="16"/>
        </w:rPr>
        <w:t xml:space="preserve">1. Remove background from Figure 1. </w:t>
      </w:r>
    </w:p>
    <w:p w14:paraId="307EE962" w14:textId="77777777" w:rsidR="006B52DD" w:rsidRPr="00C63D3D" w:rsidRDefault="006B52DD" w:rsidP="006B52DD">
      <w:pPr>
        <w:rPr>
          <w:rFonts w:ascii="Aptos" w:hAnsi="Aptos"/>
          <w:sz w:val="16"/>
          <w:szCs w:val="16"/>
        </w:rPr>
      </w:pPr>
      <w:r w:rsidRPr="00C63D3D">
        <w:rPr>
          <w:rFonts w:ascii="Aptos" w:hAnsi="Aptos"/>
          <w:sz w:val="16"/>
          <w:szCs w:val="16"/>
        </w:rPr>
        <w:t xml:space="preserve">I confirm that I have not presented any AI generated materials as my own work. I confirm that I have copies of my drafts, notes, and other resources I used before and after the use of AI tools which I may be asked to provide in evidence. </w:t>
      </w:r>
    </w:p>
    <w:p w14:paraId="3342236B" w14:textId="77777777" w:rsidR="00B51B61" w:rsidRDefault="00B51B61"/>
    <w:sectPr w:rsidR="00B51B61" w:rsidSect="006B52DD">
      <w:pgSz w:w="11906" w:h="16838" w:code="9"/>
      <w:pgMar w:top="1701" w:right="1440" w:bottom="1440" w:left="1440" w:header="284" w:footer="709"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223226" w14:textId="77777777" w:rsidR="008C28B9" w:rsidRDefault="008C28B9" w:rsidP="006B52DD">
      <w:r>
        <w:separator/>
      </w:r>
    </w:p>
  </w:endnote>
  <w:endnote w:type="continuationSeparator" w:id="0">
    <w:p w14:paraId="5CF0E4FB" w14:textId="77777777" w:rsidR="008C28B9" w:rsidRDefault="008C28B9" w:rsidP="006B52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Microsoft YaHei">
    <w:panose1 w:val="020B0503020204020204"/>
    <w:charset w:val="86"/>
    <w:family w:val="swiss"/>
    <w:pitch w:val="variable"/>
    <w:sig w:usb0="80000287" w:usb1="2ACF3C50" w:usb2="00000016" w:usb3="00000000" w:csb0="0004001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3480B3" w14:textId="77777777" w:rsidR="008C28B9" w:rsidRDefault="008C28B9" w:rsidP="006B52DD">
      <w:r>
        <w:separator/>
      </w:r>
    </w:p>
  </w:footnote>
  <w:footnote w:type="continuationSeparator" w:id="0">
    <w:p w14:paraId="3C63E6ED" w14:textId="77777777" w:rsidR="008C28B9" w:rsidRDefault="008C28B9" w:rsidP="006B52D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8B0ABE"/>
    <w:multiLevelType w:val="hybridMultilevel"/>
    <w:tmpl w:val="76AC21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B701F2"/>
    <w:multiLevelType w:val="multilevel"/>
    <w:tmpl w:val="B9EE8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62F5EDD"/>
    <w:multiLevelType w:val="hybridMultilevel"/>
    <w:tmpl w:val="26560B3E"/>
    <w:lvl w:ilvl="0" w:tplc="F68265F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75F017F"/>
    <w:multiLevelType w:val="hybridMultilevel"/>
    <w:tmpl w:val="24ECB7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0B4189A"/>
    <w:multiLevelType w:val="hybridMultilevel"/>
    <w:tmpl w:val="103897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80352D0"/>
    <w:multiLevelType w:val="hybridMultilevel"/>
    <w:tmpl w:val="A622DC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52323844">
    <w:abstractNumId w:val="0"/>
  </w:num>
  <w:num w:numId="2" w16cid:durableId="2060742472">
    <w:abstractNumId w:val="3"/>
  </w:num>
  <w:num w:numId="3" w16cid:durableId="555892109">
    <w:abstractNumId w:val="5"/>
  </w:num>
  <w:num w:numId="4" w16cid:durableId="1683386604">
    <w:abstractNumId w:val="4"/>
  </w:num>
  <w:num w:numId="5" w16cid:durableId="1976906911">
    <w:abstractNumId w:val="1"/>
  </w:num>
  <w:num w:numId="6" w16cid:durableId="1889320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52DD"/>
    <w:rsid w:val="00061BBC"/>
    <w:rsid w:val="00062868"/>
    <w:rsid w:val="00063ADC"/>
    <w:rsid w:val="000A2E17"/>
    <w:rsid w:val="000A470F"/>
    <w:rsid w:val="000C144A"/>
    <w:rsid w:val="000D5B34"/>
    <w:rsid w:val="0010406A"/>
    <w:rsid w:val="00115538"/>
    <w:rsid w:val="00135DD1"/>
    <w:rsid w:val="00136DBB"/>
    <w:rsid w:val="001819DF"/>
    <w:rsid w:val="001B086C"/>
    <w:rsid w:val="00255223"/>
    <w:rsid w:val="00262DC1"/>
    <w:rsid w:val="00301906"/>
    <w:rsid w:val="00302BB1"/>
    <w:rsid w:val="00320FF3"/>
    <w:rsid w:val="003341DF"/>
    <w:rsid w:val="00382546"/>
    <w:rsid w:val="00396290"/>
    <w:rsid w:val="003A709B"/>
    <w:rsid w:val="003D223A"/>
    <w:rsid w:val="00417AB6"/>
    <w:rsid w:val="004C6AB4"/>
    <w:rsid w:val="004D474C"/>
    <w:rsid w:val="00536CFB"/>
    <w:rsid w:val="00543F5E"/>
    <w:rsid w:val="00584970"/>
    <w:rsid w:val="005B5352"/>
    <w:rsid w:val="005B783A"/>
    <w:rsid w:val="005F42D0"/>
    <w:rsid w:val="005F7C42"/>
    <w:rsid w:val="0062310A"/>
    <w:rsid w:val="006B52C3"/>
    <w:rsid w:val="006B52DD"/>
    <w:rsid w:val="006C29E5"/>
    <w:rsid w:val="007352C0"/>
    <w:rsid w:val="00743752"/>
    <w:rsid w:val="007D3AE1"/>
    <w:rsid w:val="007E01E0"/>
    <w:rsid w:val="007E1794"/>
    <w:rsid w:val="00803155"/>
    <w:rsid w:val="00840BEE"/>
    <w:rsid w:val="00851EDB"/>
    <w:rsid w:val="008B1A4B"/>
    <w:rsid w:val="008C28B9"/>
    <w:rsid w:val="008F1086"/>
    <w:rsid w:val="009060A0"/>
    <w:rsid w:val="0091355A"/>
    <w:rsid w:val="00917008"/>
    <w:rsid w:val="00935B8D"/>
    <w:rsid w:val="009B164A"/>
    <w:rsid w:val="00A056F9"/>
    <w:rsid w:val="00A23D6E"/>
    <w:rsid w:val="00AD7313"/>
    <w:rsid w:val="00AE2AA9"/>
    <w:rsid w:val="00AE3307"/>
    <w:rsid w:val="00B028A8"/>
    <w:rsid w:val="00B51B61"/>
    <w:rsid w:val="00BE2A35"/>
    <w:rsid w:val="00BE3554"/>
    <w:rsid w:val="00BF4FF3"/>
    <w:rsid w:val="00C129B8"/>
    <w:rsid w:val="00C1786A"/>
    <w:rsid w:val="00C24461"/>
    <w:rsid w:val="00C4699D"/>
    <w:rsid w:val="00CF32AC"/>
    <w:rsid w:val="00D26517"/>
    <w:rsid w:val="00D64B3C"/>
    <w:rsid w:val="00DC55F3"/>
    <w:rsid w:val="00DE6EEB"/>
    <w:rsid w:val="00DF55E9"/>
    <w:rsid w:val="00E6747C"/>
    <w:rsid w:val="00EA0B9A"/>
    <w:rsid w:val="00EA15D1"/>
    <w:rsid w:val="00EA6220"/>
    <w:rsid w:val="00EC1771"/>
    <w:rsid w:val="00F8089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3D988B"/>
  <w15:chartTrackingRefBased/>
  <w15:docId w15:val="{87B879D7-47AD-42BD-BCAF-16A4B99F94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52DD"/>
    <w:pPr>
      <w:spacing w:after="0" w:line="240" w:lineRule="auto"/>
    </w:pPr>
    <w:rPr>
      <w:rFonts w:ascii="Arial" w:eastAsia="Times New Roman" w:hAnsi="Arial" w:cs="Times New Roman"/>
      <w:kern w:val="0"/>
      <w:sz w:val="20"/>
      <w:szCs w:val="20"/>
      <w:lang w:eastAsia="en-GB"/>
      <w14:ligatures w14:val="none"/>
    </w:rPr>
  </w:style>
  <w:style w:type="paragraph" w:styleId="Heading1">
    <w:name w:val="heading 1"/>
    <w:basedOn w:val="Normal"/>
    <w:next w:val="Normal"/>
    <w:link w:val="Heading1Char"/>
    <w:uiPriority w:val="9"/>
    <w:qFormat/>
    <w:rsid w:val="006B52D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B52D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B52D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B52D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B52D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B52DD"/>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B52DD"/>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B52DD"/>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B52DD"/>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52D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B52D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B52D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B52D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B52D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B52D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B52D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B52D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B52DD"/>
    <w:rPr>
      <w:rFonts w:eastAsiaTheme="majorEastAsia" w:cstheme="majorBidi"/>
      <w:color w:val="272727" w:themeColor="text1" w:themeTint="D8"/>
    </w:rPr>
  </w:style>
  <w:style w:type="paragraph" w:styleId="Title">
    <w:name w:val="Title"/>
    <w:basedOn w:val="Normal"/>
    <w:next w:val="Normal"/>
    <w:link w:val="TitleChar"/>
    <w:uiPriority w:val="10"/>
    <w:qFormat/>
    <w:rsid w:val="006B52DD"/>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B52D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B52D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B52D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B52DD"/>
    <w:pPr>
      <w:spacing w:before="160"/>
      <w:jc w:val="center"/>
    </w:pPr>
    <w:rPr>
      <w:i/>
      <w:iCs/>
      <w:color w:val="404040" w:themeColor="text1" w:themeTint="BF"/>
    </w:rPr>
  </w:style>
  <w:style w:type="character" w:customStyle="1" w:styleId="QuoteChar">
    <w:name w:val="Quote Char"/>
    <w:basedOn w:val="DefaultParagraphFont"/>
    <w:link w:val="Quote"/>
    <w:uiPriority w:val="29"/>
    <w:rsid w:val="006B52DD"/>
    <w:rPr>
      <w:i/>
      <w:iCs/>
      <w:color w:val="404040" w:themeColor="text1" w:themeTint="BF"/>
    </w:rPr>
  </w:style>
  <w:style w:type="paragraph" w:styleId="ListParagraph">
    <w:name w:val="List Paragraph"/>
    <w:basedOn w:val="Normal"/>
    <w:uiPriority w:val="99"/>
    <w:qFormat/>
    <w:rsid w:val="006B52DD"/>
    <w:pPr>
      <w:ind w:left="720"/>
      <w:contextualSpacing/>
    </w:pPr>
  </w:style>
  <w:style w:type="character" w:styleId="IntenseEmphasis">
    <w:name w:val="Intense Emphasis"/>
    <w:basedOn w:val="DefaultParagraphFont"/>
    <w:uiPriority w:val="21"/>
    <w:qFormat/>
    <w:rsid w:val="006B52DD"/>
    <w:rPr>
      <w:i/>
      <w:iCs/>
      <w:color w:val="0F4761" w:themeColor="accent1" w:themeShade="BF"/>
    </w:rPr>
  </w:style>
  <w:style w:type="paragraph" w:styleId="IntenseQuote">
    <w:name w:val="Intense Quote"/>
    <w:basedOn w:val="Normal"/>
    <w:next w:val="Normal"/>
    <w:link w:val="IntenseQuoteChar"/>
    <w:uiPriority w:val="30"/>
    <w:qFormat/>
    <w:rsid w:val="006B52D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B52DD"/>
    <w:rPr>
      <w:i/>
      <w:iCs/>
      <w:color w:val="0F4761" w:themeColor="accent1" w:themeShade="BF"/>
    </w:rPr>
  </w:style>
  <w:style w:type="character" w:styleId="IntenseReference">
    <w:name w:val="Intense Reference"/>
    <w:basedOn w:val="DefaultParagraphFont"/>
    <w:uiPriority w:val="32"/>
    <w:qFormat/>
    <w:rsid w:val="006B52DD"/>
    <w:rPr>
      <w:b/>
      <w:bCs/>
      <w:smallCaps/>
      <w:color w:val="0F4761" w:themeColor="accent1" w:themeShade="BF"/>
      <w:spacing w:val="5"/>
    </w:rPr>
  </w:style>
  <w:style w:type="paragraph" w:styleId="Footer">
    <w:name w:val="footer"/>
    <w:basedOn w:val="Normal"/>
    <w:link w:val="FooterChar"/>
    <w:uiPriority w:val="99"/>
    <w:rsid w:val="006B52DD"/>
    <w:pPr>
      <w:tabs>
        <w:tab w:val="center" w:pos="4320"/>
        <w:tab w:val="right" w:pos="8640"/>
      </w:tabs>
    </w:pPr>
  </w:style>
  <w:style w:type="character" w:customStyle="1" w:styleId="FooterChar">
    <w:name w:val="Footer Char"/>
    <w:basedOn w:val="DefaultParagraphFont"/>
    <w:link w:val="Footer"/>
    <w:uiPriority w:val="99"/>
    <w:rsid w:val="006B52DD"/>
    <w:rPr>
      <w:rFonts w:ascii="Arial" w:eastAsia="Times New Roman" w:hAnsi="Arial" w:cs="Times New Roman"/>
      <w:kern w:val="0"/>
      <w:sz w:val="20"/>
      <w:szCs w:val="20"/>
      <w:lang w:eastAsia="en-GB"/>
      <w14:ligatures w14:val="none"/>
    </w:rPr>
  </w:style>
  <w:style w:type="table" w:styleId="TableGrid">
    <w:name w:val="Table Grid"/>
    <w:basedOn w:val="TableNormal"/>
    <w:rsid w:val="006B52DD"/>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B52DD"/>
    <w:pPr>
      <w:tabs>
        <w:tab w:val="center" w:pos="4513"/>
        <w:tab w:val="right" w:pos="9026"/>
      </w:tabs>
    </w:pPr>
  </w:style>
  <w:style w:type="character" w:customStyle="1" w:styleId="HeaderChar">
    <w:name w:val="Header Char"/>
    <w:basedOn w:val="DefaultParagraphFont"/>
    <w:link w:val="Header"/>
    <w:uiPriority w:val="99"/>
    <w:rsid w:val="006B52DD"/>
    <w:rPr>
      <w:rFonts w:ascii="Arial" w:eastAsia="Times New Roman" w:hAnsi="Arial" w:cs="Times New Roman"/>
      <w:kern w:val="0"/>
      <w:sz w:val="20"/>
      <w:szCs w:val="20"/>
      <w:lang w:eastAsia="en-GB"/>
      <w14:ligatures w14:val="none"/>
    </w:rPr>
  </w:style>
  <w:style w:type="paragraph" w:styleId="NormalWeb">
    <w:name w:val="Normal (Web)"/>
    <w:basedOn w:val="Normal"/>
    <w:uiPriority w:val="99"/>
    <w:semiHidden/>
    <w:unhideWhenUsed/>
    <w:rsid w:val="00C1786A"/>
    <w:pPr>
      <w:spacing w:before="100" w:beforeAutospacing="1" w:after="100" w:afterAutospacing="1"/>
    </w:pPr>
    <w:rPr>
      <w:rFonts w:ascii="Times New Roman" w:hAnsi="Times New Roman"/>
      <w:sz w:val="24"/>
      <w:szCs w:val="24"/>
      <w:lang w:eastAsia="zh-CN"/>
    </w:rPr>
  </w:style>
  <w:style w:type="character" w:customStyle="1" w:styleId="apple-converted-space">
    <w:name w:val="apple-converted-space"/>
    <w:basedOn w:val="DefaultParagraphFont"/>
    <w:rsid w:val="00C178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7327753">
      <w:bodyDiv w:val="1"/>
      <w:marLeft w:val="0"/>
      <w:marRight w:val="0"/>
      <w:marTop w:val="0"/>
      <w:marBottom w:val="0"/>
      <w:divBdr>
        <w:top w:val="none" w:sz="0" w:space="0" w:color="auto"/>
        <w:left w:val="none" w:sz="0" w:space="0" w:color="auto"/>
        <w:bottom w:val="none" w:sz="0" w:space="0" w:color="auto"/>
        <w:right w:val="none" w:sz="0" w:space="0" w:color="auto"/>
      </w:divBdr>
      <w:divsChild>
        <w:div w:id="174406220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2E4213-8F44-452B-BA06-3C86BE0A29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22</Pages>
  <Words>6295</Words>
  <Characters>35885</Characters>
  <Application>Microsoft Office Word</Application>
  <DocSecurity>0</DocSecurity>
  <Lines>299</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Morgan</dc:creator>
  <cp:keywords/>
  <dc:description/>
  <cp:lastModifiedBy>Yanzhu Ding (2403809)</cp:lastModifiedBy>
  <cp:revision>8</cp:revision>
  <dcterms:created xsi:type="dcterms:W3CDTF">2025-01-31T11:45:00Z</dcterms:created>
  <dcterms:modified xsi:type="dcterms:W3CDTF">2025-04-28T21:37:00Z</dcterms:modified>
</cp:coreProperties>
</file>