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84888" w14:textId="7A5582CB" w:rsidR="005A328F" w:rsidRDefault="00E47837">
      <w:bookmarkStart w:id="0" w:name="_Hlk214461187"/>
      <w:r>
        <w:rPr>
          <w:noProof/>
        </w:rPr>
        <mc:AlternateContent>
          <mc:Choice Requires="wps">
            <w:drawing>
              <wp:anchor distT="0" distB="0" distL="114300" distR="114300" simplePos="0" relativeHeight="251717632" behindDoc="0" locked="0" layoutInCell="1" allowOverlap="1" wp14:anchorId="43EC88B9" wp14:editId="3E8834C4">
                <wp:simplePos x="0" y="0"/>
                <wp:positionH relativeFrom="margin">
                  <wp:posOffset>5257801</wp:posOffset>
                </wp:positionH>
                <wp:positionV relativeFrom="page">
                  <wp:posOffset>243840</wp:posOffset>
                </wp:positionV>
                <wp:extent cx="457200" cy="1044113"/>
                <wp:effectExtent l="0" t="0" r="0" b="381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57200" cy="104411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8ABC5A3" w14:textId="77777777" w:rsidR="00A82B7A" w:rsidRDefault="00A82B7A">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3EC88B9" id="Rectangle 130" o:spid="_x0000_s1026" style="position:absolute;margin-left:414pt;margin-top:19.2pt;width:36pt;height:82.2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" fillcolor="#0f6fc6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8ABC5A3" w14:textId="77777777" w:rsidR="00A82B7A" w:rsidRDefault="00A82B7A">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
      <w:sdtPr>
        <w:id w:val="782775183"/>
        <w:docPartObj>
          <w:docPartGallery w:val="Cover Pages"/>
          <w:docPartUnique/>
        </w:docPartObj>
      </w:sdtPr>
      <w:sdtEndPr>
        <w:rPr>
          <w:noProof/>
        </w:rPr>
      </w:sdtEndPr>
      <w:sdtContent>
        <w:p w14:paraId="2BD37D79" w14:textId="77777777" w:rsidR="00A82B7A" w:rsidRDefault="00A82B7A"/>
        <w:p w14:paraId="6B814C5E" w14:textId="1C6F712D" w:rsidR="00A82B7A" w:rsidRDefault="008971A1">
          <w:pPr>
            <w:spacing w:after="0" w:line="240" w:lineRule="auto"/>
            <w:rPr>
              <w:noProof/>
            </w:rPr>
          </w:pPr>
          <w:r>
            <w:rPr>
              <w:noProof/>
            </w:rPr>
            <mc:AlternateContent>
              <mc:Choice Requires="wps">
                <w:drawing>
                  <wp:anchor distT="0" distB="0" distL="114300" distR="114300" simplePos="0" relativeHeight="251718656" behindDoc="0" locked="0" layoutInCell="1" allowOverlap="1" wp14:anchorId="7F7B528E" wp14:editId="007FDE7D">
                    <wp:simplePos x="0" y="0"/>
                    <wp:positionH relativeFrom="margin">
                      <wp:posOffset>-320040</wp:posOffset>
                    </wp:positionH>
                    <wp:positionV relativeFrom="page">
                      <wp:posOffset>7642860</wp:posOffset>
                    </wp:positionV>
                    <wp:extent cx="6492240" cy="484505"/>
                    <wp:effectExtent l="0" t="0" r="0" b="11430"/>
                    <wp:wrapSquare wrapText="bothSides"/>
                    <wp:docPr id="129" name="Text Box 129"/>
                    <wp:cNvGraphicFramePr/>
                    <a:graphic xmlns:a="http://schemas.openxmlformats.org/drawingml/2006/main">
                      <a:graphicData uri="http://schemas.microsoft.com/office/word/2010/wordprocessingShape">
                        <wps:wsp>
                          <wps:cNvSpPr txBox="1"/>
                          <wps:spPr>
                            <a:xfrm>
                              <a:off x="0" y="0"/>
                              <a:ext cx="649224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000000" w:themeColor="text1"/>
                                    <w:sz w:val="32"/>
                                    <w:szCs w:val="32"/>
                                    <w:lang w:val="en-IN" w:eastAsia="en-IN"/>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890F72" w14:textId="36EE5CC8" w:rsidR="00D62460" w:rsidRPr="00D41F0D" w:rsidRDefault="00143917" w:rsidP="00D41F0D">
                                    <w:pPr>
                                      <w:pStyle w:val="NoSpacing"/>
                                      <w:spacing w:before="40" w:after="40"/>
                                      <w:jc w:val="both"/>
                                      <w:rPr>
                                        <w:caps/>
                                        <w:color w:val="0F6FC6" w:themeColor="accent1"/>
                                        <w:sz w:val="32"/>
                                        <w:szCs w:val="32"/>
                                      </w:rPr>
                                    </w:pPr>
                                    <w:r w:rsidRPr="00127547">
                                      <w:rPr>
                                        <w:rFonts w:ascii="Times New Roman" w:hAnsi="Times New Roman" w:cs="Times New Roman"/>
                                        <w:color w:val="000000" w:themeColor="text1"/>
                                        <w:sz w:val="32"/>
                                        <w:szCs w:val="32"/>
                                        <w:lang w:val="en-IN" w:eastAsia="en-IN"/>
                                      </w:rPr>
                                      <w:t>Title: A critical Evaluation of inventory management inefficiencies and sustainable operations: a system-based analysis of Brocksweir Engineering Ltd</w:t>
                                    </w:r>
                                  </w:p>
                                </w:sdtContent>
                              </w:sdt>
                              <w:p w14:paraId="1FFC06E5" w14:textId="77777777" w:rsidR="00761DF0" w:rsidRDefault="00761DF0">
                                <w:pPr>
                                  <w:pStyle w:val="NoSpacing"/>
                                  <w:spacing w:before="40" w:after="40"/>
                                  <w:rPr>
                                    <w:rFonts w:ascii="Times New Roman" w:hAnsi="Times New Roman" w:cs="Times New Roman"/>
                                    <w:caps/>
                                    <w:color w:val="000000" w:themeColor="text1"/>
                                    <w:sz w:val="32"/>
                                    <w:szCs w:val="32"/>
                                  </w:rPr>
                                </w:pPr>
                              </w:p>
                              <w:p w14:paraId="23D2E71B" w14:textId="6C7DF081" w:rsidR="00761DF0" w:rsidRPr="00761DF0" w:rsidRDefault="00761DF0">
                                <w:pPr>
                                  <w:pStyle w:val="NoSpacing"/>
                                  <w:spacing w:before="40" w:after="40"/>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N</w:t>
                                </w:r>
                                <w:r w:rsidRPr="00D62460">
                                  <w:rPr>
                                    <w:rFonts w:ascii="Times New Roman" w:hAnsi="Times New Roman" w:cs="Times New Roman"/>
                                    <w:color w:val="000000" w:themeColor="text1"/>
                                    <w:sz w:val="32"/>
                                    <w:szCs w:val="32"/>
                                  </w:rPr>
                                  <w:t>ame</w:t>
                                </w:r>
                                <w:r w:rsidR="00D62460" w:rsidRPr="00D62460">
                                  <w:rPr>
                                    <w:rFonts w:ascii="Times New Roman" w:hAnsi="Times New Roman" w:cs="Times New Roman"/>
                                    <w:caps/>
                                    <w:color w:val="000000" w:themeColor="text1"/>
                                    <w:sz w:val="32"/>
                                    <w:szCs w:val="32"/>
                                  </w:rPr>
                                  <w:t xml:space="preserve">: </w:t>
                                </w:r>
                                <w:r w:rsidRPr="00D62460">
                                  <w:rPr>
                                    <w:rFonts w:ascii="Times New Roman" w:hAnsi="Times New Roman" w:cs="Times New Roman"/>
                                    <w:color w:val="000000" w:themeColor="text1"/>
                                    <w:sz w:val="32"/>
                                    <w:szCs w:val="32"/>
                                  </w:rPr>
                                  <w:t>smeetkumar prajapati (2505418)</w:t>
                                </w:r>
                                <w:r>
                                  <w:rPr>
                                    <w:rFonts w:ascii="Times New Roman" w:hAnsi="Times New Roman" w:cs="Times New Roman"/>
                                    <w:color w:val="000000" w:themeColor="text1"/>
                                    <w:sz w:val="32"/>
                                    <w:szCs w:val="32"/>
                                  </w:rPr>
                                  <w:t>.</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F7B528E" id="_x0000_t202" coordsize="21600,21600" o:spt="202" path="m,l,21600r21600,l21600,xe">
                    <v:stroke joinstyle="miter"/>
                    <v:path gradientshapeok="t" o:connecttype="rect"/>
                  </v:shapetype>
                  <v:shape id="Text Box 129" o:spid="_x0000_s1027" type="#_x0000_t202" style="position:absolute;margin-left:-25.2pt;margin-top:601.8pt;width:511.2pt;height:38.1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" filled="f" stroked="f" strokeweight=".5pt">
                    <v:textbox style="mso-fit-shape-to-text:t" inset="1in,0,86.4pt,0">
                      <w:txbxContent>
                        <w:sdt>
                          <w:sdtPr>
                            <w:rPr>
                              <w:rFonts w:ascii="Times New Roman" w:hAnsi="Times New Roman" w:cs="Times New Roman"/>
                              <w:color w:val="000000" w:themeColor="text1"/>
                              <w:sz w:val="32"/>
                              <w:szCs w:val="32"/>
                              <w:lang w:val="en-IN" w:eastAsia="en-IN"/>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890F72" w14:textId="36EE5CC8" w:rsidR="00D62460" w:rsidRPr="00D41F0D" w:rsidRDefault="00143917" w:rsidP="00D41F0D">
                              <w:pPr>
                                <w:pStyle w:val="NoSpacing"/>
                                <w:spacing w:before="40" w:after="40"/>
                                <w:jc w:val="both"/>
                                <w:rPr>
                                  <w:caps/>
                                  <w:color w:val="0F6FC6" w:themeColor="accent1"/>
                                  <w:sz w:val="32"/>
                                  <w:szCs w:val="32"/>
                                </w:rPr>
                              </w:pPr>
                              <w:r w:rsidRPr="00127547">
                                <w:rPr>
                                  <w:rFonts w:ascii="Times New Roman" w:hAnsi="Times New Roman" w:cs="Times New Roman"/>
                                  <w:color w:val="000000" w:themeColor="text1"/>
                                  <w:sz w:val="32"/>
                                  <w:szCs w:val="32"/>
                                  <w:lang w:val="en-IN" w:eastAsia="en-IN"/>
                                </w:rPr>
                                <w:t>Title: A critical Evaluation of inventory management inefficiencies and sustainable operations: a system-based analysis of Brocksweir Engineering Ltd</w:t>
                              </w:r>
                            </w:p>
                          </w:sdtContent>
                        </w:sdt>
                        <w:p w14:paraId="1FFC06E5" w14:textId="77777777" w:rsidR="00761DF0" w:rsidRDefault="00761DF0">
                          <w:pPr>
                            <w:pStyle w:val="NoSpacing"/>
                            <w:spacing w:before="40" w:after="40"/>
                            <w:rPr>
                              <w:rFonts w:ascii="Times New Roman" w:hAnsi="Times New Roman" w:cs="Times New Roman"/>
                              <w:caps/>
                              <w:color w:val="000000" w:themeColor="text1"/>
                              <w:sz w:val="32"/>
                              <w:szCs w:val="32"/>
                            </w:rPr>
                          </w:pPr>
                        </w:p>
                        <w:p w14:paraId="23D2E71B" w14:textId="6C7DF081" w:rsidR="00761DF0" w:rsidRPr="00761DF0" w:rsidRDefault="00761DF0">
                          <w:pPr>
                            <w:pStyle w:val="NoSpacing"/>
                            <w:spacing w:before="40" w:after="40"/>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N</w:t>
                          </w:r>
                          <w:r w:rsidRPr="00D62460">
                            <w:rPr>
                              <w:rFonts w:ascii="Times New Roman" w:hAnsi="Times New Roman" w:cs="Times New Roman"/>
                              <w:color w:val="000000" w:themeColor="text1"/>
                              <w:sz w:val="32"/>
                              <w:szCs w:val="32"/>
                            </w:rPr>
                            <w:t>ame</w:t>
                          </w:r>
                          <w:r w:rsidR="00D62460" w:rsidRPr="00D62460">
                            <w:rPr>
                              <w:rFonts w:ascii="Times New Roman" w:hAnsi="Times New Roman" w:cs="Times New Roman"/>
                              <w:caps/>
                              <w:color w:val="000000" w:themeColor="text1"/>
                              <w:sz w:val="32"/>
                              <w:szCs w:val="32"/>
                            </w:rPr>
                            <w:t xml:space="preserve">: </w:t>
                          </w:r>
                          <w:r w:rsidRPr="00D62460">
                            <w:rPr>
                              <w:rFonts w:ascii="Times New Roman" w:hAnsi="Times New Roman" w:cs="Times New Roman"/>
                              <w:color w:val="000000" w:themeColor="text1"/>
                              <w:sz w:val="32"/>
                              <w:szCs w:val="32"/>
                            </w:rPr>
                            <w:t>smeetkumar prajapati (2505418)</w:t>
                          </w:r>
                          <w:r>
                            <w:rPr>
                              <w:rFonts w:ascii="Times New Roman" w:hAnsi="Times New Roman" w:cs="Times New Roman"/>
                              <w:color w:val="000000" w:themeColor="text1"/>
                              <w:sz w:val="32"/>
                              <w:szCs w:val="32"/>
                            </w:rPr>
                            <w:t>.</w:t>
                          </w:r>
                        </w:p>
                      </w:txbxContent>
                    </v:textbox>
                    <w10:wrap type="square" anchorx="margin" anchory="page"/>
                  </v:shape>
                </w:pict>
              </mc:Fallback>
            </mc:AlternateContent>
          </w:r>
          <w:r w:rsidR="00A82B7A">
            <w:rPr>
              <w:noProof/>
            </w:rPr>
            <mc:AlternateContent>
              <mc:Choice Requires="wpg">
                <w:drawing>
                  <wp:anchor distT="0" distB="0" distL="114300" distR="114300" simplePos="0" relativeHeight="251716608" behindDoc="1" locked="0" layoutInCell="1" allowOverlap="1" wp14:anchorId="5C6F9C2F" wp14:editId="1497D3D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BD91E0" w14:textId="57F45912" w:rsidR="00A82B7A" w:rsidRPr="00D62460" w:rsidRDefault="00D41F0D">
                                  <w:pPr>
                                    <w:rPr>
                                      <w:color w:val="FFFFFF" w:themeColor="background1"/>
                                      <w:sz w:val="48"/>
                                      <w:szCs w:val="48"/>
                                      <w:lang w:val="en-IN"/>
                                    </w:rPr>
                                  </w:pPr>
                                  <w:r>
                                    <w:rPr>
                                      <w:rFonts w:ascii="Times New Roman" w:hAnsi="Times New Roman" w:cs="Times New Roman"/>
                                      <w:color w:val="DBEFF9" w:themeColor="background2"/>
                                      <w:sz w:val="48"/>
                                      <w:szCs w:val="48"/>
                                      <w:lang w:val="en-IN" w:eastAsia="en-IN"/>
                                    </w:rPr>
                                    <w:t>Sustainable operations management (ACHA 7031)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C6F9C2F" id="Group 126" o:spid="_x0000_s1028" style="position:absolute;margin-left:0;margin-top:0;width:540pt;height:556.55pt;z-index:-25159987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464ab [2578]" stroked="f">
                      <v:fill color2="#071320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67BD91E0" w14:textId="57F45912" w:rsidR="00A82B7A" w:rsidRPr="00D62460" w:rsidRDefault="00D41F0D">
                            <w:pPr>
                              <w:rPr>
                                <w:color w:val="FFFFFF" w:themeColor="background1"/>
                                <w:sz w:val="48"/>
                                <w:szCs w:val="48"/>
                                <w:lang w:val="en-IN"/>
                              </w:rPr>
                            </w:pPr>
                            <w:r>
                              <w:rPr>
                                <w:rFonts w:ascii="Times New Roman" w:hAnsi="Times New Roman" w:cs="Times New Roman"/>
                                <w:color w:val="DBEFF9" w:themeColor="background2"/>
                                <w:sz w:val="48"/>
                                <w:szCs w:val="48"/>
                                <w:lang w:val="en-IN" w:eastAsia="en-IN"/>
                              </w:rPr>
                              <w:t>Sustainable operations management (ACHA 7031)</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82B7A">
            <w:rPr>
              <w:noProof/>
            </w:rPr>
            <w:br w:type="page"/>
          </w:r>
        </w:p>
      </w:sdtContent>
    </w:sdt>
    <w:sdt>
      <w:sdtPr>
        <w:rPr>
          <w:rFonts w:asciiTheme="minorHAnsi" w:eastAsiaTheme="minorEastAsia" w:hAnsiTheme="minorHAnsi" w:cstheme="minorBidi"/>
          <w:color w:val="auto"/>
          <w:sz w:val="21"/>
          <w:szCs w:val="21"/>
        </w:rPr>
        <w:id w:val="1360474803"/>
        <w:docPartObj>
          <w:docPartGallery w:val="Table of Contents"/>
          <w:docPartUnique/>
        </w:docPartObj>
      </w:sdtPr>
      <w:sdtEndPr>
        <w:rPr>
          <w:b/>
          <w:bCs/>
          <w:noProof/>
        </w:rPr>
      </w:sdtEndPr>
      <w:sdtContent>
        <w:p w14:paraId="5A5BA1F1" w14:textId="77777777" w:rsidR="004F29A4" w:rsidRDefault="004F29A4">
          <w:pPr>
            <w:pStyle w:val="TOCHeading"/>
          </w:pPr>
          <w:r>
            <w:t>Contents</w:t>
          </w:r>
        </w:p>
        <w:p w14:paraId="2946528D" w14:textId="365D8C22" w:rsidR="00C65226" w:rsidRDefault="004F29A4">
          <w:pPr>
            <w:pStyle w:val="TOC1"/>
            <w:rPr>
              <w:rFonts w:asciiTheme="minorHAnsi" w:hAnsiTheme="minorHAnsi" w:cstheme="minorBidi"/>
              <w:b w:val="0"/>
              <w:bCs w:val="0"/>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29048347" w:history="1">
            <w:r w:rsidR="00C65226" w:rsidRPr="00BB30F6">
              <w:rPr>
                <w:rStyle w:val="Hyperlink"/>
                <w:noProof/>
              </w:rPr>
              <w:t xml:space="preserve">1. </w:t>
            </w:r>
            <w:r w:rsidR="00C65226"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C65226">
              <w:rPr>
                <w:noProof/>
                <w:webHidden/>
              </w:rPr>
              <w:tab/>
            </w:r>
            <w:r w:rsidR="00C65226">
              <w:rPr>
                <w:noProof/>
                <w:webHidden/>
              </w:rPr>
              <w:fldChar w:fldCharType="begin"/>
            </w:r>
            <w:r w:rsidR="00C65226">
              <w:rPr>
                <w:noProof/>
                <w:webHidden/>
              </w:rPr>
              <w:instrText xml:space="preserve"> PAGEREF _Toc229048347 \h </w:instrText>
            </w:r>
            <w:r w:rsidR="00C65226">
              <w:rPr>
                <w:noProof/>
                <w:webHidden/>
              </w:rPr>
            </w:r>
            <w:r w:rsidR="00C65226">
              <w:rPr>
                <w:noProof/>
                <w:webHidden/>
              </w:rPr>
              <w:fldChar w:fldCharType="separate"/>
            </w:r>
            <w:r w:rsidR="00C65226">
              <w:rPr>
                <w:noProof/>
                <w:webHidden/>
              </w:rPr>
              <w:t>2</w:t>
            </w:r>
            <w:r w:rsidR="00C65226">
              <w:rPr>
                <w:noProof/>
                <w:webHidden/>
              </w:rPr>
              <w:fldChar w:fldCharType="end"/>
            </w:r>
          </w:hyperlink>
        </w:p>
        <w:p w14:paraId="09D9BA0D" w14:textId="4D628A5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48" w:history="1">
            <w:r w:rsidRPr="00BB30F6">
              <w:rPr>
                <w:rStyle w:val="Hyperlink"/>
                <w:noProof/>
              </w:rPr>
              <w:t xml:space="preserve">2.0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MANAGEMENT OF SAND AND RESINS</w:t>
            </w:r>
            <w:r>
              <w:rPr>
                <w:noProof/>
                <w:webHidden/>
              </w:rPr>
              <w:tab/>
            </w:r>
            <w:r>
              <w:rPr>
                <w:noProof/>
                <w:webHidden/>
              </w:rPr>
              <w:fldChar w:fldCharType="begin"/>
            </w:r>
            <w:r>
              <w:rPr>
                <w:noProof/>
                <w:webHidden/>
              </w:rPr>
              <w:instrText xml:space="preserve"> PAGEREF _Toc229048348 \h </w:instrText>
            </w:r>
            <w:r>
              <w:rPr>
                <w:noProof/>
                <w:webHidden/>
              </w:rPr>
            </w:r>
            <w:r>
              <w:rPr>
                <w:noProof/>
                <w:webHidden/>
              </w:rPr>
              <w:fldChar w:fldCharType="separate"/>
            </w:r>
            <w:r>
              <w:rPr>
                <w:noProof/>
                <w:webHidden/>
              </w:rPr>
              <w:t>3</w:t>
            </w:r>
            <w:r>
              <w:rPr>
                <w:noProof/>
                <w:webHidden/>
              </w:rPr>
              <w:fldChar w:fldCharType="end"/>
            </w:r>
          </w:hyperlink>
        </w:p>
        <w:p w14:paraId="00C33B80" w14:textId="3DC9398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49" w:history="1">
            <w:r w:rsidRPr="00BB30F6">
              <w:rPr>
                <w:rStyle w:val="Hyperlink"/>
                <w:noProof/>
              </w:rPr>
              <w:t xml:space="preserve">2.1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SEGMENTATION: SAND, RESIN AND   OTHER MATERIALS</w:t>
            </w:r>
            <w:r>
              <w:rPr>
                <w:noProof/>
                <w:webHidden/>
              </w:rPr>
              <w:tab/>
            </w:r>
            <w:r>
              <w:rPr>
                <w:noProof/>
                <w:webHidden/>
              </w:rPr>
              <w:fldChar w:fldCharType="begin"/>
            </w:r>
            <w:r>
              <w:rPr>
                <w:noProof/>
                <w:webHidden/>
              </w:rPr>
              <w:instrText xml:space="preserve"> PAGEREF _Toc229048349 \h </w:instrText>
            </w:r>
            <w:r>
              <w:rPr>
                <w:noProof/>
                <w:webHidden/>
              </w:rPr>
            </w:r>
            <w:r>
              <w:rPr>
                <w:noProof/>
                <w:webHidden/>
              </w:rPr>
              <w:fldChar w:fldCharType="separate"/>
            </w:r>
            <w:r>
              <w:rPr>
                <w:noProof/>
                <w:webHidden/>
              </w:rPr>
              <w:t>4</w:t>
            </w:r>
            <w:r>
              <w:rPr>
                <w:noProof/>
                <w:webHidden/>
              </w:rPr>
              <w:fldChar w:fldCharType="end"/>
            </w:r>
          </w:hyperlink>
        </w:p>
        <w:p w14:paraId="5CCE4882" w14:textId="7477E039"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0" w:history="1">
            <w:r w:rsidRPr="00BB30F6">
              <w:rPr>
                <w:rStyle w:val="Hyperlink"/>
                <w:noProof/>
              </w:rPr>
              <w:t xml:space="preserve">2.2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FEFO AND SHELF-LIFE BASED RESIN CONTROL</w:t>
            </w:r>
            <w:r>
              <w:rPr>
                <w:noProof/>
                <w:webHidden/>
              </w:rPr>
              <w:tab/>
            </w:r>
            <w:r>
              <w:rPr>
                <w:noProof/>
                <w:webHidden/>
              </w:rPr>
              <w:fldChar w:fldCharType="begin"/>
            </w:r>
            <w:r>
              <w:rPr>
                <w:noProof/>
                <w:webHidden/>
              </w:rPr>
              <w:instrText xml:space="preserve"> PAGEREF _Toc229048350 \h </w:instrText>
            </w:r>
            <w:r>
              <w:rPr>
                <w:noProof/>
                <w:webHidden/>
              </w:rPr>
            </w:r>
            <w:r>
              <w:rPr>
                <w:noProof/>
                <w:webHidden/>
              </w:rPr>
              <w:fldChar w:fldCharType="separate"/>
            </w:r>
            <w:r>
              <w:rPr>
                <w:noProof/>
                <w:webHidden/>
              </w:rPr>
              <w:t>5</w:t>
            </w:r>
            <w:r>
              <w:rPr>
                <w:noProof/>
                <w:webHidden/>
              </w:rPr>
              <w:fldChar w:fldCharType="end"/>
            </w:r>
          </w:hyperlink>
        </w:p>
        <w:p w14:paraId="70C0871B" w14:textId="377C38B4"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1" w:history="1">
            <w:r w:rsidRPr="00BB30F6">
              <w:rPr>
                <w:rStyle w:val="Hyperlink"/>
                <w:noProof/>
              </w:rPr>
              <w:t xml:space="preserve">2.3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ADAPTED EOQ, MIN-MAX LEVELS AND TOTAL COST OF OWNERSHIP</w:t>
            </w:r>
            <w:r>
              <w:rPr>
                <w:noProof/>
                <w:webHidden/>
              </w:rPr>
              <w:tab/>
            </w:r>
            <w:r>
              <w:rPr>
                <w:noProof/>
                <w:webHidden/>
              </w:rPr>
              <w:fldChar w:fldCharType="begin"/>
            </w:r>
            <w:r>
              <w:rPr>
                <w:noProof/>
                <w:webHidden/>
              </w:rPr>
              <w:instrText xml:space="preserve"> PAGEREF _Toc229048351 \h </w:instrText>
            </w:r>
            <w:r>
              <w:rPr>
                <w:noProof/>
                <w:webHidden/>
              </w:rPr>
            </w:r>
            <w:r>
              <w:rPr>
                <w:noProof/>
                <w:webHidden/>
              </w:rPr>
              <w:fldChar w:fldCharType="separate"/>
            </w:r>
            <w:r>
              <w:rPr>
                <w:noProof/>
                <w:webHidden/>
              </w:rPr>
              <w:t>6</w:t>
            </w:r>
            <w:r>
              <w:rPr>
                <w:noProof/>
                <w:webHidden/>
              </w:rPr>
              <w:fldChar w:fldCharType="end"/>
            </w:r>
          </w:hyperlink>
        </w:p>
        <w:p w14:paraId="250C00FC" w14:textId="6C8C0CF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2" w:history="1">
            <w:r w:rsidRPr="00BB30F6">
              <w:rPr>
                <w:rStyle w:val="Hyperlink"/>
                <w:noProof/>
              </w:rPr>
              <w:t xml:space="preserve">2.4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BULK PURCHASING VERSUS TOTAL COST OF OWNERSHIP</w:t>
            </w:r>
            <w:r>
              <w:rPr>
                <w:noProof/>
                <w:webHidden/>
              </w:rPr>
              <w:tab/>
            </w:r>
            <w:r>
              <w:rPr>
                <w:noProof/>
                <w:webHidden/>
              </w:rPr>
              <w:fldChar w:fldCharType="begin"/>
            </w:r>
            <w:r>
              <w:rPr>
                <w:noProof/>
                <w:webHidden/>
              </w:rPr>
              <w:instrText xml:space="preserve"> PAGEREF _Toc229048352 \h </w:instrText>
            </w:r>
            <w:r>
              <w:rPr>
                <w:noProof/>
                <w:webHidden/>
              </w:rPr>
            </w:r>
            <w:r>
              <w:rPr>
                <w:noProof/>
                <w:webHidden/>
              </w:rPr>
              <w:fldChar w:fldCharType="separate"/>
            </w:r>
            <w:r>
              <w:rPr>
                <w:noProof/>
                <w:webHidden/>
              </w:rPr>
              <w:t>8</w:t>
            </w:r>
            <w:r>
              <w:rPr>
                <w:noProof/>
                <w:webHidden/>
              </w:rPr>
              <w:fldChar w:fldCharType="end"/>
            </w:r>
          </w:hyperlink>
        </w:p>
        <w:p w14:paraId="588E85DB" w14:textId="7397E1F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3" w:history="1">
            <w:r w:rsidRPr="00BB30F6">
              <w:rPr>
                <w:rStyle w:val="Hyperlink"/>
                <w:noProof/>
              </w:rPr>
              <w:t xml:space="preserve">3.0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DEALING WITH OBSOLETE STOCK</w:t>
            </w:r>
            <w:r>
              <w:rPr>
                <w:noProof/>
                <w:webHidden/>
              </w:rPr>
              <w:tab/>
            </w:r>
            <w:r>
              <w:rPr>
                <w:noProof/>
                <w:webHidden/>
              </w:rPr>
              <w:fldChar w:fldCharType="begin"/>
            </w:r>
            <w:r>
              <w:rPr>
                <w:noProof/>
                <w:webHidden/>
              </w:rPr>
              <w:instrText xml:space="preserve"> PAGEREF _Toc229048353 \h </w:instrText>
            </w:r>
            <w:r>
              <w:rPr>
                <w:noProof/>
                <w:webHidden/>
              </w:rPr>
            </w:r>
            <w:r>
              <w:rPr>
                <w:noProof/>
                <w:webHidden/>
              </w:rPr>
              <w:fldChar w:fldCharType="separate"/>
            </w:r>
            <w:r>
              <w:rPr>
                <w:noProof/>
                <w:webHidden/>
              </w:rPr>
              <w:t>11</w:t>
            </w:r>
            <w:r>
              <w:rPr>
                <w:noProof/>
                <w:webHidden/>
              </w:rPr>
              <w:fldChar w:fldCharType="end"/>
            </w:r>
          </w:hyperlink>
        </w:p>
        <w:p w14:paraId="6EB2193E" w14:textId="243CD27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4" w:history="1">
            <w:r w:rsidRPr="00BB30F6">
              <w:rPr>
                <w:rStyle w:val="Hyperlink"/>
                <w:noProof/>
              </w:rPr>
              <w:t xml:space="preserve">3.1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 FRAMING: OBSOLETE STOCK AS A FAILURE COST</w:t>
            </w:r>
            <w:r>
              <w:rPr>
                <w:noProof/>
                <w:webHidden/>
              </w:rPr>
              <w:tab/>
            </w:r>
            <w:r>
              <w:rPr>
                <w:noProof/>
                <w:webHidden/>
              </w:rPr>
              <w:fldChar w:fldCharType="begin"/>
            </w:r>
            <w:r>
              <w:rPr>
                <w:noProof/>
                <w:webHidden/>
              </w:rPr>
              <w:instrText xml:space="preserve"> PAGEREF _Toc229048354 \h </w:instrText>
            </w:r>
            <w:r>
              <w:rPr>
                <w:noProof/>
                <w:webHidden/>
              </w:rPr>
            </w:r>
            <w:r>
              <w:rPr>
                <w:noProof/>
                <w:webHidden/>
              </w:rPr>
              <w:fldChar w:fldCharType="separate"/>
            </w:r>
            <w:r>
              <w:rPr>
                <w:noProof/>
                <w:webHidden/>
              </w:rPr>
              <w:t>11</w:t>
            </w:r>
            <w:r>
              <w:rPr>
                <w:noProof/>
                <w:webHidden/>
              </w:rPr>
              <w:fldChar w:fldCharType="end"/>
            </w:r>
          </w:hyperlink>
        </w:p>
        <w:p w14:paraId="417F54F0" w14:textId="675C3EF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5" w:history="1">
            <w:r w:rsidRPr="00BB30F6">
              <w:rPr>
                <w:rStyle w:val="Hyperlink"/>
                <w:noProof/>
              </w:rPr>
              <w:t xml:space="preserve">3.2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DECISION MATRIX FOR OBSOLETE RESIN</w:t>
            </w:r>
            <w:r>
              <w:rPr>
                <w:noProof/>
                <w:webHidden/>
              </w:rPr>
              <w:tab/>
            </w:r>
            <w:r>
              <w:rPr>
                <w:noProof/>
                <w:webHidden/>
              </w:rPr>
              <w:fldChar w:fldCharType="begin"/>
            </w:r>
            <w:r>
              <w:rPr>
                <w:noProof/>
                <w:webHidden/>
              </w:rPr>
              <w:instrText xml:space="preserve"> PAGEREF _Toc229048355 \h </w:instrText>
            </w:r>
            <w:r>
              <w:rPr>
                <w:noProof/>
                <w:webHidden/>
              </w:rPr>
            </w:r>
            <w:r>
              <w:rPr>
                <w:noProof/>
                <w:webHidden/>
              </w:rPr>
              <w:fldChar w:fldCharType="separate"/>
            </w:r>
            <w:r>
              <w:rPr>
                <w:noProof/>
                <w:webHidden/>
              </w:rPr>
              <w:t>12</w:t>
            </w:r>
            <w:r>
              <w:rPr>
                <w:noProof/>
                <w:webHidden/>
              </w:rPr>
              <w:fldChar w:fldCharType="end"/>
            </w:r>
          </w:hyperlink>
        </w:p>
        <w:p w14:paraId="4CEA46F1" w14:textId="456E83BB"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6" w:history="1">
            <w:r w:rsidRPr="00BB30F6">
              <w:rPr>
                <w:rStyle w:val="Hyperlink"/>
                <w:noProof/>
              </w:rPr>
              <w:t xml:space="preserve">3.3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WASTE HIERARCHY AND SUSTAINABILITY EVALUATION</w:t>
            </w:r>
            <w:r>
              <w:rPr>
                <w:noProof/>
                <w:webHidden/>
              </w:rPr>
              <w:tab/>
            </w:r>
            <w:r>
              <w:rPr>
                <w:noProof/>
                <w:webHidden/>
              </w:rPr>
              <w:fldChar w:fldCharType="begin"/>
            </w:r>
            <w:r>
              <w:rPr>
                <w:noProof/>
                <w:webHidden/>
              </w:rPr>
              <w:instrText xml:space="preserve"> PAGEREF _Toc229048356 \h </w:instrText>
            </w:r>
            <w:r>
              <w:rPr>
                <w:noProof/>
                <w:webHidden/>
              </w:rPr>
            </w:r>
            <w:r>
              <w:rPr>
                <w:noProof/>
                <w:webHidden/>
              </w:rPr>
              <w:fldChar w:fldCharType="separate"/>
            </w:r>
            <w:r>
              <w:rPr>
                <w:noProof/>
                <w:webHidden/>
              </w:rPr>
              <w:t>13</w:t>
            </w:r>
            <w:r>
              <w:rPr>
                <w:noProof/>
                <w:webHidden/>
              </w:rPr>
              <w:fldChar w:fldCharType="end"/>
            </w:r>
          </w:hyperlink>
        </w:p>
        <w:p w14:paraId="52B05787" w14:textId="617F7CC4"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7" w:history="1">
            <w:r w:rsidRPr="00BB30F6">
              <w:rPr>
                <w:rStyle w:val="Hyperlink"/>
                <w:noProof/>
              </w:rPr>
              <w:t xml:space="preserve">3.4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ACTION PLAN FOR OBSOLETE STOCK</w:t>
            </w:r>
            <w:r>
              <w:rPr>
                <w:noProof/>
                <w:webHidden/>
              </w:rPr>
              <w:tab/>
            </w:r>
            <w:r>
              <w:rPr>
                <w:noProof/>
                <w:webHidden/>
              </w:rPr>
              <w:fldChar w:fldCharType="begin"/>
            </w:r>
            <w:r>
              <w:rPr>
                <w:noProof/>
                <w:webHidden/>
              </w:rPr>
              <w:instrText xml:space="preserve"> PAGEREF _Toc229048357 \h </w:instrText>
            </w:r>
            <w:r>
              <w:rPr>
                <w:noProof/>
                <w:webHidden/>
              </w:rPr>
            </w:r>
            <w:r>
              <w:rPr>
                <w:noProof/>
                <w:webHidden/>
              </w:rPr>
              <w:fldChar w:fldCharType="separate"/>
            </w:r>
            <w:r>
              <w:rPr>
                <w:noProof/>
                <w:webHidden/>
              </w:rPr>
              <w:t>14</w:t>
            </w:r>
            <w:r>
              <w:rPr>
                <w:noProof/>
                <w:webHidden/>
              </w:rPr>
              <w:fldChar w:fldCharType="end"/>
            </w:r>
          </w:hyperlink>
        </w:p>
        <w:p w14:paraId="521AB6ED" w14:textId="6D3D6BA4"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8" w:history="1">
            <w:r w:rsidRPr="00BB30F6">
              <w:rPr>
                <w:rStyle w:val="Hyperlink"/>
                <w:noProof/>
              </w:rPr>
              <w:t xml:space="preserve">4.0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UNDERSTANDING LEAD TIME ACROSS THE BUSINESS</w:t>
            </w:r>
            <w:r>
              <w:rPr>
                <w:noProof/>
                <w:webHidden/>
              </w:rPr>
              <w:tab/>
            </w:r>
            <w:r>
              <w:rPr>
                <w:noProof/>
                <w:webHidden/>
              </w:rPr>
              <w:fldChar w:fldCharType="begin"/>
            </w:r>
            <w:r>
              <w:rPr>
                <w:noProof/>
                <w:webHidden/>
              </w:rPr>
              <w:instrText xml:space="preserve"> PAGEREF _Toc229048358 \h </w:instrText>
            </w:r>
            <w:r>
              <w:rPr>
                <w:noProof/>
                <w:webHidden/>
              </w:rPr>
            </w:r>
            <w:r>
              <w:rPr>
                <w:noProof/>
                <w:webHidden/>
              </w:rPr>
              <w:fldChar w:fldCharType="separate"/>
            </w:r>
            <w:r>
              <w:rPr>
                <w:noProof/>
                <w:webHidden/>
              </w:rPr>
              <w:t>15</w:t>
            </w:r>
            <w:r>
              <w:rPr>
                <w:noProof/>
                <w:webHidden/>
              </w:rPr>
              <w:fldChar w:fldCharType="end"/>
            </w:r>
          </w:hyperlink>
        </w:p>
        <w:p w14:paraId="65E8769D" w14:textId="7AC1D818"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9" w:history="1">
            <w:r w:rsidRPr="00BB30F6">
              <w:rPr>
                <w:rStyle w:val="Hyperlink"/>
                <w:noProof/>
              </w:rPr>
              <w:t xml:space="preserve">4.1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 TIME DECOMPOSITION ACROSS BROCKSWEIR</w:t>
            </w:r>
            <w:r>
              <w:rPr>
                <w:noProof/>
                <w:webHidden/>
              </w:rPr>
              <w:tab/>
            </w:r>
            <w:r>
              <w:rPr>
                <w:noProof/>
                <w:webHidden/>
              </w:rPr>
              <w:fldChar w:fldCharType="begin"/>
            </w:r>
            <w:r>
              <w:rPr>
                <w:noProof/>
                <w:webHidden/>
              </w:rPr>
              <w:instrText xml:space="preserve"> PAGEREF _Toc229048359 \h </w:instrText>
            </w:r>
            <w:r>
              <w:rPr>
                <w:noProof/>
                <w:webHidden/>
              </w:rPr>
            </w:r>
            <w:r>
              <w:rPr>
                <w:noProof/>
                <w:webHidden/>
              </w:rPr>
              <w:fldChar w:fldCharType="separate"/>
            </w:r>
            <w:r>
              <w:rPr>
                <w:noProof/>
                <w:webHidden/>
              </w:rPr>
              <w:t>15</w:t>
            </w:r>
            <w:r>
              <w:rPr>
                <w:noProof/>
                <w:webHidden/>
              </w:rPr>
              <w:fldChar w:fldCharType="end"/>
            </w:r>
          </w:hyperlink>
        </w:p>
        <w:p w14:paraId="221B610B" w14:textId="0C66AB9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0" w:history="1">
            <w:r w:rsidRPr="00BB30F6">
              <w:rPr>
                <w:rStyle w:val="Hyperlink"/>
                <w:noProof/>
              </w:rPr>
              <w:t xml:space="preserve">4.2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 STREAM MAPPING AND SUPPLIER VISIBILITY</w:t>
            </w:r>
            <w:r>
              <w:rPr>
                <w:noProof/>
                <w:webHidden/>
              </w:rPr>
              <w:tab/>
            </w:r>
            <w:r>
              <w:rPr>
                <w:noProof/>
                <w:webHidden/>
              </w:rPr>
              <w:fldChar w:fldCharType="begin"/>
            </w:r>
            <w:r>
              <w:rPr>
                <w:noProof/>
                <w:webHidden/>
              </w:rPr>
              <w:instrText xml:space="preserve"> PAGEREF _Toc229048360 \h </w:instrText>
            </w:r>
            <w:r>
              <w:rPr>
                <w:noProof/>
                <w:webHidden/>
              </w:rPr>
            </w:r>
            <w:r>
              <w:rPr>
                <w:noProof/>
                <w:webHidden/>
              </w:rPr>
              <w:fldChar w:fldCharType="separate"/>
            </w:r>
            <w:r>
              <w:rPr>
                <w:noProof/>
                <w:webHidden/>
              </w:rPr>
              <w:t>16</w:t>
            </w:r>
            <w:r>
              <w:rPr>
                <w:noProof/>
                <w:webHidden/>
              </w:rPr>
              <w:fldChar w:fldCharType="end"/>
            </w:r>
          </w:hyperlink>
        </w:p>
        <w:p w14:paraId="0F66AE14" w14:textId="4F7C810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1" w:history="1">
            <w:r w:rsidRPr="00BB30F6">
              <w:rPr>
                <w:rStyle w:val="Hyperlink"/>
                <w:noProof/>
              </w:rPr>
              <w:t xml:space="preserve">4.3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LEAD-TIME AND INVENTORY KPI</w:t>
            </w:r>
            <w:r>
              <w:rPr>
                <w:noProof/>
                <w:webHidden/>
              </w:rPr>
              <w:tab/>
            </w:r>
            <w:r>
              <w:rPr>
                <w:noProof/>
                <w:webHidden/>
              </w:rPr>
              <w:fldChar w:fldCharType="begin"/>
            </w:r>
            <w:r>
              <w:rPr>
                <w:noProof/>
                <w:webHidden/>
              </w:rPr>
              <w:instrText xml:space="preserve"> PAGEREF _Toc229048361 \h </w:instrText>
            </w:r>
            <w:r>
              <w:rPr>
                <w:noProof/>
                <w:webHidden/>
              </w:rPr>
            </w:r>
            <w:r>
              <w:rPr>
                <w:noProof/>
                <w:webHidden/>
              </w:rPr>
              <w:fldChar w:fldCharType="separate"/>
            </w:r>
            <w:r>
              <w:rPr>
                <w:noProof/>
                <w:webHidden/>
              </w:rPr>
              <w:t>17</w:t>
            </w:r>
            <w:r>
              <w:rPr>
                <w:noProof/>
                <w:webHidden/>
              </w:rPr>
              <w:fldChar w:fldCharType="end"/>
            </w:r>
          </w:hyperlink>
        </w:p>
        <w:p w14:paraId="7130E8E3" w14:textId="7044A02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2" w:history="1">
            <w:r w:rsidRPr="00BB30F6">
              <w:rPr>
                <w:rStyle w:val="Hyperlink"/>
                <w:noProof/>
              </w:rPr>
              <w:t>5.</w:t>
            </w:r>
            <w:r w:rsidRPr="00BB30F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PRIORITISED IMPLEMENTATION ROADMAP</w:t>
            </w:r>
            <w:r>
              <w:rPr>
                <w:noProof/>
                <w:webHidden/>
              </w:rPr>
              <w:tab/>
            </w:r>
            <w:r>
              <w:rPr>
                <w:noProof/>
                <w:webHidden/>
              </w:rPr>
              <w:fldChar w:fldCharType="begin"/>
            </w:r>
            <w:r>
              <w:rPr>
                <w:noProof/>
                <w:webHidden/>
              </w:rPr>
              <w:instrText xml:space="preserve"> PAGEREF _Toc229048362 \h </w:instrText>
            </w:r>
            <w:r>
              <w:rPr>
                <w:noProof/>
                <w:webHidden/>
              </w:rPr>
            </w:r>
            <w:r>
              <w:rPr>
                <w:noProof/>
                <w:webHidden/>
              </w:rPr>
              <w:fldChar w:fldCharType="separate"/>
            </w:r>
            <w:r>
              <w:rPr>
                <w:noProof/>
                <w:webHidden/>
              </w:rPr>
              <w:t>18</w:t>
            </w:r>
            <w:r>
              <w:rPr>
                <w:noProof/>
                <w:webHidden/>
              </w:rPr>
              <w:fldChar w:fldCharType="end"/>
            </w:r>
          </w:hyperlink>
        </w:p>
        <w:p w14:paraId="7C63526F" w14:textId="47845635"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3" w:history="1">
            <w:r w:rsidRPr="00BB30F6">
              <w:rPr>
                <w:rStyle w:val="Hyperlink"/>
                <w:noProof/>
              </w:rPr>
              <w:t xml:space="preserve">6.0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_Toc229048363 \h </w:instrText>
            </w:r>
            <w:r>
              <w:rPr>
                <w:noProof/>
                <w:webHidden/>
              </w:rPr>
            </w:r>
            <w:r>
              <w:rPr>
                <w:noProof/>
                <w:webHidden/>
              </w:rPr>
              <w:fldChar w:fldCharType="separate"/>
            </w:r>
            <w:r>
              <w:rPr>
                <w:noProof/>
                <w:webHidden/>
              </w:rPr>
              <w:t>19</w:t>
            </w:r>
            <w:r>
              <w:rPr>
                <w:noProof/>
                <w:webHidden/>
              </w:rPr>
              <w:fldChar w:fldCharType="end"/>
            </w:r>
          </w:hyperlink>
        </w:p>
        <w:p w14:paraId="095E63D7" w14:textId="0BE9521C"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4" w:history="1">
            <w:r w:rsidRPr="00BB30F6">
              <w:rPr>
                <w:rStyle w:val="Hyperlink"/>
                <w:noProof/>
              </w:rPr>
              <w:t xml:space="preserve">7.0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_Toc229048364 \h </w:instrText>
            </w:r>
            <w:r>
              <w:rPr>
                <w:noProof/>
                <w:webHidden/>
              </w:rPr>
            </w:r>
            <w:r>
              <w:rPr>
                <w:noProof/>
                <w:webHidden/>
              </w:rPr>
              <w:fldChar w:fldCharType="separate"/>
            </w:r>
            <w:r>
              <w:rPr>
                <w:noProof/>
                <w:webHidden/>
              </w:rPr>
              <w:t>20</w:t>
            </w:r>
            <w:r>
              <w:rPr>
                <w:noProof/>
                <w:webHidden/>
              </w:rPr>
              <w:fldChar w:fldCharType="end"/>
            </w:r>
          </w:hyperlink>
        </w:p>
        <w:p w14:paraId="4DAAA646" w14:textId="0528D7CC" w:rsidR="004F29A4" w:rsidRDefault="004F29A4">
          <w:r>
            <w:rPr>
              <w:b/>
              <w:bCs/>
              <w:noProof/>
            </w:rPr>
            <w:fldChar w:fldCharType="end"/>
          </w:r>
        </w:p>
      </w:sdtContent>
    </w:sdt>
    <w:p w14:paraId="26B9A798" w14:textId="77777777" w:rsidR="008C1C1A" w:rsidRDefault="008C1C1A"/>
    <w:p w14:paraId="3B5F35BB" w14:textId="77777777" w:rsidR="008C1C1A" w:rsidRDefault="008C1C1A" w:rsidP="005A0CDD"/>
    <w:p w14:paraId="4E9D13A9" w14:textId="77777777" w:rsidR="00173014" w:rsidRDefault="00173014" w:rsidP="005A0CDD"/>
    <w:p w14:paraId="7B08143B" w14:textId="77777777" w:rsidR="00173014" w:rsidRDefault="00173014" w:rsidP="005A0CDD"/>
    <w:p w14:paraId="7FFD1377" w14:textId="77777777" w:rsidR="00173014" w:rsidRDefault="00173014" w:rsidP="005A0CDD"/>
    <w:p w14:paraId="2AE0BC22" w14:textId="77777777" w:rsidR="00173014" w:rsidRDefault="00173014" w:rsidP="005A0CDD"/>
    <w:p w14:paraId="0A9E4098" w14:textId="77777777" w:rsidR="00173014" w:rsidRDefault="00173014" w:rsidP="005A0CDD"/>
    <w:p w14:paraId="7420AB55" w14:textId="77777777" w:rsidR="00173014" w:rsidRDefault="00173014" w:rsidP="005A0CDD"/>
    <w:p w14:paraId="2459CADA" w14:textId="77777777" w:rsidR="00173014" w:rsidRDefault="00173014" w:rsidP="005A0CDD"/>
    <w:p w14:paraId="23C7C11F" w14:textId="77777777" w:rsidR="00173014" w:rsidRDefault="00173014" w:rsidP="005A0CDD"/>
    <w:p w14:paraId="12261D0F" w14:textId="2B3CCE9A" w:rsidR="005A328F" w:rsidRDefault="005A328F" w:rsidP="005A328F">
      <w:pPr>
        <w:tabs>
          <w:tab w:val="left" w:pos="2148"/>
        </w:tabs>
      </w:pPr>
    </w:p>
    <w:p w14:paraId="03BD1673" w14:textId="190A3066" w:rsidR="00173014" w:rsidRPr="006B500F" w:rsidRDefault="005A328F" w:rsidP="006B500F">
      <w:pPr>
        <w:spacing w:after="0" w:line="240" w:lineRule="auto"/>
        <w:textAlignment w:val="baseline"/>
        <w:rPr>
          <w:rFonts w:ascii="Times New Roman" w:eastAsia="Times New Roman" w:hAnsi="Times New Roman" w:cs="Times New Roman"/>
          <w:color w:val="000000" w:themeColor="text1"/>
          <w:sz w:val="20"/>
          <w:szCs w:val="20"/>
        </w:rPr>
      </w:pPr>
      <w:r w:rsidRPr="453D438B">
        <w:rPr>
          <w:rFonts w:ascii="Times New Roman" w:eastAsia="Times New Roman" w:hAnsi="Times New Roman" w:cs="Times New Roman"/>
          <w:color w:val="000000" w:themeColor="text1"/>
          <w:sz w:val="20"/>
          <w:szCs w:val="20"/>
        </w:rPr>
        <w:t>  </w:t>
      </w:r>
    </w:p>
    <w:p w14:paraId="0812E5C4" w14:textId="6E385E41" w:rsidR="008C1C1A" w:rsidRPr="003D727C" w:rsidRDefault="00000000">
      <w:pPr>
        <w:pStyle w:val="Heading1"/>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229048347"/>
      <w:r>
        <w:rPr>
          <w:rFonts w:ascii="Times New Roman" w:hAnsi="Times New Roman" w:cs="Times New Roman"/>
          <w:b/>
          <w:bCs/>
          <w:sz w:val="32"/>
          <w:szCs w:val="32"/>
        </w:rPr>
        <w:lastRenderedPageBreak/>
        <w:t>1</w:t>
      </w:r>
      <w:r w:rsidR="005303BB">
        <w:rPr>
          <w:rFonts w:ascii="Times New Roman" w:hAnsi="Times New Roman" w:cs="Times New Roman"/>
          <w:b/>
          <w:bCs/>
          <w:sz w:val="32"/>
          <w:szCs w:val="32"/>
        </w:rPr>
        <w:t xml:space="preserve">. </w:t>
      </w:r>
      <w:r w:rsidR="003D727C" w:rsidRPr="003D727C">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bookmarkEnd w:id="1"/>
    </w:p>
    <w:p w14:paraId="54A7BDB8" w14:textId="317EB651" w:rsidR="00D20DC2" w:rsidRPr="00143917" w:rsidRDefault="00E47837" w:rsidP="00143917">
      <w:pPr>
        <w:spacing w:line="360" w:lineRule="auto"/>
        <w:jc w:val="both"/>
        <w:rPr>
          <w:rFonts w:ascii="Times New Roman" w:hAnsi="Times New Roman" w:cs="Times New Roman"/>
          <w:sz w:val="24"/>
          <w:szCs w:val="24"/>
        </w:rPr>
      </w:pPr>
      <w:proofErr w:type="spellStart"/>
      <w:r w:rsidRPr="00143917">
        <w:rPr>
          <w:rFonts w:ascii="Times New Roman" w:hAnsi="Times New Roman" w:cs="Times New Roman"/>
          <w:sz w:val="24"/>
          <w:szCs w:val="24"/>
        </w:rPr>
        <w:t>Brocksweir</w:t>
      </w:r>
      <w:proofErr w:type="spellEnd"/>
      <w:r w:rsidRPr="00143917">
        <w:rPr>
          <w:rFonts w:ascii="Times New Roman" w:hAnsi="Times New Roman" w:cs="Times New Roman"/>
          <w:sz w:val="24"/>
          <w:szCs w:val="24"/>
        </w:rPr>
        <w:t xml:space="preserve"> engineering Ltd </w:t>
      </w:r>
      <w:r w:rsidR="00143917" w:rsidRPr="00143917">
        <w:rPr>
          <w:rFonts w:ascii="Times New Roman" w:hAnsi="Times New Roman" w:cs="Times New Roman"/>
          <w:sz w:val="24"/>
          <w:szCs w:val="24"/>
        </w:rPr>
        <w:t xml:space="preserve">represents a traditional manufacturing organization facing a modern operations-management challenge. Although the business has survived for many decades and has recently experienced growth in machining and sand casting, its inventory systems have not developed at the same pace as its operational complexity. The discovery of approximately £20, 000 of expired sand-binding resin is therefore not simply an isolated </w:t>
      </w:r>
      <w:r w:rsidR="00BF3697" w:rsidRPr="00143917">
        <w:rPr>
          <w:rFonts w:ascii="Times New Roman" w:hAnsi="Times New Roman" w:cs="Times New Roman"/>
          <w:sz w:val="24"/>
          <w:szCs w:val="24"/>
        </w:rPr>
        <w:t>buying</w:t>
      </w:r>
      <w:r w:rsidR="00143917" w:rsidRPr="00143917">
        <w:rPr>
          <w:rFonts w:ascii="Times New Roman" w:hAnsi="Times New Roman" w:cs="Times New Roman"/>
          <w:sz w:val="24"/>
          <w:szCs w:val="24"/>
        </w:rPr>
        <w:t xml:space="preserve"> error. It is evidence of a wider failure in inventory visibility, demand planning, supplier coordination and sustainable operations control.</w:t>
      </w:r>
    </w:p>
    <w:p w14:paraId="2360ACAB" w14:textId="056CD88E" w:rsidR="00143917" w:rsidRPr="00143917" w:rsidRDefault="00143917" w:rsidP="00143917">
      <w:pPr>
        <w:spacing w:line="360" w:lineRule="auto"/>
        <w:jc w:val="both"/>
        <w:rPr>
          <w:rFonts w:ascii="Times New Roman" w:hAnsi="Times New Roman" w:cs="Times New Roman"/>
          <w:sz w:val="24"/>
          <w:szCs w:val="24"/>
        </w:rPr>
      </w:pPr>
      <w:r w:rsidRPr="00143917">
        <w:rPr>
          <w:rFonts w:ascii="Times New Roman" w:hAnsi="Times New Roman" w:cs="Times New Roman"/>
          <w:sz w:val="24"/>
          <w:szCs w:val="24"/>
        </w:rPr>
        <w:t xml:space="preserve">The central issue is that </w:t>
      </w:r>
      <w:proofErr w:type="spellStart"/>
      <w:r w:rsidRPr="00143917">
        <w:rPr>
          <w:rFonts w:ascii="Times New Roman" w:hAnsi="Times New Roman" w:cs="Times New Roman"/>
          <w:sz w:val="24"/>
          <w:szCs w:val="24"/>
        </w:rPr>
        <w:t>Brocksweir</w:t>
      </w:r>
      <w:proofErr w:type="spellEnd"/>
      <w:r w:rsidRPr="00143917">
        <w:rPr>
          <w:rFonts w:ascii="Times New Roman" w:hAnsi="Times New Roman" w:cs="Times New Roman"/>
          <w:sz w:val="24"/>
          <w:szCs w:val="24"/>
        </w:rPr>
        <w:t xml:space="preserve"> appears to have followed a price-led purchasing logic, particularly through bulk buying of sand and resin, without fully considering total cost of ownership. In short term, bulk purchasing may reduce unit purchase price: however, in this case it has generated hidden costs through expiry, storage, drying, hazardous-waste disposal and environmental compliance. This demonstrates a classic case of sub-</w:t>
      </w:r>
      <w:r w:rsidRPr="00761DF0">
        <w:rPr>
          <w:rFonts w:ascii="Times New Roman" w:hAnsi="Times New Roman" w:cs="Times New Roman"/>
          <w:sz w:val="24"/>
          <w:szCs w:val="24"/>
          <w:lang w:val="en-GB"/>
        </w:rPr>
        <w:t>optimisation</w:t>
      </w:r>
      <w:r w:rsidRPr="00143917">
        <w:rPr>
          <w:rFonts w:ascii="Times New Roman" w:hAnsi="Times New Roman" w:cs="Times New Roman"/>
          <w:sz w:val="24"/>
          <w:szCs w:val="24"/>
        </w:rPr>
        <w:t>, where one function, purchasing, attempts to reduce cost locally but creates higher cost and risk across the wider system.</w:t>
      </w:r>
    </w:p>
    <w:p w14:paraId="4A403FD5" w14:textId="0A8CF8EC" w:rsidR="00143917" w:rsidRPr="00143917" w:rsidRDefault="00143917" w:rsidP="00143917">
      <w:pPr>
        <w:spacing w:line="360" w:lineRule="auto"/>
        <w:jc w:val="both"/>
        <w:rPr>
          <w:rFonts w:ascii="Times New Roman" w:hAnsi="Times New Roman" w:cs="Times New Roman"/>
          <w:sz w:val="24"/>
          <w:szCs w:val="24"/>
        </w:rPr>
      </w:pPr>
      <w:r w:rsidRPr="00143917">
        <w:rPr>
          <w:rFonts w:ascii="Times New Roman" w:hAnsi="Times New Roman" w:cs="Times New Roman"/>
          <w:sz w:val="24"/>
          <w:szCs w:val="24"/>
        </w:rPr>
        <w:t xml:space="preserve">This report critically evaluates three connected issues: first, how </w:t>
      </w:r>
      <w:proofErr w:type="spellStart"/>
      <w:r w:rsidRPr="00143917">
        <w:rPr>
          <w:rFonts w:ascii="Times New Roman" w:hAnsi="Times New Roman" w:cs="Times New Roman"/>
          <w:sz w:val="24"/>
          <w:szCs w:val="24"/>
        </w:rPr>
        <w:t>Brocksweir</w:t>
      </w:r>
      <w:proofErr w:type="spellEnd"/>
      <w:r w:rsidRPr="00143917">
        <w:rPr>
          <w:rFonts w:ascii="Times New Roman" w:hAnsi="Times New Roman" w:cs="Times New Roman"/>
          <w:sz w:val="24"/>
          <w:szCs w:val="24"/>
        </w:rPr>
        <w:t xml:space="preserve"> can improve the management of sand and resin inventory. Second, how the company should deal with obsolete resin stock; and third, how the </w:t>
      </w:r>
      <w:r w:rsidR="00761DF0" w:rsidRPr="00143917">
        <w:rPr>
          <w:rFonts w:ascii="Times New Roman" w:hAnsi="Times New Roman" w:cs="Times New Roman"/>
          <w:sz w:val="24"/>
          <w:szCs w:val="24"/>
        </w:rPr>
        <w:t>organizations</w:t>
      </w:r>
      <w:r w:rsidRPr="00143917">
        <w:rPr>
          <w:rFonts w:ascii="Times New Roman" w:hAnsi="Times New Roman" w:cs="Times New Roman"/>
          <w:sz w:val="24"/>
          <w:szCs w:val="24"/>
        </w:rPr>
        <w:t xml:space="preserve"> can gain a better understanding of lead time across that </w:t>
      </w:r>
      <w:proofErr w:type="spellStart"/>
      <w:r w:rsidRPr="00143917">
        <w:rPr>
          <w:rFonts w:ascii="Times New Roman" w:hAnsi="Times New Roman" w:cs="Times New Roman"/>
          <w:sz w:val="24"/>
          <w:szCs w:val="24"/>
        </w:rPr>
        <w:t>Brockweir</w:t>
      </w:r>
      <w:proofErr w:type="spellEnd"/>
      <w:r w:rsidRPr="00143917">
        <w:rPr>
          <w:rFonts w:ascii="Times New Roman" w:hAnsi="Times New Roman" w:cs="Times New Roman"/>
          <w:sz w:val="24"/>
          <w:szCs w:val="24"/>
        </w:rPr>
        <w:t xml:space="preserve"> requires an integrated inventory-management systems based on total cost, shelf-life control, supplier collaborations, digitally visibility and sustainability principle. The aim is not merely to reduce stock levels, but to create a more resilient, compliant and environmentally responsible operating system. </w:t>
      </w:r>
    </w:p>
    <w:p w14:paraId="763CDEED" w14:textId="77777777" w:rsidR="00E47837" w:rsidRDefault="00E47837" w:rsidP="009E1E60">
      <w:pPr>
        <w:rPr>
          <w:rFonts w:ascii="Times New Roman" w:hAnsi="Times New Roman" w:cs="Times New Roman"/>
          <w:sz w:val="24"/>
          <w:szCs w:val="24"/>
        </w:rPr>
      </w:pPr>
    </w:p>
    <w:p w14:paraId="13DEA1BB" w14:textId="77777777" w:rsidR="00E47837" w:rsidRDefault="00E47837" w:rsidP="009E1E60">
      <w:pPr>
        <w:rPr>
          <w:rFonts w:ascii="Times New Roman" w:hAnsi="Times New Roman" w:cs="Times New Roman"/>
          <w:sz w:val="24"/>
          <w:szCs w:val="24"/>
        </w:rPr>
      </w:pPr>
    </w:p>
    <w:p w14:paraId="45EE70E9" w14:textId="77777777" w:rsidR="00BF5ED2" w:rsidRDefault="00BF5ED2" w:rsidP="009E1E60">
      <w:pPr>
        <w:rPr>
          <w:rFonts w:ascii="Times New Roman" w:hAnsi="Times New Roman" w:cs="Times New Roman"/>
          <w:sz w:val="24"/>
          <w:szCs w:val="24"/>
        </w:rPr>
      </w:pPr>
    </w:p>
    <w:p w14:paraId="1C58F63D" w14:textId="77777777" w:rsidR="006D6922" w:rsidRDefault="006D6922" w:rsidP="009E1E60">
      <w:pPr>
        <w:rPr>
          <w:rFonts w:ascii="Times New Roman" w:hAnsi="Times New Roman" w:cs="Times New Roman"/>
          <w:sz w:val="24"/>
          <w:szCs w:val="24"/>
        </w:rPr>
      </w:pPr>
    </w:p>
    <w:p w14:paraId="7943A1DA" w14:textId="77777777" w:rsidR="006D6922" w:rsidRDefault="006D6922" w:rsidP="009E1E60">
      <w:pPr>
        <w:rPr>
          <w:rFonts w:ascii="Times New Roman" w:hAnsi="Times New Roman" w:cs="Times New Roman"/>
          <w:sz w:val="24"/>
          <w:szCs w:val="24"/>
        </w:rPr>
      </w:pPr>
    </w:p>
    <w:p w14:paraId="59633EFC" w14:textId="77777777" w:rsidR="006D6922" w:rsidRPr="009E1E60" w:rsidRDefault="006D6922" w:rsidP="009E1E60">
      <w:pPr>
        <w:rPr>
          <w:rFonts w:ascii="Times New Roman" w:hAnsi="Times New Roman" w:cs="Times New Roman"/>
          <w:sz w:val="24"/>
          <w:szCs w:val="24"/>
        </w:rPr>
      </w:pPr>
    </w:p>
    <w:p w14:paraId="676E8018" w14:textId="3D873BAB" w:rsidR="008C1C1A" w:rsidRPr="0065036D" w:rsidRDefault="00B87AF3" w:rsidP="0065036D">
      <w:pPr>
        <w:pStyle w:val="Heading1"/>
        <w:rPr>
          <w:rFonts w:ascii="Times New Roman" w:hAnsi="Times New Roman" w:cs="Times New Roman"/>
          <w:b/>
          <w:bCs/>
          <w:sz w:val="32"/>
          <w:szCs w:val="32"/>
        </w:rPr>
      </w:pPr>
      <w:bookmarkStart w:id="2" w:name="_Toc229048348"/>
      <w:r>
        <w:rPr>
          <w:rFonts w:ascii="Times New Roman" w:hAnsi="Times New Roman" w:cs="Times New Roman"/>
          <w:b/>
          <w:bCs/>
          <w:sz w:val="32"/>
          <w:szCs w:val="32"/>
        </w:rPr>
        <w:lastRenderedPageBreak/>
        <w:t>2</w:t>
      </w:r>
      <w:r w:rsidR="005303BB">
        <w:rPr>
          <w:rFonts w:ascii="Times New Roman" w:hAnsi="Times New Roman" w:cs="Times New Roman"/>
          <w:b/>
          <w:bCs/>
          <w:sz w:val="32"/>
          <w:szCs w:val="32"/>
        </w:rPr>
        <w:t xml:space="preserve">.0 </w:t>
      </w:r>
      <w:r w:rsidR="003D727C" w:rsidRPr="003D727C">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MANAGEMENT OF SAND AND RESINS</w:t>
      </w:r>
      <w:bookmarkEnd w:id="2"/>
    </w:p>
    <w:p w14:paraId="2D71A3AC" w14:textId="0B6CB9AB" w:rsidR="003C0B40" w:rsidRDefault="00B87AF3" w:rsidP="00512B7C">
      <w:pPr>
        <w:tabs>
          <w:tab w:val="left" w:pos="1008"/>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inventory problem is not simply that too much resin was purchased. The deeper issue is that the company has been using a cost-led purchasing approach without a structured inventory-management system. Bulk </w:t>
      </w:r>
      <w:r w:rsidR="00127547">
        <w:rPr>
          <w:rFonts w:ascii="Times New Roman" w:hAnsi="Times New Roman" w:cs="Times New Roman"/>
          <w:sz w:val="24"/>
          <w:szCs w:val="24"/>
        </w:rPr>
        <w:t>purchasing</w:t>
      </w:r>
      <w:r>
        <w:rPr>
          <w:rFonts w:ascii="Times New Roman" w:hAnsi="Times New Roman" w:cs="Times New Roman"/>
          <w:sz w:val="24"/>
          <w:szCs w:val="24"/>
        </w:rPr>
        <w:t xml:space="preserve"> may appear </w:t>
      </w:r>
      <w:r w:rsidR="00BF3697">
        <w:rPr>
          <w:rFonts w:ascii="Times New Roman" w:hAnsi="Times New Roman" w:cs="Times New Roman"/>
          <w:sz w:val="24"/>
          <w:szCs w:val="24"/>
        </w:rPr>
        <w:t>normal</w:t>
      </w:r>
      <w:r>
        <w:rPr>
          <w:rFonts w:ascii="Times New Roman" w:hAnsi="Times New Roman" w:cs="Times New Roman"/>
          <w:sz w:val="24"/>
          <w:szCs w:val="24"/>
        </w:rPr>
        <w:t xml:space="preserve"> when judged only by purchase price, but it </w:t>
      </w:r>
      <w:r w:rsidR="00BF3697">
        <w:rPr>
          <w:rFonts w:ascii="Times New Roman" w:hAnsi="Times New Roman" w:cs="Times New Roman"/>
          <w:sz w:val="24"/>
          <w:szCs w:val="24"/>
        </w:rPr>
        <w:t>turns</w:t>
      </w:r>
      <w:r w:rsidR="00127547">
        <w:rPr>
          <w:rFonts w:ascii="Times New Roman" w:hAnsi="Times New Roman" w:cs="Times New Roman"/>
          <w:sz w:val="24"/>
          <w:szCs w:val="24"/>
        </w:rPr>
        <w:t xml:space="preserve"> out to be</w:t>
      </w:r>
      <w:r>
        <w:rPr>
          <w:rFonts w:ascii="Times New Roman" w:hAnsi="Times New Roman" w:cs="Times New Roman"/>
          <w:sz w:val="24"/>
          <w:szCs w:val="24"/>
        </w:rPr>
        <w:t xml:space="preserve"> </w:t>
      </w:r>
      <w:r w:rsidR="00127547">
        <w:rPr>
          <w:rFonts w:ascii="Times New Roman" w:hAnsi="Times New Roman" w:cs="Times New Roman"/>
          <w:sz w:val="24"/>
          <w:szCs w:val="24"/>
        </w:rPr>
        <w:t>challenging</w:t>
      </w:r>
      <w:r>
        <w:rPr>
          <w:rFonts w:ascii="Times New Roman" w:hAnsi="Times New Roman" w:cs="Times New Roman"/>
          <w:sz w:val="24"/>
          <w:szCs w:val="24"/>
        </w:rPr>
        <w:t xml:space="preserve"> when the material has a short life, creates hazardous or special waste, requires controlled storage, and generates disposal costs if </w:t>
      </w:r>
      <w:r w:rsidR="00BF3697">
        <w:rPr>
          <w:rFonts w:ascii="Times New Roman" w:hAnsi="Times New Roman" w:cs="Times New Roman"/>
          <w:sz w:val="24"/>
          <w:szCs w:val="24"/>
        </w:rPr>
        <w:t>idle</w:t>
      </w:r>
      <w:r>
        <w:rPr>
          <w:rFonts w:ascii="Times New Roman" w:hAnsi="Times New Roman" w:cs="Times New Roman"/>
          <w:sz w:val="24"/>
          <w:szCs w:val="24"/>
        </w:rPr>
        <w:t>.</w:t>
      </w:r>
    </w:p>
    <w:p w14:paraId="18E532E3" w14:textId="010037FE" w:rsidR="00B87AF3" w:rsidRDefault="00B87AF3" w:rsidP="00512B7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expired £20,000 resin stock therefore demonstrates a failure of total cost management. The company has focused on visible purchase savings while ignoring hidden costs such as storage, drying, obsolescence, waste disposal, compliance risk and cash tied up in inventory. This is a classic case of sub-</w:t>
      </w:r>
      <w:r w:rsidR="00761DF0">
        <w:rPr>
          <w:rFonts w:ascii="Times New Roman" w:hAnsi="Times New Roman" w:cs="Times New Roman"/>
          <w:sz w:val="24"/>
          <w:szCs w:val="24"/>
        </w:rPr>
        <w:t>optimization</w:t>
      </w:r>
      <w:r>
        <w:rPr>
          <w:rFonts w:ascii="Times New Roman" w:hAnsi="Times New Roman" w:cs="Times New Roman"/>
          <w:sz w:val="24"/>
          <w:szCs w:val="24"/>
        </w:rPr>
        <w:t xml:space="preserve">, where purchasing decisions reduce cost in one area while increasing cost across the wider operation. </w:t>
      </w:r>
    </w:p>
    <w:tbl>
      <w:tblPr>
        <w:tblStyle w:val="TableGrid"/>
        <w:tblW w:w="0" w:type="auto"/>
        <w:tblLook w:val="04A0" w:firstRow="1" w:lastRow="0" w:firstColumn="1" w:lastColumn="0" w:noHBand="0" w:noVBand="1"/>
      </w:tblPr>
      <w:tblGrid>
        <w:gridCol w:w="1718"/>
        <w:gridCol w:w="1747"/>
        <w:gridCol w:w="1799"/>
        <w:gridCol w:w="1776"/>
        <w:gridCol w:w="1976"/>
      </w:tblGrid>
      <w:tr w:rsidR="00B87AF3" w14:paraId="00412170" w14:textId="5B8593EF" w:rsidTr="00512B7C">
        <w:tc>
          <w:tcPr>
            <w:tcW w:w="1728" w:type="dxa"/>
          </w:tcPr>
          <w:p w14:paraId="64E4B342" w14:textId="35727967"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Problem identified</w:t>
            </w:r>
          </w:p>
        </w:tc>
        <w:tc>
          <w:tcPr>
            <w:tcW w:w="1755" w:type="dxa"/>
          </w:tcPr>
          <w:p w14:paraId="34BDC6EA" w14:textId="72F809CF"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Immediate cause</w:t>
            </w:r>
          </w:p>
        </w:tc>
        <w:tc>
          <w:tcPr>
            <w:tcW w:w="1807" w:type="dxa"/>
          </w:tcPr>
          <w:p w14:paraId="6F84D3F9" w14:textId="6EACEC53"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Deeper system cause</w:t>
            </w:r>
          </w:p>
        </w:tc>
        <w:tc>
          <w:tcPr>
            <w:tcW w:w="1782" w:type="dxa"/>
          </w:tcPr>
          <w:p w14:paraId="55C4F6E9" w14:textId="39B3B7B5"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Operational impact</w:t>
            </w:r>
          </w:p>
        </w:tc>
        <w:tc>
          <w:tcPr>
            <w:tcW w:w="1944" w:type="dxa"/>
          </w:tcPr>
          <w:p w14:paraId="2E893149" w14:textId="22A7104A"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Sustainability impact</w:t>
            </w:r>
          </w:p>
        </w:tc>
      </w:tr>
      <w:tr w:rsidR="00B87AF3" w14:paraId="1A7BB41F" w14:textId="603481DA" w:rsidTr="00512B7C">
        <w:tc>
          <w:tcPr>
            <w:tcW w:w="1728" w:type="dxa"/>
          </w:tcPr>
          <w:p w14:paraId="6CABD07C" w14:textId="575D5269"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Resin expiry</w:t>
            </w:r>
          </w:p>
          <w:p w14:paraId="5DAC8287" w14:textId="14B956E6"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(£20 k loss)</w:t>
            </w:r>
          </w:p>
        </w:tc>
        <w:tc>
          <w:tcPr>
            <w:tcW w:w="1755" w:type="dxa"/>
          </w:tcPr>
          <w:p w14:paraId="3E1861C4" w14:textId="0AFBF3BE"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Bulk purchasing of short-life material</w:t>
            </w:r>
          </w:p>
        </w:tc>
        <w:tc>
          <w:tcPr>
            <w:tcW w:w="1807" w:type="dxa"/>
          </w:tcPr>
          <w:p w14:paraId="486B7392" w14:textId="322F5A37"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shelf-life base inventory control</w:t>
            </w:r>
          </w:p>
        </w:tc>
        <w:tc>
          <w:tcPr>
            <w:tcW w:w="1782" w:type="dxa"/>
          </w:tcPr>
          <w:p w14:paraId="5D3D79EF" w14:textId="5DA4C22D"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Financial loss and disposal cost</w:t>
            </w:r>
          </w:p>
        </w:tc>
        <w:tc>
          <w:tcPr>
            <w:tcW w:w="1944" w:type="dxa"/>
          </w:tcPr>
          <w:p w14:paraId="59667B36" w14:textId="681FF152"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Hazardous/special waste generation</w:t>
            </w:r>
          </w:p>
        </w:tc>
      </w:tr>
      <w:tr w:rsidR="00B87AF3" w14:paraId="0FABD6B8" w14:textId="4B91997D" w:rsidTr="00512B7C">
        <w:tc>
          <w:tcPr>
            <w:tcW w:w="1728" w:type="dxa"/>
          </w:tcPr>
          <w:p w14:paraId="16B9CB20" w14:textId="663E9B3E"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Excess resin stock</w:t>
            </w:r>
          </w:p>
        </w:tc>
        <w:tc>
          <w:tcPr>
            <w:tcW w:w="1755" w:type="dxa"/>
          </w:tcPr>
          <w:p w14:paraId="70B25780" w14:textId="04C9A9AF"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Buying for discount rather than actual usage</w:t>
            </w:r>
          </w:p>
        </w:tc>
        <w:tc>
          <w:tcPr>
            <w:tcW w:w="1807" w:type="dxa"/>
          </w:tcPr>
          <w:p w14:paraId="04D3B148" w14:textId="11A2F8AE"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Weak demand forecasting</w:t>
            </w:r>
          </w:p>
        </w:tc>
        <w:tc>
          <w:tcPr>
            <w:tcW w:w="1782" w:type="dxa"/>
          </w:tcPr>
          <w:p w14:paraId="4844BA4C" w14:textId="538147AA"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Cash tied up in obsolete stock</w:t>
            </w:r>
          </w:p>
        </w:tc>
        <w:tc>
          <w:tcPr>
            <w:tcW w:w="1944" w:type="dxa"/>
          </w:tcPr>
          <w:p w14:paraId="2BBA2634" w14:textId="6CB86B5A"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Increased waste and compliance burden</w:t>
            </w:r>
          </w:p>
        </w:tc>
      </w:tr>
      <w:tr w:rsidR="00B87AF3" w14:paraId="2DACD065" w14:textId="1F5871E8" w:rsidTr="00512B7C">
        <w:tc>
          <w:tcPr>
            <w:tcW w:w="1728" w:type="dxa"/>
          </w:tcPr>
          <w:p w14:paraId="4E5913E7" w14:textId="525D797B"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Excess sand stock</w:t>
            </w:r>
          </w:p>
        </w:tc>
        <w:tc>
          <w:tcPr>
            <w:tcW w:w="1755" w:type="dxa"/>
          </w:tcPr>
          <w:p w14:paraId="4A5D7490" w14:textId="0A567601"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Poor visibility of actual usage</w:t>
            </w:r>
          </w:p>
        </w:tc>
        <w:tc>
          <w:tcPr>
            <w:tcW w:w="1807" w:type="dxa"/>
          </w:tcPr>
          <w:p w14:paraId="7E4D8483" w14:textId="14BA1C28"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formal min-max control</w:t>
            </w:r>
          </w:p>
        </w:tc>
        <w:tc>
          <w:tcPr>
            <w:tcW w:w="1782" w:type="dxa"/>
          </w:tcPr>
          <w:p w14:paraId="7EE18B60" w14:textId="25BAC89F"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Additional drying and storage cost</w:t>
            </w:r>
          </w:p>
        </w:tc>
        <w:tc>
          <w:tcPr>
            <w:tcW w:w="1944" w:type="dxa"/>
          </w:tcPr>
          <w:p w14:paraId="1F16A308" w14:textId="0580B897"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Higher energy use and disposal burden</w:t>
            </w:r>
          </w:p>
        </w:tc>
      </w:tr>
      <w:tr w:rsidR="00512B7C" w14:paraId="20F0D220" w14:textId="77777777" w:rsidTr="00512B7C">
        <w:tc>
          <w:tcPr>
            <w:tcW w:w="1728" w:type="dxa"/>
          </w:tcPr>
          <w:p w14:paraId="29840DFE" w14:textId="0993A367"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Rising disposal costs</w:t>
            </w:r>
          </w:p>
        </w:tc>
        <w:tc>
          <w:tcPr>
            <w:tcW w:w="1755" w:type="dxa"/>
          </w:tcPr>
          <w:p w14:paraId="4A199061" w14:textId="6BF2D523"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Foundry sand now treated as special waste</w:t>
            </w:r>
          </w:p>
        </w:tc>
        <w:tc>
          <w:tcPr>
            <w:tcW w:w="1807" w:type="dxa"/>
          </w:tcPr>
          <w:p w14:paraId="51C4C18A" w14:textId="6B40F852"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prevention or reclamation strategy</w:t>
            </w:r>
          </w:p>
        </w:tc>
        <w:tc>
          <w:tcPr>
            <w:tcW w:w="1782" w:type="dxa"/>
          </w:tcPr>
          <w:p w14:paraId="04419EFB" w14:textId="798B02D6"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Higher operating cost</w:t>
            </w:r>
          </w:p>
        </w:tc>
        <w:tc>
          <w:tcPr>
            <w:tcW w:w="1944" w:type="dxa"/>
          </w:tcPr>
          <w:p w14:paraId="647CC079" w14:textId="748929B4"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Poor waste hierarchy performance</w:t>
            </w:r>
          </w:p>
        </w:tc>
      </w:tr>
      <w:tr w:rsidR="00512B7C" w14:paraId="75C717FF" w14:textId="77777777" w:rsidTr="00512B7C">
        <w:tc>
          <w:tcPr>
            <w:tcW w:w="1728" w:type="dxa"/>
          </w:tcPr>
          <w:p w14:paraId="5ED7BBE4" w14:textId="180C9076"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Poor material visibility</w:t>
            </w:r>
          </w:p>
        </w:tc>
        <w:tc>
          <w:tcPr>
            <w:tcW w:w="1755" w:type="dxa"/>
          </w:tcPr>
          <w:p w14:paraId="15501071" w14:textId="36B44F81"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formal inventory system</w:t>
            </w:r>
          </w:p>
        </w:tc>
        <w:tc>
          <w:tcPr>
            <w:tcW w:w="1807" w:type="dxa"/>
          </w:tcPr>
          <w:p w14:paraId="3B938722" w14:textId="7AADE4DF"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Fragmented purchasing, stores and production data</w:t>
            </w:r>
          </w:p>
        </w:tc>
        <w:tc>
          <w:tcPr>
            <w:tcW w:w="1782" w:type="dxa"/>
          </w:tcPr>
          <w:p w14:paraId="25B3F327" w14:textId="5D46CE89"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Reactive decision-making</w:t>
            </w:r>
          </w:p>
        </w:tc>
        <w:tc>
          <w:tcPr>
            <w:tcW w:w="1944" w:type="dxa"/>
          </w:tcPr>
          <w:p w14:paraId="0383E3CE" w14:textId="30A90291"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Sustainability not built into control system</w:t>
            </w:r>
          </w:p>
        </w:tc>
      </w:tr>
    </w:tbl>
    <w:p w14:paraId="6385A76D" w14:textId="77777777" w:rsidR="003C0B40" w:rsidRDefault="003C0B40" w:rsidP="003C0B40">
      <w:pPr>
        <w:tabs>
          <w:tab w:val="left" w:pos="1008"/>
        </w:tabs>
      </w:pPr>
    </w:p>
    <w:p w14:paraId="3BB902A0" w14:textId="77777777" w:rsidR="008E38C1" w:rsidRDefault="008E38C1" w:rsidP="003C0B40">
      <w:pPr>
        <w:tabs>
          <w:tab w:val="left" w:pos="1008"/>
        </w:tabs>
      </w:pPr>
    </w:p>
    <w:p w14:paraId="1BC46298" w14:textId="6F189FEA" w:rsidR="00165F66" w:rsidRPr="003D727C" w:rsidRDefault="00512B7C" w:rsidP="003D727C">
      <w:pPr>
        <w:tabs>
          <w:tab w:val="left" w:pos="1008"/>
        </w:tabs>
        <w:spacing w:line="360" w:lineRule="auto"/>
        <w:jc w:val="both"/>
        <w:rPr>
          <w:rFonts w:ascii="Times New Roman" w:hAnsi="Times New Roman" w:cs="Times New Roman"/>
          <w:sz w:val="24"/>
          <w:szCs w:val="24"/>
        </w:rPr>
      </w:pPr>
      <w:r w:rsidRPr="008E38C1">
        <w:rPr>
          <w:rFonts w:ascii="Times New Roman" w:hAnsi="Times New Roman" w:cs="Times New Roman"/>
          <w:sz w:val="24"/>
          <w:szCs w:val="24"/>
        </w:rPr>
        <w:lastRenderedPageBreak/>
        <w:t xml:space="preserve">This table show that </w:t>
      </w:r>
      <w:proofErr w:type="spellStart"/>
      <w:r w:rsidRPr="008E38C1">
        <w:rPr>
          <w:rFonts w:ascii="Times New Roman" w:hAnsi="Times New Roman" w:cs="Times New Roman"/>
          <w:sz w:val="24"/>
          <w:szCs w:val="24"/>
        </w:rPr>
        <w:t>Brocksweir</w:t>
      </w:r>
      <w:proofErr w:type="spellEnd"/>
      <w:r w:rsidRPr="008E38C1">
        <w:rPr>
          <w:rFonts w:ascii="Times New Roman" w:hAnsi="Times New Roman" w:cs="Times New Roman"/>
          <w:sz w:val="24"/>
          <w:szCs w:val="24"/>
        </w:rPr>
        <w:t xml:space="preserve"> inventory problems are connected. Resin expiry, excess sand, disposal cost and weak visibility are not separate issues; they are symptoms of a fragmented operating system. Therefore, the solution should not simply be ‘buy less stock’</w:t>
      </w:r>
      <w:r w:rsidR="008E38C1" w:rsidRPr="008E38C1">
        <w:rPr>
          <w:rFonts w:ascii="Times New Roman" w:hAnsi="Times New Roman" w:cs="Times New Roman"/>
          <w:sz w:val="24"/>
          <w:szCs w:val="24"/>
        </w:rPr>
        <w:t xml:space="preserve">. </w:t>
      </w:r>
      <w:proofErr w:type="spellStart"/>
      <w:r w:rsidR="008E38C1" w:rsidRPr="008E38C1">
        <w:rPr>
          <w:rFonts w:ascii="Times New Roman" w:hAnsi="Times New Roman" w:cs="Times New Roman"/>
          <w:sz w:val="24"/>
          <w:szCs w:val="24"/>
        </w:rPr>
        <w:t>Brocksweir</w:t>
      </w:r>
      <w:proofErr w:type="spellEnd"/>
      <w:r w:rsidR="008E38C1" w:rsidRPr="008E38C1">
        <w:rPr>
          <w:rFonts w:ascii="Times New Roman" w:hAnsi="Times New Roman" w:cs="Times New Roman"/>
          <w:sz w:val="24"/>
          <w:szCs w:val="24"/>
        </w:rPr>
        <w:t xml:space="preserve"> need a redesigned inventory-control system that links purchasing, stores, production planning, suppler management and sustainability.</w:t>
      </w:r>
    </w:p>
    <w:p w14:paraId="42A706D4" w14:textId="6C21F065" w:rsidR="00404255" w:rsidRPr="003D727C" w:rsidRDefault="008E38C1" w:rsidP="00404255">
      <w:pPr>
        <w:pStyle w:val="Heading1"/>
        <w:rPr>
          <w:rFonts w:ascii="Times New Roman" w:hAnsi="Times New Roman" w:cs="Times New Roman"/>
          <w:b/>
          <w:bCs/>
          <w:sz w:val="28"/>
          <w:szCs w:val="28"/>
        </w:rPr>
      </w:pPr>
      <w:bookmarkStart w:id="3" w:name="_Toc229048349"/>
      <w:r>
        <w:rPr>
          <w:rFonts w:ascii="Times New Roman" w:hAnsi="Times New Roman" w:cs="Times New Roman"/>
          <w:b/>
          <w:bCs/>
          <w:sz w:val="32"/>
          <w:szCs w:val="32"/>
        </w:rPr>
        <w:t>2</w:t>
      </w:r>
      <w:r w:rsidR="00BF5D65">
        <w:rPr>
          <w:rFonts w:ascii="Times New Roman" w:hAnsi="Times New Roman" w:cs="Times New Roman"/>
          <w:b/>
          <w:bCs/>
          <w:sz w:val="32"/>
          <w:szCs w:val="32"/>
        </w:rPr>
        <w:t>.</w:t>
      </w:r>
      <w:r w:rsidR="003D727C">
        <w:rPr>
          <w:rFonts w:ascii="Times New Roman" w:hAnsi="Times New Roman" w:cs="Times New Roman"/>
          <w:b/>
          <w:bCs/>
          <w:sz w:val="32"/>
          <w:szCs w:val="32"/>
        </w:rPr>
        <w:t>1</w:t>
      </w:r>
      <w:r w:rsidR="00DD4278">
        <w:rPr>
          <w:rFonts w:ascii="Times New Roman" w:hAnsi="Times New Roman" w:cs="Times New Roman"/>
          <w:b/>
          <w:bCs/>
          <w:sz w:val="32"/>
          <w:szCs w:val="32"/>
        </w:rPr>
        <w:t xml:space="preserve"> </w:t>
      </w:r>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SEGMENTATION: SAND, RESIN AND   OTHER MATERIALS</w:t>
      </w:r>
      <w:bookmarkEnd w:id="3"/>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BEFC175" w14:textId="59E35183" w:rsidR="008E38C1" w:rsidRDefault="008E38C1" w:rsidP="006D7088">
      <w:pPr>
        <w:tabs>
          <w:tab w:val="left" w:pos="1008"/>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Brockweir</w:t>
      </w:r>
      <w:proofErr w:type="spellEnd"/>
      <w:r>
        <w:rPr>
          <w:rFonts w:ascii="Times New Roman" w:hAnsi="Times New Roman" w:cs="Times New Roman"/>
          <w:sz w:val="24"/>
          <w:szCs w:val="24"/>
        </w:rPr>
        <w:t xml:space="preserve"> should not manage all material using the same inventory policy resin, sand, alloys and additives have different demand patterns, shelf-life risks, environmental risks and operational importance. A differentiated inventory strategy is therefore required.</w:t>
      </w:r>
    </w:p>
    <w:tbl>
      <w:tblPr>
        <w:tblStyle w:val="TableGrid"/>
        <w:tblW w:w="0" w:type="auto"/>
        <w:tblLook w:val="04A0" w:firstRow="1" w:lastRow="0" w:firstColumn="1" w:lastColumn="0" w:noHBand="0" w:noVBand="1"/>
      </w:tblPr>
      <w:tblGrid>
        <w:gridCol w:w="1803"/>
        <w:gridCol w:w="1803"/>
        <w:gridCol w:w="1803"/>
        <w:gridCol w:w="1803"/>
        <w:gridCol w:w="1804"/>
      </w:tblGrid>
      <w:tr w:rsidR="008E38C1" w14:paraId="7602EB88" w14:textId="77777777" w:rsidTr="008E38C1">
        <w:tc>
          <w:tcPr>
            <w:tcW w:w="1803" w:type="dxa"/>
          </w:tcPr>
          <w:p w14:paraId="2C16DFAD" w14:textId="094A80A7"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Inventory item</w:t>
            </w:r>
          </w:p>
        </w:tc>
        <w:tc>
          <w:tcPr>
            <w:tcW w:w="1803" w:type="dxa"/>
          </w:tcPr>
          <w:p w14:paraId="048FC199" w14:textId="57BC69EB"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Demand pattern</w:t>
            </w:r>
          </w:p>
        </w:tc>
        <w:tc>
          <w:tcPr>
            <w:tcW w:w="1803" w:type="dxa"/>
          </w:tcPr>
          <w:p w14:paraId="1A02C494" w14:textId="7C073409"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Shelf-life risk</w:t>
            </w:r>
          </w:p>
        </w:tc>
        <w:tc>
          <w:tcPr>
            <w:tcW w:w="1803" w:type="dxa"/>
          </w:tcPr>
          <w:p w14:paraId="773C2BDE" w14:textId="11A2C581"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Environmental risk</w:t>
            </w:r>
          </w:p>
        </w:tc>
        <w:tc>
          <w:tcPr>
            <w:tcW w:w="1804" w:type="dxa"/>
          </w:tcPr>
          <w:p w14:paraId="5A6BD623" w14:textId="557F275A"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Recommended control method</w:t>
            </w:r>
          </w:p>
        </w:tc>
      </w:tr>
      <w:tr w:rsidR="008E38C1" w14:paraId="4C2A15F8" w14:textId="77777777" w:rsidTr="008E38C1">
        <w:tc>
          <w:tcPr>
            <w:tcW w:w="1803" w:type="dxa"/>
          </w:tcPr>
          <w:p w14:paraId="6912B30B" w14:textId="5B87ED82"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Phenolic/furan resin</w:t>
            </w:r>
          </w:p>
        </w:tc>
        <w:tc>
          <w:tcPr>
            <w:tcW w:w="1803" w:type="dxa"/>
          </w:tcPr>
          <w:p w14:paraId="0D6BA9E8" w14:textId="1CDBF270"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Variable linked to sand casting orders</w:t>
            </w:r>
          </w:p>
        </w:tc>
        <w:tc>
          <w:tcPr>
            <w:tcW w:w="1803" w:type="dxa"/>
          </w:tcPr>
          <w:p w14:paraId="7661D4E3" w14:textId="1734B7C4"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2230FDBB" w14:textId="5DF55B5B"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1804" w:type="dxa"/>
          </w:tcPr>
          <w:p w14:paraId="4C82ACC0" w14:textId="37F9AEC6"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FEFO, batch tracking, min-max levels, supplier call-off</w:t>
            </w:r>
          </w:p>
        </w:tc>
      </w:tr>
      <w:tr w:rsidR="008E38C1" w14:paraId="5AFF884C" w14:textId="77777777" w:rsidTr="008E38C1">
        <w:tc>
          <w:tcPr>
            <w:tcW w:w="1803" w:type="dxa"/>
          </w:tcPr>
          <w:p w14:paraId="0599AB3B" w14:textId="5693484F"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Foundry sand</w:t>
            </w:r>
          </w:p>
        </w:tc>
        <w:tc>
          <w:tcPr>
            <w:tcW w:w="1803" w:type="dxa"/>
          </w:tcPr>
          <w:p w14:paraId="734AABA1" w14:textId="3BBDEC7C"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 to high usage</w:t>
            </w:r>
          </w:p>
        </w:tc>
        <w:tc>
          <w:tcPr>
            <w:tcW w:w="1803" w:type="dxa"/>
          </w:tcPr>
          <w:p w14:paraId="12A73E58" w14:textId="35CD9B3B"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350F7D60" w14:textId="4131C6B1"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Medium/high due to disposal classification</w:t>
            </w:r>
          </w:p>
        </w:tc>
        <w:tc>
          <w:tcPr>
            <w:tcW w:w="1804" w:type="dxa"/>
          </w:tcPr>
          <w:p w14:paraId="2E49A9B0" w14:textId="07EF8CFE"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Controlled bulk stock usage monitoring reclamation review</w:t>
            </w:r>
          </w:p>
        </w:tc>
      </w:tr>
      <w:tr w:rsidR="008E38C1" w14:paraId="14DD0B58" w14:textId="77777777" w:rsidTr="008E38C1">
        <w:tc>
          <w:tcPr>
            <w:tcW w:w="1803" w:type="dxa"/>
          </w:tcPr>
          <w:p w14:paraId="181CB0C4" w14:textId="0094BA74" w:rsidR="008E38C1" w:rsidRDefault="00761DF0"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Aluminum</w:t>
            </w:r>
            <w:r w:rsidR="004E2C7D">
              <w:rPr>
                <w:rFonts w:ascii="Times New Roman" w:hAnsi="Times New Roman" w:cs="Times New Roman"/>
                <w:sz w:val="24"/>
                <w:szCs w:val="24"/>
              </w:rPr>
              <w:t xml:space="preserve"> alloy</w:t>
            </w:r>
          </w:p>
        </w:tc>
        <w:tc>
          <w:tcPr>
            <w:tcW w:w="1803" w:type="dxa"/>
          </w:tcPr>
          <w:p w14:paraId="1FB60AEC" w14:textId="4C28DC7B"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Relatively stable</w:t>
            </w:r>
          </w:p>
        </w:tc>
        <w:tc>
          <w:tcPr>
            <w:tcW w:w="1803" w:type="dxa"/>
          </w:tcPr>
          <w:p w14:paraId="25CDD0A9" w14:textId="22E82452"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63CA9D76" w14:textId="4C62B239"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6F07AF4D" w14:textId="6008B7DC"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EOQ, reorder point and safety stock</w:t>
            </w:r>
          </w:p>
        </w:tc>
      </w:tr>
      <w:tr w:rsidR="008E38C1" w14:paraId="3C9C26CA" w14:textId="77777777" w:rsidTr="008E38C1">
        <w:tc>
          <w:tcPr>
            <w:tcW w:w="1803" w:type="dxa"/>
          </w:tcPr>
          <w:p w14:paraId="7F08F7DF" w14:textId="462F14B6"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Specialist additives</w:t>
            </w:r>
          </w:p>
        </w:tc>
        <w:tc>
          <w:tcPr>
            <w:tcW w:w="1803" w:type="dxa"/>
          </w:tcPr>
          <w:p w14:paraId="161A1C1A" w14:textId="103EB2D3"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irregular</w:t>
            </w:r>
          </w:p>
        </w:tc>
        <w:tc>
          <w:tcPr>
            <w:tcW w:w="1803" w:type="dxa"/>
          </w:tcPr>
          <w:p w14:paraId="02B4CF1E" w14:textId="1880A819"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6D7A51D1" w14:textId="78E13685"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08A1A74F" w14:textId="228BB66E"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review and low stockholding</w:t>
            </w:r>
          </w:p>
        </w:tc>
      </w:tr>
      <w:tr w:rsidR="004E2C7D" w14:paraId="3B44D29A" w14:textId="77777777" w:rsidTr="008E38C1">
        <w:tc>
          <w:tcPr>
            <w:tcW w:w="1803" w:type="dxa"/>
          </w:tcPr>
          <w:p w14:paraId="063593DD" w14:textId="5C7A8B21"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General</w:t>
            </w:r>
          </w:p>
        </w:tc>
        <w:tc>
          <w:tcPr>
            <w:tcW w:w="1803" w:type="dxa"/>
          </w:tcPr>
          <w:p w14:paraId="507648F2" w14:textId="5F4231F2"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Predictable</w:t>
            </w:r>
          </w:p>
        </w:tc>
        <w:tc>
          <w:tcPr>
            <w:tcW w:w="1803" w:type="dxa"/>
          </w:tcPr>
          <w:p w14:paraId="64D94693" w14:textId="29040760"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7E756D5C" w14:textId="4B89E779"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4" w:type="dxa"/>
          </w:tcPr>
          <w:p w14:paraId="79F15B34" w14:textId="08E23A0B"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Standard reorder point system</w:t>
            </w:r>
          </w:p>
        </w:tc>
      </w:tr>
    </w:tbl>
    <w:p w14:paraId="3CCC06D8" w14:textId="5CB623D7" w:rsidR="008E38C1" w:rsidRDefault="00573A99"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segmentation is important because a single stock-control method cannot manage material with different risk profile. Resin is the most sensitive item because it is perishable and creates expensive waste if unused. Sand is less perishable but still environmental significant because disposal has become more costly. Therefore, resin should be controlled tightly through expiry-date management, while sand should be controlled through usage monitoring, drying-cost analysis and reclamation opportunities.</w:t>
      </w:r>
    </w:p>
    <w:p w14:paraId="5FA24DFD" w14:textId="77777777" w:rsidR="00165F66" w:rsidRPr="006D7088" w:rsidRDefault="00165F66" w:rsidP="006D7088">
      <w:pPr>
        <w:tabs>
          <w:tab w:val="left" w:pos="1008"/>
        </w:tabs>
        <w:spacing w:line="360" w:lineRule="auto"/>
        <w:jc w:val="both"/>
        <w:rPr>
          <w:rFonts w:ascii="Times New Roman" w:hAnsi="Times New Roman" w:cs="Times New Roman"/>
          <w:sz w:val="24"/>
          <w:szCs w:val="24"/>
        </w:rPr>
      </w:pPr>
    </w:p>
    <w:p w14:paraId="78708C2D" w14:textId="3B0658B9" w:rsidR="00404255" w:rsidRPr="003D727C" w:rsidRDefault="00573A99" w:rsidP="00404255">
      <w:pPr>
        <w:pStyle w:val="Heading1"/>
        <w:rPr>
          <w:rFonts w:ascii="Times New Roman" w:hAnsi="Times New Roman" w:cs="Times New Roman"/>
          <w:b/>
          <w:bCs/>
          <w:sz w:val="28"/>
          <w:szCs w:val="28"/>
        </w:rPr>
      </w:pPr>
      <w:bookmarkStart w:id="4" w:name="_Toc229048350"/>
      <w:r>
        <w:rPr>
          <w:rFonts w:ascii="Times New Roman" w:hAnsi="Times New Roman" w:cs="Times New Roman"/>
          <w:b/>
          <w:bCs/>
          <w:sz w:val="32"/>
          <w:szCs w:val="32"/>
        </w:rPr>
        <w:t>2</w:t>
      </w:r>
      <w:r w:rsidR="00E500F8" w:rsidRPr="00E500F8">
        <w:rPr>
          <w:rFonts w:ascii="Times New Roman" w:hAnsi="Times New Roman" w:cs="Times New Roman"/>
          <w:b/>
          <w:bCs/>
          <w:sz w:val="32"/>
          <w:szCs w:val="32"/>
        </w:rPr>
        <w:t>.</w:t>
      </w:r>
      <w:r w:rsidR="003D727C">
        <w:rPr>
          <w:rFonts w:ascii="Times New Roman" w:hAnsi="Times New Roman" w:cs="Times New Roman"/>
          <w:b/>
          <w:bCs/>
          <w:sz w:val="32"/>
          <w:szCs w:val="32"/>
        </w:rPr>
        <w:t>2</w:t>
      </w:r>
      <w:r w:rsidR="006D7088">
        <w:rPr>
          <w:rFonts w:ascii="Times New Roman" w:hAnsi="Times New Roman" w:cs="Times New Roman"/>
          <w:b/>
          <w:bCs/>
          <w:sz w:val="32"/>
          <w:szCs w:val="32"/>
        </w:rPr>
        <w:t xml:space="preserve"> </w:t>
      </w:r>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FEFO AND SHELF-LIFE BASED RESIN CONTROL</w:t>
      </w:r>
      <w:bookmarkEnd w:id="4"/>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62E4E75" w14:textId="3923E891" w:rsidR="006D7088" w:rsidRDefault="00573A99"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resin inventory,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should introduce FEFO: first expired, first out. This is more appropriate than simple FIFO because the oldest stock is not always the stock with the shortest remaining usable life. Resin batches should be recorded by delivery date, batch number, expiry date, storage requirement, supplier certificate and remaining shelf life.</w:t>
      </w:r>
    </w:p>
    <w:tbl>
      <w:tblPr>
        <w:tblStyle w:val="TableGrid"/>
        <w:tblW w:w="0" w:type="auto"/>
        <w:tblLook w:val="04A0" w:firstRow="1" w:lastRow="0" w:firstColumn="1" w:lastColumn="0" w:noHBand="0" w:noVBand="1"/>
      </w:tblPr>
      <w:tblGrid>
        <w:gridCol w:w="3005"/>
        <w:gridCol w:w="3005"/>
        <w:gridCol w:w="3006"/>
      </w:tblGrid>
      <w:tr w:rsidR="0097560E" w14:paraId="6B98AED2" w14:textId="77777777" w:rsidTr="0097560E">
        <w:tc>
          <w:tcPr>
            <w:tcW w:w="3005" w:type="dxa"/>
          </w:tcPr>
          <w:p w14:paraId="1347770D" w14:textId="18C429B0" w:rsidR="0097560E" w:rsidRPr="003D727C" w:rsidRDefault="00573A99" w:rsidP="003D727C">
            <w:pPr>
              <w:tabs>
                <w:tab w:val="left" w:pos="1008"/>
              </w:tabs>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Control point</w:t>
            </w:r>
          </w:p>
        </w:tc>
        <w:tc>
          <w:tcPr>
            <w:tcW w:w="3005" w:type="dxa"/>
          </w:tcPr>
          <w:p w14:paraId="37AEDD27" w14:textId="0009B5DE" w:rsidR="0097560E" w:rsidRPr="003D727C" w:rsidRDefault="0097560E" w:rsidP="003D727C">
            <w:pPr>
              <w:tabs>
                <w:tab w:val="left" w:pos="1008"/>
              </w:tabs>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 xml:space="preserve">Required </w:t>
            </w:r>
            <w:r w:rsidR="00573A99" w:rsidRPr="003D727C">
              <w:rPr>
                <w:rFonts w:ascii="Times New Roman" w:hAnsi="Times New Roman" w:cs="Times New Roman"/>
                <w:b/>
                <w:bCs/>
                <w:sz w:val="24"/>
                <w:szCs w:val="24"/>
              </w:rPr>
              <w:t>Action</w:t>
            </w:r>
          </w:p>
        </w:tc>
        <w:tc>
          <w:tcPr>
            <w:tcW w:w="3006" w:type="dxa"/>
          </w:tcPr>
          <w:p w14:paraId="4A66FA2F" w14:textId="4DB845AC" w:rsidR="0097560E" w:rsidRPr="003D727C" w:rsidRDefault="00573A99" w:rsidP="003D727C">
            <w:pPr>
              <w:tabs>
                <w:tab w:val="left" w:pos="1008"/>
              </w:tabs>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purpose</w:t>
            </w:r>
          </w:p>
        </w:tc>
      </w:tr>
      <w:tr w:rsidR="0097560E" w14:paraId="3C8BC1AB" w14:textId="77777777" w:rsidTr="0097560E">
        <w:tc>
          <w:tcPr>
            <w:tcW w:w="3005" w:type="dxa"/>
          </w:tcPr>
          <w:p w14:paraId="5B778EA5" w14:textId="7003D6A4"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Good-in</w:t>
            </w:r>
          </w:p>
        </w:tc>
        <w:tc>
          <w:tcPr>
            <w:tcW w:w="3005" w:type="dxa"/>
          </w:tcPr>
          <w:p w14:paraId="14A84090" w14:textId="32CC4A3C"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Record batch number, expiry date and supplier certificate</w:t>
            </w:r>
          </w:p>
        </w:tc>
        <w:tc>
          <w:tcPr>
            <w:tcW w:w="3006" w:type="dxa"/>
          </w:tcPr>
          <w:p w14:paraId="15C18804" w14:textId="6BC7CE3B"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Creates traceability</w:t>
            </w:r>
          </w:p>
        </w:tc>
      </w:tr>
      <w:tr w:rsidR="0097560E" w14:paraId="0FBDCBBC" w14:textId="77777777" w:rsidTr="0097560E">
        <w:tc>
          <w:tcPr>
            <w:tcW w:w="3005" w:type="dxa"/>
          </w:tcPr>
          <w:p w14:paraId="58918A25" w14:textId="0BFA051C" w:rsidR="0097560E" w:rsidRDefault="003D727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w:t>
            </w:r>
            <w:r w:rsidR="00573A99">
              <w:rPr>
                <w:rFonts w:ascii="Times New Roman" w:hAnsi="Times New Roman" w:cs="Times New Roman"/>
                <w:sz w:val="24"/>
                <w:szCs w:val="24"/>
              </w:rPr>
              <w:t>torage</w:t>
            </w:r>
          </w:p>
        </w:tc>
        <w:tc>
          <w:tcPr>
            <w:tcW w:w="3005" w:type="dxa"/>
          </w:tcPr>
          <w:p w14:paraId="626DA327" w14:textId="0A6821A3"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Store according to supplier temperature and safety guidance</w:t>
            </w:r>
          </w:p>
        </w:tc>
        <w:tc>
          <w:tcPr>
            <w:tcW w:w="3006" w:type="dxa"/>
          </w:tcPr>
          <w:p w14:paraId="2318F6B9" w14:textId="03B69078"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Protects resin quality</w:t>
            </w:r>
          </w:p>
        </w:tc>
      </w:tr>
      <w:tr w:rsidR="0097560E" w14:paraId="4901D7AE" w14:textId="77777777" w:rsidTr="0097560E">
        <w:tc>
          <w:tcPr>
            <w:tcW w:w="3005" w:type="dxa"/>
          </w:tcPr>
          <w:p w14:paraId="7F3DAB6F" w14:textId="5A811503"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ERP or stock record entry</w:t>
            </w:r>
          </w:p>
        </w:tc>
        <w:tc>
          <w:tcPr>
            <w:tcW w:w="3005" w:type="dxa"/>
          </w:tcPr>
          <w:p w14:paraId="7BE6ADBE" w14:textId="24067641"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Add expiry date, quantity and storage location</w:t>
            </w:r>
          </w:p>
        </w:tc>
        <w:tc>
          <w:tcPr>
            <w:tcW w:w="3006" w:type="dxa"/>
          </w:tcPr>
          <w:p w14:paraId="5BA44BEE" w14:textId="26F3578F"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Enables digital visibility</w:t>
            </w:r>
          </w:p>
        </w:tc>
      </w:tr>
      <w:tr w:rsidR="00573A99" w14:paraId="27FB2CCC" w14:textId="77777777" w:rsidTr="0097560E">
        <w:tc>
          <w:tcPr>
            <w:tcW w:w="3005" w:type="dxa"/>
          </w:tcPr>
          <w:p w14:paraId="25DA3E67" w14:textId="4C940954" w:rsidR="00573A99"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Monthly review</w:t>
            </w:r>
          </w:p>
        </w:tc>
        <w:tc>
          <w:tcPr>
            <w:tcW w:w="3005" w:type="dxa"/>
          </w:tcPr>
          <w:p w14:paraId="4098C0CC" w14:textId="768E0D0D"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Identify resin expiring within 90, 60 and 30 days</w:t>
            </w:r>
          </w:p>
        </w:tc>
        <w:tc>
          <w:tcPr>
            <w:tcW w:w="3006" w:type="dxa"/>
          </w:tcPr>
          <w:p w14:paraId="3F29219C" w14:textId="7A41A0E5"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Prevents last-minute waste</w:t>
            </w:r>
          </w:p>
        </w:tc>
      </w:tr>
      <w:tr w:rsidR="00573A99" w14:paraId="766B9025" w14:textId="77777777" w:rsidTr="0097560E">
        <w:tc>
          <w:tcPr>
            <w:tcW w:w="3005" w:type="dxa"/>
          </w:tcPr>
          <w:p w14:paraId="1DCA07E2" w14:textId="0DCD6391"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Production issue</w:t>
            </w:r>
          </w:p>
        </w:tc>
        <w:tc>
          <w:tcPr>
            <w:tcW w:w="3005" w:type="dxa"/>
          </w:tcPr>
          <w:p w14:paraId="6A9D2DA9" w14:textId="7F4417AB"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Issue resin using FEFO</w:t>
            </w:r>
          </w:p>
        </w:tc>
        <w:tc>
          <w:tcPr>
            <w:tcW w:w="3006" w:type="dxa"/>
          </w:tcPr>
          <w:p w14:paraId="2AED8DF4" w14:textId="23DE3454"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Reduces expiry risk</w:t>
            </w:r>
          </w:p>
        </w:tc>
      </w:tr>
      <w:tr w:rsidR="00DB79AD" w14:paraId="58C6215C" w14:textId="77777777" w:rsidTr="0097560E">
        <w:tc>
          <w:tcPr>
            <w:tcW w:w="3005" w:type="dxa"/>
          </w:tcPr>
          <w:p w14:paraId="25A0DF6D" w14:textId="65C0F0A9" w:rsidR="00DB79AD"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Exception report</w:t>
            </w:r>
          </w:p>
        </w:tc>
        <w:tc>
          <w:tcPr>
            <w:tcW w:w="3005" w:type="dxa"/>
          </w:tcPr>
          <w:p w14:paraId="27A81AC3" w14:textId="1D796D8F" w:rsidR="00DB79AD"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Escalate slow-moving resin to purchasing and production managers</w:t>
            </w:r>
          </w:p>
        </w:tc>
        <w:tc>
          <w:tcPr>
            <w:tcW w:w="3006" w:type="dxa"/>
          </w:tcPr>
          <w:p w14:paraId="77176D39" w14:textId="073819D1" w:rsidR="00DB79AD"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Forces corrective action</w:t>
            </w:r>
          </w:p>
        </w:tc>
      </w:tr>
    </w:tbl>
    <w:p w14:paraId="3EE6B1A9" w14:textId="77777777" w:rsidR="0097560E" w:rsidRDefault="0097560E" w:rsidP="007621AD">
      <w:pPr>
        <w:tabs>
          <w:tab w:val="left" w:pos="1008"/>
        </w:tabs>
        <w:spacing w:line="360" w:lineRule="auto"/>
        <w:jc w:val="both"/>
        <w:rPr>
          <w:rFonts w:ascii="Times New Roman" w:hAnsi="Times New Roman" w:cs="Times New Roman"/>
          <w:sz w:val="24"/>
          <w:szCs w:val="24"/>
        </w:rPr>
      </w:pPr>
    </w:p>
    <w:p w14:paraId="359F42CA" w14:textId="77777777" w:rsidR="0097560E" w:rsidRDefault="0097560E" w:rsidP="007621AD">
      <w:pPr>
        <w:tabs>
          <w:tab w:val="left" w:pos="1008"/>
        </w:tabs>
        <w:spacing w:line="360" w:lineRule="auto"/>
        <w:jc w:val="both"/>
        <w:rPr>
          <w:rFonts w:ascii="Times New Roman" w:hAnsi="Times New Roman" w:cs="Times New Roman"/>
          <w:sz w:val="24"/>
          <w:szCs w:val="24"/>
        </w:rPr>
      </w:pPr>
    </w:p>
    <w:p w14:paraId="34AC5262" w14:textId="6C3482BD" w:rsidR="0097560E" w:rsidRDefault="00DB79AD"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FEFO directly addresses the root cause of the expired resin problem.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should not know how much resin is in stock; it must know how much usable life remains. Without expiry date visibility, the company may believe it has enough resin while actually holding material that is close to becoming obsolete. FEFO therefore support both operational efficiency and environmental responsibility.</w:t>
      </w:r>
    </w:p>
    <w:p w14:paraId="52BEC9F6" w14:textId="2B0B463B" w:rsidR="00DB79AD" w:rsidRPr="00E5383C" w:rsidRDefault="00DB79AD" w:rsidP="00E5383C">
      <w:pPr>
        <w:pStyle w:val="Heading1"/>
        <w:rPr>
          <w:rFonts w:ascii="Times New Roman" w:hAnsi="Times New Roman" w:cs="Times New Roman"/>
          <w:sz w:val="28"/>
          <w:szCs w:val="28"/>
        </w:rPr>
      </w:pPr>
      <w:bookmarkStart w:id="5" w:name="_Toc229048351"/>
      <w:r w:rsidRPr="00E5383C">
        <w:rPr>
          <w:rFonts w:ascii="Times New Roman" w:hAnsi="Times New Roman" w:cs="Times New Roman"/>
          <w:sz w:val="28"/>
          <w:szCs w:val="28"/>
        </w:rPr>
        <w:t>2</w:t>
      </w:r>
      <w:r w:rsidRPr="00E5383C">
        <w:rPr>
          <w:rStyle w:val="Heading1Char"/>
          <w:rFonts w:ascii="Times New Roman" w:hAnsi="Times New Roman" w:cs="Times New Roman"/>
          <w:sz w:val="28"/>
          <w:szCs w:val="28"/>
        </w:rPr>
        <w:t>.</w:t>
      </w:r>
      <w:r w:rsidR="003D727C">
        <w:rPr>
          <w:rStyle w:val="Heading1Char"/>
          <w:rFonts w:ascii="Times New Roman" w:hAnsi="Times New Roman" w:cs="Times New Roman"/>
          <w:sz w:val="28"/>
          <w:szCs w:val="28"/>
        </w:rPr>
        <w:t>3</w:t>
      </w:r>
      <w:r w:rsidRPr="00E5383C">
        <w:rPr>
          <w:rStyle w:val="Heading1Char"/>
          <w:rFonts w:ascii="Times New Roman" w:hAnsi="Times New Roman" w:cs="Times New Roman"/>
          <w:sz w:val="28"/>
          <w:szCs w:val="28"/>
        </w:rPr>
        <w:t xml:space="preserve"> </w:t>
      </w:r>
      <w:r w:rsidR="003D727C" w:rsidRPr="003D727C">
        <w:rPr>
          <w:rStyle w:val="Heading1Cha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ADAPTED EOQ, MIN-MAX LEVELS AND TOTAL COST OF OWNERSHIP</w:t>
      </w:r>
      <w:bookmarkEnd w:id="5"/>
    </w:p>
    <w:p w14:paraId="4284EE06" w14:textId="733B4F2A" w:rsidR="0097560E" w:rsidRDefault="00DB79AD" w:rsidP="003D727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Economic order quantity can help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but it should not be applied mechanically. Traditional EOQ assumes stable demand, no expiry risk and a simple trade-off between ordering cost and holding cost. These assumptions are weak in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resin context because resin has limited shelf life and may become costly special waste if </w:t>
      </w:r>
      <w:r w:rsidR="00761DF0">
        <w:rPr>
          <w:rFonts w:ascii="Times New Roman" w:hAnsi="Times New Roman" w:cs="Times New Roman"/>
          <w:sz w:val="24"/>
          <w:szCs w:val="24"/>
        </w:rPr>
        <w:t>unused</w:t>
      </w:r>
      <w:r>
        <w:rPr>
          <w:rFonts w:ascii="Times New Roman" w:hAnsi="Times New Roman" w:cs="Times New Roman"/>
          <w:sz w:val="24"/>
          <w:szCs w:val="24"/>
        </w:rPr>
        <w:t>.</w:t>
      </w:r>
    </w:p>
    <w:p w14:paraId="28F08ADA" w14:textId="0B04D892" w:rsidR="00A555DF" w:rsidRDefault="00DB79AD" w:rsidP="003D727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w:t>
      </w:r>
      <w:proofErr w:type="spellStart"/>
      <w:r>
        <w:rPr>
          <w:rFonts w:ascii="Times New Roman" w:hAnsi="Times New Roman" w:cs="Times New Roman"/>
          <w:sz w:val="24"/>
          <w:szCs w:val="24"/>
        </w:rPr>
        <w:t>Broclsweir</w:t>
      </w:r>
      <w:proofErr w:type="spellEnd"/>
      <w:r>
        <w:rPr>
          <w:rFonts w:ascii="Times New Roman" w:hAnsi="Times New Roman" w:cs="Times New Roman"/>
          <w:sz w:val="24"/>
          <w:szCs w:val="24"/>
        </w:rPr>
        <w:t xml:space="preserve"> should use an adapted EOQ models based on total cost of ownership. This means that ordering decisions should include purchase price, storage cost, drying cost, expiry </w:t>
      </w:r>
      <w:r w:rsidR="00927E93">
        <w:rPr>
          <w:rFonts w:ascii="Times New Roman" w:hAnsi="Times New Roman" w:cs="Times New Roman"/>
          <w:sz w:val="24"/>
          <w:szCs w:val="24"/>
        </w:rPr>
        <w:t>risk, waste</w:t>
      </w:r>
      <w:r>
        <w:rPr>
          <w:rFonts w:ascii="Times New Roman" w:hAnsi="Times New Roman" w:cs="Times New Roman"/>
          <w:sz w:val="24"/>
          <w:szCs w:val="24"/>
        </w:rPr>
        <w:t>-disposal cost, environmental compliance cost and cash tied up in stock.</w:t>
      </w:r>
    </w:p>
    <w:p w14:paraId="7E19BBFB" w14:textId="77777777" w:rsidR="003D727C" w:rsidRDefault="003D727C" w:rsidP="003D727C">
      <w:pPr>
        <w:tabs>
          <w:tab w:val="left" w:pos="1008"/>
        </w:tabs>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A555DF" w14:paraId="0D1F5BE4" w14:textId="77777777" w:rsidTr="00A555DF">
        <w:tc>
          <w:tcPr>
            <w:tcW w:w="3005" w:type="dxa"/>
          </w:tcPr>
          <w:p w14:paraId="2C629EC4" w14:textId="02E0DC66" w:rsidR="00A555DF" w:rsidRPr="00927E93" w:rsidRDefault="00927E93" w:rsidP="00927E93">
            <w:pPr>
              <w:tabs>
                <w:tab w:val="left" w:pos="1008"/>
              </w:tabs>
              <w:spacing w:line="360" w:lineRule="auto"/>
              <w:jc w:val="center"/>
              <w:rPr>
                <w:rFonts w:ascii="Times New Roman" w:hAnsi="Times New Roman" w:cs="Times New Roman"/>
                <w:b/>
                <w:bCs/>
                <w:color w:val="000000" w:themeColor="text1"/>
                <w:sz w:val="24"/>
                <w:szCs w:val="24"/>
              </w:rPr>
            </w:pPr>
            <w:r w:rsidRPr="00927E93">
              <w:rPr>
                <w:rFonts w:ascii="Times New Roman" w:hAnsi="Times New Roman" w:cs="Times New Roman"/>
                <w:b/>
                <w:bCs/>
                <w:color w:val="000000" w:themeColor="text1"/>
                <w:sz w:val="24"/>
                <w:szCs w:val="24"/>
              </w:rPr>
              <w:t>Traditional EOQ assumption</w:t>
            </w:r>
          </w:p>
        </w:tc>
        <w:tc>
          <w:tcPr>
            <w:tcW w:w="3005" w:type="dxa"/>
          </w:tcPr>
          <w:p w14:paraId="5E7184BE" w14:textId="0773E23D" w:rsidR="00A555DF" w:rsidRPr="00927E93" w:rsidRDefault="00927E93" w:rsidP="00927E93">
            <w:pPr>
              <w:tabs>
                <w:tab w:val="left" w:pos="1008"/>
              </w:tabs>
              <w:spacing w:line="360" w:lineRule="auto"/>
              <w:jc w:val="center"/>
              <w:rPr>
                <w:rFonts w:ascii="Times New Roman" w:hAnsi="Times New Roman" w:cs="Times New Roman"/>
                <w:b/>
                <w:bCs/>
                <w:color w:val="000000" w:themeColor="text1"/>
                <w:sz w:val="24"/>
                <w:szCs w:val="24"/>
              </w:rPr>
            </w:pPr>
            <w:r w:rsidRPr="00927E93">
              <w:rPr>
                <w:rFonts w:ascii="Times New Roman" w:hAnsi="Times New Roman" w:cs="Times New Roman"/>
                <w:b/>
                <w:bCs/>
                <w:color w:val="000000" w:themeColor="text1"/>
                <w:sz w:val="24"/>
                <w:szCs w:val="24"/>
              </w:rPr>
              <w:t xml:space="preserve">Why it is problematic at </w:t>
            </w:r>
            <w:proofErr w:type="spellStart"/>
            <w:r w:rsidRPr="00927E93">
              <w:rPr>
                <w:rFonts w:ascii="Times New Roman" w:hAnsi="Times New Roman" w:cs="Times New Roman"/>
                <w:b/>
                <w:bCs/>
                <w:color w:val="000000" w:themeColor="text1"/>
                <w:sz w:val="24"/>
                <w:szCs w:val="24"/>
              </w:rPr>
              <w:t>Brocksweir</w:t>
            </w:r>
            <w:proofErr w:type="spellEnd"/>
          </w:p>
        </w:tc>
        <w:tc>
          <w:tcPr>
            <w:tcW w:w="3006" w:type="dxa"/>
          </w:tcPr>
          <w:p w14:paraId="43FE4810" w14:textId="47088E87" w:rsidR="00A555DF" w:rsidRPr="00927E93" w:rsidRDefault="00927E93" w:rsidP="00927E93">
            <w:pPr>
              <w:tabs>
                <w:tab w:val="left" w:pos="1008"/>
              </w:tabs>
              <w:spacing w:line="360" w:lineRule="auto"/>
              <w:jc w:val="center"/>
              <w:rPr>
                <w:rFonts w:ascii="Times New Roman" w:hAnsi="Times New Roman" w:cs="Times New Roman"/>
                <w:b/>
                <w:bCs/>
                <w:color w:val="000000" w:themeColor="text1"/>
                <w:sz w:val="24"/>
                <w:szCs w:val="24"/>
              </w:rPr>
            </w:pPr>
            <w:r w:rsidRPr="00927E93">
              <w:rPr>
                <w:rFonts w:ascii="Times New Roman" w:hAnsi="Times New Roman" w:cs="Times New Roman"/>
                <w:b/>
                <w:bCs/>
                <w:color w:val="000000" w:themeColor="text1"/>
                <w:sz w:val="24"/>
                <w:szCs w:val="24"/>
              </w:rPr>
              <w:t>Required adjustment</w:t>
            </w:r>
          </w:p>
        </w:tc>
      </w:tr>
      <w:tr w:rsidR="00A555DF" w14:paraId="59680A1B" w14:textId="77777777" w:rsidTr="00A555DF">
        <w:tc>
          <w:tcPr>
            <w:tcW w:w="3005" w:type="dxa"/>
          </w:tcPr>
          <w:p w14:paraId="0714F7A6" w14:textId="48CC3174"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Demand is stable</w:t>
            </w:r>
          </w:p>
        </w:tc>
        <w:tc>
          <w:tcPr>
            <w:tcW w:w="3005" w:type="dxa"/>
          </w:tcPr>
          <w:p w14:paraId="4A6D4929" w14:textId="0C6D27EC"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Sand-casting demand has grown and may fluctuate </w:t>
            </w:r>
          </w:p>
        </w:tc>
        <w:tc>
          <w:tcPr>
            <w:tcW w:w="3006" w:type="dxa"/>
          </w:tcPr>
          <w:p w14:paraId="5D9C8A07" w14:textId="59EA34D4"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 rolling </w:t>
            </w:r>
            <w:r w:rsidR="00761DF0">
              <w:rPr>
                <w:rFonts w:ascii="Times New Roman" w:hAnsi="Times New Roman" w:cs="Times New Roman"/>
                <w:sz w:val="24"/>
                <w:szCs w:val="24"/>
              </w:rPr>
              <w:t>for caste</w:t>
            </w:r>
            <w:r>
              <w:rPr>
                <w:rFonts w:ascii="Times New Roman" w:hAnsi="Times New Roman" w:cs="Times New Roman"/>
                <w:sz w:val="24"/>
                <w:szCs w:val="24"/>
              </w:rPr>
              <w:t xml:space="preserve"> based on actual casting orders</w:t>
            </w:r>
            <w:r w:rsidR="00A555DF">
              <w:rPr>
                <w:rFonts w:ascii="Times New Roman" w:hAnsi="Times New Roman" w:cs="Times New Roman"/>
                <w:sz w:val="24"/>
                <w:szCs w:val="24"/>
              </w:rPr>
              <w:t xml:space="preserve"> </w:t>
            </w:r>
          </w:p>
        </w:tc>
      </w:tr>
      <w:tr w:rsidR="00A555DF" w14:paraId="7F55EE30" w14:textId="77777777" w:rsidTr="00A555DF">
        <w:tc>
          <w:tcPr>
            <w:tcW w:w="3005" w:type="dxa"/>
          </w:tcPr>
          <w:p w14:paraId="0758864D" w14:textId="43ED80B7"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Stock does not expire</w:t>
            </w:r>
          </w:p>
        </w:tc>
        <w:tc>
          <w:tcPr>
            <w:tcW w:w="3005" w:type="dxa"/>
          </w:tcPr>
          <w:p w14:paraId="6A24FF4D" w14:textId="5126ECB3"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Resin has short shelf life</w:t>
            </w:r>
          </w:p>
        </w:tc>
        <w:tc>
          <w:tcPr>
            <w:tcW w:w="3006" w:type="dxa"/>
          </w:tcPr>
          <w:p w14:paraId="28632A2E" w14:textId="2A7EC1EC"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Cap order quantities by expected usage before expiry</w:t>
            </w:r>
          </w:p>
        </w:tc>
      </w:tr>
      <w:tr w:rsidR="00A555DF" w14:paraId="563BC94C" w14:textId="77777777" w:rsidTr="00A555DF">
        <w:tc>
          <w:tcPr>
            <w:tcW w:w="3005" w:type="dxa"/>
          </w:tcPr>
          <w:p w14:paraId="1E9FB295" w14:textId="421B0A08"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Holding cost is mainly storage</w:t>
            </w:r>
          </w:p>
        </w:tc>
        <w:tc>
          <w:tcPr>
            <w:tcW w:w="3005" w:type="dxa"/>
          </w:tcPr>
          <w:p w14:paraId="6F92BD71" w14:textId="6F4F0D1A"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Holding coast includes expiry, disposal and compliance risk </w:t>
            </w:r>
          </w:p>
        </w:tc>
        <w:tc>
          <w:tcPr>
            <w:tcW w:w="3006" w:type="dxa"/>
          </w:tcPr>
          <w:p w14:paraId="6B7A848B" w14:textId="05868E57"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Include waste and disposal cost</w:t>
            </w:r>
          </w:p>
        </w:tc>
      </w:tr>
      <w:tr w:rsidR="00927E93" w14:paraId="192AB9EF" w14:textId="77777777" w:rsidTr="00A555DF">
        <w:tc>
          <w:tcPr>
            <w:tcW w:w="3005" w:type="dxa"/>
          </w:tcPr>
          <w:p w14:paraId="16A2A919" w14:textId="71779CD9"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Bulk buying reduces cost</w:t>
            </w:r>
          </w:p>
        </w:tc>
        <w:tc>
          <w:tcPr>
            <w:tcW w:w="3005" w:type="dxa"/>
          </w:tcPr>
          <w:p w14:paraId="793DD2E9" w14:textId="436DB0AC"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Bulk buying caused obsolete stock and drying cost</w:t>
            </w:r>
          </w:p>
        </w:tc>
        <w:tc>
          <w:tcPr>
            <w:tcW w:w="3006" w:type="dxa"/>
          </w:tcPr>
          <w:p w14:paraId="53D122A3" w14:textId="68E531E9"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 total cost of ownership </w:t>
            </w:r>
          </w:p>
        </w:tc>
      </w:tr>
      <w:tr w:rsidR="00927E93" w14:paraId="2F76F807" w14:textId="77777777" w:rsidTr="00A555DF">
        <w:tc>
          <w:tcPr>
            <w:tcW w:w="3005" w:type="dxa"/>
          </w:tcPr>
          <w:p w14:paraId="6445BBA2" w14:textId="7A0B6EAB"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Inventory is only a financial issue</w:t>
            </w:r>
          </w:p>
        </w:tc>
        <w:tc>
          <w:tcPr>
            <w:tcW w:w="3005" w:type="dxa"/>
          </w:tcPr>
          <w:p w14:paraId="623C1BE7" w14:textId="7DECED01"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Resin waste creates environmental and legal risk</w:t>
            </w:r>
          </w:p>
        </w:tc>
        <w:tc>
          <w:tcPr>
            <w:tcW w:w="3006" w:type="dxa"/>
          </w:tcPr>
          <w:p w14:paraId="370755E5" w14:textId="61E51A8C"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Include sustainability KPIs</w:t>
            </w:r>
          </w:p>
        </w:tc>
      </w:tr>
    </w:tbl>
    <w:p w14:paraId="3501DB11" w14:textId="69EBDCEA" w:rsidR="00A555DF" w:rsidRDefault="00A555DF"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FD44197" w14:textId="4ACCC6C0" w:rsidR="00927E93" w:rsidRPr="00927E93" w:rsidRDefault="00927E93" w:rsidP="007621AD">
      <w:pPr>
        <w:tabs>
          <w:tab w:val="left" w:pos="1008"/>
        </w:tabs>
        <w:spacing w:line="360" w:lineRule="auto"/>
        <w:jc w:val="both"/>
        <w:rPr>
          <w:rFonts w:ascii="Times New Roman" w:hAnsi="Times New Roman" w:cs="Times New Roman"/>
          <w:sz w:val="24"/>
          <w:szCs w:val="24"/>
          <w:u w:val="single"/>
        </w:rPr>
      </w:pPr>
      <w:r w:rsidRPr="00927E93">
        <w:rPr>
          <w:rFonts w:ascii="Times New Roman" w:hAnsi="Times New Roman" w:cs="Times New Roman"/>
          <w:b/>
          <w:bCs/>
          <w:sz w:val="24"/>
          <w:szCs w:val="24"/>
        </w:rPr>
        <w:t xml:space="preserve">Maximum resin order quantity </w:t>
      </w:r>
      <w:r w:rsidRPr="00927E93">
        <w:rPr>
          <w:rFonts w:ascii="Times New Roman" w:hAnsi="Times New Roman" w:cs="Times New Roman"/>
          <w:b/>
          <w:bCs/>
          <w:sz w:val="24"/>
          <w:szCs w:val="24"/>
          <w:u w:val="single"/>
        </w:rPr>
        <w:t>=</w:t>
      </w:r>
      <w:r w:rsidRPr="00927E93">
        <w:rPr>
          <w:rFonts w:ascii="Times New Roman" w:hAnsi="Times New Roman" w:cs="Times New Roman"/>
          <w:sz w:val="24"/>
          <w:szCs w:val="24"/>
          <w:u w:val="single"/>
        </w:rPr>
        <w:t xml:space="preserve"> forecast resin usage during remaining shelf life – existing usable resin stock </w:t>
      </w:r>
    </w:p>
    <w:p w14:paraId="474C46FF" w14:textId="006E5276" w:rsidR="004507BE"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example, if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expects to use 400 kg of resin per month and a resin has four months of reliable shelf life, the maximum usable stock should not exceed approximately 1,600 kg before considering existing stock. If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already holds 600 kg, the new order should not exceed around 1,000 kg. any quantity above this creates expiry risk even if the supplier offers a lower unit price.</w:t>
      </w:r>
    </w:p>
    <w:p w14:paraId="389602BC" w14:textId="29086974" w:rsidR="00833A5D" w:rsidRDefault="00E5383C" w:rsidP="007621AD">
      <w:pPr>
        <w:tabs>
          <w:tab w:val="left" w:pos="1008"/>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should also introduce minimum and maximum stock levels.</w:t>
      </w:r>
    </w:p>
    <w:tbl>
      <w:tblPr>
        <w:tblStyle w:val="TableGrid"/>
        <w:tblW w:w="0" w:type="auto"/>
        <w:tblLook w:val="04A0" w:firstRow="1" w:lastRow="0" w:firstColumn="1" w:lastColumn="0" w:noHBand="0" w:noVBand="1"/>
      </w:tblPr>
      <w:tblGrid>
        <w:gridCol w:w="3005"/>
        <w:gridCol w:w="3005"/>
        <w:gridCol w:w="3006"/>
      </w:tblGrid>
      <w:tr w:rsidR="00E5383C" w:rsidRPr="00E5383C" w14:paraId="2CDEC4A4" w14:textId="77777777" w:rsidTr="00E5383C">
        <w:tc>
          <w:tcPr>
            <w:tcW w:w="3005" w:type="dxa"/>
          </w:tcPr>
          <w:p w14:paraId="0E0174DB" w14:textId="269CE599" w:rsidR="00E5383C" w:rsidRPr="00E5383C" w:rsidRDefault="00E5383C" w:rsidP="00E5383C">
            <w:pPr>
              <w:tabs>
                <w:tab w:val="left" w:pos="1008"/>
              </w:tabs>
              <w:spacing w:line="360" w:lineRule="auto"/>
              <w:jc w:val="center"/>
              <w:rPr>
                <w:rFonts w:ascii="Times New Roman" w:hAnsi="Times New Roman" w:cs="Times New Roman"/>
                <w:b/>
                <w:bCs/>
                <w:sz w:val="24"/>
                <w:szCs w:val="24"/>
              </w:rPr>
            </w:pPr>
            <w:r w:rsidRPr="00E5383C">
              <w:rPr>
                <w:rFonts w:ascii="Times New Roman" w:hAnsi="Times New Roman" w:cs="Times New Roman"/>
                <w:b/>
                <w:bCs/>
                <w:sz w:val="24"/>
                <w:szCs w:val="24"/>
              </w:rPr>
              <w:t>Control parameter</w:t>
            </w:r>
          </w:p>
        </w:tc>
        <w:tc>
          <w:tcPr>
            <w:tcW w:w="3005" w:type="dxa"/>
          </w:tcPr>
          <w:p w14:paraId="68ECBD1D" w14:textId="03E0E136" w:rsidR="00E5383C" w:rsidRPr="00E5383C" w:rsidRDefault="00E5383C" w:rsidP="00E5383C">
            <w:pPr>
              <w:tabs>
                <w:tab w:val="left" w:pos="1008"/>
              </w:tabs>
              <w:spacing w:line="360" w:lineRule="auto"/>
              <w:jc w:val="center"/>
              <w:rPr>
                <w:rFonts w:ascii="Times New Roman" w:hAnsi="Times New Roman" w:cs="Times New Roman"/>
                <w:b/>
                <w:bCs/>
                <w:sz w:val="24"/>
                <w:szCs w:val="24"/>
              </w:rPr>
            </w:pPr>
            <w:r w:rsidRPr="00E5383C">
              <w:rPr>
                <w:rFonts w:ascii="Times New Roman" w:hAnsi="Times New Roman" w:cs="Times New Roman"/>
                <w:b/>
                <w:bCs/>
                <w:sz w:val="24"/>
                <w:szCs w:val="24"/>
              </w:rPr>
              <w:t>Meaning</w:t>
            </w:r>
          </w:p>
        </w:tc>
        <w:tc>
          <w:tcPr>
            <w:tcW w:w="3006" w:type="dxa"/>
          </w:tcPr>
          <w:p w14:paraId="5D1FED48" w14:textId="420EA501" w:rsidR="00E5383C" w:rsidRPr="00E5383C" w:rsidRDefault="00E5383C" w:rsidP="00E5383C">
            <w:pPr>
              <w:tabs>
                <w:tab w:val="left" w:pos="1008"/>
              </w:tabs>
              <w:spacing w:line="360" w:lineRule="auto"/>
              <w:jc w:val="center"/>
              <w:rPr>
                <w:rFonts w:ascii="Times New Roman" w:hAnsi="Times New Roman" w:cs="Times New Roman"/>
                <w:b/>
                <w:bCs/>
                <w:sz w:val="24"/>
                <w:szCs w:val="24"/>
              </w:rPr>
            </w:pPr>
            <w:proofErr w:type="spellStart"/>
            <w:r w:rsidRPr="00E5383C">
              <w:rPr>
                <w:rFonts w:ascii="Times New Roman" w:hAnsi="Times New Roman" w:cs="Times New Roman"/>
                <w:b/>
                <w:bCs/>
                <w:sz w:val="24"/>
                <w:szCs w:val="24"/>
              </w:rPr>
              <w:t>Brocksweir</w:t>
            </w:r>
            <w:proofErr w:type="spellEnd"/>
            <w:r w:rsidRPr="00E5383C">
              <w:rPr>
                <w:rFonts w:ascii="Times New Roman" w:hAnsi="Times New Roman" w:cs="Times New Roman"/>
                <w:b/>
                <w:bCs/>
                <w:sz w:val="24"/>
                <w:szCs w:val="24"/>
              </w:rPr>
              <w:t xml:space="preserve"> application</w:t>
            </w:r>
          </w:p>
        </w:tc>
      </w:tr>
      <w:tr w:rsidR="00E5383C" w14:paraId="0BAFE378" w14:textId="77777777" w:rsidTr="00E5383C">
        <w:tc>
          <w:tcPr>
            <w:tcW w:w="3005" w:type="dxa"/>
          </w:tcPr>
          <w:p w14:paraId="792A871D" w14:textId="29830A17"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Minimum level</w:t>
            </w:r>
          </w:p>
        </w:tc>
        <w:tc>
          <w:tcPr>
            <w:tcW w:w="3005" w:type="dxa"/>
          </w:tcPr>
          <w:p w14:paraId="6F8E64EF" w14:textId="36BAE755"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Stock level that triggers reorder</w:t>
            </w:r>
          </w:p>
        </w:tc>
        <w:tc>
          <w:tcPr>
            <w:tcW w:w="3006" w:type="dxa"/>
          </w:tcPr>
          <w:p w14:paraId="44C31956" w14:textId="1176BC45"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Base on average resin usage during supplier lead time</w:t>
            </w:r>
          </w:p>
        </w:tc>
      </w:tr>
      <w:tr w:rsidR="00E5383C" w14:paraId="2F4B5252" w14:textId="77777777" w:rsidTr="00E5383C">
        <w:tc>
          <w:tcPr>
            <w:tcW w:w="3005" w:type="dxa"/>
          </w:tcPr>
          <w:p w14:paraId="75B6234B" w14:textId="2326D41F"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Maximum level</w:t>
            </w:r>
          </w:p>
        </w:tc>
        <w:tc>
          <w:tcPr>
            <w:tcW w:w="3005" w:type="dxa"/>
          </w:tcPr>
          <w:p w14:paraId="6774F6FE" w14:textId="22DFFAC1"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Highest permitted stock</w:t>
            </w:r>
          </w:p>
        </w:tc>
        <w:tc>
          <w:tcPr>
            <w:tcW w:w="3006" w:type="dxa"/>
          </w:tcPr>
          <w:p w14:paraId="0D346D21" w14:textId="7141B6D8"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Capped by expected use before expiry</w:t>
            </w:r>
          </w:p>
        </w:tc>
      </w:tr>
      <w:tr w:rsidR="00E5383C" w14:paraId="11C8DF61" w14:textId="77777777" w:rsidTr="00E5383C">
        <w:tc>
          <w:tcPr>
            <w:tcW w:w="3005" w:type="dxa"/>
          </w:tcPr>
          <w:p w14:paraId="77A1EAA1" w14:textId="76137817"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Reorder point</w:t>
            </w:r>
          </w:p>
        </w:tc>
        <w:tc>
          <w:tcPr>
            <w:tcW w:w="3005" w:type="dxa"/>
          </w:tcPr>
          <w:p w14:paraId="19B31056" w14:textId="42A84C6D"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Demand during lead time plus safety stock</w:t>
            </w:r>
          </w:p>
        </w:tc>
        <w:tc>
          <w:tcPr>
            <w:tcW w:w="3006" w:type="dxa"/>
          </w:tcPr>
          <w:p w14:paraId="058671D0" w14:textId="5A5555F2"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 shortages without excessive stock</w:t>
            </w:r>
          </w:p>
        </w:tc>
      </w:tr>
      <w:tr w:rsidR="00E5383C" w14:paraId="1266DB81" w14:textId="77777777" w:rsidTr="00E5383C">
        <w:tc>
          <w:tcPr>
            <w:tcW w:w="3005" w:type="dxa"/>
          </w:tcPr>
          <w:p w14:paraId="622E4329" w14:textId="23A472D8"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Safety stock</w:t>
            </w:r>
          </w:p>
        </w:tc>
        <w:tc>
          <w:tcPr>
            <w:tcW w:w="3005" w:type="dxa"/>
          </w:tcPr>
          <w:p w14:paraId="23D35B35" w14:textId="66B0AD9B"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Buffer against </w:t>
            </w:r>
            <w:r w:rsidR="00761DF0">
              <w:rPr>
                <w:rFonts w:ascii="Times New Roman" w:hAnsi="Times New Roman" w:cs="Times New Roman"/>
                <w:sz w:val="24"/>
                <w:szCs w:val="24"/>
              </w:rPr>
              <w:t>uncertainty</w:t>
            </w:r>
          </w:p>
        </w:tc>
        <w:tc>
          <w:tcPr>
            <w:tcW w:w="3006" w:type="dxa"/>
          </w:tcPr>
          <w:p w14:paraId="7E5EB586" w14:textId="3FF5AA11"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Should be limited for short life resin and based on actual variability</w:t>
            </w:r>
          </w:p>
        </w:tc>
      </w:tr>
    </w:tbl>
    <w:p w14:paraId="32A2964D" w14:textId="77777777" w:rsidR="00E5383C" w:rsidRDefault="00E5383C" w:rsidP="007621AD">
      <w:pPr>
        <w:tabs>
          <w:tab w:val="left" w:pos="1008"/>
        </w:tabs>
        <w:spacing w:line="360" w:lineRule="auto"/>
        <w:jc w:val="both"/>
        <w:rPr>
          <w:rFonts w:ascii="Times New Roman" w:hAnsi="Times New Roman" w:cs="Times New Roman"/>
          <w:sz w:val="24"/>
          <w:szCs w:val="24"/>
        </w:rPr>
      </w:pPr>
    </w:p>
    <w:p w14:paraId="40995FC4"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13DF72DC"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74D309A9"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74925DBC" w14:textId="77777777" w:rsidR="00761DF0" w:rsidRDefault="00761DF0" w:rsidP="007621AD">
      <w:pPr>
        <w:tabs>
          <w:tab w:val="left" w:pos="1008"/>
        </w:tabs>
        <w:spacing w:line="360" w:lineRule="auto"/>
        <w:jc w:val="both"/>
        <w:rPr>
          <w:rFonts w:ascii="Times New Roman" w:hAnsi="Times New Roman" w:cs="Times New Roman"/>
          <w:sz w:val="24"/>
          <w:szCs w:val="24"/>
        </w:rPr>
      </w:pPr>
    </w:p>
    <w:p w14:paraId="239738CC"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2B47C116" w14:textId="33A4E020" w:rsidR="006B376D" w:rsidRPr="003D727C" w:rsidRDefault="00E5383C" w:rsidP="00E5383C">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Toc229048352"/>
      <w:r w:rsidRPr="00E5383C">
        <w:rPr>
          <w:rFonts w:ascii="Times New Roman" w:hAnsi="Times New Roman" w:cs="Times New Roman"/>
          <w:sz w:val="28"/>
          <w:szCs w:val="28"/>
        </w:rPr>
        <w:lastRenderedPageBreak/>
        <w:t>2.</w:t>
      </w:r>
      <w:r w:rsidR="003D727C">
        <w:rPr>
          <w:rFonts w:ascii="Times New Roman" w:hAnsi="Times New Roman" w:cs="Times New Roman"/>
          <w:sz w:val="28"/>
          <w:szCs w:val="28"/>
        </w:rPr>
        <w:t xml:space="preserve">4 </w:t>
      </w:r>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BULK PURCHASING VERSUS TOTAL COST OF OWNERSHIP</w:t>
      </w:r>
      <w:bookmarkEnd w:id="6"/>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55B8521" w14:textId="77777777" w:rsidR="00BC67EC" w:rsidRDefault="00BC67EC" w:rsidP="00833A5D"/>
    <w:tbl>
      <w:tblPr>
        <w:tblStyle w:val="TableGrid"/>
        <w:tblW w:w="9351" w:type="dxa"/>
        <w:tblLook w:val="04A0" w:firstRow="1" w:lastRow="0" w:firstColumn="1" w:lastColumn="0" w:noHBand="0" w:noVBand="1"/>
      </w:tblPr>
      <w:tblGrid>
        <w:gridCol w:w="3823"/>
        <w:gridCol w:w="2693"/>
        <w:gridCol w:w="2835"/>
      </w:tblGrid>
      <w:tr w:rsidR="00E5383C" w14:paraId="443AAB78" w14:textId="77777777" w:rsidTr="003D727C">
        <w:tc>
          <w:tcPr>
            <w:tcW w:w="3823" w:type="dxa"/>
          </w:tcPr>
          <w:p w14:paraId="5B8ECE08" w14:textId="74F80FE5" w:rsidR="00E5383C" w:rsidRPr="00E5383C" w:rsidRDefault="00E5383C" w:rsidP="00E5383C">
            <w:pPr>
              <w:jc w:val="center"/>
              <w:rPr>
                <w:rFonts w:ascii="Times New Roman" w:hAnsi="Times New Roman" w:cs="Times New Roman"/>
                <w:b/>
                <w:bCs/>
                <w:sz w:val="24"/>
                <w:szCs w:val="24"/>
              </w:rPr>
            </w:pPr>
            <w:r w:rsidRPr="00E5383C">
              <w:rPr>
                <w:rFonts w:ascii="Times New Roman" w:hAnsi="Times New Roman" w:cs="Times New Roman"/>
                <w:b/>
                <w:bCs/>
                <w:sz w:val="24"/>
                <w:szCs w:val="24"/>
              </w:rPr>
              <w:t>Cost factor</w:t>
            </w:r>
          </w:p>
        </w:tc>
        <w:tc>
          <w:tcPr>
            <w:tcW w:w="2693" w:type="dxa"/>
          </w:tcPr>
          <w:p w14:paraId="1082F4CF" w14:textId="15315C11" w:rsidR="00E5383C" w:rsidRPr="00E5383C" w:rsidRDefault="00E5383C" w:rsidP="00E5383C">
            <w:pPr>
              <w:jc w:val="center"/>
              <w:rPr>
                <w:rFonts w:ascii="Times New Roman" w:hAnsi="Times New Roman" w:cs="Times New Roman"/>
                <w:b/>
                <w:bCs/>
                <w:sz w:val="24"/>
                <w:szCs w:val="24"/>
              </w:rPr>
            </w:pPr>
            <w:r w:rsidRPr="00E5383C">
              <w:rPr>
                <w:rFonts w:ascii="Times New Roman" w:hAnsi="Times New Roman" w:cs="Times New Roman"/>
                <w:b/>
                <w:bCs/>
                <w:sz w:val="24"/>
                <w:szCs w:val="24"/>
              </w:rPr>
              <w:t>Small frequent orders</w:t>
            </w:r>
          </w:p>
        </w:tc>
        <w:tc>
          <w:tcPr>
            <w:tcW w:w="2835" w:type="dxa"/>
          </w:tcPr>
          <w:p w14:paraId="0AF6575C" w14:textId="516411F0" w:rsidR="00E5383C" w:rsidRPr="00E5383C" w:rsidRDefault="00E5383C" w:rsidP="00E5383C">
            <w:pPr>
              <w:jc w:val="center"/>
              <w:rPr>
                <w:rFonts w:ascii="Times New Roman" w:hAnsi="Times New Roman" w:cs="Times New Roman"/>
                <w:b/>
                <w:bCs/>
                <w:sz w:val="24"/>
                <w:szCs w:val="24"/>
              </w:rPr>
            </w:pPr>
            <w:r w:rsidRPr="00E5383C">
              <w:rPr>
                <w:rFonts w:ascii="Times New Roman" w:hAnsi="Times New Roman" w:cs="Times New Roman"/>
                <w:b/>
                <w:bCs/>
                <w:sz w:val="24"/>
                <w:szCs w:val="24"/>
              </w:rPr>
              <w:t>Bulk purchasing</w:t>
            </w:r>
          </w:p>
        </w:tc>
      </w:tr>
      <w:tr w:rsidR="00E5383C" w14:paraId="00E64373" w14:textId="77777777" w:rsidTr="003D727C">
        <w:tc>
          <w:tcPr>
            <w:tcW w:w="3823" w:type="dxa"/>
          </w:tcPr>
          <w:p w14:paraId="19D0F496" w14:textId="13F64734"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Unit purchase price</w:t>
            </w:r>
          </w:p>
        </w:tc>
        <w:tc>
          <w:tcPr>
            <w:tcW w:w="2693" w:type="dxa"/>
          </w:tcPr>
          <w:p w14:paraId="0043D7BE" w14:textId="1DF712CA"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c>
          <w:tcPr>
            <w:tcW w:w="2835" w:type="dxa"/>
          </w:tcPr>
          <w:p w14:paraId="45B83ECF" w14:textId="356387CD"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r>
      <w:tr w:rsidR="00E5383C" w14:paraId="18EEDC15" w14:textId="77777777" w:rsidTr="003D727C">
        <w:tc>
          <w:tcPr>
            <w:tcW w:w="3823" w:type="dxa"/>
          </w:tcPr>
          <w:p w14:paraId="1CB630C0" w14:textId="13E21844"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Storage cost</w:t>
            </w:r>
          </w:p>
        </w:tc>
        <w:tc>
          <w:tcPr>
            <w:tcW w:w="2693" w:type="dxa"/>
          </w:tcPr>
          <w:p w14:paraId="14790268" w14:textId="1A6F4465"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015E07CB" w14:textId="1ED75FD7"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5383C" w14:paraId="234D50D0" w14:textId="77777777" w:rsidTr="003D727C">
        <w:tc>
          <w:tcPr>
            <w:tcW w:w="3823" w:type="dxa"/>
          </w:tcPr>
          <w:p w14:paraId="1E7DDBA9" w14:textId="508F82C9"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Cash tied up</w:t>
            </w:r>
          </w:p>
        </w:tc>
        <w:tc>
          <w:tcPr>
            <w:tcW w:w="2693" w:type="dxa"/>
          </w:tcPr>
          <w:p w14:paraId="5D60A78D" w14:textId="3BA38157"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6008BF29" w14:textId="3EAA1AC4"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5383C" w14:paraId="376AE5D4" w14:textId="77777777" w:rsidTr="003D727C">
        <w:tc>
          <w:tcPr>
            <w:tcW w:w="3823" w:type="dxa"/>
          </w:tcPr>
          <w:p w14:paraId="6821EDD6" w14:textId="64700787"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Drying cost for sand</w:t>
            </w:r>
          </w:p>
        </w:tc>
        <w:tc>
          <w:tcPr>
            <w:tcW w:w="2693" w:type="dxa"/>
          </w:tcPr>
          <w:p w14:paraId="78AE265F" w14:textId="148C9ED0"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4C02FF79" w14:textId="6D594E21"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5383C" w14:paraId="30E3F51C" w14:textId="77777777" w:rsidTr="003D727C">
        <w:tc>
          <w:tcPr>
            <w:tcW w:w="3823" w:type="dxa"/>
          </w:tcPr>
          <w:p w14:paraId="1AFFD4A7" w14:textId="5778EFC8"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Expiry risk for resin</w:t>
            </w:r>
          </w:p>
        </w:tc>
        <w:tc>
          <w:tcPr>
            <w:tcW w:w="2693" w:type="dxa"/>
          </w:tcPr>
          <w:p w14:paraId="638DCDF4" w14:textId="52CD1ACE"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5222E7D3" w14:textId="15A3D847"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D19BD" w14:paraId="57D282AD" w14:textId="77777777" w:rsidTr="003D727C">
        <w:tc>
          <w:tcPr>
            <w:tcW w:w="3823" w:type="dxa"/>
          </w:tcPr>
          <w:p w14:paraId="3E17069A" w14:textId="1ED4F020"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Disposal cost</w:t>
            </w:r>
          </w:p>
        </w:tc>
        <w:tc>
          <w:tcPr>
            <w:tcW w:w="2693" w:type="dxa"/>
          </w:tcPr>
          <w:p w14:paraId="14651FE9" w14:textId="7E832933"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0685D895" w14:textId="2A8F8046"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D19BD" w14:paraId="29982C1F" w14:textId="77777777" w:rsidTr="003D727C">
        <w:tc>
          <w:tcPr>
            <w:tcW w:w="3823" w:type="dxa"/>
          </w:tcPr>
          <w:p w14:paraId="5D28575E" w14:textId="42551DA2"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Environmental risk</w:t>
            </w:r>
          </w:p>
        </w:tc>
        <w:tc>
          <w:tcPr>
            <w:tcW w:w="2693" w:type="dxa"/>
          </w:tcPr>
          <w:p w14:paraId="6FACA2AA" w14:textId="047F0835"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4CE934B7" w14:textId="5E38BA32" w:rsidR="00ED19BD" w:rsidRPr="003D727C" w:rsidRDefault="00ED19BD"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sz w:val="24"/>
                <w:szCs w:val="24"/>
              </w:rPr>
              <w:t>Higher</w:t>
            </w:r>
          </w:p>
        </w:tc>
      </w:tr>
      <w:tr w:rsidR="00ED19BD" w14:paraId="0CF32A5E" w14:textId="77777777" w:rsidTr="003D727C">
        <w:tc>
          <w:tcPr>
            <w:tcW w:w="3823" w:type="dxa"/>
          </w:tcPr>
          <w:p w14:paraId="10EA0A81" w14:textId="139086C9"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Total cost outcome</w:t>
            </w:r>
          </w:p>
        </w:tc>
        <w:tc>
          <w:tcPr>
            <w:tcW w:w="2693" w:type="dxa"/>
          </w:tcPr>
          <w:p w14:paraId="7DA1A0AB" w14:textId="2A6BAD80"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Potentially lower</w:t>
            </w:r>
          </w:p>
        </w:tc>
        <w:tc>
          <w:tcPr>
            <w:tcW w:w="2835" w:type="dxa"/>
          </w:tcPr>
          <w:p w14:paraId="3C9DCDF6" w14:textId="3DB0F8E6"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Potentially higher</w:t>
            </w:r>
          </w:p>
        </w:tc>
      </w:tr>
    </w:tbl>
    <w:p w14:paraId="20DB3BDA" w14:textId="77777777" w:rsidR="00BC67EC" w:rsidRDefault="00BC67EC" w:rsidP="00833A5D"/>
    <w:p w14:paraId="6AB3665A" w14:textId="368DC34D" w:rsidR="00BC67EC" w:rsidRDefault="00ED19BD" w:rsidP="003D727C">
      <w:pPr>
        <w:spacing w:line="360" w:lineRule="auto"/>
        <w:jc w:val="both"/>
      </w:pPr>
      <w:r w:rsidRPr="003D727C">
        <w:rPr>
          <w:rFonts w:ascii="Times New Roman" w:hAnsi="Times New Roman" w:cs="Times New Roman"/>
          <w:sz w:val="24"/>
          <w:szCs w:val="24"/>
        </w:rPr>
        <w:t xml:space="preserve">This table shows why </w:t>
      </w:r>
      <w:proofErr w:type="spellStart"/>
      <w:r w:rsidRPr="003D727C">
        <w:rPr>
          <w:rFonts w:ascii="Times New Roman" w:hAnsi="Times New Roman" w:cs="Times New Roman"/>
          <w:sz w:val="24"/>
          <w:szCs w:val="24"/>
        </w:rPr>
        <w:t>Brocksweir</w:t>
      </w:r>
      <w:proofErr w:type="spellEnd"/>
      <w:r w:rsidRPr="003D727C">
        <w:rPr>
          <w:rFonts w:ascii="Times New Roman" w:hAnsi="Times New Roman" w:cs="Times New Roman"/>
          <w:sz w:val="24"/>
          <w:szCs w:val="24"/>
        </w:rPr>
        <w:t xml:space="preserve"> previous purchasing logic is flawed. Bulk purchasing creates a visible saving at the point of purchase but increases hidden costs elsewhere in the system. In the resin case, the discount from bulk buying has been outweighed by expiry and disposal risk. In the sand case, bulk purchasing has also contributed to drying costs. Therefore, </w:t>
      </w:r>
      <w:proofErr w:type="spellStart"/>
      <w:r w:rsidRPr="003D727C">
        <w:rPr>
          <w:rFonts w:ascii="Times New Roman" w:hAnsi="Times New Roman" w:cs="Times New Roman"/>
          <w:sz w:val="24"/>
          <w:szCs w:val="24"/>
        </w:rPr>
        <w:t>Brocksweir</w:t>
      </w:r>
      <w:proofErr w:type="spellEnd"/>
      <w:r w:rsidRPr="003D727C">
        <w:rPr>
          <w:rFonts w:ascii="Times New Roman" w:hAnsi="Times New Roman" w:cs="Times New Roman"/>
          <w:sz w:val="24"/>
          <w:szCs w:val="24"/>
        </w:rPr>
        <w:t xml:space="preserve"> should move from purchase-price management to total-cost inventory management</w:t>
      </w:r>
      <w:r>
        <w:t>.</w:t>
      </w:r>
    </w:p>
    <w:p w14:paraId="32CC3371" w14:textId="77777777" w:rsidR="003D727C" w:rsidRDefault="003D727C" w:rsidP="003D727C">
      <w:pPr>
        <w:spacing w:line="360" w:lineRule="auto"/>
        <w:jc w:val="both"/>
      </w:pPr>
    </w:p>
    <w:tbl>
      <w:tblPr>
        <w:tblStyle w:val="TableGrid"/>
        <w:tblW w:w="0" w:type="auto"/>
        <w:tblLook w:val="04A0" w:firstRow="1" w:lastRow="0" w:firstColumn="1" w:lastColumn="0" w:noHBand="0" w:noVBand="1"/>
      </w:tblPr>
      <w:tblGrid>
        <w:gridCol w:w="2254"/>
        <w:gridCol w:w="2254"/>
        <w:gridCol w:w="2254"/>
        <w:gridCol w:w="2254"/>
      </w:tblGrid>
      <w:tr w:rsidR="00EF1F21" w14:paraId="23FAC4D2" w14:textId="77777777" w:rsidTr="00EF1F21">
        <w:tc>
          <w:tcPr>
            <w:tcW w:w="2254" w:type="dxa"/>
          </w:tcPr>
          <w:p w14:paraId="563442D6" w14:textId="32D80CE9"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Option</w:t>
            </w:r>
          </w:p>
        </w:tc>
        <w:tc>
          <w:tcPr>
            <w:tcW w:w="2254" w:type="dxa"/>
          </w:tcPr>
          <w:p w14:paraId="2DF4F35F" w14:textId="50537CDE"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Benefit</w:t>
            </w:r>
          </w:p>
        </w:tc>
        <w:tc>
          <w:tcPr>
            <w:tcW w:w="2254" w:type="dxa"/>
          </w:tcPr>
          <w:p w14:paraId="29293F02" w14:textId="1F5E6E7B"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Limitation</w:t>
            </w:r>
          </w:p>
        </w:tc>
        <w:tc>
          <w:tcPr>
            <w:tcW w:w="2254" w:type="dxa"/>
          </w:tcPr>
          <w:p w14:paraId="2E62EBBF" w14:textId="4340DD8F"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Critical judgement</w:t>
            </w:r>
          </w:p>
        </w:tc>
      </w:tr>
      <w:tr w:rsidR="00EF1F21" w14:paraId="555709EE" w14:textId="77777777" w:rsidTr="00EF1F21">
        <w:tc>
          <w:tcPr>
            <w:tcW w:w="2254" w:type="dxa"/>
          </w:tcPr>
          <w:p w14:paraId="665D7C3C" w14:textId="6D176F87"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Traditional bulk buying</w:t>
            </w:r>
          </w:p>
        </w:tc>
        <w:tc>
          <w:tcPr>
            <w:tcW w:w="2254" w:type="dxa"/>
          </w:tcPr>
          <w:p w14:paraId="2B7402BC" w14:textId="5C7FBCB6"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 unit price</w:t>
            </w:r>
          </w:p>
        </w:tc>
        <w:tc>
          <w:tcPr>
            <w:tcW w:w="2254" w:type="dxa"/>
          </w:tcPr>
          <w:p w14:paraId="1C99A038" w14:textId="6FD90BED"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 expiry, storage and disposal risk</w:t>
            </w:r>
          </w:p>
        </w:tc>
        <w:tc>
          <w:tcPr>
            <w:tcW w:w="2254" w:type="dxa"/>
          </w:tcPr>
          <w:p w14:paraId="4CA4477B" w14:textId="6F3CA368"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Not suitable for short-life resin</w:t>
            </w:r>
          </w:p>
        </w:tc>
      </w:tr>
      <w:tr w:rsidR="00EF1F21" w14:paraId="6941FC08" w14:textId="77777777" w:rsidTr="00EF1F21">
        <w:tc>
          <w:tcPr>
            <w:tcW w:w="2254" w:type="dxa"/>
          </w:tcPr>
          <w:p w14:paraId="0724DDE9" w14:textId="474D0A33"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Standard EOQ</w:t>
            </w:r>
          </w:p>
        </w:tc>
        <w:tc>
          <w:tcPr>
            <w:tcW w:w="2254" w:type="dxa"/>
          </w:tcPr>
          <w:p w14:paraId="2C61DD15" w14:textId="4CDDD9DD"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Provides order discipline</w:t>
            </w:r>
          </w:p>
        </w:tc>
        <w:tc>
          <w:tcPr>
            <w:tcW w:w="2254" w:type="dxa"/>
          </w:tcPr>
          <w:p w14:paraId="416B3343" w14:textId="6F392057"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Weak if demand and shelf are uncertain</w:t>
            </w:r>
          </w:p>
        </w:tc>
        <w:tc>
          <w:tcPr>
            <w:tcW w:w="2254" w:type="dxa"/>
          </w:tcPr>
          <w:p w14:paraId="489A79DD" w14:textId="1F140FE1"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Useful only if adapted</w:t>
            </w:r>
          </w:p>
        </w:tc>
      </w:tr>
      <w:tr w:rsidR="00EF1F21" w14:paraId="4CC5FE03" w14:textId="77777777" w:rsidTr="00EF1F21">
        <w:tc>
          <w:tcPr>
            <w:tcW w:w="2254" w:type="dxa"/>
          </w:tcPr>
          <w:p w14:paraId="236EBC90" w14:textId="1716F4A9"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Supplier call-off</w:t>
            </w:r>
          </w:p>
        </w:tc>
        <w:tc>
          <w:tcPr>
            <w:tcW w:w="2254" w:type="dxa"/>
          </w:tcPr>
          <w:p w14:paraId="6A44AB3D" w14:textId="04291BAB"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Reduces stock exposure while maintaining supply security</w:t>
            </w:r>
          </w:p>
        </w:tc>
        <w:tc>
          <w:tcPr>
            <w:tcW w:w="2254" w:type="dxa"/>
          </w:tcPr>
          <w:p w14:paraId="676A3593" w14:textId="2A94C781"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Requires accurate forecast and supplier flexibility</w:t>
            </w:r>
          </w:p>
        </w:tc>
        <w:tc>
          <w:tcPr>
            <w:tcW w:w="2254" w:type="dxa"/>
          </w:tcPr>
          <w:p w14:paraId="70963040" w14:textId="26048F80"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Storage option for resin</w:t>
            </w:r>
          </w:p>
        </w:tc>
      </w:tr>
      <w:tr w:rsidR="00EF1F21" w14:paraId="474DF4B4" w14:textId="77777777" w:rsidTr="00EF1F21">
        <w:tc>
          <w:tcPr>
            <w:tcW w:w="2254" w:type="dxa"/>
          </w:tcPr>
          <w:p w14:paraId="62AE8F2E" w14:textId="5FE221EF"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lastRenderedPageBreak/>
              <w:t>Full VMI</w:t>
            </w:r>
          </w:p>
        </w:tc>
        <w:tc>
          <w:tcPr>
            <w:tcW w:w="2254" w:type="dxa"/>
          </w:tcPr>
          <w:p w14:paraId="5DB7CC99" w14:textId="4FDA87DE"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Reduces internal planning burden</w:t>
            </w:r>
          </w:p>
        </w:tc>
        <w:tc>
          <w:tcPr>
            <w:tcW w:w="2254" w:type="dxa"/>
          </w:tcPr>
          <w:p w14:paraId="6F30F135" w14:textId="3AE360D9"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Creates supplier dependency and data-sharing risk</w:t>
            </w:r>
          </w:p>
        </w:tc>
        <w:tc>
          <w:tcPr>
            <w:tcW w:w="2254" w:type="dxa"/>
          </w:tcPr>
          <w:p w14:paraId="43A2601C" w14:textId="71C91A0D"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Useful only with clear KPIs</w:t>
            </w:r>
          </w:p>
        </w:tc>
      </w:tr>
      <w:tr w:rsidR="00EF1F21" w14:paraId="1531F8EF" w14:textId="77777777" w:rsidTr="00EF1F21">
        <w:tc>
          <w:tcPr>
            <w:tcW w:w="2254" w:type="dxa"/>
          </w:tcPr>
          <w:p w14:paraId="14B171C3" w14:textId="3FADA5F7"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Spot purchasing</w:t>
            </w:r>
          </w:p>
        </w:tc>
        <w:tc>
          <w:tcPr>
            <w:tcW w:w="2254" w:type="dxa"/>
          </w:tcPr>
          <w:p w14:paraId="76660D8B" w14:textId="3E56A3FE"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 stockholding</w:t>
            </w:r>
          </w:p>
        </w:tc>
        <w:tc>
          <w:tcPr>
            <w:tcW w:w="2254" w:type="dxa"/>
          </w:tcPr>
          <w:p w14:paraId="4422872E" w14:textId="5C92663F"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 shortage and price risk</w:t>
            </w:r>
          </w:p>
        </w:tc>
        <w:tc>
          <w:tcPr>
            <w:tcW w:w="2254" w:type="dxa"/>
          </w:tcPr>
          <w:p w14:paraId="7BA8C8F2" w14:textId="07778E85"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Not suitable for critical resin</w:t>
            </w:r>
          </w:p>
        </w:tc>
      </w:tr>
    </w:tbl>
    <w:p w14:paraId="246D4A4F" w14:textId="77777777" w:rsidR="00AC2E37" w:rsidRDefault="00AC2E37" w:rsidP="00833A5D"/>
    <w:p w14:paraId="04F18C40" w14:textId="77777777" w:rsidR="00761DF0" w:rsidRDefault="00761DF0" w:rsidP="00833A5D"/>
    <w:p w14:paraId="6176137D" w14:textId="09D68FF5" w:rsidR="003D727C" w:rsidRDefault="00EF1F21" w:rsidP="003D727C">
      <w:pPr>
        <w:spacing w:line="360" w:lineRule="auto"/>
        <w:jc w:val="both"/>
        <w:rPr>
          <w:rFonts w:ascii="Times New Roman" w:hAnsi="Times New Roman" w:cs="Times New Roman"/>
          <w:sz w:val="24"/>
          <w:szCs w:val="24"/>
        </w:rPr>
      </w:pPr>
      <w:proofErr w:type="spellStart"/>
      <w:r w:rsidRPr="003D727C">
        <w:rPr>
          <w:rFonts w:ascii="Times New Roman" w:hAnsi="Times New Roman" w:cs="Times New Roman"/>
          <w:sz w:val="24"/>
          <w:szCs w:val="24"/>
        </w:rPr>
        <w:t>Brocksweir</w:t>
      </w:r>
      <w:proofErr w:type="spellEnd"/>
      <w:r w:rsidRPr="003D727C">
        <w:rPr>
          <w:rFonts w:ascii="Times New Roman" w:hAnsi="Times New Roman" w:cs="Times New Roman"/>
          <w:sz w:val="24"/>
          <w:szCs w:val="24"/>
        </w:rPr>
        <w:t xml:space="preserve"> also needs formal digital stock visibility. This could be achieved through an ERP system or, initially, a simpler digital inventory platform. However, technology alone will not solve the problem. ERP only adds value if stock data is accurate, employees are trained, and managers use the information </w:t>
      </w:r>
      <w:r w:rsidR="00AC2E37" w:rsidRPr="003D727C">
        <w:rPr>
          <w:rFonts w:ascii="Times New Roman" w:hAnsi="Times New Roman" w:cs="Times New Roman"/>
          <w:sz w:val="24"/>
          <w:szCs w:val="24"/>
        </w:rPr>
        <w:t>for making</w:t>
      </w:r>
      <w:r w:rsidRPr="003D727C">
        <w:rPr>
          <w:rFonts w:ascii="Times New Roman" w:hAnsi="Times New Roman" w:cs="Times New Roman"/>
          <w:sz w:val="24"/>
          <w:szCs w:val="24"/>
        </w:rPr>
        <w:t xml:space="preserve"> decision.</w:t>
      </w:r>
    </w:p>
    <w:p w14:paraId="56623193" w14:textId="77777777" w:rsidR="00761DF0" w:rsidRPr="003D727C" w:rsidRDefault="00761DF0" w:rsidP="003D727C">
      <w:pPr>
        <w:spacing w:line="360" w:lineRule="auto"/>
        <w:jc w:val="both"/>
        <w:rPr>
          <w:rFonts w:ascii="Times New Roman" w:hAnsi="Times New Roman" w:cs="Times New Roman"/>
          <w:sz w:val="24"/>
          <w:szCs w:val="24"/>
        </w:rPr>
      </w:pPr>
    </w:p>
    <w:tbl>
      <w:tblPr>
        <w:tblStyle w:val="TableGrid"/>
        <w:tblW w:w="8930" w:type="dxa"/>
        <w:tblInd w:w="279" w:type="dxa"/>
        <w:tblLook w:val="04A0" w:firstRow="1" w:lastRow="0" w:firstColumn="1" w:lastColumn="0" w:noHBand="0" w:noVBand="1"/>
      </w:tblPr>
      <w:tblGrid>
        <w:gridCol w:w="3363"/>
        <w:gridCol w:w="2254"/>
        <w:gridCol w:w="3313"/>
      </w:tblGrid>
      <w:tr w:rsidR="00EF1F21" w:rsidRPr="00DC4D7F" w14:paraId="061C65F2" w14:textId="77777777" w:rsidTr="003D727C">
        <w:tc>
          <w:tcPr>
            <w:tcW w:w="3363" w:type="dxa"/>
          </w:tcPr>
          <w:p w14:paraId="0C9CF834" w14:textId="1FC6237E" w:rsidR="00EF1F21" w:rsidRPr="00DC4D7F" w:rsidRDefault="00EF1F21" w:rsidP="00DC4D7F">
            <w:pPr>
              <w:jc w:val="center"/>
              <w:rPr>
                <w:rFonts w:ascii="Times New Roman" w:hAnsi="Times New Roman" w:cs="Times New Roman"/>
                <w:b/>
                <w:bCs/>
                <w:sz w:val="24"/>
                <w:szCs w:val="24"/>
              </w:rPr>
            </w:pPr>
            <w:r w:rsidRPr="00DC4D7F">
              <w:rPr>
                <w:rFonts w:ascii="Times New Roman" w:hAnsi="Times New Roman" w:cs="Times New Roman"/>
                <w:b/>
                <w:bCs/>
                <w:sz w:val="24"/>
                <w:szCs w:val="24"/>
              </w:rPr>
              <w:t>KPI</w:t>
            </w:r>
          </w:p>
        </w:tc>
        <w:tc>
          <w:tcPr>
            <w:tcW w:w="2254" w:type="dxa"/>
          </w:tcPr>
          <w:p w14:paraId="7CEA8E6C" w14:textId="22EE6A6A" w:rsidR="00EF1F21" w:rsidRPr="00DC4D7F" w:rsidRDefault="00EF1F21" w:rsidP="00DC4D7F">
            <w:pPr>
              <w:jc w:val="center"/>
              <w:rPr>
                <w:rFonts w:ascii="Times New Roman" w:hAnsi="Times New Roman" w:cs="Times New Roman"/>
                <w:b/>
                <w:bCs/>
                <w:sz w:val="24"/>
                <w:szCs w:val="24"/>
              </w:rPr>
            </w:pPr>
            <w:r w:rsidRPr="00DC4D7F">
              <w:rPr>
                <w:rFonts w:ascii="Times New Roman" w:hAnsi="Times New Roman" w:cs="Times New Roman"/>
                <w:b/>
                <w:bCs/>
                <w:sz w:val="24"/>
                <w:szCs w:val="24"/>
              </w:rPr>
              <w:t>purpose</w:t>
            </w:r>
          </w:p>
        </w:tc>
        <w:tc>
          <w:tcPr>
            <w:tcW w:w="3313" w:type="dxa"/>
          </w:tcPr>
          <w:p w14:paraId="4D66B387" w14:textId="537939B2" w:rsidR="00EF1F21" w:rsidRPr="00DC4D7F" w:rsidRDefault="00EF1F21" w:rsidP="00DC4D7F">
            <w:pPr>
              <w:jc w:val="center"/>
              <w:rPr>
                <w:rFonts w:ascii="Times New Roman" w:hAnsi="Times New Roman" w:cs="Times New Roman"/>
                <w:b/>
                <w:bCs/>
                <w:sz w:val="24"/>
                <w:szCs w:val="24"/>
              </w:rPr>
            </w:pPr>
            <w:r w:rsidRPr="00DC4D7F">
              <w:rPr>
                <w:rFonts w:ascii="Times New Roman" w:hAnsi="Times New Roman" w:cs="Times New Roman"/>
                <w:b/>
                <w:bCs/>
                <w:sz w:val="24"/>
                <w:szCs w:val="24"/>
              </w:rPr>
              <w:t>Target direction</w:t>
            </w:r>
          </w:p>
        </w:tc>
      </w:tr>
      <w:tr w:rsidR="00EF1F21" w14:paraId="3B2516F5" w14:textId="77777777" w:rsidTr="003D727C">
        <w:tc>
          <w:tcPr>
            <w:tcW w:w="3363" w:type="dxa"/>
          </w:tcPr>
          <w:p w14:paraId="58456BFE" w14:textId="578F6309" w:rsidR="00EF1F21" w:rsidRPr="00DC4D7F" w:rsidRDefault="00EF1F21"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Resin expiry value</w:t>
            </w:r>
          </w:p>
        </w:tc>
        <w:tc>
          <w:tcPr>
            <w:tcW w:w="2254" w:type="dxa"/>
          </w:tcPr>
          <w:p w14:paraId="7A4CD70C" w14:textId="2CDA8DE0" w:rsidR="00EF1F21" w:rsidRPr="00DC4D7F" w:rsidRDefault="00EF1F21"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value of expired resin</w:t>
            </w:r>
          </w:p>
        </w:tc>
        <w:tc>
          <w:tcPr>
            <w:tcW w:w="3313" w:type="dxa"/>
          </w:tcPr>
          <w:p w14:paraId="70E2D726" w14:textId="65BBFD2F" w:rsidR="00EF1F21" w:rsidRPr="00DC4D7F" w:rsidRDefault="00EF1F21"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 to zero</w:t>
            </w:r>
          </w:p>
        </w:tc>
      </w:tr>
      <w:tr w:rsidR="00EF1F21" w14:paraId="0BFFF0F8" w14:textId="77777777" w:rsidTr="003D727C">
        <w:tc>
          <w:tcPr>
            <w:tcW w:w="3363" w:type="dxa"/>
          </w:tcPr>
          <w:p w14:paraId="18EE84E1" w14:textId="1ED66271"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Inventory turnover</w:t>
            </w:r>
          </w:p>
        </w:tc>
        <w:tc>
          <w:tcPr>
            <w:tcW w:w="2254" w:type="dxa"/>
          </w:tcPr>
          <w:p w14:paraId="116C7758" w14:textId="348147E1"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Shows whether stock is moving efficiently</w:t>
            </w:r>
          </w:p>
        </w:tc>
        <w:tc>
          <w:tcPr>
            <w:tcW w:w="3313" w:type="dxa"/>
          </w:tcPr>
          <w:p w14:paraId="092B2903" w14:textId="2E906C28"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Increase</w:t>
            </w:r>
          </w:p>
        </w:tc>
      </w:tr>
      <w:tr w:rsidR="00EF1F21" w14:paraId="3B8118EA" w14:textId="77777777" w:rsidTr="003D727C">
        <w:tc>
          <w:tcPr>
            <w:tcW w:w="3363" w:type="dxa"/>
          </w:tcPr>
          <w:p w14:paraId="74CC106A" w14:textId="5C17D281"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Slow-moving stock value</w:t>
            </w:r>
          </w:p>
        </w:tc>
        <w:tc>
          <w:tcPr>
            <w:tcW w:w="2254" w:type="dxa"/>
          </w:tcPr>
          <w:p w14:paraId="539EA6CC" w14:textId="466ACFD3"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Identifies future obsolescence risk</w:t>
            </w:r>
          </w:p>
        </w:tc>
        <w:tc>
          <w:tcPr>
            <w:tcW w:w="3313" w:type="dxa"/>
          </w:tcPr>
          <w:p w14:paraId="0871B65B" w14:textId="16D698B6"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w:t>
            </w:r>
          </w:p>
        </w:tc>
      </w:tr>
      <w:tr w:rsidR="00EF1F21" w14:paraId="7535FF07" w14:textId="77777777" w:rsidTr="003D727C">
        <w:tc>
          <w:tcPr>
            <w:tcW w:w="3363" w:type="dxa"/>
          </w:tcPr>
          <w:p w14:paraId="62A5AB9D" w14:textId="7FD31613"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Forecast accuracy</w:t>
            </w:r>
          </w:p>
        </w:tc>
        <w:tc>
          <w:tcPr>
            <w:tcW w:w="2254" w:type="dxa"/>
          </w:tcPr>
          <w:p w14:paraId="08B58160" w14:textId="1A383436"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Compares forecast demand with actual usage</w:t>
            </w:r>
          </w:p>
        </w:tc>
        <w:tc>
          <w:tcPr>
            <w:tcW w:w="3313" w:type="dxa"/>
          </w:tcPr>
          <w:p w14:paraId="36310376" w14:textId="0FFDBDF2"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Improve</w:t>
            </w:r>
          </w:p>
        </w:tc>
      </w:tr>
      <w:tr w:rsidR="00AC2E37" w14:paraId="4B8A59D4" w14:textId="77777777" w:rsidTr="003D727C">
        <w:tc>
          <w:tcPr>
            <w:tcW w:w="3363" w:type="dxa"/>
          </w:tcPr>
          <w:p w14:paraId="57DAD723" w14:textId="7D55ED06"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Supplier on-time delivery</w:t>
            </w:r>
          </w:p>
        </w:tc>
        <w:tc>
          <w:tcPr>
            <w:tcW w:w="2254" w:type="dxa"/>
          </w:tcPr>
          <w:p w14:paraId="017C4252" w14:textId="16A7FA9A"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supplier reliability</w:t>
            </w:r>
          </w:p>
        </w:tc>
        <w:tc>
          <w:tcPr>
            <w:tcW w:w="3313" w:type="dxa"/>
          </w:tcPr>
          <w:p w14:paraId="1708E6C9" w14:textId="0C583AC8"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Improve</w:t>
            </w:r>
          </w:p>
        </w:tc>
      </w:tr>
      <w:tr w:rsidR="00AC2E37" w14:paraId="328ED409" w14:textId="77777777" w:rsidTr="003D727C">
        <w:tc>
          <w:tcPr>
            <w:tcW w:w="3363" w:type="dxa"/>
          </w:tcPr>
          <w:p w14:paraId="53FA9BAF" w14:textId="53DC717C"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Stockout frequency</w:t>
            </w:r>
          </w:p>
        </w:tc>
        <w:tc>
          <w:tcPr>
            <w:tcW w:w="2254" w:type="dxa"/>
          </w:tcPr>
          <w:p w14:paraId="50337705" w14:textId="765CFCD4"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supply failure</w:t>
            </w:r>
          </w:p>
        </w:tc>
        <w:tc>
          <w:tcPr>
            <w:tcW w:w="3313" w:type="dxa"/>
          </w:tcPr>
          <w:p w14:paraId="6169CA9D" w14:textId="2C44B4C8"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w:t>
            </w:r>
          </w:p>
        </w:tc>
      </w:tr>
      <w:tr w:rsidR="00AC2E37" w14:paraId="02CEF92D" w14:textId="77777777" w:rsidTr="003D727C">
        <w:tc>
          <w:tcPr>
            <w:tcW w:w="3363" w:type="dxa"/>
          </w:tcPr>
          <w:p w14:paraId="112A2F13" w14:textId="777738BB"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lastRenderedPageBreak/>
              <w:t>Waste-disposal cost</w:t>
            </w:r>
          </w:p>
        </w:tc>
        <w:tc>
          <w:tcPr>
            <w:tcW w:w="2254" w:type="dxa"/>
          </w:tcPr>
          <w:p w14:paraId="1A5CB7F5" w14:textId="5E44EFF6"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sustainability cost</w:t>
            </w:r>
          </w:p>
        </w:tc>
        <w:tc>
          <w:tcPr>
            <w:tcW w:w="3313" w:type="dxa"/>
          </w:tcPr>
          <w:p w14:paraId="7209F37D" w14:textId="269D98E1"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w:t>
            </w:r>
          </w:p>
        </w:tc>
      </w:tr>
      <w:tr w:rsidR="00AC2E37" w14:paraId="308C36E6" w14:textId="77777777" w:rsidTr="003D727C">
        <w:tc>
          <w:tcPr>
            <w:tcW w:w="3363" w:type="dxa"/>
          </w:tcPr>
          <w:p w14:paraId="5687700B" w14:textId="020D39A5"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Percentage of resin used before expiry</w:t>
            </w:r>
          </w:p>
        </w:tc>
        <w:tc>
          <w:tcPr>
            <w:tcW w:w="2254" w:type="dxa"/>
          </w:tcPr>
          <w:p w14:paraId="24E24BEF" w14:textId="22C87842"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FEFO effectiveness</w:t>
            </w:r>
          </w:p>
        </w:tc>
        <w:tc>
          <w:tcPr>
            <w:tcW w:w="3313" w:type="dxa"/>
          </w:tcPr>
          <w:p w14:paraId="1887E5EB" w14:textId="0C31D8D6"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Increase</w:t>
            </w:r>
          </w:p>
        </w:tc>
      </w:tr>
    </w:tbl>
    <w:p w14:paraId="63817B63" w14:textId="77777777" w:rsidR="00AC2E37" w:rsidRDefault="00AC2E37" w:rsidP="00833A5D"/>
    <w:p w14:paraId="261367ED" w14:textId="13B00A22" w:rsidR="00EF1F21" w:rsidRPr="00DC4D7F" w:rsidRDefault="00AC2E37" w:rsidP="00DC4D7F">
      <w:pPr>
        <w:spacing w:line="360" w:lineRule="auto"/>
        <w:jc w:val="both"/>
        <w:rPr>
          <w:rFonts w:ascii="Times New Roman" w:hAnsi="Times New Roman" w:cs="Times New Roman"/>
          <w:sz w:val="24"/>
          <w:szCs w:val="24"/>
        </w:rPr>
      </w:pPr>
      <w:r w:rsidRPr="00DC4D7F">
        <w:rPr>
          <w:rFonts w:ascii="Times New Roman" w:hAnsi="Times New Roman" w:cs="Times New Roman"/>
          <w:sz w:val="24"/>
          <w:szCs w:val="24"/>
        </w:rPr>
        <w:t>These KPI connect inventory management with sustainability and reducing expire resin improves cash flow, reduces hazardous waste and strengthens compliance. This means sustainability is not an additional activity, it should be built into the company daily inventory-control system.</w:t>
      </w:r>
    </w:p>
    <w:p w14:paraId="5C4AB5F9" w14:textId="77777777" w:rsidR="00AC2E37" w:rsidRDefault="00AC2E37" w:rsidP="00833A5D"/>
    <w:p w14:paraId="174C9A7E" w14:textId="77777777" w:rsidR="00AC2E37" w:rsidRDefault="00AC2E37" w:rsidP="00833A5D"/>
    <w:p w14:paraId="383B01F7" w14:textId="77777777" w:rsidR="00AC2E37" w:rsidRDefault="00AC2E37" w:rsidP="00833A5D"/>
    <w:p w14:paraId="63C3ED76" w14:textId="77777777" w:rsidR="004E336A" w:rsidRDefault="004E336A" w:rsidP="00833A5D"/>
    <w:p w14:paraId="270E245F" w14:textId="77777777" w:rsidR="003D727C" w:rsidRDefault="003D727C" w:rsidP="00833A5D"/>
    <w:p w14:paraId="6BAAC0FE" w14:textId="77777777" w:rsidR="003D727C" w:rsidRDefault="003D727C" w:rsidP="00833A5D"/>
    <w:p w14:paraId="40C493AC" w14:textId="77777777" w:rsidR="003D727C" w:rsidRDefault="003D727C" w:rsidP="00833A5D"/>
    <w:p w14:paraId="57A3A087" w14:textId="77777777" w:rsidR="003D727C" w:rsidRDefault="003D727C" w:rsidP="00833A5D"/>
    <w:p w14:paraId="20FD6338" w14:textId="77777777" w:rsidR="003D727C" w:rsidRDefault="003D727C" w:rsidP="00833A5D"/>
    <w:p w14:paraId="5B543E4C" w14:textId="77777777" w:rsidR="003D727C" w:rsidRDefault="003D727C" w:rsidP="00833A5D"/>
    <w:p w14:paraId="16E2D19C" w14:textId="77777777" w:rsidR="003D727C" w:rsidRDefault="003D727C" w:rsidP="00833A5D"/>
    <w:p w14:paraId="29660D84" w14:textId="77777777" w:rsidR="003D727C" w:rsidRDefault="003D727C" w:rsidP="00833A5D"/>
    <w:p w14:paraId="3C168520" w14:textId="77777777" w:rsidR="003D727C" w:rsidRDefault="003D727C" w:rsidP="00833A5D"/>
    <w:p w14:paraId="07A6479E" w14:textId="77777777" w:rsidR="00127547" w:rsidRDefault="00127547" w:rsidP="00833A5D"/>
    <w:p w14:paraId="1DA61F22" w14:textId="77777777" w:rsidR="00127547" w:rsidRDefault="00127547" w:rsidP="00833A5D"/>
    <w:p w14:paraId="2C762928" w14:textId="77777777" w:rsidR="00127547" w:rsidRDefault="00127547" w:rsidP="00833A5D"/>
    <w:p w14:paraId="3C14C3A1" w14:textId="77777777" w:rsidR="00127547" w:rsidRDefault="00127547" w:rsidP="00833A5D"/>
    <w:p w14:paraId="58E98725" w14:textId="77777777" w:rsidR="00127547" w:rsidRDefault="00127547" w:rsidP="00833A5D"/>
    <w:p w14:paraId="27306BEE" w14:textId="77777777" w:rsidR="00127547" w:rsidRPr="00833A5D" w:rsidRDefault="00127547" w:rsidP="00833A5D"/>
    <w:p w14:paraId="000400C1" w14:textId="59BBDD14" w:rsidR="00C966AB" w:rsidRDefault="00641584" w:rsidP="0080612A">
      <w:pPr>
        <w:pStyle w:val="Heading1"/>
        <w:rPr>
          <w:rFonts w:ascii="Times New Roman" w:hAnsi="Times New Roman" w:cs="Times New Roman"/>
          <w:sz w:val="32"/>
          <w:szCs w:val="32"/>
        </w:rPr>
      </w:pPr>
      <w:bookmarkStart w:id="7" w:name="_Toc229048353"/>
      <w:r w:rsidRPr="0080612A">
        <w:rPr>
          <w:rFonts w:ascii="Times New Roman" w:hAnsi="Times New Roman" w:cs="Times New Roman"/>
          <w:sz w:val="32"/>
          <w:szCs w:val="32"/>
        </w:rPr>
        <w:lastRenderedPageBreak/>
        <w:t>3</w:t>
      </w:r>
      <w:r w:rsidR="00981ECE" w:rsidRPr="0080612A">
        <w:rPr>
          <w:rFonts w:ascii="Times New Roman" w:hAnsi="Times New Roman" w:cs="Times New Roman"/>
          <w:sz w:val="32"/>
          <w:szCs w:val="32"/>
        </w:rPr>
        <w:t>.0</w:t>
      </w:r>
      <w:r w:rsidR="007C5E19" w:rsidRPr="0080612A">
        <w:rPr>
          <w:rFonts w:ascii="Times New Roman" w:hAnsi="Times New Roman" w:cs="Times New Roman"/>
          <w:sz w:val="32"/>
          <w:szCs w:val="32"/>
        </w:rPr>
        <w:t xml:space="preserve"> </w:t>
      </w:r>
      <w:r w:rsidR="003D727C" w:rsidRPr="003D727C">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DEALING WITH OBSOLETE STOCK</w:t>
      </w:r>
      <w:bookmarkEnd w:id="7"/>
    </w:p>
    <w:p w14:paraId="21A8A802" w14:textId="05E963A8" w:rsidR="0080612A" w:rsidRPr="00DC4D7F" w:rsidRDefault="0080612A" w:rsidP="00DC4D7F">
      <w:pPr>
        <w:spacing w:line="360" w:lineRule="auto"/>
        <w:jc w:val="both"/>
        <w:rPr>
          <w:rFonts w:ascii="Times New Roman" w:hAnsi="Times New Roman" w:cs="Times New Roman"/>
          <w:sz w:val="24"/>
          <w:szCs w:val="24"/>
        </w:rPr>
      </w:pPr>
      <w:r w:rsidRPr="00DC4D7F">
        <w:rPr>
          <w:rFonts w:ascii="Times New Roman" w:hAnsi="Times New Roman" w:cs="Times New Roman"/>
          <w:sz w:val="24"/>
          <w:szCs w:val="24"/>
        </w:rPr>
        <w:t xml:space="preserve">The obsolete resin stock should not be treated simply as a disposal problem it is a failure created by weak purchasing controls, lack of expiry tracking and poor coordination between stores, production and procurement. However, </w:t>
      </w:r>
      <w:proofErr w:type="spellStart"/>
      <w:r w:rsidRPr="00DC4D7F">
        <w:rPr>
          <w:rFonts w:ascii="Times New Roman" w:hAnsi="Times New Roman" w:cs="Times New Roman"/>
          <w:sz w:val="24"/>
          <w:szCs w:val="24"/>
        </w:rPr>
        <w:t>Brocksweir</w:t>
      </w:r>
      <w:proofErr w:type="spellEnd"/>
      <w:r w:rsidRPr="00DC4D7F">
        <w:rPr>
          <w:rFonts w:ascii="Times New Roman" w:hAnsi="Times New Roman" w:cs="Times New Roman"/>
          <w:sz w:val="24"/>
          <w:szCs w:val="24"/>
        </w:rPr>
        <w:t xml:space="preserve"> must now manage the existing obsolete stock in a way that is safe, compliant and environmental responsible.</w:t>
      </w:r>
    </w:p>
    <w:p w14:paraId="64FFD8D7" w14:textId="6A53AD79" w:rsidR="0080612A" w:rsidRPr="00DC4D7F" w:rsidRDefault="0080612A" w:rsidP="00DC4D7F">
      <w:pPr>
        <w:spacing w:line="360" w:lineRule="auto"/>
        <w:jc w:val="both"/>
        <w:rPr>
          <w:rFonts w:ascii="Times New Roman" w:hAnsi="Times New Roman" w:cs="Times New Roman"/>
          <w:sz w:val="24"/>
          <w:szCs w:val="24"/>
        </w:rPr>
      </w:pPr>
      <w:r w:rsidRPr="00DC4D7F">
        <w:rPr>
          <w:rFonts w:ascii="Times New Roman" w:hAnsi="Times New Roman" w:cs="Times New Roman"/>
          <w:sz w:val="24"/>
          <w:szCs w:val="24"/>
        </w:rPr>
        <w:t xml:space="preserve">The first action should be to quarantine the expired resin. It should be physically separated from usable stock and clearly labelled to prevent accidental use in production. The company should then review batch numbers, expiry dates, storage conditions, supplier data sheets and possible revalidation options. This step is </w:t>
      </w:r>
      <w:r w:rsidR="00127547" w:rsidRPr="00DC4D7F">
        <w:rPr>
          <w:rFonts w:ascii="Times New Roman" w:hAnsi="Times New Roman" w:cs="Times New Roman"/>
          <w:sz w:val="24"/>
          <w:szCs w:val="24"/>
        </w:rPr>
        <w:t>significant</w:t>
      </w:r>
      <w:r w:rsidRPr="00DC4D7F">
        <w:rPr>
          <w:rFonts w:ascii="Times New Roman" w:hAnsi="Times New Roman" w:cs="Times New Roman"/>
          <w:sz w:val="24"/>
          <w:szCs w:val="24"/>
        </w:rPr>
        <w:t xml:space="preserve"> because </w:t>
      </w:r>
      <w:r w:rsidR="00127547" w:rsidRPr="00DC4D7F">
        <w:rPr>
          <w:rFonts w:ascii="Times New Roman" w:hAnsi="Times New Roman" w:cs="Times New Roman"/>
          <w:sz w:val="24"/>
          <w:szCs w:val="24"/>
        </w:rPr>
        <w:t>instant</w:t>
      </w:r>
      <w:r w:rsidRPr="00DC4D7F">
        <w:rPr>
          <w:rFonts w:ascii="Times New Roman" w:hAnsi="Times New Roman" w:cs="Times New Roman"/>
          <w:sz w:val="24"/>
          <w:szCs w:val="24"/>
        </w:rPr>
        <w:t xml:space="preserve"> disposal may be safe, but it could destroy potential value if some material can be technically revalidated or returned to the supplier.</w:t>
      </w:r>
    </w:p>
    <w:p w14:paraId="5B58FAEA" w14:textId="16F4A862" w:rsidR="00641584" w:rsidRDefault="00AA0C80" w:rsidP="00641584">
      <w:pPr>
        <w:pStyle w:val="Heading1"/>
        <w:rPr>
          <w:rStyle w:val="Heading1Char"/>
          <w:rFonts w:ascii="Times New Roman" w:hAnsi="Times New Roman" w:cs="Times New Roman"/>
          <w:sz w:val="28"/>
          <w:szCs w:val="28"/>
        </w:rPr>
      </w:pPr>
      <w:r w:rsidRPr="00AA0C80">
        <w:rPr>
          <w:rFonts w:ascii="Times New Roman" w:hAnsi="Times New Roman" w:cs="Times New Roman"/>
          <w:sz w:val="24"/>
          <w:szCs w:val="24"/>
        </w:rPr>
        <w:t xml:space="preserve"> </w:t>
      </w:r>
      <w:bookmarkStart w:id="8" w:name="_Toc229048354"/>
      <w:r w:rsidR="00641584">
        <w:rPr>
          <w:rFonts w:ascii="Times New Roman" w:hAnsi="Times New Roman" w:cs="Times New Roman"/>
          <w:sz w:val="28"/>
          <w:szCs w:val="28"/>
        </w:rPr>
        <w:t>3.1</w:t>
      </w:r>
      <w:r w:rsidR="00641584" w:rsidRPr="00C86AD4">
        <w:rPr>
          <w:rFonts w:ascii="Times New Roman" w:hAnsi="Times New Roman" w:cs="Times New Roman"/>
          <w:b/>
          <w:bCs/>
          <w:sz w:val="28"/>
          <w:szCs w:val="28"/>
        </w:rPr>
        <w:t xml:space="preserve"> </w:t>
      </w:r>
      <w:r w:rsidR="003D727C" w:rsidRPr="003D727C">
        <w:rPr>
          <w:rStyle w:val="Heading1Cha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 FRAMING: OBSOLETE STOCK AS A FAILURE COST</w:t>
      </w:r>
      <w:bookmarkEnd w:id="8"/>
    </w:p>
    <w:p w14:paraId="693B9774" w14:textId="4E22B38E" w:rsidR="00641584" w:rsidRDefault="0080612A"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Obsolete stock should be recorded as a failure cost rather than a normal operating expense. If disposal costs are hidden within general overheads, managers may underestimate the financial impact of poor inventory control. The cost visible,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can link expired resin directly to purchasing decisions, forecasting accuracy and inventory governance.</w:t>
      </w:r>
    </w:p>
    <w:p w14:paraId="0D02416F" w14:textId="13854A64" w:rsidR="0080612A" w:rsidRDefault="0080612A"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key issue is therefore not only how to dispose of the resin, but why the resin became obsolete. This distinction is important because disposal addresses the symptom, while improved inventory control addresses the cause.</w:t>
      </w:r>
    </w:p>
    <w:tbl>
      <w:tblPr>
        <w:tblStyle w:val="TableGrid"/>
        <w:tblW w:w="0" w:type="auto"/>
        <w:tblLook w:val="04A0" w:firstRow="1" w:lastRow="0" w:firstColumn="1" w:lastColumn="0" w:noHBand="0" w:noVBand="1"/>
      </w:tblPr>
      <w:tblGrid>
        <w:gridCol w:w="3005"/>
        <w:gridCol w:w="3005"/>
        <w:gridCol w:w="3006"/>
      </w:tblGrid>
      <w:tr w:rsidR="00641584" w14:paraId="75431152" w14:textId="77777777" w:rsidTr="00641584">
        <w:tc>
          <w:tcPr>
            <w:tcW w:w="3005" w:type="dxa"/>
          </w:tcPr>
          <w:p w14:paraId="251A10E0" w14:textId="0FC408A0" w:rsidR="00641584" w:rsidRPr="00DC4D7F" w:rsidRDefault="00641584" w:rsidP="00DC4D7F">
            <w:pPr>
              <w:tabs>
                <w:tab w:val="left" w:pos="1008"/>
              </w:tabs>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Problem</w:t>
            </w:r>
          </w:p>
        </w:tc>
        <w:tc>
          <w:tcPr>
            <w:tcW w:w="3005" w:type="dxa"/>
          </w:tcPr>
          <w:p w14:paraId="740628A1" w14:textId="54811AE9" w:rsidR="00641584" w:rsidRPr="00DC4D7F" w:rsidRDefault="00641584" w:rsidP="00DC4D7F">
            <w:pPr>
              <w:tabs>
                <w:tab w:val="left" w:pos="1008"/>
              </w:tabs>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Root cause</w:t>
            </w:r>
          </w:p>
        </w:tc>
        <w:tc>
          <w:tcPr>
            <w:tcW w:w="3006" w:type="dxa"/>
          </w:tcPr>
          <w:p w14:paraId="2B519EBA" w14:textId="41C74FDF" w:rsidR="00641584" w:rsidRPr="00DC4D7F" w:rsidRDefault="00641584" w:rsidP="00DC4D7F">
            <w:pPr>
              <w:tabs>
                <w:tab w:val="left" w:pos="1008"/>
              </w:tabs>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Impact</w:t>
            </w:r>
          </w:p>
        </w:tc>
      </w:tr>
      <w:tr w:rsidR="00641584" w14:paraId="55D2DCFB" w14:textId="77777777" w:rsidTr="00641584">
        <w:tc>
          <w:tcPr>
            <w:tcW w:w="3005" w:type="dxa"/>
          </w:tcPr>
          <w:p w14:paraId="28FC6922" w14:textId="74B909F8"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Unknown lead times</w:t>
            </w:r>
          </w:p>
        </w:tc>
        <w:tc>
          <w:tcPr>
            <w:tcW w:w="3005" w:type="dxa"/>
          </w:tcPr>
          <w:p w14:paraId="7659F804" w14:textId="4E981E2C"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Lack of data</w:t>
            </w:r>
          </w:p>
        </w:tc>
        <w:tc>
          <w:tcPr>
            <w:tcW w:w="3006" w:type="dxa"/>
          </w:tcPr>
          <w:p w14:paraId="748CBA45" w14:textId="3F51A1B8"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Overstocking</w:t>
            </w:r>
          </w:p>
        </w:tc>
      </w:tr>
      <w:tr w:rsidR="00641584" w14:paraId="14C1DAB8" w14:textId="77777777" w:rsidTr="00641584">
        <w:tc>
          <w:tcPr>
            <w:tcW w:w="3005" w:type="dxa"/>
          </w:tcPr>
          <w:p w14:paraId="15746307" w14:textId="0952B034"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Supplier variability</w:t>
            </w:r>
          </w:p>
        </w:tc>
        <w:tc>
          <w:tcPr>
            <w:tcW w:w="3005" w:type="dxa"/>
          </w:tcPr>
          <w:p w14:paraId="2D07AEDA" w14:textId="0E3E88A8"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Weak coordination</w:t>
            </w:r>
          </w:p>
        </w:tc>
        <w:tc>
          <w:tcPr>
            <w:tcW w:w="3006" w:type="dxa"/>
          </w:tcPr>
          <w:p w14:paraId="1ACBBA96" w14:textId="7305FE0D"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Delays</w:t>
            </w:r>
          </w:p>
        </w:tc>
      </w:tr>
      <w:tr w:rsidR="00641584" w14:paraId="0010E6A5" w14:textId="77777777" w:rsidTr="00641584">
        <w:tc>
          <w:tcPr>
            <w:tcW w:w="3005" w:type="dxa"/>
          </w:tcPr>
          <w:p w14:paraId="6BF09098" w14:textId="6C20126B"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Poor planning</w:t>
            </w:r>
          </w:p>
        </w:tc>
        <w:tc>
          <w:tcPr>
            <w:tcW w:w="3005" w:type="dxa"/>
          </w:tcPr>
          <w:p w14:paraId="06E80990" w14:textId="34B10D18"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No integration</w:t>
            </w:r>
          </w:p>
        </w:tc>
        <w:tc>
          <w:tcPr>
            <w:tcW w:w="3006" w:type="dxa"/>
          </w:tcPr>
          <w:p w14:paraId="0EC393FC" w14:textId="6111FDC8" w:rsidR="00641584" w:rsidRDefault="00641584"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Inefficiency</w:t>
            </w:r>
          </w:p>
        </w:tc>
      </w:tr>
    </w:tbl>
    <w:p w14:paraId="65B7C240" w14:textId="77777777" w:rsidR="00641584" w:rsidRDefault="00641584" w:rsidP="0079210B">
      <w:pPr>
        <w:tabs>
          <w:tab w:val="left" w:pos="1008"/>
        </w:tabs>
        <w:spacing w:line="360" w:lineRule="auto"/>
        <w:jc w:val="both"/>
        <w:rPr>
          <w:rFonts w:ascii="Times New Roman" w:hAnsi="Times New Roman" w:cs="Times New Roman"/>
          <w:sz w:val="24"/>
          <w:szCs w:val="24"/>
        </w:rPr>
      </w:pPr>
    </w:p>
    <w:p w14:paraId="695BE4EA" w14:textId="2331922A" w:rsidR="0017315F" w:rsidRDefault="005356B2"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demonstrates that inventory inefficiencies are not independent issues but are directly influenced by supply chain visibility and coordination failures. </w:t>
      </w:r>
    </w:p>
    <w:p w14:paraId="2B6C03BB" w14:textId="72A9B701" w:rsidR="00641584" w:rsidRPr="003D727C" w:rsidRDefault="00641584" w:rsidP="00641584">
      <w:pPr>
        <w:pStyle w:val="Heading1"/>
        <w:rPr>
          <w:rStyle w:val="Heading1Cha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Toc229048355"/>
      <w:r>
        <w:rPr>
          <w:rFonts w:ascii="Times New Roman" w:hAnsi="Times New Roman" w:cs="Times New Roman"/>
          <w:sz w:val="28"/>
          <w:szCs w:val="28"/>
        </w:rPr>
        <w:lastRenderedPageBreak/>
        <w:t>3.2</w:t>
      </w:r>
      <w:r w:rsidRPr="00C86AD4">
        <w:rPr>
          <w:rFonts w:ascii="Times New Roman" w:hAnsi="Times New Roman" w:cs="Times New Roman"/>
          <w:b/>
          <w:bCs/>
          <w:sz w:val="28"/>
          <w:szCs w:val="28"/>
        </w:rPr>
        <w:t xml:space="preserve"> </w:t>
      </w:r>
      <w:r w:rsidR="003D727C" w:rsidRPr="003D727C">
        <w:rPr>
          <w:rStyle w:val="Heading1Cha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DECISION MATRIX FOR OBSOLETE RESIN</w:t>
      </w:r>
      <w:bookmarkEnd w:id="9"/>
    </w:p>
    <w:tbl>
      <w:tblPr>
        <w:tblStyle w:val="TableGrid"/>
        <w:tblW w:w="0" w:type="auto"/>
        <w:tblLook w:val="04A0" w:firstRow="1" w:lastRow="0" w:firstColumn="1" w:lastColumn="0" w:noHBand="0" w:noVBand="1"/>
      </w:tblPr>
      <w:tblGrid>
        <w:gridCol w:w="1922"/>
        <w:gridCol w:w="1791"/>
        <w:gridCol w:w="1758"/>
        <w:gridCol w:w="1778"/>
        <w:gridCol w:w="1767"/>
      </w:tblGrid>
      <w:tr w:rsidR="0017315F" w14:paraId="22AAA255" w14:textId="77777777" w:rsidTr="0017315F">
        <w:tc>
          <w:tcPr>
            <w:tcW w:w="1803" w:type="dxa"/>
          </w:tcPr>
          <w:p w14:paraId="204CDE8C" w14:textId="20B856A8"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Option</w:t>
            </w:r>
          </w:p>
        </w:tc>
        <w:tc>
          <w:tcPr>
            <w:tcW w:w="1803" w:type="dxa"/>
          </w:tcPr>
          <w:p w14:paraId="40025190" w14:textId="1434CE1D"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Sustainability position</w:t>
            </w:r>
          </w:p>
        </w:tc>
        <w:tc>
          <w:tcPr>
            <w:tcW w:w="1803" w:type="dxa"/>
          </w:tcPr>
          <w:p w14:paraId="33FFDDB3" w14:textId="0CE3D62E"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Financial impact</w:t>
            </w:r>
          </w:p>
        </w:tc>
        <w:tc>
          <w:tcPr>
            <w:tcW w:w="1803" w:type="dxa"/>
          </w:tcPr>
          <w:p w14:paraId="79E8F471" w14:textId="62918328"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Operational risk</w:t>
            </w:r>
          </w:p>
        </w:tc>
        <w:tc>
          <w:tcPr>
            <w:tcW w:w="1804" w:type="dxa"/>
          </w:tcPr>
          <w:p w14:paraId="78F679C6" w14:textId="384B027F"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Critical evaluation</w:t>
            </w:r>
          </w:p>
        </w:tc>
      </w:tr>
      <w:tr w:rsidR="0017315F" w14:paraId="79C4A9F1" w14:textId="77777777" w:rsidTr="0017315F">
        <w:tc>
          <w:tcPr>
            <w:tcW w:w="1803" w:type="dxa"/>
          </w:tcPr>
          <w:p w14:paraId="07226508" w14:textId="7434B723"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Quarantine and technical assessment</w:t>
            </w:r>
          </w:p>
        </w:tc>
        <w:tc>
          <w:tcPr>
            <w:tcW w:w="1803" w:type="dxa"/>
          </w:tcPr>
          <w:p w14:paraId="4D8AA8B1" w14:textId="53F2176C"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Necessary first step</w:t>
            </w:r>
          </w:p>
        </w:tc>
        <w:tc>
          <w:tcPr>
            <w:tcW w:w="1803" w:type="dxa"/>
          </w:tcPr>
          <w:p w14:paraId="5B765E66" w14:textId="724CD61F"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 cost</w:t>
            </w:r>
          </w:p>
        </w:tc>
        <w:tc>
          <w:tcPr>
            <w:tcW w:w="1803" w:type="dxa"/>
          </w:tcPr>
          <w:p w14:paraId="67104F8F" w14:textId="366241C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Reduces accidental use</w:t>
            </w:r>
          </w:p>
        </w:tc>
        <w:tc>
          <w:tcPr>
            <w:tcW w:w="1804" w:type="dxa"/>
          </w:tcPr>
          <w:p w14:paraId="77C91F5A" w14:textId="52A4AD23"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Should be immediate action</w:t>
            </w:r>
          </w:p>
        </w:tc>
      </w:tr>
      <w:tr w:rsidR="0017315F" w14:paraId="1F22F581" w14:textId="77777777" w:rsidTr="0017315F">
        <w:tc>
          <w:tcPr>
            <w:tcW w:w="1803" w:type="dxa"/>
          </w:tcPr>
          <w:p w14:paraId="08B87246" w14:textId="7665C3A8"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Supplier revalidation</w:t>
            </w:r>
          </w:p>
        </w:tc>
        <w:tc>
          <w:tcPr>
            <w:tcW w:w="1803" w:type="dxa"/>
          </w:tcPr>
          <w:p w14:paraId="27049450" w14:textId="0A0C7FDF"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Prevents unnecessary disposal</w:t>
            </w:r>
          </w:p>
        </w:tc>
        <w:tc>
          <w:tcPr>
            <w:tcW w:w="1803" w:type="dxa"/>
          </w:tcPr>
          <w:p w14:paraId="75BA9355" w14:textId="13862F4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recover value</w:t>
            </w:r>
          </w:p>
        </w:tc>
        <w:tc>
          <w:tcPr>
            <w:tcW w:w="1803" w:type="dxa"/>
          </w:tcPr>
          <w:p w14:paraId="11B30EA8" w14:textId="0D5D1014"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Requires supplier approval</w:t>
            </w:r>
          </w:p>
        </w:tc>
        <w:tc>
          <w:tcPr>
            <w:tcW w:w="1804" w:type="dxa"/>
          </w:tcPr>
          <w:p w14:paraId="1D45F05E" w14:textId="30AB928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Good option if resin remains technically usable</w:t>
            </w:r>
          </w:p>
        </w:tc>
      </w:tr>
      <w:tr w:rsidR="0017315F" w14:paraId="5FBA2060" w14:textId="77777777" w:rsidTr="0017315F">
        <w:tc>
          <w:tcPr>
            <w:tcW w:w="1803" w:type="dxa"/>
          </w:tcPr>
          <w:p w14:paraId="1B3127EA" w14:textId="7073A557"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Return to supplier</w:t>
            </w:r>
          </w:p>
        </w:tc>
        <w:tc>
          <w:tcPr>
            <w:tcW w:w="1803" w:type="dxa"/>
          </w:tcPr>
          <w:p w14:paraId="47D4EB83" w14:textId="32E237FE"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Reduces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waste burden</w:t>
            </w:r>
          </w:p>
        </w:tc>
        <w:tc>
          <w:tcPr>
            <w:tcW w:w="1803" w:type="dxa"/>
          </w:tcPr>
          <w:p w14:paraId="4E5BE093" w14:textId="3CA8CCD8"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reduce disposal value</w:t>
            </w:r>
          </w:p>
        </w:tc>
        <w:tc>
          <w:tcPr>
            <w:tcW w:w="1803" w:type="dxa"/>
          </w:tcPr>
          <w:p w14:paraId="35C33507" w14:textId="6C4ED55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Depends on contract</w:t>
            </w:r>
          </w:p>
        </w:tc>
        <w:tc>
          <w:tcPr>
            <w:tcW w:w="1804" w:type="dxa"/>
          </w:tcPr>
          <w:p w14:paraId="1CD62E47" w14:textId="0EAF4E9B"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Should be negotiated but not guaranteed</w:t>
            </w:r>
          </w:p>
        </w:tc>
      </w:tr>
      <w:tr w:rsidR="0017315F" w14:paraId="68BBC7CD" w14:textId="77777777" w:rsidTr="0017315F">
        <w:tc>
          <w:tcPr>
            <w:tcW w:w="1803" w:type="dxa"/>
          </w:tcPr>
          <w:p w14:paraId="0278E0C4" w14:textId="55CABC7E"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Controlled internal reuse</w:t>
            </w:r>
          </w:p>
        </w:tc>
        <w:tc>
          <w:tcPr>
            <w:tcW w:w="1803" w:type="dxa"/>
          </w:tcPr>
          <w:p w14:paraId="7253632A" w14:textId="510CD021"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Avoids disposal</w:t>
            </w:r>
          </w:p>
        </w:tc>
        <w:tc>
          <w:tcPr>
            <w:tcW w:w="1803" w:type="dxa"/>
          </w:tcPr>
          <w:p w14:paraId="041049A9" w14:textId="77653C6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recover value</w:t>
            </w:r>
          </w:p>
        </w:tc>
        <w:tc>
          <w:tcPr>
            <w:tcW w:w="1803" w:type="dxa"/>
          </w:tcPr>
          <w:p w14:paraId="7FE68520" w14:textId="27FA272A"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Quality and safety risk</w:t>
            </w:r>
          </w:p>
        </w:tc>
        <w:tc>
          <w:tcPr>
            <w:tcW w:w="1804" w:type="dxa"/>
          </w:tcPr>
          <w:p w14:paraId="498E0753" w14:textId="5494DAE3"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Only acceptable after technical approval</w:t>
            </w:r>
          </w:p>
        </w:tc>
      </w:tr>
      <w:tr w:rsidR="0017315F" w14:paraId="74EB19DD" w14:textId="77777777" w:rsidTr="0017315F">
        <w:tc>
          <w:tcPr>
            <w:tcW w:w="1803" w:type="dxa"/>
          </w:tcPr>
          <w:p w14:paraId="06ECFCB6" w14:textId="07CFF0A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Resale to third party</w:t>
            </w:r>
          </w:p>
        </w:tc>
        <w:tc>
          <w:tcPr>
            <w:tcW w:w="1803" w:type="dxa"/>
          </w:tcPr>
          <w:p w14:paraId="4CA7818C" w14:textId="6B98241C"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Recovers some value</w:t>
            </w:r>
          </w:p>
        </w:tc>
        <w:tc>
          <w:tcPr>
            <w:tcW w:w="1803" w:type="dxa"/>
          </w:tcPr>
          <w:p w14:paraId="5121B0E0" w14:textId="30562F96"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Possible financial recovery</w:t>
            </w:r>
          </w:p>
        </w:tc>
        <w:tc>
          <w:tcPr>
            <w:tcW w:w="1803" w:type="dxa"/>
          </w:tcPr>
          <w:p w14:paraId="148B5320" w14:textId="3A49D10B"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Liability and reputational risk</w:t>
            </w:r>
          </w:p>
        </w:tc>
        <w:tc>
          <w:tcPr>
            <w:tcW w:w="1804" w:type="dxa"/>
          </w:tcPr>
          <w:p w14:paraId="4000AC9F" w14:textId="4D39F094"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Weak option unless legally and technically control</w:t>
            </w:r>
          </w:p>
        </w:tc>
      </w:tr>
      <w:tr w:rsidR="0017315F" w14:paraId="540D0EA4" w14:textId="77777777" w:rsidTr="0017315F">
        <w:tc>
          <w:tcPr>
            <w:tcW w:w="1803" w:type="dxa"/>
          </w:tcPr>
          <w:p w14:paraId="59ABBD61" w14:textId="412167CA"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Recycling or recovery</w:t>
            </w:r>
          </w:p>
        </w:tc>
        <w:tc>
          <w:tcPr>
            <w:tcW w:w="1803" w:type="dxa"/>
          </w:tcPr>
          <w:p w14:paraId="2C8D10E0" w14:textId="399777F1"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Better than disposal</w:t>
            </w:r>
          </w:p>
        </w:tc>
        <w:tc>
          <w:tcPr>
            <w:tcW w:w="1803" w:type="dxa"/>
          </w:tcPr>
          <w:p w14:paraId="3ACD24A9" w14:textId="662AAF22"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be costly</w:t>
            </w:r>
          </w:p>
        </w:tc>
        <w:tc>
          <w:tcPr>
            <w:tcW w:w="1803" w:type="dxa"/>
          </w:tcPr>
          <w:p w14:paraId="6B044594" w14:textId="20F03981"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Technically constrained</w:t>
            </w:r>
          </w:p>
        </w:tc>
        <w:tc>
          <w:tcPr>
            <w:tcW w:w="1804" w:type="dxa"/>
          </w:tcPr>
          <w:p w14:paraId="1DEE24F8" w14:textId="0478243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Feasible only if specialist</w:t>
            </w:r>
          </w:p>
        </w:tc>
      </w:tr>
      <w:tr w:rsidR="0017315F" w14:paraId="2F729D67" w14:textId="77777777" w:rsidTr="0017315F">
        <w:tc>
          <w:tcPr>
            <w:tcW w:w="1803" w:type="dxa"/>
          </w:tcPr>
          <w:p w14:paraId="125C92F4" w14:textId="5C24987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Licensed hazardous/special waste disposal</w:t>
            </w:r>
          </w:p>
        </w:tc>
        <w:tc>
          <w:tcPr>
            <w:tcW w:w="1803" w:type="dxa"/>
          </w:tcPr>
          <w:p w14:paraId="047E46B4" w14:textId="504BE5A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Lowest sustainability value but legally safe</w:t>
            </w:r>
          </w:p>
        </w:tc>
        <w:tc>
          <w:tcPr>
            <w:tcW w:w="1803" w:type="dxa"/>
          </w:tcPr>
          <w:p w14:paraId="7B6B135F" w14:textId="0BA2B5BE"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 cost</w:t>
            </w:r>
          </w:p>
        </w:tc>
        <w:tc>
          <w:tcPr>
            <w:tcW w:w="1803" w:type="dxa"/>
          </w:tcPr>
          <w:p w14:paraId="55D31540" w14:textId="4DCA173B"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 operational risk</w:t>
            </w:r>
          </w:p>
        </w:tc>
        <w:tc>
          <w:tcPr>
            <w:tcW w:w="1804" w:type="dxa"/>
          </w:tcPr>
          <w:p w14:paraId="1DE32E44" w14:textId="3DFA6D0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Last resort for unusable</w:t>
            </w:r>
          </w:p>
        </w:tc>
      </w:tr>
    </w:tbl>
    <w:p w14:paraId="7B5AFF61" w14:textId="77777777" w:rsidR="0017315F" w:rsidRDefault="0017315F" w:rsidP="0079210B">
      <w:pPr>
        <w:tabs>
          <w:tab w:val="left" w:pos="1008"/>
        </w:tabs>
        <w:spacing w:line="360" w:lineRule="auto"/>
        <w:jc w:val="both"/>
        <w:rPr>
          <w:rFonts w:ascii="Times New Roman" w:hAnsi="Times New Roman" w:cs="Times New Roman"/>
          <w:sz w:val="24"/>
          <w:szCs w:val="24"/>
        </w:rPr>
      </w:pPr>
    </w:p>
    <w:p w14:paraId="50FC4152" w14:textId="77777777" w:rsidR="0017315F" w:rsidRDefault="0017315F" w:rsidP="0079210B">
      <w:pPr>
        <w:tabs>
          <w:tab w:val="left" w:pos="1008"/>
        </w:tabs>
        <w:spacing w:line="360" w:lineRule="auto"/>
        <w:jc w:val="both"/>
        <w:rPr>
          <w:rFonts w:ascii="Times New Roman" w:hAnsi="Times New Roman" w:cs="Times New Roman"/>
          <w:sz w:val="24"/>
          <w:szCs w:val="24"/>
        </w:rPr>
      </w:pPr>
    </w:p>
    <w:p w14:paraId="01C3984D" w14:textId="114D95A4" w:rsidR="0017315F" w:rsidRDefault="00265AF5"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decision matrix shows that the most sustainable option is not automatically the most practical. Resue ad recycling may appear attractive, but resin quality, safety and liability risks may restrict these options. Therefore,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should apply a controlled decision process rather than choosing immediate disposal or uncontrolled reuse. If the resin cannot be technically validated, license disposal is the safest option, even though it is financially and environmentally undesirable.</w:t>
      </w:r>
    </w:p>
    <w:p w14:paraId="6E12C9DC" w14:textId="745C619A" w:rsidR="00265AF5" w:rsidRPr="003D727C" w:rsidRDefault="00265AF5" w:rsidP="00265AF5">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Toc229048356"/>
      <w:r w:rsidRPr="00265AF5">
        <w:rPr>
          <w:rFonts w:ascii="Times New Roman" w:hAnsi="Times New Roman" w:cs="Times New Roman"/>
          <w:sz w:val="28"/>
          <w:szCs w:val="28"/>
        </w:rPr>
        <w:t xml:space="preserve">3.3 </w:t>
      </w:r>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WASTE HIERARCHY AND SUSTAINABILITY EVALUATION</w:t>
      </w:r>
      <w:bookmarkEnd w:id="10"/>
    </w:p>
    <w:p w14:paraId="4A7704E6" w14:textId="2B3FB6EA" w:rsidR="001121F9" w:rsidRDefault="00265AF5" w:rsidP="0079210B">
      <w:pPr>
        <w:tabs>
          <w:tab w:val="left" w:pos="1008"/>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should apply the waste hierarchy to the obsolete resin, but critically rather than mechanically. Prevention is the strongest option because it avoids waste before it occurs. Reuse or revalidation may be preferable to </w:t>
      </w:r>
      <w:r w:rsidR="001121F9">
        <w:rPr>
          <w:rFonts w:ascii="Times New Roman" w:hAnsi="Times New Roman" w:cs="Times New Roman"/>
          <w:sz w:val="24"/>
          <w:szCs w:val="24"/>
        </w:rPr>
        <w:t>disposal, but</w:t>
      </w:r>
      <w:r>
        <w:rPr>
          <w:rFonts w:ascii="Times New Roman" w:hAnsi="Times New Roman" w:cs="Times New Roman"/>
          <w:sz w:val="24"/>
          <w:szCs w:val="24"/>
        </w:rPr>
        <w:t xml:space="preserve"> only if the resin remains technically safe and does not compromise casting quality. Recycling or recovery</w:t>
      </w:r>
      <w:r w:rsidR="001121F9">
        <w:rPr>
          <w:rFonts w:ascii="Times New Roman" w:hAnsi="Times New Roman" w:cs="Times New Roman"/>
          <w:sz w:val="24"/>
          <w:szCs w:val="24"/>
        </w:rPr>
        <w:t xml:space="preserve"> should be explored, although chemical resin may limit </w:t>
      </w:r>
      <w:r w:rsidR="00761DF0">
        <w:rPr>
          <w:rFonts w:ascii="Times New Roman" w:hAnsi="Times New Roman" w:cs="Times New Roman"/>
          <w:sz w:val="24"/>
          <w:szCs w:val="24"/>
        </w:rPr>
        <w:t>practical</w:t>
      </w:r>
      <w:r w:rsidR="001121F9">
        <w:rPr>
          <w:rFonts w:ascii="Times New Roman" w:hAnsi="Times New Roman" w:cs="Times New Roman"/>
          <w:sz w:val="24"/>
          <w:szCs w:val="24"/>
        </w:rPr>
        <w:t xml:space="preserve"> feasibility. Licensed disposal should therefore be treated as the last resort for material that cannot be safely used</w:t>
      </w:r>
    </w:p>
    <w:p w14:paraId="0418547D" w14:textId="77777777" w:rsidR="001121F9" w:rsidRDefault="00265AF5"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263"/>
        <w:gridCol w:w="6379"/>
      </w:tblGrid>
      <w:tr w:rsidR="001121F9" w14:paraId="05F3022B" w14:textId="77777777" w:rsidTr="00DC4D7F">
        <w:tc>
          <w:tcPr>
            <w:tcW w:w="2263" w:type="dxa"/>
          </w:tcPr>
          <w:p w14:paraId="38287423" w14:textId="18C81F00" w:rsidR="001121F9" w:rsidRPr="00DC4D7F" w:rsidRDefault="001121F9" w:rsidP="00DC4D7F">
            <w:pPr>
              <w:tabs>
                <w:tab w:val="left" w:pos="1008"/>
              </w:tabs>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Waste option</w:t>
            </w:r>
          </w:p>
        </w:tc>
        <w:tc>
          <w:tcPr>
            <w:tcW w:w="6379" w:type="dxa"/>
          </w:tcPr>
          <w:p w14:paraId="02FC3896" w14:textId="001C10E5" w:rsidR="001121F9" w:rsidRPr="00DC4D7F" w:rsidRDefault="001121F9" w:rsidP="00DC4D7F">
            <w:pPr>
              <w:tabs>
                <w:tab w:val="left" w:pos="1008"/>
              </w:tabs>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Critical judgement</w:t>
            </w:r>
          </w:p>
        </w:tc>
      </w:tr>
      <w:tr w:rsidR="001121F9" w14:paraId="7EA6B82C" w14:textId="77777777" w:rsidTr="00DC4D7F">
        <w:tc>
          <w:tcPr>
            <w:tcW w:w="2263" w:type="dxa"/>
          </w:tcPr>
          <w:p w14:paraId="56A6D6A1" w14:textId="163DE16A"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Prevention</w:t>
            </w:r>
          </w:p>
        </w:tc>
        <w:tc>
          <w:tcPr>
            <w:tcW w:w="6379" w:type="dxa"/>
          </w:tcPr>
          <w:p w14:paraId="5984C25E" w14:textId="0674ED5A"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Best long-term solution through </w:t>
            </w:r>
            <w:r w:rsidR="00761DF0">
              <w:rPr>
                <w:rFonts w:ascii="Times New Roman" w:hAnsi="Times New Roman" w:cs="Times New Roman"/>
                <w:sz w:val="24"/>
                <w:szCs w:val="24"/>
              </w:rPr>
              <w:t>FEFO, min</w:t>
            </w:r>
            <w:r>
              <w:rPr>
                <w:rFonts w:ascii="Times New Roman" w:hAnsi="Times New Roman" w:cs="Times New Roman"/>
                <w:sz w:val="24"/>
                <w:szCs w:val="24"/>
              </w:rPr>
              <w:t>-max levels and supplier call-off</w:t>
            </w:r>
          </w:p>
        </w:tc>
      </w:tr>
      <w:tr w:rsidR="001121F9" w14:paraId="3C9AB0EE" w14:textId="77777777" w:rsidTr="00DC4D7F">
        <w:tc>
          <w:tcPr>
            <w:tcW w:w="2263" w:type="dxa"/>
          </w:tcPr>
          <w:p w14:paraId="5CF47069" w14:textId="1EECC134"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Revalidation/reuse</w:t>
            </w:r>
          </w:p>
        </w:tc>
        <w:tc>
          <w:tcPr>
            <w:tcW w:w="6379" w:type="dxa"/>
          </w:tcPr>
          <w:p w14:paraId="288952DF" w14:textId="7041AC8C"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Acceptable only with supplier or technical approval</w:t>
            </w:r>
          </w:p>
        </w:tc>
      </w:tr>
      <w:tr w:rsidR="001121F9" w14:paraId="07F4B86D" w14:textId="77777777" w:rsidTr="00DC4D7F">
        <w:tc>
          <w:tcPr>
            <w:tcW w:w="2263" w:type="dxa"/>
          </w:tcPr>
          <w:p w14:paraId="15825C67" w14:textId="1E48FBF1"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Recycling/recovery</w:t>
            </w:r>
          </w:p>
        </w:tc>
        <w:tc>
          <w:tcPr>
            <w:tcW w:w="6379" w:type="dxa"/>
          </w:tcPr>
          <w:p w14:paraId="451F88E6" w14:textId="50FE54C8"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Environmentally preferable but technically uncertain</w:t>
            </w:r>
          </w:p>
        </w:tc>
      </w:tr>
      <w:tr w:rsidR="001121F9" w14:paraId="527F0067" w14:textId="77777777" w:rsidTr="00DC4D7F">
        <w:tc>
          <w:tcPr>
            <w:tcW w:w="2263" w:type="dxa"/>
          </w:tcPr>
          <w:p w14:paraId="5253DDDA" w14:textId="66C4E544"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disposal</w:t>
            </w:r>
          </w:p>
        </w:tc>
        <w:tc>
          <w:tcPr>
            <w:tcW w:w="6379" w:type="dxa"/>
          </w:tcPr>
          <w:p w14:paraId="7672CD22" w14:textId="1DBE43C8"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Necessary for unusable resin but costly and non-value adding</w:t>
            </w:r>
          </w:p>
        </w:tc>
      </w:tr>
      <w:bookmarkEnd w:id="0"/>
    </w:tbl>
    <w:p w14:paraId="4FACBFF9" w14:textId="77777777" w:rsidR="003D727C" w:rsidRDefault="003D727C" w:rsidP="004D7CB2">
      <w:pPr>
        <w:spacing w:line="360" w:lineRule="auto"/>
        <w:jc w:val="both"/>
        <w:rPr>
          <w:rFonts w:ascii="Times New Roman" w:hAnsi="Times New Roman" w:cs="Times New Roman"/>
          <w:sz w:val="24"/>
          <w:szCs w:val="24"/>
        </w:rPr>
      </w:pPr>
    </w:p>
    <w:p w14:paraId="11EA5CAB" w14:textId="77777777" w:rsidR="00127547" w:rsidRDefault="00127547" w:rsidP="004D7CB2">
      <w:pPr>
        <w:spacing w:line="360" w:lineRule="auto"/>
        <w:jc w:val="both"/>
        <w:rPr>
          <w:rFonts w:ascii="Times New Roman" w:hAnsi="Times New Roman" w:cs="Times New Roman"/>
          <w:sz w:val="24"/>
          <w:szCs w:val="24"/>
        </w:rPr>
      </w:pPr>
    </w:p>
    <w:p w14:paraId="65B186D6" w14:textId="77777777" w:rsidR="00127547" w:rsidRDefault="00127547" w:rsidP="004D7CB2">
      <w:pPr>
        <w:spacing w:line="360" w:lineRule="auto"/>
        <w:jc w:val="both"/>
        <w:rPr>
          <w:rFonts w:ascii="Times New Roman" w:hAnsi="Times New Roman" w:cs="Times New Roman"/>
          <w:sz w:val="24"/>
          <w:szCs w:val="24"/>
        </w:rPr>
      </w:pPr>
    </w:p>
    <w:p w14:paraId="2D440F2C" w14:textId="77777777" w:rsidR="00127547" w:rsidRDefault="00127547" w:rsidP="004D7CB2">
      <w:pPr>
        <w:spacing w:line="360" w:lineRule="auto"/>
        <w:jc w:val="both"/>
        <w:rPr>
          <w:rFonts w:ascii="Times New Roman" w:hAnsi="Times New Roman" w:cs="Times New Roman"/>
          <w:sz w:val="24"/>
          <w:szCs w:val="24"/>
        </w:rPr>
      </w:pPr>
    </w:p>
    <w:p w14:paraId="7A73BC16" w14:textId="77777777" w:rsidR="00127547" w:rsidRDefault="00127547" w:rsidP="004D7CB2">
      <w:pPr>
        <w:spacing w:line="360" w:lineRule="auto"/>
        <w:jc w:val="both"/>
        <w:rPr>
          <w:rFonts w:ascii="Times New Roman" w:hAnsi="Times New Roman" w:cs="Times New Roman"/>
          <w:sz w:val="24"/>
          <w:szCs w:val="24"/>
        </w:rPr>
      </w:pPr>
    </w:p>
    <w:p w14:paraId="6A17FBBF" w14:textId="7AAE5053" w:rsidR="00875CFE" w:rsidRPr="003D727C" w:rsidRDefault="001121F9" w:rsidP="001121F9">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1" w:name="_Toc229048357"/>
      <w:r w:rsidRPr="001121F9">
        <w:rPr>
          <w:rFonts w:ascii="Times New Roman" w:hAnsi="Times New Roman" w:cs="Times New Roman"/>
          <w:sz w:val="28"/>
          <w:szCs w:val="28"/>
        </w:rPr>
        <w:lastRenderedPageBreak/>
        <w:t xml:space="preserve">3.4 </w:t>
      </w:r>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ACTION PLAN FOR OBSOLETE STOCK</w:t>
      </w:r>
      <w:bookmarkEnd w:id="11"/>
    </w:p>
    <w:p w14:paraId="4EBEC8A5" w14:textId="77777777" w:rsidR="00875CFE" w:rsidRDefault="00875CFE" w:rsidP="004D7CB2">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88250D" w14:paraId="4FFB1497" w14:textId="77777777" w:rsidTr="0088250D">
        <w:tc>
          <w:tcPr>
            <w:tcW w:w="3005" w:type="dxa"/>
          </w:tcPr>
          <w:p w14:paraId="5D969420" w14:textId="71280356" w:rsidR="0088250D" w:rsidRPr="00DC4D7F" w:rsidRDefault="0088250D" w:rsidP="00DC4D7F">
            <w:pPr>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Stage</w:t>
            </w:r>
          </w:p>
        </w:tc>
        <w:tc>
          <w:tcPr>
            <w:tcW w:w="3005" w:type="dxa"/>
          </w:tcPr>
          <w:p w14:paraId="74BD7706" w14:textId="46A60A59" w:rsidR="0088250D" w:rsidRPr="00DC4D7F" w:rsidRDefault="0088250D" w:rsidP="00DC4D7F">
            <w:pPr>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Action</w:t>
            </w:r>
          </w:p>
        </w:tc>
        <w:tc>
          <w:tcPr>
            <w:tcW w:w="3006" w:type="dxa"/>
          </w:tcPr>
          <w:p w14:paraId="238C147F" w14:textId="3210ED78" w:rsidR="0088250D" w:rsidRPr="00DC4D7F" w:rsidRDefault="0088250D" w:rsidP="00DC4D7F">
            <w:pPr>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Purpose</w:t>
            </w:r>
          </w:p>
        </w:tc>
      </w:tr>
      <w:tr w:rsidR="0088250D" w14:paraId="23259811" w14:textId="77777777" w:rsidTr="0088250D">
        <w:tc>
          <w:tcPr>
            <w:tcW w:w="3005" w:type="dxa"/>
          </w:tcPr>
          <w:p w14:paraId="6E51D77E" w14:textId="4E72DFAC"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3005" w:type="dxa"/>
          </w:tcPr>
          <w:p w14:paraId="54C4F987" w14:textId="2FAC99E7"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Quarantine expire resin</w:t>
            </w:r>
          </w:p>
        </w:tc>
        <w:tc>
          <w:tcPr>
            <w:tcW w:w="3006" w:type="dxa"/>
          </w:tcPr>
          <w:p w14:paraId="23A59A85" w14:textId="042151CE"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Prevent accidental use</w:t>
            </w:r>
          </w:p>
        </w:tc>
      </w:tr>
      <w:tr w:rsidR="0088250D" w14:paraId="512E5847" w14:textId="77777777" w:rsidTr="0088250D">
        <w:tc>
          <w:tcPr>
            <w:tcW w:w="3005" w:type="dxa"/>
          </w:tcPr>
          <w:p w14:paraId="74477D0B" w14:textId="27FBA37A"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3005" w:type="dxa"/>
          </w:tcPr>
          <w:p w14:paraId="75950A07" w14:textId="71E1BC5B"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Check batch data, expiry dates and safety sheets</w:t>
            </w:r>
          </w:p>
        </w:tc>
        <w:tc>
          <w:tcPr>
            <w:tcW w:w="3006" w:type="dxa"/>
          </w:tcPr>
          <w:p w14:paraId="71AE9245" w14:textId="2AFC729D"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Establish traceability</w:t>
            </w:r>
          </w:p>
        </w:tc>
      </w:tr>
      <w:tr w:rsidR="0088250D" w14:paraId="3B6196B2" w14:textId="77777777" w:rsidTr="0088250D">
        <w:tc>
          <w:tcPr>
            <w:tcW w:w="3005" w:type="dxa"/>
          </w:tcPr>
          <w:p w14:paraId="79FD7554" w14:textId="7BBB389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3005" w:type="dxa"/>
          </w:tcPr>
          <w:p w14:paraId="0B8B1A0B" w14:textId="490F4CE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Contact supplier about revalidation or return</w:t>
            </w:r>
          </w:p>
        </w:tc>
        <w:tc>
          <w:tcPr>
            <w:tcW w:w="3006" w:type="dxa"/>
          </w:tcPr>
          <w:p w14:paraId="7272DBA7" w14:textId="2E26C527"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Explore value recovery</w:t>
            </w:r>
          </w:p>
        </w:tc>
      </w:tr>
      <w:tr w:rsidR="0088250D" w14:paraId="412E4439" w14:textId="77777777" w:rsidTr="0088250D">
        <w:tc>
          <w:tcPr>
            <w:tcW w:w="3005" w:type="dxa"/>
          </w:tcPr>
          <w:p w14:paraId="29DEFC6A" w14:textId="5875E3D2"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3005" w:type="dxa"/>
          </w:tcPr>
          <w:p w14:paraId="6A862880" w14:textId="565DE804"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Test material if reuse is possible</w:t>
            </w:r>
          </w:p>
        </w:tc>
        <w:tc>
          <w:tcPr>
            <w:tcW w:w="3006" w:type="dxa"/>
          </w:tcPr>
          <w:p w14:paraId="37CCA6F8" w14:textId="6B862B4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Protect quality and safety</w:t>
            </w:r>
          </w:p>
        </w:tc>
      </w:tr>
      <w:tr w:rsidR="0088250D" w14:paraId="5A82674B" w14:textId="77777777" w:rsidTr="0088250D">
        <w:tc>
          <w:tcPr>
            <w:tcW w:w="3005" w:type="dxa"/>
          </w:tcPr>
          <w:p w14:paraId="26FC072A" w14:textId="3DB1E4B4"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3005" w:type="dxa"/>
          </w:tcPr>
          <w:p w14:paraId="2DABA289" w14:textId="27BD21A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Dispose through licensed route if unusable</w:t>
            </w:r>
          </w:p>
        </w:tc>
        <w:tc>
          <w:tcPr>
            <w:tcW w:w="3006" w:type="dxa"/>
          </w:tcPr>
          <w:p w14:paraId="2C87382A" w14:textId="20C840E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Ensure compliance</w:t>
            </w:r>
          </w:p>
        </w:tc>
      </w:tr>
      <w:tr w:rsidR="0088250D" w14:paraId="2E2A010A" w14:textId="77777777" w:rsidTr="0088250D">
        <w:tc>
          <w:tcPr>
            <w:tcW w:w="3005" w:type="dxa"/>
          </w:tcPr>
          <w:p w14:paraId="37773C96" w14:textId="1C76A444"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3005" w:type="dxa"/>
          </w:tcPr>
          <w:p w14:paraId="745C0E45" w14:textId="67FBBEB3"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Record disposal cost as failure cost</w:t>
            </w:r>
          </w:p>
        </w:tc>
        <w:tc>
          <w:tcPr>
            <w:tcW w:w="3006" w:type="dxa"/>
          </w:tcPr>
          <w:p w14:paraId="0A9C6DB9" w14:textId="71EC8F03"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Make poor inventory control visible</w:t>
            </w:r>
          </w:p>
        </w:tc>
      </w:tr>
    </w:tbl>
    <w:p w14:paraId="1E4928E2" w14:textId="77777777" w:rsidR="001121F9" w:rsidRDefault="001121F9" w:rsidP="004D7CB2">
      <w:pPr>
        <w:spacing w:line="360" w:lineRule="auto"/>
        <w:jc w:val="both"/>
        <w:rPr>
          <w:rFonts w:ascii="Times New Roman" w:hAnsi="Times New Roman" w:cs="Times New Roman"/>
          <w:sz w:val="24"/>
          <w:szCs w:val="24"/>
        </w:rPr>
      </w:pPr>
    </w:p>
    <w:p w14:paraId="0BCFA851" w14:textId="77777777" w:rsidR="00875CFE" w:rsidRDefault="00875CFE" w:rsidP="004D7CB2">
      <w:pPr>
        <w:spacing w:line="360" w:lineRule="auto"/>
        <w:jc w:val="both"/>
        <w:rPr>
          <w:rFonts w:ascii="Times New Roman" w:hAnsi="Times New Roman" w:cs="Times New Roman"/>
          <w:sz w:val="24"/>
          <w:szCs w:val="24"/>
        </w:rPr>
      </w:pPr>
    </w:p>
    <w:p w14:paraId="3B7082ED" w14:textId="77777777" w:rsidR="0088250D" w:rsidRDefault="0088250D" w:rsidP="004D7CB2">
      <w:pPr>
        <w:spacing w:line="360" w:lineRule="auto"/>
        <w:jc w:val="both"/>
        <w:rPr>
          <w:rFonts w:ascii="Times New Roman" w:hAnsi="Times New Roman" w:cs="Times New Roman"/>
          <w:sz w:val="24"/>
          <w:szCs w:val="24"/>
        </w:rPr>
      </w:pPr>
    </w:p>
    <w:p w14:paraId="3AFC8E26" w14:textId="77777777" w:rsidR="00127547" w:rsidRDefault="00127547" w:rsidP="004D7CB2">
      <w:pPr>
        <w:spacing w:line="360" w:lineRule="auto"/>
        <w:jc w:val="both"/>
        <w:rPr>
          <w:rFonts w:ascii="Times New Roman" w:hAnsi="Times New Roman" w:cs="Times New Roman"/>
          <w:sz w:val="24"/>
          <w:szCs w:val="24"/>
        </w:rPr>
      </w:pPr>
    </w:p>
    <w:p w14:paraId="70A314DC" w14:textId="77777777" w:rsidR="00127547" w:rsidRDefault="00127547" w:rsidP="004D7CB2">
      <w:pPr>
        <w:spacing w:line="360" w:lineRule="auto"/>
        <w:jc w:val="both"/>
        <w:rPr>
          <w:rFonts w:ascii="Times New Roman" w:hAnsi="Times New Roman" w:cs="Times New Roman"/>
          <w:sz w:val="24"/>
          <w:szCs w:val="24"/>
        </w:rPr>
      </w:pPr>
    </w:p>
    <w:p w14:paraId="5736D324" w14:textId="77777777" w:rsidR="00127547" w:rsidRDefault="00127547" w:rsidP="004D7CB2">
      <w:pPr>
        <w:spacing w:line="360" w:lineRule="auto"/>
        <w:jc w:val="both"/>
        <w:rPr>
          <w:rFonts w:ascii="Times New Roman" w:hAnsi="Times New Roman" w:cs="Times New Roman"/>
          <w:sz w:val="24"/>
          <w:szCs w:val="24"/>
        </w:rPr>
      </w:pPr>
    </w:p>
    <w:p w14:paraId="4DE1F261" w14:textId="77777777" w:rsidR="00127547" w:rsidRDefault="00127547" w:rsidP="004D7CB2">
      <w:pPr>
        <w:spacing w:line="360" w:lineRule="auto"/>
        <w:jc w:val="both"/>
        <w:rPr>
          <w:rFonts w:ascii="Times New Roman" w:hAnsi="Times New Roman" w:cs="Times New Roman"/>
          <w:sz w:val="24"/>
          <w:szCs w:val="24"/>
        </w:rPr>
      </w:pPr>
    </w:p>
    <w:p w14:paraId="4827F4B4" w14:textId="77777777" w:rsidR="00127547" w:rsidRDefault="00127547" w:rsidP="004D7CB2">
      <w:pPr>
        <w:spacing w:line="360" w:lineRule="auto"/>
        <w:jc w:val="both"/>
        <w:rPr>
          <w:rFonts w:ascii="Times New Roman" w:hAnsi="Times New Roman" w:cs="Times New Roman"/>
          <w:sz w:val="24"/>
          <w:szCs w:val="24"/>
        </w:rPr>
      </w:pPr>
    </w:p>
    <w:p w14:paraId="18838BEE" w14:textId="77777777" w:rsidR="00127547" w:rsidRDefault="00127547" w:rsidP="004D7CB2">
      <w:pPr>
        <w:spacing w:line="360" w:lineRule="auto"/>
        <w:jc w:val="both"/>
        <w:rPr>
          <w:rFonts w:ascii="Times New Roman" w:hAnsi="Times New Roman" w:cs="Times New Roman"/>
          <w:sz w:val="24"/>
          <w:szCs w:val="24"/>
        </w:rPr>
      </w:pPr>
    </w:p>
    <w:p w14:paraId="13B475F0" w14:textId="45CE573E" w:rsidR="0088250D" w:rsidRPr="00995AFA" w:rsidRDefault="0088250D" w:rsidP="0088250D">
      <w:pPr>
        <w:pStyle w:val="Heading1"/>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2" w:name="_Toc229048358"/>
      <w:r w:rsidRPr="0088250D">
        <w:rPr>
          <w:rFonts w:ascii="Times New Roman" w:hAnsi="Times New Roman" w:cs="Times New Roman"/>
          <w:sz w:val="32"/>
          <w:szCs w:val="32"/>
        </w:rPr>
        <w:lastRenderedPageBreak/>
        <w:t xml:space="preserve">4.0 </w:t>
      </w:r>
      <w:r w:rsidR="00995AFA" w:rsidRPr="00995AFA">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UNDERSTANDING LEAD TIME ACROSS THE BUSINESS</w:t>
      </w:r>
      <w:bookmarkEnd w:id="12"/>
    </w:p>
    <w:p w14:paraId="308EA0DB" w14:textId="114F6E33" w:rsidR="0088250D" w:rsidRDefault="0088250D" w:rsidP="004D7CB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excess stock is partly a response to poor lead-time visibility when supplier and internal lead times are </w:t>
      </w:r>
      <w:r w:rsidR="00DC4D7F">
        <w:rPr>
          <w:rFonts w:ascii="Times New Roman" w:hAnsi="Times New Roman" w:cs="Times New Roman"/>
          <w:sz w:val="24"/>
          <w:szCs w:val="24"/>
        </w:rPr>
        <w:t>uncertain</w:t>
      </w:r>
      <w:r>
        <w:rPr>
          <w:rFonts w:ascii="Times New Roman" w:hAnsi="Times New Roman" w:cs="Times New Roman"/>
          <w:sz w:val="24"/>
          <w:szCs w:val="24"/>
        </w:rPr>
        <w:t xml:space="preserve">, firms often hold extra inventory as protection. However, </w:t>
      </w:r>
      <w:r w:rsidR="00761DF0">
        <w:rPr>
          <w:rFonts w:ascii="Times New Roman" w:hAnsi="Times New Roman" w:cs="Times New Roman"/>
          <w:sz w:val="24"/>
          <w:szCs w:val="24"/>
        </w:rPr>
        <w:t>in</w:t>
      </w:r>
      <w:r>
        <w:rPr>
          <w:rFonts w:ascii="Times New Roman" w:hAnsi="Times New Roman" w:cs="Times New Roman"/>
          <w:sz w:val="24"/>
          <w:szCs w:val="24"/>
        </w:rPr>
        <w:t xml:space="preserve">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case this buffer creates further problems, including resin expiry, sand drying cost and cash tied up in stock. Therefore, lead time should be measured as a controllable process rather than accepted as a fixed constraint.</w:t>
      </w:r>
    </w:p>
    <w:tbl>
      <w:tblPr>
        <w:tblStyle w:val="TableGrid"/>
        <w:tblW w:w="0" w:type="auto"/>
        <w:tblLook w:val="04A0" w:firstRow="1" w:lastRow="0" w:firstColumn="1" w:lastColumn="0" w:noHBand="0" w:noVBand="1"/>
      </w:tblPr>
      <w:tblGrid>
        <w:gridCol w:w="3005"/>
        <w:gridCol w:w="3005"/>
        <w:gridCol w:w="3006"/>
      </w:tblGrid>
      <w:tr w:rsidR="0088250D" w14:paraId="5B1A85B8" w14:textId="77777777" w:rsidTr="0088250D">
        <w:tc>
          <w:tcPr>
            <w:tcW w:w="3005" w:type="dxa"/>
          </w:tcPr>
          <w:p w14:paraId="43EA1950" w14:textId="66F61C79" w:rsidR="0088250D" w:rsidRPr="00D243BA" w:rsidRDefault="0088250D"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Lead-time issue</w:t>
            </w:r>
          </w:p>
        </w:tc>
        <w:tc>
          <w:tcPr>
            <w:tcW w:w="3005" w:type="dxa"/>
          </w:tcPr>
          <w:p w14:paraId="06D9FB57" w14:textId="316C1808" w:rsidR="0088250D" w:rsidRPr="00D243BA" w:rsidRDefault="0088250D"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Inventory impact</w:t>
            </w:r>
          </w:p>
        </w:tc>
        <w:tc>
          <w:tcPr>
            <w:tcW w:w="3006" w:type="dxa"/>
          </w:tcPr>
          <w:p w14:paraId="738BF3F2" w14:textId="1A90043F" w:rsidR="0088250D" w:rsidRPr="00D243BA" w:rsidRDefault="0088250D"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Sustainability impact</w:t>
            </w:r>
          </w:p>
        </w:tc>
      </w:tr>
      <w:tr w:rsidR="0088250D" w14:paraId="17C8B1D4" w14:textId="77777777" w:rsidTr="0088250D">
        <w:tc>
          <w:tcPr>
            <w:tcW w:w="3005" w:type="dxa"/>
          </w:tcPr>
          <w:p w14:paraId="2388D8F5" w14:textId="192F616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Unknown supplier lead time</w:t>
            </w:r>
          </w:p>
        </w:tc>
        <w:tc>
          <w:tcPr>
            <w:tcW w:w="3005" w:type="dxa"/>
          </w:tcPr>
          <w:p w14:paraId="53F8052C" w14:textId="1E40537C"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Higher safety stock</w:t>
            </w:r>
          </w:p>
        </w:tc>
        <w:tc>
          <w:tcPr>
            <w:tcW w:w="3006" w:type="dxa"/>
          </w:tcPr>
          <w:p w14:paraId="6CEB3E7A" w14:textId="24CF6D5A"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More storage and waste risk</w:t>
            </w:r>
          </w:p>
        </w:tc>
      </w:tr>
      <w:tr w:rsidR="0088250D" w14:paraId="0F7A9DD9" w14:textId="77777777" w:rsidTr="0088250D">
        <w:tc>
          <w:tcPr>
            <w:tcW w:w="3005" w:type="dxa"/>
          </w:tcPr>
          <w:p w14:paraId="095ACDE3" w14:textId="4B40749D"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Variable deliveries</w:t>
            </w:r>
          </w:p>
        </w:tc>
        <w:tc>
          <w:tcPr>
            <w:tcW w:w="3005" w:type="dxa"/>
          </w:tcPr>
          <w:p w14:paraId="7B9935F5" w14:textId="4A87F3D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Emergency buying or overstocking</w:t>
            </w:r>
          </w:p>
        </w:tc>
        <w:tc>
          <w:tcPr>
            <w:tcW w:w="3006" w:type="dxa"/>
          </w:tcPr>
          <w:p w14:paraId="3FB7F68F" w14:textId="176840D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Higher transport and expediting impact</w:t>
            </w:r>
          </w:p>
        </w:tc>
      </w:tr>
      <w:tr w:rsidR="0088250D" w14:paraId="6BD3A15E" w14:textId="77777777" w:rsidTr="0088250D">
        <w:tc>
          <w:tcPr>
            <w:tcW w:w="3005" w:type="dxa"/>
          </w:tcPr>
          <w:p w14:paraId="6E0655C3" w14:textId="6F7DA881"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Internal stores delay</w:t>
            </w:r>
          </w:p>
        </w:tc>
        <w:tc>
          <w:tcPr>
            <w:tcW w:w="3005" w:type="dxa"/>
          </w:tcPr>
          <w:p w14:paraId="04150212" w14:textId="6C558426"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Resin loses usable shelf life</w:t>
            </w:r>
          </w:p>
        </w:tc>
        <w:tc>
          <w:tcPr>
            <w:tcW w:w="3006" w:type="dxa"/>
          </w:tcPr>
          <w:p w14:paraId="34FD1321" w14:textId="1B322632"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Higher </w:t>
            </w:r>
            <w:r w:rsidR="00D243BA">
              <w:rPr>
                <w:rFonts w:ascii="Times New Roman" w:hAnsi="Times New Roman" w:cs="Times New Roman"/>
                <w:sz w:val="24"/>
                <w:szCs w:val="24"/>
              </w:rPr>
              <w:t>obsolescence risk</w:t>
            </w:r>
          </w:p>
        </w:tc>
      </w:tr>
      <w:tr w:rsidR="0088250D" w14:paraId="5F7EFEB0" w14:textId="77777777" w:rsidTr="0088250D">
        <w:tc>
          <w:tcPr>
            <w:tcW w:w="3005" w:type="dxa"/>
          </w:tcPr>
          <w:p w14:paraId="30E27ED2" w14:textId="06AC5629"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Weak production scheduling</w:t>
            </w:r>
          </w:p>
        </w:tc>
        <w:tc>
          <w:tcPr>
            <w:tcW w:w="3005" w:type="dxa"/>
          </w:tcPr>
          <w:p w14:paraId="7C2818E0" w14:textId="71776CBB"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Material ordered too early or late</w:t>
            </w:r>
          </w:p>
        </w:tc>
        <w:tc>
          <w:tcPr>
            <w:tcW w:w="3006" w:type="dxa"/>
          </w:tcPr>
          <w:p w14:paraId="294F3A5E" w14:textId="71FED9CD" w:rsidR="0088250D"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Inefficient resources use</w:t>
            </w:r>
          </w:p>
        </w:tc>
      </w:tr>
    </w:tbl>
    <w:p w14:paraId="272FDFC9" w14:textId="61F7AF74" w:rsidR="00D243BA" w:rsidRDefault="00D243BA"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The key improvement is to reduce lead-time variability, not only average lead-time, because uncertainty is what drives unnecessary stock buffers.</w:t>
      </w:r>
    </w:p>
    <w:p w14:paraId="2F8F4512" w14:textId="13C369F3" w:rsidR="0088250D" w:rsidRPr="00995AFA" w:rsidRDefault="00D243BA" w:rsidP="00995AFA">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3" w:name="_Toc229048359"/>
      <w:r w:rsidRPr="00D243BA">
        <w:rPr>
          <w:rFonts w:ascii="Times New Roman" w:hAnsi="Times New Roman" w:cs="Times New Roman"/>
          <w:sz w:val="28"/>
          <w:szCs w:val="28"/>
        </w:rPr>
        <w:t xml:space="preserve">4.1 </w:t>
      </w:r>
      <w:r w:rsidR="00995AFA" w:rsidRPr="00995AFA">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 TIME DECOMPOSITION ACROSS BROCKSWEIR</w:t>
      </w:r>
      <w:bookmarkEnd w:id="13"/>
    </w:p>
    <w:tbl>
      <w:tblPr>
        <w:tblStyle w:val="TableGrid"/>
        <w:tblW w:w="0" w:type="auto"/>
        <w:tblLook w:val="04A0" w:firstRow="1" w:lastRow="0" w:firstColumn="1" w:lastColumn="0" w:noHBand="0" w:noVBand="1"/>
      </w:tblPr>
      <w:tblGrid>
        <w:gridCol w:w="3005"/>
        <w:gridCol w:w="3005"/>
        <w:gridCol w:w="3006"/>
      </w:tblGrid>
      <w:tr w:rsidR="00D243BA" w14:paraId="07B28393" w14:textId="77777777" w:rsidTr="00D243BA">
        <w:tc>
          <w:tcPr>
            <w:tcW w:w="3005" w:type="dxa"/>
          </w:tcPr>
          <w:p w14:paraId="3A5824B7" w14:textId="2E80EDC7" w:rsidR="00D243BA" w:rsidRPr="00D243BA" w:rsidRDefault="00D243BA"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Lead-time stage</w:t>
            </w:r>
          </w:p>
        </w:tc>
        <w:tc>
          <w:tcPr>
            <w:tcW w:w="3005" w:type="dxa"/>
          </w:tcPr>
          <w:p w14:paraId="62855E37" w14:textId="6B0C78DE" w:rsidR="00D243BA" w:rsidRPr="00D243BA" w:rsidRDefault="00D243BA"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Data required</w:t>
            </w:r>
          </w:p>
        </w:tc>
        <w:tc>
          <w:tcPr>
            <w:tcW w:w="3006" w:type="dxa"/>
          </w:tcPr>
          <w:p w14:paraId="317C46BD" w14:textId="36AA09A7" w:rsidR="00D243BA" w:rsidRPr="00D243BA" w:rsidRDefault="00D243BA"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Improvement focus</w:t>
            </w:r>
          </w:p>
        </w:tc>
      </w:tr>
      <w:tr w:rsidR="00D243BA" w14:paraId="690C8248" w14:textId="77777777" w:rsidTr="00D243BA">
        <w:tc>
          <w:tcPr>
            <w:tcW w:w="3005" w:type="dxa"/>
          </w:tcPr>
          <w:p w14:paraId="666E59BE" w14:textId="1E7E380B"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Supplier processing</w:t>
            </w:r>
          </w:p>
        </w:tc>
        <w:tc>
          <w:tcPr>
            <w:tcW w:w="3005" w:type="dxa"/>
          </w:tcPr>
          <w:p w14:paraId="3275C8D5" w14:textId="5D4D1C25"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Order date to dispatch date</w:t>
            </w:r>
          </w:p>
        </w:tc>
        <w:tc>
          <w:tcPr>
            <w:tcW w:w="3006" w:type="dxa"/>
          </w:tcPr>
          <w:p w14:paraId="6BA6620D" w14:textId="19D01EE2"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Supplier reliability</w:t>
            </w:r>
          </w:p>
        </w:tc>
      </w:tr>
      <w:tr w:rsidR="00D243BA" w14:paraId="127B90FF" w14:textId="77777777" w:rsidTr="00D243BA">
        <w:tc>
          <w:tcPr>
            <w:tcW w:w="3005" w:type="dxa"/>
          </w:tcPr>
          <w:p w14:paraId="1FEF0436" w14:textId="0D99580D"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Transport</w:t>
            </w:r>
          </w:p>
        </w:tc>
        <w:tc>
          <w:tcPr>
            <w:tcW w:w="3005" w:type="dxa"/>
          </w:tcPr>
          <w:p w14:paraId="2F814F5B" w14:textId="16749785"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Dispatch to receipt date</w:t>
            </w:r>
          </w:p>
        </w:tc>
        <w:tc>
          <w:tcPr>
            <w:tcW w:w="3006" w:type="dxa"/>
          </w:tcPr>
          <w:p w14:paraId="0ECE1155" w14:textId="128548A3"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Delivery planning</w:t>
            </w:r>
          </w:p>
        </w:tc>
      </w:tr>
      <w:tr w:rsidR="00D243BA" w14:paraId="0EC4931C" w14:textId="77777777" w:rsidTr="00D243BA">
        <w:tc>
          <w:tcPr>
            <w:tcW w:w="3005" w:type="dxa"/>
          </w:tcPr>
          <w:p w14:paraId="29763312" w14:textId="36976580"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Goods-in inspection</w:t>
            </w:r>
          </w:p>
        </w:tc>
        <w:tc>
          <w:tcPr>
            <w:tcW w:w="3005" w:type="dxa"/>
          </w:tcPr>
          <w:p w14:paraId="3692085D" w14:textId="344556C8"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Receipt to release date</w:t>
            </w:r>
          </w:p>
        </w:tc>
        <w:tc>
          <w:tcPr>
            <w:tcW w:w="3006" w:type="dxa"/>
          </w:tcPr>
          <w:p w14:paraId="1B57B4EC" w14:textId="3BDFF6CB"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Faster quality checks</w:t>
            </w:r>
          </w:p>
        </w:tc>
      </w:tr>
      <w:tr w:rsidR="00D243BA" w14:paraId="60506603" w14:textId="77777777" w:rsidTr="00D243BA">
        <w:tc>
          <w:tcPr>
            <w:tcW w:w="3005" w:type="dxa"/>
          </w:tcPr>
          <w:p w14:paraId="264C56B1" w14:textId="6BAE3D50"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Stores release</w:t>
            </w:r>
          </w:p>
        </w:tc>
        <w:tc>
          <w:tcPr>
            <w:tcW w:w="3005" w:type="dxa"/>
          </w:tcPr>
          <w:p w14:paraId="59A67CA5" w14:textId="445E0B2D"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Release to production issue</w:t>
            </w:r>
          </w:p>
        </w:tc>
        <w:tc>
          <w:tcPr>
            <w:tcW w:w="3006" w:type="dxa"/>
          </w:tcPr>
          <w:p w14:paraId="6308B68F" w14:textId="2704B55E"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Better stock visibility</w:t>
            </w:r>
          </w:p>
        </w:tc>
      </w:tr>
      <w:tr w:rsidR="00D243BA" w14:paraId="3D0E34CB" w14:textId="77777777" w:rsidTr="00D243BA">
        <w:tc>
          <w:tcPr>
            <w:tcW w:w="3005" w:type="dxa"/>
          </w:tcPr>
          <w:p w14:paraId="076667AC" w14:textId="33B8A577"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Sand/resin preparation</w:t>
            </w:r>
          </w:p>
        </w:tc>
        <w:tc>
          <w:tcPr>
            <w:tcW w:w="3005" w:type="dxa"/>
          </w:tcPr>
          <w:p w14:paraId="7EA3D825" w14:textId="435F595C"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Issue to ready-for-use date</w:t>
            </w:r>
          </w:p>
        </w:tc>
        <w:tc>
          <w:tcPr>
            <w:tcW w:w="3006" w:type="dxa"/>
          </w:tcPr>
          <w:p w14:paraId="6EA7F927" w14:textId="200D0E41"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Moisture and process control</w:t>
            </w:r>
          </w:p>
        </w:tc>
      </w:tr>
      <w:tr w:rsidR="00D243BA" w14:paraId="4589B1AE" w14:textId="77777777" w:rsidTr="00D243BA">
        <w:tc>
          <w:tcPr>
            <w:tcW w:w="3005" w:type="dxa"/>
          </w:tcPr>
          <w:p w14:paraId="0A0371CD" w14:textId="7607D7E1"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Casting and machining</w:t>
            </w:r>
          </w:p>
        </w:tc>
        <w:tc>
          <w:tcPr>
            <w:tcW w:w="3005" w:type="dxa"/>
          </w:tcPr>
          <w:p w14:paraId="41317008" w14:textId="7395E93C"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Job </w:t>
            </w:r>
            <w:r w:rsidR="00761DF0">
              <w:rPr>
                <w:rFonts w:ascii="Times New Roman" w:hAnsi="Times New Roman" w:cs="Times New Roman"/>
                <w:sz w:val="24"/>
                <w:szCs w:val="24"/>
              </w:rPr>
              <w:t>starts</w:t>
            </w:r>
            <w:r>
              <w:rPr>
                <w:rFonts w:ascii="Times New Roman" w:hAnsi="Times New Roman" w:cs="Times New Roman"/>
                <w:sz w:val="24"/>
                <w:szCs w:val="24"/>
              </w:rPr>
              <w:t xml:space="preserve"> to completion</w:t>
            </w:r>
          </w:p>
        </w:tc>
        <w:tc>
          <w:tcPr>
            <w:tcW w:w="3006" w:type="dxa"/>
          </w:tcPr>
          <w:p w14:paraId="20A3C357" w14:textId="3EAC0FDF"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Capacity planning</w:t>
            </w:r>
          </w:p>
        </w:tc>
      </w:tr>
    </w:tbl>
    <w:p w14:paraId="38E0A292" w14:textId="2B472534"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This approach mapping should be used to identify waiting time and non-value adding activates across the material flow.</w:t>
      </w:r>
    </w:p>
    <w:p w14:paraId="1D4D4E32" w14:textId="71C280FB" w:rsidR="00D243BA" w:rsidRPr="00995AFA" w:rsidRDefault="00D243BA" w:rsidP="00D243BA">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4" w:name="_Toc229048360"/>
      <w:r w:rsidRPr="00D243BA">
        <w:rPr>
          <w:rFonts w:ascii="Times New Roman" w:hAnsi="Times New Roman" w:cs="Times New Roman"/>
          <w:sz w:val="28"/>
          <w:szCs w:val="28"/>
        </w:rPr>
        <w:lastRenderedPageBreak/>
        <w:t xml:space="preserve">4.2 </w:t>
      </w:r>
      <w:r w:rsidR="00995AFA" w:rsidRPr="00995AFA">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 STREAM MAPPING AND SUPPLIER VISIBILITY</w:t>
      </w:r>
      <w:bookmarkEnd w:id="14"/>
    </w:p>
    <w:p w14:paraId="3761EDED" w14:textId="76B6779B"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5117627A" wp14:editId="19F3C073">
                <wp:simplePos x="0" y="0"/>
                <wp:positionH relativeFrom="column">
                  <wp:posOffset>556260</wp:posOffset>
                </wp:positionH>
                <wp:positionV relativeFrom="paragraph">
                  <wp:posOffset>205740</wp:posOffset>
                </wp:positionV>
                <wp:extent cx="3794760" cy="388620"/>
                <wp:effectExtent l="0" t="0" r="15240" b="11430"/>
                <wp:wrapNone/>
                <wp:docPr id="111867305"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1E521A7" w14:textId="58EBD24F" w:rsidR="00D243BA" w:rsidRPr="00D243BA" w:rsidRDefault="00D243BA" w:rsidP="00D243BA">
                            <w:pPr>
                              <w:jc w:val="center"/>
                              <w:rPr>
                                <w:lang w:val="en-IN"/>
                              </w:rPr>
                            </w:pPr>
                            <w:r>
                              <w:rPr>
                                <w:lang w:val="en-IN"/>
                              </w:rPr>
                              <w:t>Supplier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17627A" id="Rectangle: Rounded Corners 5" o:spid="_x0000_s1031" style="position:absolute;left:0;text-align:left;margin-left:43.8pt;margin-top:16.2pt;width:298.8pt;height:30.6pt;z-index:251719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" fillcolor="white [3201]" strokecolor="#a5c249 [3209]" strokeweight="2pt">
                <v:textbox>
                  <w:txbxContent>
                    <w:p w14:paraId="31E521A7" w14:textId="58EBD24F" w:rsidR="00D243BA" w:rsidRPr="00D243BA" w:rsidRDefault="00D243BA" w:rsidP="00D243BA">
                      <w:pPr>
                        <w:jc w:val="center"/>
                        <w:rPr>
                          <w:lang w:val="en-IN"/>
                        </w:rPr>
                      </w:pPr>
                      <w:r>
                        <w:rPr>
                          <w:lang w:val="en-IN"/>
                        </w:rPr>
                        <w:t>Supplier order</w:t>
                      </w:r>
                    </w:p>
                  </w:txbxContent>
                </v:textbox>
              </v:roundrect>
            </w:pict>
          </mc:Fallback>
        </mc:AlternateContent>
      </w:r>
    </w:p>
    <w:p w14:paraId="4DC93E58" w14:textId="43906C4B" w:rsidR="0088250D" w:rsidRDefault="0088250D" w:rsidP="004D7CB2">
      <w:pPr>
        <w:spacing w:line="360" w:lineRule="auto"/>
        <w:jc w:val="both"/>
        <w:rPr>
          <w:rFonts w:ascii="Times New Roman" w:hAnsi="Times New Roman" w:cs="Times New Roman"/>
          <w:sz w:val="24"/>
          <w:szCs w:val="24"/>
        </w:rPr>
      </w:pPr>
    </w:p>
    <w:p w14:paraId="2C6B3A23" w14:textId="6376414F"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0772F105" wp14:editId="592A47F5">
                <wp:simplePos x="0" y="0"/>
                <wp:positionH relativeFrom="column">
                  <wp:posOffset>2221230</wp:posOffset>
                </wp:positionH>
                <wp:positionV relativeFrom="paragraph">
                  <wp:posOffset>67310</wp:posOffset>
                </wp:positionV>
                <wp:extent cx="350520" cy="190500"/>
                <wp:effectExtent l="3810" t="0" r="34290" b="34290"/>
                <wp:wrapNone/>
                <wp:docPr id="2036453079"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A5C6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74.9pt;margin-top:5.3pt;width:27.6pt;height:15pt;rotation:90;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" adj="15517" fillcolor="#0f6fc6 [3204]" strokecolor="#02101d [484]" strokeweight="2pt"/>
            </w:pict>
          </mc:Fallback>
        </mc:AlternateContent>
      </w:r>
    </w:p>
    <w:p w14:paraId="5EC1B782" w14:textId="59D1A5F1"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1709992B" wp14:editId="2B53AF76">
                <wp:simplePos x="0" y="0"/>
                <wp:positionH relativeFrom="column">
                  <wp:posOffset>495300</wp:posOffset>
                </wp:positionH>
                <wp:positionV relativeFrom="paragraph">
                  <wp:posOffset>97155</wp:posOffset>
                </wp:positionV>
                <wp:extent cx="3794760" cy="388620"/>
                <wp:effectExtent l="0" t="0" r="15240" b="11430"/>
                <wp:wrapNone/>
                <wp:docPr id="1501306938"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BF69E6" w14:textId="4C0F964D" w:rsidR="00D243BA" w:rsidRPr="00D243BA" w:rsidRDefault="00D243BA" w:rsidP="00D243BA">
                            <w:pPr>
                              <w:jc w:val="center"/>
                              <w:rPr>
                                <w:lang w:val="en-IN"/>
                              </w:rPr>
                            </w:pPr>
                            <w:r>
                              <w:rPr>
                                <w:lang w:val="en-IN"/>
                              </w:rPr>
                              <w:t>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09992B" id="_x0000_s1032" style="position:absolute;left:0;text-align:left;margin-left:39pt;margin-top:7.65pt;width:298.8pt;height:30.6pt;z-index:2517227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" fillcolor="white [3201]" strokecolor="#a5c249 [3209]" strokeweight="2pt">
                <v:textbox>
                  <w:txbxContent>
                    <w:p w14:paraId="03BF69E6" w14:textId="4C0F964D" w:rsidR="00D243BA" w:rsidRPr="00D243BA" w:rsidRDefault="00D243BA" w:rsidP="00D243BA">
                      <w:pPr>
                        <w:jc w:val="center"/>
                        <w:rPr>
                          <w:lang w:val="en-IN"/>
                        </w:rPr>
                      </w:pPr>
                      <w:r>
                        <w:rPr>
                          <w:lang w:val="en-IN"/>
                        </w:rPr>
                        <w:t>Transport</w:t>
                      </w:r>
                    </w:p>
                  </w:txbxContent>
                </v:textbox>
              </v:roundrect>
            </w:pict>
          </mc:Fallback>
        </mc:AlternateContent>
      </w:r>
    </w:p>
    <w:p w14:paraId="7099385C" w14:textId="5405004C"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5313C24E" wp14:editId="695A6A4F">
                <wp:simplePos x="0" y="0"/>
                <wp:positionH relativeFrom="column">
                  <wp:posOffset>2192655</wp:posOffset>
                </wp:positionH>
                <wp:positionV relativeFrom="paragraph">
                  <wp:posOffset>290830</wp:posOffset>
                </wp:positionV>
                <wp:extent cx="350520" cy="190500"/>
                <wp:effectExtent l="3810" t="0" r="34290" b="34290"/>
                <wp:wrapNone/>
                <wp:docPr id="149721153"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DAB17" id="Arrow: Right 7" o:spid="_x0000_s1026" type="#_x0000_t13" style="position:absolute;margin-left:172.65pt;margin-top:22.9pt;width:27.6pt;height:15pt;rotation:90;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" adj="15517" fillcolor="#0f6fc6 [3204]" strokecolor="#02101d [484]" strokeweight="2pt"/>
            </w:pict>
          </mc:Fallback>
        </mc:AlternateContent>
      </w:r>
    </w:p>
    <w:p w14:paraId="6C793785" w14:textId="56804C04"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62A36831" wp14:editId="348F6396">
                <wp:simplePos x="0" y="0"/>
                <wp:positionH relativeFrom="column">
                  <wp:posOffset>472440</wp:posOffset>
                </wp:positionH>
                <wp:positionV relativeFrom="paragraph">
                  <wp:posOffset>320675</wp:posOffset>
                </wp:positionV>
                <wp:extent cx="3794760" cy="388620"/>
                <wp:effectExtent l="0" t="0" r="15240" b="11430"/>
                <wp:wrapNone/>
                <wp:docPr id="1015656448"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5A86E04" w14:textId="513629D5" w:rsidR="00D243BA" w:rsidRPr="00D243BA" w:rsidRDefault="00D243BA" w:rsidP="00D243BA">
                            <w:pPr>
                              <w:jc w:val="center"/>
                              <w:rPr>
                                <w:lang w:val="en-IN"/>
                              </w:rPr>
                            </w:pPr>
                            <w:r>
                              <w:rPr>
                                <w:lang w:val="en-IN"/>
                              </w:rPr>
                              <w:t>Good-in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2A36831" id="_x0000_s1033" style="position:absolute;left:0;text-align:left;margin-left:37.2pt;margin-top:25.25pt;width:298.8pt;height:30.6pt;z-index:2517248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" fillcolor="white [3201]" strokecolor="#a5c249 [3209]" strokeweight="2pt">
                <v:textbox>
                  <w:txbxContent>
                    <w:p w14:paraId="05A86E04" w14:textId="513629D5" w:rsidR="00D243BA" w:rsidRPr="00D243BA" w:rsidRDefault="00D243BA" w:rsidP="00D243BA">
                      <w:pPr>
                        <w:jc w:val="center"/>
                        <w:rPr>
                          <w:lang w:val="en-IN"/>
                        </w:rPr>
                      </w:pPr>
                      <w:r>
                        <w:rPr>
                          <w:lang w:val="en-IN"/>
                        </w:rPr>
                        <w:t>Good-in</w:t>
                      </w:r>
                    </w:p>
                  </w:txbxContent>
                </v:textbox>
              </v:roundrect>
            </w:pict>
          </mc:Fallback>
        </mc:AlternateContent>
      </w:r>
    </w:p>
    <w:p w14:paraId="3959DF17" w14:textId="529BB3D0" w:rsidR="0088250D" w:rsidRDefault="0088250D" w:rsidP="004D7CB2">
      <w:pPr>
        <w:spacing w:line="360" w:lineRule="auto"/>
        <w:jc w:val="both"/>
        <w:rPr>
          <w:rFonts w:ascii="Times New Roman" w:hAnsi="Times New Roman" w:cs="Times New Roman"/>
          <w:sz w:val="24"/>
          <w:szCs w:val="24"/>
        </w:rPr>
      </w:pPr>
    </w:p>
    <w:p w14:paraId="0E1EA446" w14:textId="7AA2BD8D" w:rsidR="0088250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5FE275C2" wp14:editId="7B5676B8">
                <wp:simplePos x="0" y="0"/>
                <wp:positionH relativeFrom="column">
                  <wp:posOffset>2188845</wp:posOffset>
                </wp:positionH>
                <wp:positionV relativeFrom="paragraph">
                  <wp:posOffset>231775</wp:posOffset>
                </wp:positionV>
                <wp:extent cx="350520" cy="190500"/>
                <wp:effectExtent l="3810" t="0" r="34290" b="34290"/>
                <wp:wrapNone/>
                <wp:docPr id="1404928276"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41A9A" id="Arrow: Right 7" o:spid="_x0000_s1026" type="#_x0000_t13" style="position:absolute;margin-left:172.35pt;margin-top:18.25pt;width:27.6pt;height:15pt;rotation:9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" adj="15517" fillcolor="#0f6fc6 [3204]" strokecolor="#02101d [484]" strokeweight="2pt"/>
            </w:pict>
          </mc:Fallback>
        </mc:AlternateContent>
      </w:r>
    </w:p>
    <w:p w14:paraId="2CE1B046" w14:textId="2B0D5B48" w:rsidR="0088250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17956742" wp14:editId="78189BD2">
                <wp:simplePos x="0" y="0"/>
                <wp:positionH relativeFrom="column">
                  <wp:posOffset>464820</wp:posOffset>
                </wp:positionH>
                <wp:positionV relativeFrom="paragraph">
                  <wp:posOffset>246380</wp:posOffset>
                </wp:positionV>
                <wp:extent cx="3794760" cy="388620"/>
                <wp:effectExtent l="0" t="0" r="15240" b="11430"/>
                <wp:wrapNone/>
                <wp:docPr id="1626628397"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0201C0" w14:textId="12534E27" w:rsidR="000F0A7D" w:rsidRPr="00D243BA" w:rsidRDefault="000F0A7D" w:rsidP="000F0A7D">
                            <w:pPr>
                              <w:jc w:val="center"/>
                              <w:rPr>
                                <w:lang w:val="en-IN"/>
                              </w:rPr>
                            </w:pPr>
                            <w:r>
                              <w:rPr>
                                <w:lang w:val="en-IN"/>
                              </w:rPr>
                              <w:t>Stores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956742" id="_x0000_s1034" style="position:absolute;left:0;text-align:left;margin-left:36.6pt;margin-top:19.4pt;width:298.8pt;height:30.6pt;z-index:2517329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" fillcolor="white [3201]" strokecolor="#a5c249 [3209]" strokeweight="2pt">
                <v:textbox>
                  <w:txbxContent>
                    <w:p w14:paraId="300201C0" w14:textId="12534E27" w:rsidR="000F0A7D" w:rsidRPr="00D243BA" w:rsidRDefault="000F0A7D" w:rsidP="000F0A7D">
                      <w:pPr>
                        <w:jc w:val="center"/>
                        <w:rPr>
                          <w:lang w:val="en-IN"/>
                        </w:rPr>
                      </w:pPr>
                      <w:r>
                        <w:rPr>
                          <w:lang w:val="en-IN"/>
                        </w:rPr>
                        <w:t>Stores</w:t>
                      </w:r>
                    </w:p>
                  </w:txbxContent>
                </v:textbox>
              </v:roundrect>
            </w:pict>
          </mc:Fallback>
        </mc:AlternateContent>
      </w:r>
    </w:p>
    <w:p w14:paraId="392A72E7" w14:textId="63F30C4E" w:rsidR="0088250D" w:rsidRDefault="0088250D" w:rsidP="004D7CB2">
      <w:pPr>
        <w:spacing w:line="360" w:lineRule="auto"/>
        <w:jc w:val="both"/>
        <w:rPr>
          <w:rFonts w:ascii="Times New Roman" w:hAnsi="Times New Roman" w:cs="Times New Roman"/>
          <w:sz w:val="24"/>
          <w:szCs w:val="24"/>
        </w:rPr>
      </w:pPr>
    </w:p>
    <w:p w14:paraId="46F56EF3" w14:textId="4E8D9335"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7D82677F" wp14:editId="43BA63FC">
                <wp:simplePos x="0" y="0"/>
                <wp:positionH relativeFrom="column">
                  <wp:posOffset>2146935</wp:posOffset>
                </wp:positionH>
                <wp:positionV relativeFrom="paragraph">
                  <wp:posOffset>96520</wp:posOffset>
                </wp:positionV>
                <wp:extent cx="350520" cy="190500"/>
                <wp:effectExtent l="3810" t="0" r="34290" b="34290"/>
                <wp:wrapNone/>
                <wp:docPr id="310683091"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AE907" id="Arrow: Right 7" o:spid="_x0000_s1026" type="#_x0000_t13" style="position:absolute;margin-left:169.05pt;margin-top:7.6pt;width:27.6pt;height:15pt;rotation:90;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" adj="15517" fillcolor="#0f6fc6 [3204]" strokecolor="#02101d [484]" strokeweight="2pt"/>
            </w:pict>
          </mc:Fallback>
        </mc:AlternateContent>
      </w:r>
    </w:p>
    <w:p w14:paraId="486B31E3" w14:textId="7AF1FEA9"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5040" behindDoc="0" locked="0" layoutInCell="1" allowOverlap="1" wp14:anchorId="0509BF04" wp14:editId="5B5B4F28">
                <wp:simplePos x="0" y="0"/>
                <wp:positionH relativeFrom="column">
                  <wp:posOffset>419100</wp:posOffset>
                </wp:positionH>
                <wp:positionV relativeFrom="paragraph">
                  <wp:posOffset>74930</wp:posOffset>
                </wp:positionV>
                <wp:extent cx="3794760" cy="388620"/>
                <wp:effectExtent l="0" t="0" r="15240" b="11430"/>
                <wp:wrapNone/>
                <wp:docPr id="197459174"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BB02086" w14:textId="462FDA59" w:rsidR="000F0A7D" w:rsidRPr="00D243BA" w:rsidRDefault="000F0A7D" w:rsidP="000F0A7D">
                            <w:pPr>
                              <w:jc w:val="center"/>
                              <w:rPr>
                                <w:lang w:val="en-IN"/>
                              </w:rPr>
                            </w:pPr>
                            <w:r>
                              <w:rPr>
                                <w:lang w:val="en-IN"/>
                              </w:rPr>
                              <w:t>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09BF04" id="_x0000_s1035" style="position:absolute;left:0;text-align:left;margin-left:33pt;margin-top:5.9pt;width:298.8pt;height:30.6pt;z-index:2517350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" fillcolor="white [3201]" strokecolor="#a5c249 [3209]" strokeweight="2pt">
                <v:textbox>
                  <w:txbxContent>
                    <w:p w14:paraId="5BB02086" w14:textId="462FDA59" w:rsidR="000F0A7D" w:rsidRPr="00D243BA" w:rsidRDefault="000F0A7D" w:rsidP="000F0A7D">
                      <w:pPr>
                        <w:jc w:val="center"/>
                        <w:rPr>
                          <w:lang w:val="en-IN"/>
                        </w:rPr>
                      </w:pPr>
                      <w:r>
                        <w:rPr>
                          <w:lang w:val="en-IN"/>
                        </w:rPr>
                        <w:t>Preparation</w:t>
                      </w:r>
                    </w:p>
                  </w:txbxContent>
                </v:textbox>
              </v:roundrect>
            </w:pict>
          </mc:Fallback>
        </mc:AlternateContent>
      </w:r>
    </w:p>
    <w:p w14:paraId="7F2A3857" w14:textId="285530BF"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9136" behindDoc="0" locked="0" layoutInCell="1" allowOverlap="1" wp14:anchorId="5CEB8D29" wp14:editId="14253379">
                <wp:simplePos x="0" y="0"/>
                <wp:positionH relativeFrom="column">
                  <wp:posOffset>2120265</wp:posOffset>
                </wp:positionH>
                <wp:positionV relativeFrom="paragraph">
                  <wp:posOffset>299720</wp:posOffset>
                </wp:positionV>
                <wp:extent cx="350520" cy="190500"/>
                <wp:effectExtent l="3810" t="0" r="34290" b="34290"/>
                <wp:wrapNone/>
                <wp:docPr id="1624326103"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D6A85" id="Arrow: Right 7" o:spid="_x0000_s1026" type="#_x0000_t13" style="position:absolute;margin-left:166.95pt;margin-top:23.6pt;width:27.6pt;height:15pt;rotation:90;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" adj="15517" fillcolor="#0f6fc6 [3204]" strokecolor="#02101d [484]" strokeweight="2pt"/>
            </w:pict>
          </mc:Fallback>
        </mc:AlternateContent>
      </w:r>
    </w:p>
    <w:p w14:paraId="1B4181B6" w14:textId="0A3D66BE"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7088" behindDoc="0" locked="0" layoutInCell="1" allowOverlap="1" wp14:anchorId="7325C726" wp14:editId="4E6B3574">
                <wp:simplePos x="0" y="0"/>
                <wp:positionH relativeFrom="column">
                  <wp:posOffset>411480</wp:posOffset>
                </wp:positionH>
                <wp:positionV relativeFrom="paragraph">
                  <wp:posOffset>306705</wp:posOffset>
                </wp:positionV>
                <wp:extent cx="3794760" cy="388620"/>
                <wp:effectExtent l="0" t="0" r="15240" b="11430"/>
                <wp:wrapNone/>
                <wp:docPr id="270422421"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2AF7D6F" w14:textId="390A3A19" w:rsidR="000F0A7D" w:rsidRPr="00D243BA" w:rsidRDefault="000F0A7D" w:rsidP="000F0A7D">
                            <w:pPr>
                              <w:jc w:val="center"/>
                              <w:rPr>
                                <w:lang w:val="en-IN"/>
                              </w:rPr>
                            </w:pPr>
                            <w:r>
                              <w:rPr>
                                <w:lang w:val="en-IN"/>
                              </w:rPr>
                              <w:t>Casting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325C726" id="_x0000_s1036" style="position:absolute;left:0;text-align:left;margin-left:32.4pt;margin-top:24.15pt;width:298.8pt;height:30.6pt;z-index:2517370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" fillcolor="white [3201]" strokecolor="#a5c249 [3209]" strokeweight="2pt">
                <v:textbox>
                  <w:txbxContent>
                    <w:p w14:paraId="02AF7D6F" w14:textId="390A3A19" w:rsidR="000F0A7D" w:rsidRPr="00D243BA" w:rsidRDefault="000F0A7D" w:rsidP="000F0A7D">
                      <w:pPr>
                        <w:jc w:val="center"/>
                        <w:rPr>
                          <w:lang w:val="en-IN"/>
                        </w:rPr>
                      </w:pPr>
                      <w:r>
                        <w:rPr>
                          <w:lang w:val="en-IN"/>
                        </w:rPr>
                        <w:t>Casting</w:t>
                      </w:r>
                    </w:p>
                  </w:txbxContent>
                </v:textbox>
              </v:roundrect>
            </w:pict>
          </mc:Fallback>
        </mc:AlternateContent>
      </w:r>
    </w:p>
    <w:p w14:paraId="6C1056F2" w14:textId="35A4B195" w:rsidR="000F0A7D" w:rsidRDefault="000F0A7D" w:rsidP="004D7CB2">
      <w:pPr>
        <w:spacing w:line="360" w:lineRule="auto"/>
        <w:jc w:val="both"/>
        <w:rPr>
          <w:rFonts w:ascii="Times New Roman" w:hAnsi="Times New Roman" w:cs="Times New Roman"/>
          <w:sz w:val="24"/>
          <w:szCs w:val="24"/>
        </w:rPr>
      </w:pPr>
    </w:p>
    <w:p w14:paraId="5B3E8EA7" w14:textId="371CB4F3" w:rsidR="000F0A7D" w:rsidRDefault="000F0A7D" w:rsidP="004D7CB2">
      <w:pPr>
        <w:spacing w:line="360" w:lineRule="auto"/>
        <w:jc w:val="both"/>
        <w:rPr>
          <w:rFonts w:ascii="Times New Roman" w:hAnsi="Times New Roman" w:cs="Times New Roman"/>
          <w:sz w:val="24"/>
          <w:szCs w:val="24"/>
        </w:rPr>
      </w:pPr>
    </w:p>
    <w:p w14:paraId="3C6787E2" w14:textId="7714178A"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Stores holding time is </w:t>
      </w:r>
      <w:proofErr w:type="gramStart"/>
      <w:r w:rsidR="00127547">
        <w:rPr>
          <w:rFonts w:ascii="Times New Roman" w:hAnsi="Times New Roman" w:cs="Times New Roman"/>
          <w:sz w:val="24"/>
          <w:szCs w:val="24"/>
        </w:rPr>
        <w:t>specially</w:t>
      </w:r>
      <w:proofErr w:type="gramEnd"/>
      <w:r>
        <w:rPr>
          <w:rFonts w:ascii="Times New Roman" w:hAnsi="Times New Roman" w:cs="Times New Roman"/>
          <w:sz w:val="24"/>
          <w:szCs w:val="24"/>
        </w:rPr>
        <w:t xml:space="preserve"> critical because it adds no customer value but increases expiry risk and cash tied up in inventory. Reducing this waiting time supports both lean operations and sustainability</w:t>
      </w:r>
      <w:r w:rsidR="00127547">
        <w:rPr>
          <w:rFonts w:ascii="Times New Roman" w:hAnsi="Times New Roman" w:cs="Times New Roman"/>
          <w:sz w:val="24"/>
          <w:szCs w:val="24"/>
        </w:rPr>
        <w:t>.</w:t>
      </w:r>
    </w:p>
    <w:p w14:paraId="1DAE58F2" w14:textId="77777777" w:rsidR="00127547" w:rsidRDefault="00127547" w:rsidP="004D7CB2">
      <w:pPr>
        <w:spacing w:line="360" w:lineRule="auto"/>
        <w:jc w:val="both"/>
        <w:rPr>
          <w:rFonts w:ascii="Times New Roman" w:hAnsi="Times New Roman" w:cs="Times New Roman"/>
          <w:sz w:val="24"/>
          <w:szCs w:val="24"/>
        </w:rPr>
      </w:pPr>
    </w:p>
    <w:p w14:paraId="6D76207B" w14:textId="77777777" w:rsidR="00127547" w:rsidRDefault="00127547" w:rsidP="004D7CB2">
      <w:pPr>
        <w:spacing w:line="360" w:lineRule="auto"/>
        <w:jc w:val="both"/>
        <w:rPr>
          <w:rFonts w:ascii="Times New Roman" w:hAnsi="Times New Roman" w:cs="Times New Roman"/>
          <w:sz w:val="24"/>
          <w:szCs w:val="24"/>
        </w:rPr>
      </w:pPr>
    </w:p>
    <w:p w14:paraId="24C34971" w14:textId="77777777" w:rsidR="00127547" w:rsidRDefault="00127547" w:rsidP="004D7CB2">
      <w:pPr>
        <w:spacing w:line="360" w:lineRule="auto"/>
        <w:jc w:val="both"/>
        <w:rPr>
          <w:rFonts w:ascii="Times New Roman" w:hAnsi="Times New Roman" w:cs="Times New Roman"/>
          <w:sz w:val="24"/>
          <w:szCs w:val="24"/>
        </w:rPr>
      </w:pPr>
    </w:p>
    <w:p w14:paraId="5EBC7A19" w14:textId="77777777" w:rsidR="00127547" w:rsidRDefault="00127547" w:rsidP="004D7CB2">
      <w:pPr>
        <w:spacing w:line="360" w:lineRule="auto"/>
        <w:jc w:val="both"/>
        <w:rPr>
          <w:rFonts w:ascii="Times New Roman" w:hAnsi="Times New Roman" w:cs="Times New Roman"/>
          <w:sz w:val="24"/>
          <w:szCs w:val="24"/>
        </w:rPr>
      </w:pPr>
    </w:p>
    <w:p w14:paraId="3734B4A2" w14:textId="48F56FC5" w:rsidR="000F0A7D" w:rsidRDefault="000F0A7D" w:rsidP="004D7CB2">
      <w:pPr>
        <w:spacing w:line="360" w:lineRule="auto"/>
        <w:jc w:val="both"/>
        <w:rPr>
          <w:rFonts w:ascii="Times New Roman" w:hAnsi="Times New Roman" w:cs="Times New Roman"/>
          <w:sz w:val="24"/>
          <w:szCs w:val="24"/>
        </w:rPr>
      </w:pPr>
    </w:p>
    <w:p w14:paraId="001C50B4" w14:textId="5FF8FF1B"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Supplier visibility should also be improved through KPI</w:t>
      </w:r>
    </w:p>
    <w:tbl>
      <w:tblPr>
        <w:tblStyle w:val="TableGrid"/>
        <w:tblW w:w="0" w:type="auto"/>
        <w:tblLook w:val="04A0" w:firstRow="1" w:lastRow="0" w:firstColumn="1" w:lastColumn="0" w:noHBand="0" w:noVBand="1"/>
      </w:tblPr>
      <w:tblGrid>
        <w:gridCol w:w="4508"/>
        <w:gridCol w:w="4508"/>
      </w:tblGrid>
      <w:tr w:rsidR="000F0A7D" w14:paraId="5589312D" w14:textId="77777777" w:rsidTr="000F0A7D">
        <w:tc>
          <w:tcPr>
            <w:tcW w:w="4508" w:type="dxa"/>
          </w:tcPr>
          <w:p w14:paraId="29294764" w14:textId="2E5A1DF3" w:rsidR="000F0A7D" w:rsidRPr="000F0A7D" w:rsidRDefault="000F0A7D" w:rsidP="000F0A7D">
            <w:pPr>
              <w:spacing w:line="360" w:lineRule="auto"/>
              <w:jc w:val="center"/>
              <w:rPr>
                <w:rFonts w:ascii="Times New Roman" w:hAnsi="Times New Roman" w:cs="Times New Roman"/>
                <w:b/>
                <w:bCs/>
                <w:sz w:val="24"/>
                <w:szCs w:val="24"/>
              </w:rPr>
            </w:pPr>
            <w:r w:rsidRPr="000F0A7D">
              <w:rPr>
                <w:rFonts w:ascii="Times New Roman" w:hAnsi="Times New Roman" w:cs="Times New Roman"/>
                <w:b/>
                <w:bCs/>
                <w:sz w:val="24"/>
                <w:szCs w:val="24"/>
              </w:rPr>
              <w:t>Supplier KPI</w:t>
            </w:r>
          </w:p>
        </w:tc>
        <w:tc>
          <w:tcPr>
            <w:tcW w:w="4508" w:type="dxa"/>
          </w:tcPr>
          <w:p w14:paraId="2FA484D8" w14:textId="4009F46C" w:rsidR="000F0A7D" w:rsidRPr="000F0A7D" w:rsidRDefault="000F0A7D" w:rsidP="000F0A7D">
            <w:pPr>
              <w:spacing w:line="360" w:lineRule="auto"/>
              <w:jc w:val="center"/>
              <w:rPr>
                <w:rFonts w:ascii="Times New Roman" w:hAnsi="Times New Roman" w:cs="Times New Roman"/>
                <w:b/>
                <w:bCs/>
                <w:sz w:val="24"/>
                <w:szCs w:val="24"/>
              </w:rPr>
            </w:pPr>
            <w:r w:rsidRPr="000F0A7D">
              <w:rPr>
                <w:rFonts w:ascii="Times New Roman" w:hAnsi="Times New Roman" w:cs="Times New Roman"/>
                <w:b/>
                <w:bCs/>
                <w:sz w:val="24"/>
                <w:szCs w:val="24"/>
              </w:rPr>
              <w:t>Purpose</w:t>
            </w:r>
          </w:p>
        </w:tc>
      </w:tr>
      <w:tr w:rsidR="000F0A7D" w14:paraId="3BF62E53" w14:textId="77777777" w:rsidTr="000F0A7D">
        <w:tc>
          <w:tcPr>
            <w:tcW w:w="4508" w:type="dxa"/>
          </w:tcPr>
          <w:p w14:paraId="0B307BF8" w14:textId="1D95ADB3"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On-time delivery</w:t>
            </w:r>
          </w:p>
        </w:tc>
        <w:tc>
          <w:tcPr>
            <w:tcW w:w="4508" w:type="dxa"/>
          </w:tcPr>
          <w:p w14:paraId="5E108CCB" w14:textId="19C6220D"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Measure’s reliability</w:t>
            </w:r>
          </w:p>
        </w:tc>
      </w:tr>
      <w:tr w:rsidR="000F0A7D" w14:paraId="33885613" w14:textId="77777777" w:rsidTr="000F0A7D">
        <w:tc>
          <w:tcPr>
            <w:tcW w:w="4508" w:type="dxa"/>
          </w:tcPr>
          <w:p w14:paraId="6E5BF32D" w14:textId="138E73F5"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Lead-time variation</w:t>
            </w:r>
          </w:p>
        </w:tc>
        <w:tc>
          <w:tcPr>
            <w:tcW w:w="4508" w:type="dxa"/>
          </w:tcPr>
          <w:p w14:paraId="588CFB0F" w14:textId="795CFA63"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Supports safety stock decisions</w:t>
            </w:r>
          </w:p>
        </w:tc>
      </w:tr>
      <w:tr w:rsidR="000F0A7D" w14:paraId="3C281A5B" w14:textId="77777777" w:rsidTr="000F0A7D">
        <w:tc>
          <w:tcPr>
            <w:tcW w:w="4508" w:type="dxa"/>
          </w:tcPr>
          <w:p w14:paraId="105AF8C3" w14:textId="4BF9B6A3"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Batch quality acceptance</w:t>
            </w:r>
          </w:p>
        </w:tc>
        <w:tc>
          <w:tcPr>
            <w:tcW w:w="4508" w:type="dxa"/>
          </w:tcPr>
          <w:p w14:paraId="0D060CDC" w14:textId="3EBAA8F6"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Reduces disruption</w:t>
            </w:r>
          </w:p>
        </w:tc>
      </w:tr>
      <w:tr w:rsidR="000F0A7D" w14:paraId="6C3A53E4" w14:textId="77777777" w:rsidTr="000F0A7D">
        <w:tc>
          <w:tcPr>
            <w:tcW w:w="4508" w:type="dxa"/>
          </w:tcPr>
          <w:p w14:paraId="6987E501" w14:textId="7AE9EF19"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Emergency order frequency</w:t>
            </w:r>
          </w:p>
        </w:tc>
        <w:tc>
          <w:tcPr>
            <w:tcW w:w="4508" w:type="dxa"/>
          </w:tcPr>
          <w:p w14:paraId="1D69504D" w14:textId="4D022F71"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Shows planning weakness</w:t>
            </w:r>
          </w:p>
        </w:tc>
      </w:tr>
      <w:tr w:rsidR="000F0A7D" w14:paraId="553E8848" w14:textId="77777777" w:rsidTr="000F0A7D">
        <w:tc>
          <w:tcPr>
            <w:tcW w:w="4508" w:type="dxa"/>
          </w:tcPr>
          <w:p w14:paraId="14B13B55" w14:textId="2E68E35B"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Responsiveness to forecast changes</w:t>
            </w:r>
          </w:p>
        </w:tc>
        <w:tc>
          <w:tcPr>
            <w:tcW w:w="4508" w:type="dxa"/>
          </w:tcPr>
          <w:p w14:paraId="6E3DD5C3" w14:textId="46A65C8F"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Supports flexible supply</w:t>
            </w:r>
          </w:p>
        </w:tc>
      </w:tr>
    </w:tbl>
    <w:p w14:paraId="4A3DA365" w14:textId="396CE97C" w:rsidR="0088250D" w:rsidRDefault="0088250D" w:rsidP="004D7CB2">
      <w:pPr>
        <w:spacing w:line="360" w:lineRule="auto"/>
        <w:jc w:val="both"/>
        <w:rPr>
          <w:rFonts w:ascii="Times New Roman" w:hAnsi="Times New Roman" w:cs="Times New Roman"/>
          <w:sz w:val="24"/>
          <w:szCs w:val="24"/>
        </w:rPr>
      </w:pPr>
    </w:p>
    <w:p w14:paraId="39411C8D" w14:textId="60D7B49F"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Supplier collaboration should be based on shared </w:t>
      </w:r>
      <w:r w:rsidR="00761DF0">
        <w:rPr>
          <w:rFonts w:ascii="Times New Roman" w:hAnsi="Times New Roman" w:cs="Times New Roman"/>
          <w:sz w:val="24"/>
          <w:szCs w:val="24"/>
        </w:rPr>
        <w:t>for caste</w:t>
      </w:r>
      <w:r>
        <w:rPr>
          <w:rFonts w:ascii="Times New Roman" w:hAnsi="Times New Roman" w:cs="Times New Roman"/>
          <w:sz w:val="24"/>
          <w:szCs w:val="24"/>
        </w:rPr>
        <w:t xml:space="preserve"> and performance data, not informal trust alone. This is particularly important for resin supplier, who can support shelf-life control and possible revalidation of ageing stock.</w:t>
      </w:r>
    </w:p>
    <w:p w14:paraId="6BDE5806" w14:textId="027C212E" w:rsidR="000F0A7D" w:rsidRPr="00995AFA" w:rsidRDefault="000F0A7D" w:rsidP="000F0A7D">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5" w:name="_Toc229048361"/>
      <w:r w:rsidRPr="000F0A7D">
        <w:rPr>
          <w:rFonts w:ascii="Times New Roman" w:hAnsi="Times New Roman" w:cs="Times New Roman"/>
          <w:sz w:val="28"/>
          <w:szCs w:val="28"/>
        </w:rPr>
        <w:t xml:space="preserve">4.3 </w:t>
      </w:r>
      <w:r w:rsidR="00995AFA" w:rsidRPr="00995AFA">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LEAD-TIME AND INVENTORY KPI</w:t>
      </w:r>
      <w:bookmarkEnd w:id="15"/>
    </w:p>
    <w:p w14:paraId="37B7CD2A" w14:textId="0A9CB2B6" w:rsidR="007671B6"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sustain improvement,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should introduce a monthly KPI review linking lead-time, inventory and sustainability.</w:t>
      </w:r>
    </w:p>
    <w:tbl>
      <w:tblPr>
        <w:tblStyle w:val="TableGrid"/>
        <w:tblW w:w="0" w:type="auto"/>
        <w:tblLook w:val="04A0" w:firstRow="1" w:lastRow="0" w:firstColumn="1" w:lastColumn="0" w:noHBand="0" w:noVBand="1"/>
      </w:tblPr>
      <w:tblGrid>
        <w:gridCol w:w="4508"/>
        <w:gridCol w:w="4508"/>
      </w:tblGrid>
      <w:tr w:rsidR="007671B6" w14:paraId="3763FEB0" w14:textId="77777777" w:rsidTr="007671B6">
        <w:tc>
          <w:tcPr>
            <w:tcW w:w="4508" w:type="dxa"/>
          </w:tcPr>
          <w:p w14:paraId="3DADC78E" w14:textId="0003C50A" w:rsidR="007671B6" w:rsidRPr="007671B6" w:rsidRDefault="007671B6" w:rsidP="007671B6">
            <w:pPr>
              <w:spacing w:line="360" w:lineRule="auto"/>
              <w:jc w:val="center"/>
              <w:rPr>
                <w:rFonts w:ascii="Times New Roman" w:hAnsi="Times New Roman" w:cs="Times New Roman"/>
                <w:b/>
                <w:bCs/>
                <w:sz w:val="24"/>
                <w:szCs w:val="24"/>
              </w:rPr>
            </w:pPr>
            <w:r w:rsidRPr="007671B6">
              <w:rPr>
                <w:rFonts w:ascii="Times New Roman" w:hAnsi="Times New Roman" w:cs="Times New Roman"/>
                <w:b/>
                <w:bCs/>
                <w:sz w:val="24"/>
                <w:szCs w:val="24"/>
              </w:rPr>
              <w:t>KPI</w:t>
            </w:r>
          </w:p>
        </w:tc>
        <w:tc>
          <w:tcPr>
            <w:tcW w:w="4508" w:type="dxa"/>
          </w:tcPr>
          <w:p w14:paraId="4ECD5C8A" w14:textId="0F804ACC" w:rsidR="007671B6" w:rsidRPr="007671B6" w:rsidRDefault="007671B6" w:rsidP="007671B6">
            <w:pPr>
              <w:spacing w:line="360" w:lineRule="auto"/>
              <w:jc w:val="center"/>
              <w:rPr>
                <w:rFonts w:ascii="Times New Roman" w:hAnsi="Times New Roman" w:cs="Times New Roman"/>
                <w:b/>
                <w:bCs/>
                <w:sz w:val="24"/>
                <w:szCs w:val="24"/>
              </w:rPr>
            </w:pPr>
            <w:r w:rsidRPr="007671B6">
              <w:rPr>
                <w:rFonts w:ascii="Times New Roman" w:hAnsi="Times New Roman" w:cs="Times New Roman"/>
                <w:b/>
                <w:bCs/>
                <w:sz w:val="24"/>
                <w:szCs w:val="24"/>
              </w:rPr>
              <w:t xml:space="preserve">Why </w:t>
            </w:r>
          </w:p>
        </w:tc>
      </w:tr>
      <w:tr w:rsidR="007671B6" w14:paraId="1B975476" w14:textId="77777777" w:rsidTr="007671B6">
        <w:tc>
          <w:tcPr>
            <w:tcW w:w="4508" w:type="dxa"/>
          </w:tcPr>
          <w:p w14:paraId="122E76A3" w14:textId="727CB157"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Average supplier lead time</w:t>
            </w:r>
          </w:p>
        </w:tc>
        <w:tc>
          <w:tcPr>
            <w:tcW w:w="4508" w:type="dxa"/>
          </w:tcPr>
          <w:p w14:paraId="1B8A16BF" w14:textId="7DF41CFB"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Supports reorder-point calculation</w:t>
            </w:r>
          </w:p>
        </w:tc>
      </w:tr>
      <w:tr w:rsidR="007671B6" w14:paraId="37C481A6" w14:textId="77777777" w:rsidTr="007671B6">
        <w:tc>
          <w:tcPr>
            <w:tcW w:w="4508" w:type="dxa"/>
          </w:tcPr>
          <w:p w14:paraId="178FF9C1" w14:textId="36E50619"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Lead-time variability</w:t>
            </w:r>
          </w:p>
        </w:tc>
        <w:tc>
          <w:tcPr>
            <w:tcW w:w="4508" w:type="dxa"/>
          </w:tcPr>
          <w:p w14:paraId="096D0E26" w14:textId="79EB76BA"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Determines safety-stock levels</w:t>
            </w:r>
          </w:p>
        </w:tc>
      </w:tr>
      <w:tr w:rsidR="007671B6" w14:paraId="0202853F" w14:textId="77777777" w:rsidTr="007671B6">
        <w:tc>
          <w:tcPr>
            <w:tcW w:w="4508" w:type="dxa"/>
          </w:tcPr>
          <w:p w14:paraId="08AE9FD7" w14:textId="5BDCFD59"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Internal release time</w:t>
            </w:r>
          </w:p>
        </w:tc>
        <w:tc>
          <w:tcPr>
            <w:tcW w:w="4508" w:type="dxa"/>
          </w:tcPr>
          <w:p w14:paraId="2E36A91D" w14:textId="064C0DCA"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Identify non-value adding delay</w:t>
            </w:r>
          </w:p>
        </w:tc>
      </w:tr>
      <w:tr w:rsidR="007671B6" w14:paraId="0C79766A" w14:textId="77777777" w:rsidTr="007671B6">
        <w:tc>
          <w:tcPr>
            <w:tcW w:w="4508" w:type="dxa"/>
          </w:tcPr>
          <w:p w14:paraId="35BE6ED8" w14:textId="6CAA5BB7"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Stockout frequency</w:t>
            </w:r>
          </w:p>
        </w:tc>
        <w:tc>
          <w:tcPr>
            <w:tcW w:w="4508" w:type="dxa"/>
          </w:tcPr>
          <w:p w14:paraId="65AF2DB5" w14:textId="5D792611"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Measures supply reliability</w:t>
            </w:r>
          </w:p>
        </w:tc>
      </w:tr>
      <w:tr w:rsidR="007671B6" w14:paraId="38D8597E" w14:textId="77777777" w:rsidTr="007671B6">
        <w:tc>
          <w:tcPr>
            <w:tcW w:w="4508" w:type="dxa"/>
          </w:tcPr>
          <w:p w14:paraId="2AC06513" w14:textId="7C1FFAC3"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Obsolete stock </w:t>
            </w:r>
            <w:r w:rsidR="00761DF0">
              <w:rPr>
                <w:rFonts w:ascii="Times New Roman" w:hAnsi="Times New Roman" w:cs="Times New Roman"/>
                <w:sz w:val="24"/>
                <w:szCs w:val="24"/>
              </w:rPr>
              <w:t>value</w:t>
            </w:r>
          </w:p>
        </w:tc>
        <w:tc>
          <w:tcPr>
            <w:tcW w:w="4508" w:type="dxa"/>
          </w:tcPr>
          <w:p w14:paraId="31F255F5" w14:textId="7CA1CFB0"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Shows inventory failure cost</w:t>
            </w:r>
          </w:p>
        </w:tc>
      </w:tr>
      <w:tr w:rsidR="007671B6" w14:paraId="4548354B" w14:textId="77777777" w:rsidTr="007671B6">
        <w:tc>
          <w:tcPr>
            <w:tcW w:w="4508" w:type="dxa"/>
          </w:tcPr>
          <w:p w14:paraId="75767408" w14:textId="4CABF088"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Waste-disposal cost</w:t>
            </w:r>
          </w:p>
        </w:tc>
        <w:tc>
          <w:tcPr>
            <w:tcW w:w="4508" w:type="dxa"/>
          </w:tcPr>
          <w:p w14:paraId="5C4E5CBA" w14:textId="6AF6D2DB"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Links operations to sustainability</w:t>
            </w:r>
          </w:p>
        </w:tc>
      </w:tr>
      <w:tr w:rsidR="007671B6" w14:paraId="2B14F6B6" w14:textId="77777777" w:rsidTr="007671B6">
        <w:tc>
          <w:tcPr>
            <w:tcW w:w="4508" w:type="dxa"/>
          </w:tcPr>
          <w:p w14:paraId="13A3BD71" w14:textId="6CE321DA"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Resin used before expiry (%)</w:t>
            </w:r>
          </w:p>
        </w:tc>
        <w:tc>
          <w:tcPr>
            <w:tcW w:w="4508" w:type="dxa"/>
          </w:tcPr>
          <w:p w14:paraId="0BA74529" w14:textId="6DE45C00"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Measures FEFO effectiveness</w:t>
            </w:r>
          </w:p>
        </w:tc>
      </w:tr>
    </w:tbl>
    <w:p w14:paraId="3A5EA590" w14:textId="7766D684" w:rsidR="000F0A7D" w:rsidRDefault="007671B6"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KPI would allow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to reduce stock without increasing supply risk. They also make sustainability measurable</w:t>
      </w:r>
    </w:p>
    <w:p w14:paraId="3E895696" w14:textId="176C883D" w:rsidR="007671B6" w:rsidRDefault="007671B6" w:rsidP="007671B6">
      <w:pPr>
        <w:pStyle w:val="Heading1"/>
        <w:rPr>
          <w:rFonts w:ascii="Times New Roman" w:hAnsi="Times New Roman" w:cs="Times New Roman"/>
          <w:sz w:val="32"/>
          <w:szCs w:val="32"/>
        </w:rPr>
      </w:pPr>
      <w:bookmarkStart w:id="16" w:name="_Toc229048362"/>
      <w:r w:rsidRPr="007671B6">
        <w:rPr>
          <w:rFonts w:ascii="Times New Roman" w:hAnsi="Times New Roman" w:cs="Times New Roman"/>
          <w:sz w:val="32"/>
          <w:szCs w:val="32"/>
        </w:rPr>
        <w:lastRenderedPageBreak/>
        <w:t>5.</w:t>
      </w:r>
      <w:r w:rsidR="00995AFA" w:rsidRPr="00995AFA">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995AFA" w:rsidRPr="00995AFA">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PRIORITISED IMPLEMENTATION ROADMAP</w:t>
      </w:r>
      <w:bookmarkEnd w:id="16"/>
    </w:p>
    <w:p w14:paraId="1072AFEA" w14:textId="77777777" w:rsidR="007671B6" w:rsidRDefault="007671B6" w:rsidP="007671B6"/>
    <w:tbl>
      <w:tblPr>
        <w:tblStyle w:val="TableGrid"/>
        <w:tblW w:w="0" w:type="auto"/>
        <w:tblLook w:val="04A0" w:firstRow="1" w:lastRow="0" w:firstColumn="1" w:lastColumn="0" w:noHBand="0" w:noVBand="1"/>
      </w:tblPr>
      <w:tblGrid>
        <w:gridCol w:w="2254"/>
        <w:gridCol w:w="2254"/>
        <w:gridCol w:w="2254"/>
        <w:gridCol w:w="2254"/>
      </w:tblGrid>
      <w:tr w:rsidR="007671B6" w14:paraId="2E5A8F99" w14:textId="77777777" w:rsidTr="007671B6">
        <w:tc>
          <w:tcPr>
            <w:tcW w:w="2254" w:type="dxa"/>
          </w:tcPr>
          <w:p w14:paraId="6ED9F24D" w14:textId="63820331"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Priority</w:t>
            </w:r>
          </w:p>
        </w:tc>
        <w:tc>
          <w:tcPr>
            <w:tcW w:w="2254" w:type="dxa"/>
          </w:tcPr>
          <w:p w14:paraId="3A316E8F" w14:textId="40C04F6B"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Recommendation</w:t>
            </w:r>
          </w:p>
        </w:tc>
        <w:tc>
          <w:tcPr>
            <w:tcW w:w="2254" w:type="dxa"/>
          </w:tcPr>
          <w:p w14:paraId="156B34CD" w14:textId="17796C0A"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Timeframe</w:t>
            </w:r>
          </w:p>
        </w:tc>
        <w:tc>
          <w:tcPr>
            <w:tcW w:w="2254" w:type="dxa"/>
          </w:tcPr>
          <w:p w14:paraId="4CD54F93" w14:textId="611C1872"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Expected benefit</w:t>
            </w:r>
          </w:p>
        </w:tc>
      </w:tr>
      <w:tr w:rsidR="007671B6" w14:paraId="43748634" w14:textId="77777777" w:rsidTr="007671B6">
        <w:tc>
          <w:tcPr>
            <w:tcW w:w="2254" w:type="dxa"/>
          </w:tcPr>
          <w:p w14:paraId="6343A836" w14:textId="0DE2BE1C"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1</w:t>
            </w:r>
          </w:p>
        </w:tc>
        <w:tc>
          <w:tcPr>
            <w:tcW w:w="2254" w:type="dxa"/>
          </w:tcPr>
          <w:p w14:paraId="35991255" w14:textId="460E421C"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Quarantine and assess expired resin</w:t>
            </w:r>
          </w:p>
        </w:tc>
        <w:tc>
          <w:tcPr>
            <w:tcW w:w="2254" w:type="dxa"/>
          </w:tcPr>
          <w:p w14:paraId="4C61243D" w14:textId="3417B548"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Immediate</w:t>
            </w:r>
          </w:p>
        </w:tc>
        <w:tc>
          <w:tcPr>
            <w:tcW w:w="2254" w:type="dxa"/>
          </w:tcPr>
          <w:p w14:paraId="45B81E70" w14:textId="7B006036"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Compliance and risk control</w:t>
            </w:r>
          </w:p>
        </w:tc>
      </w:tr>
      <w:tr w:rsidR="007671B6" w14:paraId="32E443C2" w14:textId="77777777" w:rsidTr="007671B6">
        <w:tc>
          <w:tcPr>
            <w:tcW w:w="2254" w:type="dxa"/>
          </w:tcPr>
          <w:p w14:paraId="684D58B9" w14:textId="4EA3F2D7"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2</w:t>
            </w:r>
          </w:p>
        </w:tc>
        <w:tc>
          <w:tcPr>
            <w:tcW w:w="2254" w:type="dxa"/>
          </w:tcPr>
          <w:p w14:paraId="7A519742" w14:textId="6DD5469E"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Introduce FEFO and expiry tracking</w:t>
            </w:r>
          </w:p>
        </w:tc>
        <w:tc>
          <w:tcPr>
            <w:tcW w:w="2254" w:type="dxa"/>
          </w:tcPr>
          <w:p w14:paraId="2724A7F4" w14:textId="12DA6C89"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0 – 1 month</w:t>
            </w:r>
          </w:p>
        </w:tc>
        <w:tc>
          <w:tcPr>
            <w:tcW w:w="2254" w:type="dxa"/>
          </w:tcPr>
          <w:p w14:paraId="444C018C" w14:textId="151ABD2B"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Prevents further resin expiry</w:t>
            </w:r>
          </w:p>
        </w:tc>
      </w:tr>
      <w:tr w:rsidR="007671B6" w14:paraId="4E993BF4" w14:textId="77777777" w:rsidTr="007671B6">
        <w:tc>
          <w:tcPr>
            <w:tcW w:w="2254" w:type="dxa"/>
          </w:tcPr>
          <w:p w14:paraId="7A083287" w14:textId="02A80491"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3</w:t>
            </w:r>
          </w:p>
        </w:tc>
        <w:tc>
          <w:tcPr>
            <w:tcW w:w="2254" w:type="dxa"/>
          </w:tcPr>
          <w:p w14:paraId="27876912" w14:textId="2E39D1F8"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Set min-max levels for resin and sand</w:t>
            </w:r>
          </w:p>
        </w:tc>
        <w:tc>
          <w:tcPr>
            <w:tcW w:w="2254" w:type="dxa"/>
          </w:tcPr>
          <w:p w14:paraId="10D68D1E" w14:textId="0840BC2C"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1 – 2 months</w:t>
            </w:r>
          </w:p>
        </w:tc>
        <w:tc>
          <w:tcPr>
            <w:tcW w:w="2254" w:type="dxa"/>
          </w:tcPr>
          <w:p w14:paraId="11F06682" w14:textId="5C515EA8"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Reduces overstocking</w:t>
            </w:r>
          </w:p>
        </w:tc>
      </w:tr>
      <w:tr w:rsidR="007671B6" w14:paraId="4C26BAA8" w14:textId="77777777" w:rsidTr="007671B6">
        <w:tc>
          <w:tcPr>
            <w:tcW w:w="2254" w:type="dxa"/>
          </w:tcPr>
          <w:p w14:paraId="679DD85B" w14:textId="02C3D5B8"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4</w:t>
            </w:r>
          </w:p>
        </w:tc>
        <w:tc>
          <w:tcPr>
            <w:tcW w:w="2254" w:type="dxa"/>
          </w:tcPr>
          <w:p w14:paraId="2D81F74C" w14:textId="4E115F7D"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Measure lead time by process stage</w:t>
            </w:r>
          </w:p>
        </w:tc>
        <w:tc>
          <w:tcPr>
            <w:tcW w:w="2254" w:type="dxa"/>
          </w:tcPr>
          <w:p w14:paraId="6DF8E916" w14:textId="62826094"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1 – 3 months</w:t>
            </w:r>
          </w:p>
        </w:tc>
        <w:tc>
          <w:tcPr>
            <w:tcW w:w="2254" w:type="dxa"/>
          </w:tcPr>
          <w:p w14:paraId="0112DFF7" w14:textId="170EB325"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Identifies delay sources</w:t>
            </w:r>
          </w:p>
        </w:tc>
      </w:tr>
      <w:tr w:rsidR="007671B6" w14:paraId="7DFCC488" w14:textId="77777777" w:rsidTr="007671B6">
        <w:tc>
          <w:tcPr>
            <w:tcW w:w="2254" w:type="dxa"/>
          </w:tcPr>
          <w:p w14:paraId="04D39428" w14:textId="2DEA9950"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5</w:t>
            </w:r>
          </w:p>
        </w:tc>
        <w:tc>
          <w:tcPr>
            <w:tcW w:w="2254" w:type="dxa"/>
          </w:tcPr>
          <w:p w14:paraId="43E7684C" w14:textId="1993CF79"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Negotiate resin supplier call-off</w:t>
            </w:r>
          </w:p>
        </w:tc>
        <w:tc>
          <w:tcPr>
            <w:tcW w:w="2254" w:type="dxa"/>
          </w:tcPr>
          <w:p w14:paraId="1F98F411" w14:textId="6728C7CA"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2 – 4 months</w:t>
            </w:r>
          </w:p>
        </w:tc>
        <w:tc>
          <w:tcPr>
            <w:tcW w:w="2254" w:type="dxa"/>
          </w:tcPr>
          <w:p w14:paraId="49D7FC74" w14:textId="129DE054"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Reduces stockholding</w:t>
            </w:r>
          </w:p>
        </w:tc>
      </w:tr>
      <w:tr w:rsidR="008A00B0" w14:paraId="5C839614" w14:textId="77777777" w:rsidTr="007671B6">
        <w:tc>
          <w:tcPr>
            <w:tcW w:w="2254" w:type="dxa"/>
          </w:tcPr>
          <w:p w14:paraId="214E1A62" w14:textId="3F215D79"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6</w:t>
            </w:r>
          </w:p>
        </w:tc>
        <w:tc>
          <w:tcPr>
            <w:tcW w:w="2254" w:type="dxa"/>
          </w:tcPr>
          <w:p w14:paraId="4C56ED21" w14:textId="2B304390"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Introduce ERP or digital stock records</w:t>
            </w:r>
          </w:p>
        </w:tc>
        <w:tc>
          <w:tcPr>
            <w:tcW w:w="2254" w:type="dxa"/>
          </w:tcPr>
          <w:p w14:paraId="3DD3E86D" w14:textId="24F91449"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3 – 12 months</w:t>
            </w:r>
          </w:p>
        </w:tc>
        <w:tc>
          <w:tcPr>
            <w:tcW w:w="2254" w:type="dxa"/>
          </w:tcPr>
          <w:p w14:paraId="0588647C" w14:textId="55390EFC"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Improves visibility</w:t>
            </w:r>
          </w:p>
        </w:tc>
      </w:tr>
      <w:tr w:rsidR="008A00B0" w14:paraId="40AB4994" w14:textId="77777777" w:rsidTr="007671B6">
        <w:tc>
          <w:tcPr>
            <w:tcW w:w="2254" w:type="dxa"/>
          </w:tcPr>
          <w:p w14:paraId="410C77D4" w14:textId="06328D5C"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7</w:t>
            </w:r>
          </w:p>
        </w:tc>
        <w:tc>
          <w:tcPr>
            <w:tcW w:w="2254" w:type="dxa"/>
          </w:tcPr>
          <w:p w14:paraId="165DE76B" w14:textId="12589373"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Review sand reuse/reclamation options</w:t>
            </w:r>
          </w:p>
        </w:tc>
        <w:tc>
          <w:tcPr>
            <w:tcW w:w="2254" w:type="dxa"/>
          </w:tcPr>
          <w:p w14:paraId="2B83C0D3" w14:textId="608291D8"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6 – 12 months</w:t>
            </w:r>
          </w:p>
        </w:tc>
        <w:tc>
          <w:tcPr>
            <w:tcW w:w="2254" w:type="dxa"/>
          </w:tcPr>
          <w:p w14:paraId="78892708" w14:textId="42D69800"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Reduces disposal cost</w:t>
            </w:r>
          </w:p>
        </w:tc>
      </w:tr>
    </w:tbl>
    <w:p w14:paraId="6219BEE0" w14:textId="77777777" w:rsidR="007671B6" w:rsidRDefault="007671B6" w:rsidP="007671B6"/>
    <w:p w14:paraId="201ECF71" w14:textId="77777777" w:rsidR="008A00B0" w:rsidRDefault="008A00B0" w:rsidP="007671B6"/>
    <w:p w14:paraId="42A9B114" w14:textId="77777777" w:rsidR="008A00B0" w:rsidRDefault="008A00B0" w:rsidP="007671B6"/>
    <w:p w14:paraId="0B6DB1E9" w14:textId="77777777" w:rsidR="005F6359" w:rsidRDefault="005F6359" w:rsidP="007671B6"/>
    <w:p w14:paraId="131A195B" w14:textId="77777777" w:rsidR="005F6359" w:rsidRDefault="005F6359" w:rsidP="007671B6"/>
    <w:p w14:paraId="48D64804" w14:textId="77777777" w:rsidR="005F6359" w:rsidRDefault="005F6359" w:rsidP="007671B6"/>
    <w:p w14:paraId="0B7306E7" w14:textId="77777777" w:rsidR="005F6359" w:rsidRDefault="005F6359" w:rsidP="007671B6"/>
    <w:p w14:paraId="76AFB9F6" w14:textId="77777777" w:rsidR="008A00B0" w:rsidRDefault="008A00B0" w:rsidP="007671B6"/>
    <w:p w14:paraId="3BB5A05A" w14:textId="77777777" w:rsidR="007671B6" w:rsidRPr="007671B6" w:rsidRDefault="007671B6" w:rsidP="007671B6"/>
    <w:p w14:paraId="60896EE7" w14:textId="0D9CD020" w:rsidR="007C3BD9" w:rsidRPr="0004152A" w:rsidRDefault="007E392A" w:rsidP="00F81BEF">
      <w:pPr>
        <w:pStyle w:val="Heading1"/>
        <w:rPr>
          <w:rFonts w:ascii="Times New Roman" w:hAnsi="Times New Roman" w:cs="Times New Roman"/>
          <w:b/>
          <w:bCs/>
          <w:sz w:val="32"/>
          <w:szCs w:val="32"/>
        </w:rPr>
      </w:pPr>
      <w:bookmarkStart w:id="17" w:name="_Toc229048363"/>
      <w:r>
        <w:rPr>
          <w:rFonts w:ascii="Times New Roman" w:hAnsi="Times New Roman" w:cs="Times New Roman"/>
          <w:b/>
          <w:bCs/>
          <w:sz w:val="32"/>
          <w:szCs w:val="32"/>
        </w:rPr>
        <w:lastRenderedPageBreak/>
        <w:t>6</w:t>
      </w:r>
      <w:r w:rsidR="006778B1" w:rsidRPr="0004152A">
        <w:rPr>
          <w:rFonts w:ascii="Times New Roman" w:hAnsi="Times New Roman" w:cs="Times New Roman"/>
          <w:b/>
          <w:bCs/>
          <w:sz w:val="32"/>
          <w:szCs w:val="32"/>
        </w:rPr>
        <w:t xml:space="preserve">.0 </w:t>
      </w:r>
      <w:r w:rsidR="00995AFA" w:rsidRPr="00995AFA">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17"/>
      <w:r w:rsidR="00995AFA" w:rsidRPr="00995AFA">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B5B92DB" w14:textId="0B1FF92F" w:rsidR="0004152A" w:rsidRDefault="00143917" w:rsidP="0004152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engineering Ltd inventory problem is not simply the result of poor purchasing judgement. It reflects a wider lack of integration between procurement, stores, production, supplier and sustainability management. The £20,000 pf expired resin is therefore best understood as a visible symptom of a fragmented operating system.</w:t>
      </w:r>
    </w:p>
    <w:p w14:paraId="7EB66245" w14:textId="0A44BCBD"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The analysis has shown that sand and resin require differentiated inventory control. Resin should be managed through FEFO, batch tracking, shelf-life based maximum stock levels, supplier call-off agreements and expiry KPIs. Sand should be managed through controlled bulk purchasing, usage monitoring, drying-cost analysis and potential reclamation or reuse opportunities. EOQ remains useful, but only if adapted to include shelf-life demand variability and total cost of ownership.</w:t>
      </w:r>
    </w:p>
    <w:p w14:paraId="047CF3CF" w14:textId="6DED91B1"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obsolete resin,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should follow a controlled decision process, quarantine, supplier consultation, possible revalidation, controlled reuse or recovery, and licensed disposal where necessary. However, the most sustainable solution is prevention of recurrence. Disposal may solve the immediate problem, but it does not correct the system failure that created the obsolete stock.</w:t>
      </w:r>
    </w:p>
    <w:p w14:paraId="39248B56" w14:textId="0C9EECDB"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w:t>
      </w:r>
      <w:proofErr w:type="spellStart"/>
      <w:r>
        <w:rPr>
          <w:rFonts w:ascii="Times New Roman" w:hAnsi="Times New Roman" w:cs="Times New Roman"/>
          <w:sz w:val="24"/>
          <w:szCs w:val="24"/>
        </w:rPr>
        <w:t>Brockweir</w:t>
      </w:r>
      <w:proofErr w:type="spellEnd"/>
      <w:r>
        <w:rPr>
          <w:rFonts w:ascii="Times New Roman" w:hAnsi="Times New Roman" w:cs="Times New Roman"/>
          <w:sz w:val="24"/>
          <w:szCs w:val="24"/>
        </w:rPr>
        <w:t xml:space="preserve"> must improve lead-time visibility across both internal operations and the extended supply chain. By decomposing lead time into supplier, transport, goods-in, stores, production and customer-delivery stages, the company can identify where uncertainty and waiting time are created and reducing lead-time variability will allow </w:t>
      </w:r>
      <w:proofErr w:type="spellStart"/>
      <w:r>
        <w:rPr>
          <w:rFonts w:ascii="Times New Roman" w:hAnsi="Times New Roman" w:cs="Times New Roman"/>
          <w:sz w:val="24"/>
          <w:szCs w:val="24"/>
        </w:rPr>
        <w:t>Brockweir</w:t>
      </w:r>
      <w:proofErr w:type="spellEnd"/>
      <w:r>
        <w:rPr>
          <w:rFonts w:ascii="Times New Roman" w:hAnsi="Times New Roman" w:cs="Times New Roman"/>
          <w:sz w:val="24"/>
          <w:szCs w:val="24"/>
        </w:rPr>
        <w:t xml:space="preserve"> to reduce buffer inventory without damaging service levels.</w:t>
      </w:r>
    </w:p>
    <w:p w14:paraId="0CAC4FB4" w14:textId="54EFF216"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Overall, the company must move form a cost-</w:t>
      </w:r>
      <w:r w:rsidR="00761DF0">
        <w:rPr>
          <w:rFonts w:ascii="Times New Roman" w:hAnsi="Times New Roman" w:cs="Times New Roman"/>
          <w:sz w:val="24"/>
          <w:szCs w:val="24"/>
        </w:rPr>
        <w:t>minimization</w:t>
      </w:r>
      <w:r>
        <w:rPr>
          <w:rFonts w:ascii="Times New Roman" w:hAnsi="Times New Roman" w:cs="Times New Roman"/>
          <w:sz w:val="24"/>
          <w:szCs w:val="24"/>
        </w:rPr>
        <w:t xml:space="preserve"> approach to an integrated sustainable operational model. This requires data, accountability, supplier collaboration and culture change. If implemented effectively, the proposed systems would reduce waste, improve cash flow, strengthen compliance and support </w:t>
      </w:r>
      <w:proofErr w:type="spellStart"/>
      <w:r>
        <w:rPr>
          <w:rFonts w:ascii="Times New Roman" w:hAnsi="Times New Roman" w:cs="Times New Roman"/>
          <w:sz w:val="24"/>
          <w:szCs w:val="24"/>
        </w:rPr>
        <w:t>Brocksweir</w:t>
      </w:r>
      <w:proofErr w:type="spellEnd"/>
      <w:r>
        <w:rPr>
          <w:rFonts w:ascii="Times New Roman" w:hAnsi="Times New Roman" w:cs="Times New Roman"/>
          <w:sz w:val="24"/>
          <w:szCs w:val="24"/>
        </w:rPr>
        <w:t xml:space="preserve"> long-term competitiveness.</w:t>
      </w:r>
    </w:p>
    <w:p w14:paraId="6AC1B8FD" w14:textId="77777777" w:rsidR="00143917" w:rsidRDefault="00143917" w:rsidP="0004152A">
      <w:pPr>
        <w:spacing w:line="360" w:lineRule="auto"/>
        <w:jc w:val="both"/>
        <w:rPr>
          <w:rFonts w:ascii="Times New Roman" w:hAnsi="Times New Roman" w:cs="Times New Roman"/>
          <w:sz w:val="24"/>
          <w:szCs w:val="24"/>
        </w:rPr>
      </w:pPr>
    </w:p>
    <w:p w14:paraId="7AFA1B23" w14:textId="77777777" w:rsidR="00127547" w:rsidRDefault="00127547" w:rsidP="0004152A">
      <w:pPr>
        <w:spacing w:line="360" w:lineRule="auto"/>
        <w:jc w:val="both"/>
        <w:rPr>
          <w:rFonts w:ascii="Times New Roman" w:hAnsi="Times New Roman" w:cs="Times New Roman"/>
          <w:sz w:val="24"/>
          <w:szCs w:val="24"/>
        </w:rPr>
      </w:pPr>
    </w:p>
    <w:p w14:paraId="0B554228" w14:textId="77777777" w:rsidR="00127547" w:rsidRDefault="00127547" w:rsidP="0004152A">
      <w:pPr>
        <w:spacing w:line="360" w:lineRule="auto"/>
        <w:jc w:val="both"/>
        <w:rPr>
          <w:rFonts w:ascii="Times New Roman" w:hAnsi="Times New Roman" w:cs="Times New Roman"/>
          <w:sz w:val="24"/>
          <w:szCs w:val="24"/>
        </w:rPr>
      </w:pPr>
    </w:p>
    <w:p w14:paraId="558C3F8A" w14:textId="77777777" w:rsidR="00143917" w:rsidRDefault="00143917" w:rsidP="0004152A">
      <w:pPr>
        <w:spacing w:line="360" w:lineRule="auto"/>
        <w:jc w:val="both"/>
      </w:pPr>
    </w:p>
    <w:p w14:paraId="65460567" w14:textId="1E311A93" w:rsidR="004F29A4" w:rsidRDefault="007E392A" w:rsidP="00173014">
      <w:pPr>
        <w:pStyle w:val="Heading1"/>
        <w:rPr>
          <w:rFonts w:ascii="Times New Roman" w:hAnsi="Times New Roman" w:cs="Times New Roman"/>
          <w:sz w:val="32"/>
          <w:szCs w:val="32"/>
        </w:rPr>
      </w:pPr>
      <w:bookmarkStart w:id="18" w:name="_Toc229048364"/>
      <w:r>
        <w:rPr>
          <w:rFonts w:ascii="Times New Roman" w:hAnsi="Times New Roman" w:cs="Times New Roman"/>
          <w:sz w:val="32"/>
          <w:szCs w:val="32"/>
        </w:rPr>
        <w:lastRenderedPageBreak/>
        <w:t>7</w:t>
      </w:r>
      <w:r w:rsidR="004F29A4" w:rsidRPr="00173014">
        <w:rPr>
          <w:rFonts w:ascii="Times New Roman" w:hAnsi="Times New Roman" w:cs="Times New Roman"/>
          <w:sz w:val="32"/>
          <w:szCs w:val="32"/>
        </w:rPr>
        <w:t>.</w:t>
      </w:r>
      <w:r w:rsidR="004167F8">
        <w:rPr>
          <w:rFonts w:ascii="Times New Roman" w:hAnsi="Times New Roman" w:cs="Times New Roman"/>
          <w:sz w:val="32"/>
          <w:szCs w:val="32"/>
        </w:rPr>
        <w:t>0</w:t>
      </w:r>
      <w:r w:rsidR="004F29A4" w:rsidRPr="00173014">
        <w:rPr>
          <w:rFonts w:ascii="Times New Roman" w:hAnsi="Times New Roman" w:cs="Times New Roman"/>
          <w:sz w:val="32"/>
          <w:szCs w:val="32"/>
        </w:rPr>
        <w:t xml:space="preserve"> </w:t>
      </w:r>
      <w:r w:rsidR="004F29A4" w:rsidRPr="00995AFA">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bookmarkEnd w:id="18"/>
    </w:p>
    <w:p w14:paraId="3ABA2E4B" w14:textId="5C27118D" w:rsidR="00BC39F4" w:rsidRPr="007E392A" w:rsidRDefault="00317B20"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sz w:val="24"/>
          <w:szCs w:val="24"/>
          <w:lang w:val="en-IN"/>
        </w:rPr>
        <w:t>Schotanus, F. (2013) “Operations Management: Sustainability and Supply Chain Management, Jay Heizer, Barry Render. Global edition, 11th edition. Pearson Higher Ed, USA (2013). 888 pp., ISBN: 978-0-27-378707-5,” Journal of Purchasing and Supply Management. Elsevier Ltd, pp. 276–276. Available at</w:t>
      </w:r>
      <w:r w:rsidRPr="007E392A">
        <w:rPr>
          <w:rFonts w:ascii="Times New Roman" w:hAnsi="Times New Roman" w:cs="Times New Roman"/>
          <w:color w:val="0F6FC6" w:themeColor="accent1"/>
          <w:sz w:val="24"/>
          <w:szCs w:val="24"/>
          <w:u w:val="single"/>
          <w:lang w:val="en-IN"/>
        </w:rPr>
        <w:t xml:space="preserve">: </w:t>
      </w:r>
      <w:hyperlink r:id="rId10" w:history="1">
        <w:r w:rsidRPr="007E392A">
          <w:rPr>
            <w:rStyle w:val="Hyperlink"/>
            <w:rFonts w:ascii="Times New Roman" w:hAnsi="Times New Roman" w:cs="Times New Roman"/>
            <w:sz w:val="24"/>
            <w:szCs w:val="24"/>
            <w:lang w:val="en-IN"/>
          </w:rPr>
          <w:t>https://doi.org/10.1016/j.pursup.2013.11.001</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03</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1F8F78EE" w14:textId="138EB543" w:rsidR="00317B20" w:rsidRPr="007E392A" w:rsidRDefault="00317B20" w:rsidP="00BC39F4">
      <w:pPr>
        <w:pStyle w:val="ListParagraph"/>
        <w:spacing w:line="360" w:lineRule="auto"/>
        <w:jc w:val="both"/>
        <w:rPr>
          <w:rFonts w:ascii="Times New Roman" w:hAnsi="Times New Roman" w:cs="Times New Roman"/>
          <w:color w:val="0F6FC6" w:themeColor="accent1"/>
          <w:sz w:val="24"/>
          <w:szCs w:val="24"/>
          <w:lang w:val="en-IN"/>
        </w:rPr>
      </w:pPr>
    </w:p>
    <w:p w14:paraId="38C407E3" w14:textId="385E6C3E" w:rsidR="00BC39F4" w:rsidRPr="007E392A" w:rsidRDefault="00317B20"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Heizer, J. and Render, B. (20</w:t>
      </w:r>
      <w:r w:rsidR="008A00B0" w:rsidRPr="007E392A">
        <w:rPr>
          <w:rFonts w:ascii="Times New Roman" w:hAnsi="Times New Roman" w:cs="Times New Roman"/>
          <w:color w:val="000000" w:themeColor="text1"/>
          <w:sz w:val="24"/>
          <w:szCs w:val="24"/>
          <w:lang w:val="en-IN"/>
        </w:rPr>
        <w:t>20</w:t>
      </w:r>
      <w:r w:rsidRPr="007E392A">
        <w:rPr>
          <w:rFonts w:ascii="Times New Roman" w:hAnsi="Times New Roman" w:cs="Times New Roman"/>
          <w:color w:val="000000" w:themeColor="text1"/>
          <w:sz w:val="24"/>
          <w:szCs w:val="24"/>
          <w:lang w:val="en-IN"/>
        </w:rPr>
        <w:t>) Operations management. 1</w:t>
      </w:r>
      <w:r w:rsidR="008A00B0" w:rsidRPr="007E392A">
        <w:rPr>
          <w:rFonts w:ascii="Times New Roman" w:hAnsi="Times New Roman" w:cs="Times New Roman"/>
          <w:color w:val="000000" w:themeColor="text1"/>
          <w:sz w:val="24"/>
          <w:szCs w:val="24"/>
          <w:lang w:val="en-IN"/>
        </w:rPr>
        <w:t>3</w:t>
      </w:r>
      <w:r w:rsidRPr="007E392A">
        <w:rPr>
          <w:rFonts w:ascii="Times New Roman" w:hAnsi="Times New Roman" w:cs="Times New Roman"/>
          <w:color w:val="000000" w:themeColor="text1"/>
          <w:sz w:val="24"/>
          <w:szCs w:val="24"/>
          <w:lang w:val="en-IN"/>
        </w:rPr>
        <w:t>th ed., Global ed. / Jay Heizer, Barry Render. Harlow, Essex: Pearson Education.</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05</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2D7AB07A" w14:textId="536F4FD4" w:rsidR="00317B20" w:rsidRPr="007E392A" w:rsidRDefault="00317B20" w:rsidP="00BC39F4">
      <w:pPr>
        <w:pStyle w:val="ListParagraph"/>
        <w:spacing w:line="360" w:lineRule="auto"/>
        <w:jc w:val="both"/>
        <w:rPr>
          <w:rFonts w:ascii="Times New Roman" w:hAnsi="Times New Roman" w:cs="Times New Roman"/>
          <w:color w:val="000000" w:themeColor="text1"/>
          <w:sz w:val="24"/>
          <w:szCs w:val="24"/>
          <w:lang w:val="en-IN"/>
        </w:rPr>
      </w:pPr>
    </w:p>
    <w:p w14:paraId="38A412D7" w14:textId="4A5ED264" w:rsidR="00317B20" w:rsidRPr="007E392A" w:rsidRDefault="00317B20" w:rsidP="008A00B0">
      <w:pPr>
        <w:pStyle w:val="ListParagraph"/>
        <w:numPr>
          <w:ilvl w:val="0"/>
          <w:numId w:val="41"/>
        </w:numPr>
        <w:spacing w:line="360" w:lineRule="auto"/>
        <w:jc w:val="both"/>
        <w:rPr>
          <w:rFonts w:ascii="Times New Roman" w:hAnsi="Times New Roman" w:cs="Times New Roman"/>
          <w:color w:val="0F6FC6" w:themeColor="accent1"/>
          <w:sz w:val="24"/>
          <w:szCs w:val="24"/>
          <w:u w:val="single"/>
          <w:lang w:val="en-IN"/>
        </w:rPr>
      </w:pPr>
      <w:r w:rsidRPr="007E392A">
        <w:rPr>
          <w:rFonts w:ascii="Times New Roman" w:hAnsi="Times New Roman" w:cs="Times New Roman"/>
          <w:sz w:val="24"/>
          <w:szCs w:val="24"/>
          <w:lang w:val="en-IN"/>
        </w:rPr>
        <w:t xml:space="preserve">Moon, </w:t>
      </w:r>
      <w:proofErr w:type="spellStart"/>
      <w:r w:rsidRPr="007E392A">
        <w:rPr>
          <w:rFonts w:ascii="Times New Roman" w:hAnsi="Times New Roman" w:cs="Times New Roman"/>
          <w:sz w:val="24"/>
          <w:szCs w:val="24"/>
          <w:lang w:val="en-IN"/>
        </w:rPr>
        <w:t>Ilkyeong</w:t>
      </w:r>
      <w:proofErr w:type="spellEnd"/>
      <w:r w:rsidRPr="007E392A">
        <w:rPr>
          <w:rFonts w:ascii="Times New Roman" w:hAnsi="Times New Roman" w:cs="Times New Roman"/>
          <w:sz w:val="24"/>
          <w:szCs w:val="24"/>
          <w:lang w:val="en-IN"/>
        </w:rPr>
        <w:t xml:space="preserve">. Inventory Management and Production Planning and </w:t>
      </w:r>
      <w:r w:rsidR="00761DF0" w:rsidRPr="007E392A">
        <w:rPr>
          <w:rFonts w:ascii="Times New Roman" w:hAnsi="Times New Roman" w:cs="Times New Roman"/>
          <w:sz w:val="24"/>
          <w:szCs w:val="24"/>
          <w:lang w:val="en-IN"/>
        </w:rPr>
        <w:t>Scheduling by</w:t>
      </w:r>
      <w:r w:rsidRPr="007E392A">
        <w:rPr>
          <w:rFonts w:ascii="Times New Roman" w:hAnsi="Times New Roman" w:cs="Times New Roman"/>
          <w:sz w:val="24"/>
          <w:szCs w:val="24"/>
          <w:lang w:val="en-IN"/>
        </w:rPr>
        <w:t xml:space="preserve"> Edward A. Silver et al. Interfaces, vol. 31, no. 6, 2001, pp. 125–27. JSTOR, </w:t>
      </w:r>
      <w:hyperlink r:id="rId11" w:history="1">
        <w:r w:rsidRPr="007E392A">
          <w:rPr>
            <w:rStyle w:val="Hyperlink"/>
            <w:rFonts w:ascii="Times New Roman" w:hAnsi="Times New Roman" w:cs="Times New Roman"/>
            <w:sz w:val="24"/>
            <w:szCs w:val="24"/>
            <w:lang w:val="en-IN"/>
          </w:rPr>
          <w:t>http://www.jstor.org.uwtsd.idm.oclc.org/stable/25062761</w:t>
        </w:r>
      </w:hyperlink>
      <w:r w:rsidRPr="007E392A">
        <w:rPr>
          <w:rFonts w:ascii="Times New Roman" w:hAnsi="Times New Roman" w:cs="Times New Roman"/>
          <w:color w:val="0F6FC6" w:themeColor="accent1"/>
          <w:sz w:val="24"/>
          <w:szCs w:val="24"/>
          <w:u w:val="single"/>
          <w:lang w:val="en-IN"/>
        </w:rPr>
        <w:t>.</w:t>
      </w:r>
      <w:r w:rsidRPr="007E392A">
        <w:rPr>
          <w:rFonts w:ascii="Times New Roman" w:hAnsi="Times New Roman" w:cs="Times New Roman"/>
          <w:sz w:val="24"/>
          <w:szCs w:val="24"/>
          <w:lang w:val="en-IN"/>
        </w:rPr>
        <w:t>(Accessed</w:t>
      </w:r>
      <w:r w:rsidR="00EC4464" w:rsidRPr="007E392A">
        <w:rPr>
          <w:rFonts w:ascii="Times New Roman" w:hAnsi="Times New Roman" w:cs="Times New Roman"/>
          <w:sz w:val="24"/>
          <w:szCs w:val="24"/>
          <w:lang w:val="en-IN"/>
        </w:rPr>
        <w:t>:</w:t>
      </w:r>
      <w:r w:rsidRPr="007E392A">
        <w:rPr>
          <w:rFonts w:ascii="Times New Roman" w:hAnsi="Times New Roman" w:cs="Times New Roman"/>
          <w:sz w:val="24"/>
          <w:szCs w:val="24"/>
          <w:lang w:val="en-IN"/>
        </w:rPr>
        <w:t xml:space="preserve"> </w:t>
      </w:r>
      <w:r w:rsidR="00EC4464" w:rsidRPr="007E392A">
        <w:rPr>
          <w:rFonts w:ascii="Times New Roman" w:hAnsi="Times New Roman" w:cs="Times New Roman"/>
          <w:sz w:val="24"/>
          <w:szCs w:val="24"/>
          <w:lang w:val="en-IN"/>
        </w:rPr>
        <w:t>05</w:t>
      </w:r>
      <w:r w:rsidRPr="007E392A">
        <w:rPr>
          <w:rFonts w:ascii="Times New Roman" w:hAnsi="Times New Roman" w:cs="Times New Roman"/>
          <w:sz w:val="24"/>
          <w:szCs w:val="24"/>
          <w:lang w:val="en-IN"/>
        </w:rPr>
        <w:t xml:space="preserve"> </w:t>
      </w:r>
      <w:r w:rsidR="00EC4464" w:rsidRPr="007E392A">
        <w:rPr>
          <w:rFonts w:ascii="Times New Roman" w:hAnsi="Times New Roman" w:cs="Times New Roman"/>
          <w:sz w:val="24"/>
          <w:szCs w:val="24"/>
          <w:lang w:val="en-IN"/>
        </w:rPr>
        <w:t>April</w:t>
      </w:r>
      <w:r w:rsidRPr="007E392A">
        <w:rPr>
          <w:rFonts w:ascii="Times New Roman" w:hAnsi="Times New Roman" w:cs="Times New Roman"/>
          <w:sz w:val="24"/>
          <w:szCs w:val="24"/>
          <w:lang w:val="en-IN"/>
        </w:rPr>
        <w:t xml:space="preserve"> 2026).</w:t>
      </w:r>
    </w:p>
    <w:p w14:paraId="7A1ED064" w14:textId="556399C2"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proofErr w:type="spellStart"/>
      <w:r w:rsidRPr="007E392A">
        <w:rPr>
          <w:rFonts w:ascii="Times New Roman" w:hAnsi="Times New Roman" w:cs="Times New Roman"/>
          <w:sz w:val="24"/>
          <w:szCs w:val="24"/>
          <w:lang w:val="en-IN"/>
        </w:rPr>
        <w:t>Fathoni</w:t>
      </w:r>
      <w:proofErr w:type="spellEnd"/>
      <w:r w:rsidRPr="007E392A">
        <w:rPr>
          <w:rFonts w:ascii="Times New Roman" w:hAnsi="Times New Roman" w:cs="Times New Roman"/>
          <w:sz w:val="24"/>
          <w:szCs w:val="24"/>
          <w:lang w:val="en-IN"/>
        </w:rPr>
        <w:t>, M.Z., Asih, A.M.S. and Wibisono, M.A. (2024) “Business Process Clustering in Small and Medium Manufacturing Industries Based on Enterprise Resource Planning Concepts: A Systematic Literature Review,” Management systems in production engineering, 32(4), pp. 525–536. Available at</w:t>
      </w:r>
      <w:r w:rsidRPr="007E392A">
        <w:rPr>
          <w:rFonts w:ascii="Times New Roman" w:hAnsi="Times New Roman" w:cs="Times New Roman"/>
          <w:color w:val="0F6FC6" w:themeColor="accent1"/>
          <w:sz w:val="24"/>
          <w:szCs w:val="24"/>
          <w:lang w:val="en-IN"/>
        </w:rPr>
        <w:t xml:space="preserve">: </w:t>
      </w:r>
      <w:hyperlink r:id="rId12" w:history="1">
        <w:r w:rsidRPr="007E392A">
          <w:rPr>
            <w:rStyle w:val="Hyperlink"/>
            <w:rFonts w:ascii="Times New Roman" w:hAnsi="Times New Roman" w:cs="Times New Roman"/>
            <w:sz w:val="24"/>
            <w:szCs w:val="24"/>
            <w:lang w:val="en-IN"/>
          </w:rPr>
          <w:t>https://doi.org/10.2478/mspe-2024-0050</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8</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75C5B371" w14:textId="0B2D930E"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40B7E5C3" w14:textId="037F33D8"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proofErr w:type="spellStart"/>
      <w:r w:rsidRPr="007E392A">
        <w:rPr>
          <w:rFonts w:ascii="Times New Roman" w:hAnsi="Times New Roman" w:cs="Times New Roman"/>
          <w:color w:val="000000" w:themeColor="text1"/>
          <w:sz w:val="24"/>
          <w:szCs w:val="24"/>
          <w:lang w:val="en-IN"/>
        </w:rPr>
        <w:t>Seuring</w:t>
      </w:r>
      <w:proofErr w:type="spellEnd"/>
      <w:r w:rsidRPr="007E392A">
        <w:rPr>
          <w:rFonts w:ascii="Times New Roman" w:hAnsi="Times New Roman" w:cs="Times New Roman"/>
          <w:color w:val="000000" w:themeColor="text1"/>
          <w:sz w:val="24"/>
          <w:szCs w:val="24"/>
          <w:lang w:val="en-IN"/>
        </w:rPr>
        <w:t xml:space="preserve">, S. and Müller, M. (2008) “From a literature review to a conceptual framework for sustainable supply chain management,” Journal of cleaner production, 16(15), pp. 1699–1710. Available at: </w:t>
      </w:r>
      <w:hyperlink r:id="rId13" w:history="1">
        <w:r w:rsidRPr="007E392A">
          <w:rPr>
            <w:rStyle w:val="Hyperlink"/>
            <w:rFonts w:ascii="Times New Roman" w:hAnsi="Times New Roman" w:cs="Times New Roman"/>
            <w:sz w:val="24"/>
            <w:szCs w:val="24"/>
            <w:lang w:val="en-IN"/>
          </w:rPr>
          <w:t>https://doi.org/10.1016/j.jclepro.2008.04.020</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11</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169CF691" w14:textId="69F63FA1"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565FDD56" w14:textId="0D8CDDB3"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 xml:space="preserve">Baldassarre, B. et al. (2024) “Responsible Design Thinking for Sustainable Development: Critical Literature Review, New Conceptual Framework, and Research Agenda,” Journal of business ethics, 195(1), pp. 25–46. Available at: </w:t>
      </w:r>
      <w:hyperlink r:id="rId14" w:history="1">
        <w:r w:rsidRPr="007E392A">
          <w:rPr>
            <w:rStyle w:val="Hyperlink"/>
            <w:rFonts w:ascii="Times New Roman" w:hAnsi="Times New Roman" w:cs="Times New Roman"/>
            <w:sz w:val="24"/>
            <w:szCs w:val="24"/>
            <w:lang w:val="en-IN"/>
          </w:rPr>
          <w:t>https://doi.org/10.1007/s10551-023-05600-z</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15</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55A35A0F" w14:textId="36BB16F1"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364680CB" w14:textId="46F4D8EC"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 xml:space="preserve">Chen, Y., Zhu, Q. and Sarkis, J. (2023) “Green supply chain management practice adoption sequence: a cumulative capability perspective,” International journal of production research, 61(17), pp. 5918–5933. Available at: </w:t>
      </w:r>
      <w:hyperlink r:id="rId15" w:history="1">
        <w:r w:rsidRPr="007E392A">
          <w:rPr>
            <w:rStyle w:val="Hyperlink"/>
            <w:rFonts w:ascii="Times New Roman" w:hAnsi="Times New Roman" w:cs="Times New Roman"/>
            <w:sz w:val="24"/>
            <w:szCs w:val="24"/>
            <w:lang w:val="en-IN"/>
          </w:rPr>
          <w:t>https://doi.org/10.1080/00207543.2022.2118891</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17 April</w:t>
      </w:r>
      <w:r w:rsidR="00BC39F4" w:rsidRPr="007E392A">
        <w:rPr>
          <w:rFonts w:ascii="Times New Roman" w:hAnsi="Times New Roman" w:cs="Times New Roman"/>
          <w:color w:val="000000" w:themeColor="text1"/>
          <w:sz w:val="24"/>
          <w:szCs w:val="24"/>
        </w:rPr>
        <w:t xml:space="preserve"> 2026).</w:t>
      </w:r>
    </w:p>
    <w:p w14:paraId="73678587" w14:textId="49C7CB48"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5A4AB4D4" w14:textId="06BAEFBF"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 xml:space="preserve">Christopher, M. (2016) Logistics and Supply Chain Management. 5th </w:t>
      </w:r>
      <w:proofErr w:type="spellStart"/>
      <w:r w:rsidRPr="007E392A">
        <w:rPr>
          <w:rFonts w:ascii="Times New Roman" w:hAnsi="Times New Roman" w:cs="Times New Roman"/>
          <w:color w:val="000000" w:themeColor="text1"/>
          <w:sz w:val="24"/>
          <w:szCs w:val="24"/>
        </w:rPr>
        <w:t>edn</w:t>
      </w:r>
      <w:proofErr w:type="spellEnd"/>
      <w:r w:rsidRPr="007E392A">
        <w:rPr>
          <w:rFonts w:ascii="Times New Roman" w:hAnsi="Times New Roman" w:cs="Times New Roman"/>
          <w:color w:val="000000" w:themeColor="text1"/>
          <w:sz w:val="24"/>
          <w:szCs w:val="24"/>
        </w:rPr>
        <w:t>. Harlow: Pearson.</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24</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54F5676C" w14:textId="7F08064C" w:rsidR="00F06A43" w:rsidRPr="007E392A" w:rsidRDefault="00F06A43" w:rsidP="00BC39F4">
      <w:pPr>
        <w:pStyle w:val="ListParagraph"/>
        <w:spacing w:line="360" w:lineRule="auto"/>
        <w:jc w:val="both"/>
        <w:rPr>
          <w:rFonts w:ascii="Times New Roman" w:hAnsi="Times New Roman" w:cs="Times New Roman"/>
          <w:color w:val="000000" w:themeColor="text1"/>
          <w:sz w:val="24"/>
          <w:szCs w:val="24"/>
          <w:lang w:val="en-IN"/>
        </w:rPr>
      </w:pPr>
    </w:p>
    <w:p w14:paraId="17CE8A64" w14:textId="3B9555AE"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 xml:space="preserve">Regan, A. (2002) “Designing and Managing the Supply Chain: Concepts, Strategies, and Case Studies,” Transportation science. Baltimore: Transportation Science Section of the Operations Research Society of America, pp. 354–354. Available at: </w:t>
      </w:r>
      <w:hyperlink r:id="rId16" w:history="1">
        <w:r w:rsidRPr="007E392A">
          <w:rPr>
            <w:rStyle w:val="Hyperlink"/>
            <w:rFonts w:ascii="Times New Roman" w:hAnsi="Times New Roman" w:cs="Times New Roman"/>
            <w:sz w:val="24"/>
            <w:szCs w:val="24"/>
            <w:lang w:val="en-IN"/>
          </w:rPr>
          <w:t>https://doi.org/10.1287/trsc.36.3.354.7825</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25</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0162E57E" w14:textId="699FE429"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4B4C99E4" w14:textId="3BC82DC2"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 xml:space="preserve">Chopra, S. and Meindl, P. (2019) Supply Chain Management: Strategy, Planning, and Operation. 7th </w:t>
      </w:r>
      <w:proofErr w:type="spellStart"/>
      <w:r w:rsidRPr="007E392A">
        <w:rPr>
          <w:rFonts w:ascii="Times New Roman" w:hAnsi="Times New Roman" w:cs="Times New Roman"/>
          <w:color w:val="000000" w:themeColor="text1"/>
          <w:sz w:val="24"/>
          <w:szCs w:val="24"/>
        </w:rPr>
        <w:t>edn</w:t>
      </w:r>
      <w:proofErr w:type="spellEnd"/>
      <w:r w:rsidRPr="007E392A">
        <w:rPr>
          <w:rFonts w:ascii="Times New Roman" w:hAnsi="Times New Roman" w:cs="Times New Roman"/>
          <w:color w:val="000000" w:themeColor="text1"/>
          <w:sz w:val="24"/>
          <w:szCs w:val="24"/>
        </w:rPr>
        <w:t xml:space="preserve">. Harlow: Pearson Available at: </w:t>
      </w:r>
      <w:hyperlink r:id="rId17" w:history="1">
        <w:r w:rsidRPr="007E392A">
          <w:rPr>
            <w:rStyle w:val="Hyperlink"/>
            <w:rFonts w:ascii="Times New Roman" w:hAnsi="Times New Roman" w:cs="Times New Roman"/>
            <w:sz w:val="24"/>
            <w:szCs w:val="24"/>
          </w:rPr>
          <w:t>https://doi.org/10.1287/inte.33.4.79.16371</w:t>
        </w:r>
      </w:hyperlink>
      <w:r w:rsidRPr="007E392A">
        <w:rPr>
          <w:rFonts w:ascii="Times New Roman" w:hAnsi="Times New Roman" w:cs="Times New Roman"/>
          <w:color w:val="0F6FC6" w:themeColor="accent1"/>
          <w:sz w:val="24"/>
          <w:szCs w:val="24"/>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27</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5041E179" w14:textId="54B89FA9"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rPr>
      </w:pPr>
    </w:p>
    <w:p w14:paraId="32CBED61" w14:textId="625CD194" w:rsidR="008A00B0" w:rsidRPr="007E392A" w:rsidRDefault="008A00B0" w:rsidP="008A00B0">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 xml:space="preserve">Salas-Navarro, K. et al. (2025) ‘An analytical review of vendor-managed inventory models in sustainable supply chains’, Supply Chain Analytics, 9, 100089. Available at: </w:t>
      </w:r>
      <w:hyperlink r:id="rId18" w:tgtFrame="_new" w:history="1">
        <w:r w:rsidRPr="007E392A">
          <w:rPr>
            <w:rStyle w:val="Hyperlink"/>
            <w:rFonts w:ascii="Times New Roman" w:hAnsi="Times New Roman" w:cs="Times New Roman"/>
            <w:sz w:val="24"/>
            <w:szCs w:val="24"/>
          </w:rPr>
          <w:t>https://www.sciencedirect.com/science/article/pii/S2949863525000895</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29</w:t>
      </w:r>
      <w:r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Pr="007E392A">
        <w:rPr>
          <w:rFonts w:ascii="Times New Roman" w:hAnsi="Times New Roman" w:cs="Times New Roman"/>
          <w:color w:val="000000" w:themeColor="text1"/>
          <w:sz w:val="24"/>
          <w:szCs w:val="24"/>
        </w:rPr>
        <w:t xml:space="preserve"> 2026).</w:t>
      </w:r>
    </w:p>
    <w:p w14:paraId="1B70CC81" w14:textId="5B6DA076" w:rsidR="008A00B0" w:rsidRPr="007E392A" w:rsidRDefault="008A00B0" w:rsidP="008A00B0">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 xml:space="preserve">Department for Environment, Food and Rural Affairs (2018) Waste Management Plan for England. London: DEFRA. Available at: </w:t>
      </w:r>
      <w:hyperlink r:id="rId19" w:tgtFrame="_new" w:history="1">
        <w:r w:rsidRPr="007E392A">
          <w:rPr>
            <w:rStyle w:val="Hyperlink"/>
            <w:rFonts w:ascii="Times New Roman" w:hAnsi="Times New Roman" w:cs="Times New Roman"/>
            <w:sz w:val="24"/>
            <w:szCs w:val="24"/>
          </w:rPr>
          <w:t>https://consult.defra.gov.uk/waste-and-recycling/waste-management-plan-for-england/supporting_documents/Waste%20Management%20Plan%20for%20England.pdf</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1</w:t>
      </w:r>
      <w:r w:rsidRPr="007E392A">
        <w:rPr>
          <w:rFonts w:ascii="Times New Roman" w:hAnsi="Times New Roman" w:cs="Times New Roman"/>
          <w:color w:val="000000" w:themeColor="text1"/>
          <w:sz w:val="24"/>
          <w:szCs w:val="24"/>
        </w:rPr>
        <w:t xml:space="preserve"> May 2026).</w:t>
      </w:r>
    </w:p>
    <w:p w14:paraId="1CDA9200" w14:textId="1631B2F6" w:rsidR="008A00B0" w:rsidRPr="007E392A" w:rsidRDefault="008A00B0" w:rsidP="008A00B0">
      <w:pPr>
        <w:pStyle w:val="ListParagraph"/>
        <w:numPr>
          <w:ilvl w:val="0"/>
          <w:numId w:val="41"/>
        </w:numPr>
        <w:spacing w:line="360" w:lineRule="auto"/>
        <w:jc w:val="both"/>
        <w:rPr>
          <w:rFonts w:ascii="Times New Roman" w:hAnsi="Times New Roman" w:cs="Times New Roman"/>
          <w:color w:val="000000" w:themeColor="text1"/>
          <w:sz w:val="24"/>
          <w:szCs w:val="24"/>
        </w:rPr>
      </w:pPr>
      <w:r w:rsidRPr="007E392A">
        <w:rPr>
          <w:rFonts w:ascii="Times New Roman" w:hAnsi="Times New Roman" w:cs="Times New Roman"/>
          <w:color w:val="000000" w:themeColor="text1"/>
          <w:sz w:val="24"/>
          <w:szCs w:val="24"/>
        </w:rPr>
        <w:t xml:space="preserve">Environment Agency (2021) Waste Classification: Guidance on the Classification and Assessment of Waste: Technical Guidance WM3. Bristol: Environment Agency. Available at: </w:t>
      </w:r>
      <w:hyperlink r:id="rId20" w:tgtFrame="_new" w:history="1">
        <w:r w:rsidRPr="007E392A">
          <w:rPr>
            <w:rStyle w:val="Hyperlink"/>
            <w:rFonts w:ascii="Times New Roman" w:hAnsi="Times New Roman" w:cs="Times New Roman"/>
            <w:sz w:val="24"/>
            <w:szCs w:val="24"/>
          </w:rPr>
          <w:t>https://assets.publishing.service.gov.uk/media/6152d0b78fa8f5610b9c222b/Waste_classification_technical_guidance_WM3.pdf</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2</w:t>
      </w:r>
      <w:r w:rsidRPr="007E392A">
        <w:rPr>
          <w:rFonts w:ascii="Times New Roman" w:hAnsi="Times New Roman" w:cs="Times New Roman"/>
          <w:color w:val="000000" w:themeColor="text1"/>
          <w:sz w:val="24"/>
          <w:szCs w:val="24"/>
        </w:rPr>
        <w:t xml:space="preserve"> May 2026).</w:t>
      </w:r>
    </w:p>
    <w:p w14:paraId="2C639645" w14:textId="46899946" w:rsidR="00BC39F4" w:rsidRPr="007E392A" w:rsidRDefault="00CB6EEA"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Gabler, C.B. et al. (2023) “Environmental orientation on the frontline: A boundary‐spanning perspective for supply chain management,” Journal of business logistics, 44(3), pp. 369–386. Available at:</w:t>
      </w:r>
      <w:r w:rsidRPr="007E392A">
        <w:rPr>
          <w:rFonts w:ascii="Times New Roman" w:hAnsi="Times New Roman" w:cs="Times New Roman"/>
          <w:color w:val="0F6FC6" w:themeColor="accent1"/>
          <w:sz w:val="24"/>
          <w:szCs w:val="24"/>
          <w:lang w:val="en-IN"/>
        </w:rPr>
        <w:t xml:space="preserve"> </w:t>
      </w:r>
      <w:hyperlink r:id="rId21" w:history="1">
        <w:r w:rsidRPr="007E392A">
          <w:rPr>
            <w:rStyle w:val="Hyperlink"/>
            <w:rFonts w:ascii="Times New Roman" w:hAnsi="Times New Roman" w:cs="Times New Roman"/>
            <w:sz w:val="24"/>
            <w:szCs w:val="24"/>
            <w:lang w:val="en-IN"/>
          </w:rPr>
          <w:t>https://doi.org/10.1111/jbl.12328</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4</w:t>
      </w:r>
      <w:r w:rsidR="00BC39F4" w:rsidRPr="007E392A">
        <w:rPr>
          <w:rFonts w:ascii="Times New Roman" w:hAnsi="Times New Roman" w:cs="Times New Roman"/>
          <w:color w:val="000000" w:themeColor="text1"/>
          <w:sz w:val="24"/>
          <w:szCs w:val="24"/>
        </w:rPr>
        <w:t xml:space="preserve"> May 2026).</w:t>
      </w:r>
    </w:p>
    <w:p w14:paraId="7EC72369" w14:textId="0388B26E" w:rsidR="00CB6EEA" w:rsidRPr="007E392A" w:rsidRDefault="00CB6EEA" w:rsidP="00BC39F4">
      <w:pPr>
        <w:pStyle w:val="ListParagraph"/>
        <w:spacing w:line="360" w:lineRule="auto"/>
        <w:jc w:val="both"/>
        <w:rPr>
          <w:rFonts w:ascii="Times New Roman" w:hAnsi="Times New Roman" w:cs="Times New Roman"/>
          <w:color w:val="0F6FC6" w:themeColor="accent1"/>
          <w:sz w:val="24"/>
          <w:szCs w:val="24"/>
          <w:lang w:val="en-IN"/>
        </w:rPr>
      </w:pPr>
    </w:p>
    <w:p w14:paraId="3CBA9AC2" w14:textId="08B921E6" w:rsidR="008A00B0" w:rsidRPr="007E392A" w:rsidRDefault="008A00B0" w:rsidP="008A00B0">
      <w:pPr>
        <w:pStyle w:val="ListParagraph"/>
        <w:numPr>
          <w:ilvl w:val="0"/>
          <w:numId w:val="41"/>
        </w:numPr>
        <w:spacing w:line="360" w:lineRule="auto"/>
        <w:jc w:val="both"/>
        <w:rPr>
          <w:rFonts w:ascii="Times New Roman" w:hAnsi="Times New Roman" w:cs="Times New Roman"/>
          <w:color w:val="000000" w:themeColor="text1"/>
          <w:sz w:val="24"/>
          <w:szCs w:val="24"/>
          <w:lang w:val="en-IN"/>
        </w:rPr>
      </w:pPr>
      <w:r w:rsidRPr="007E392A">
        <w:rPr>
          <w:rFonts w:ascii="Times New Roman" w:hAnsi="Times New Roman" w:cs="Times New Roman"/>
          <w:color w:val="000000" w:themeColor="text1"/>
          <w:sz w:val="24"/>
          <w:szCs w:val="24"/>
        </w:rPr>
        <w:lastRenderedPageBreak/>
        <w:t xml:space="preserve">Environment Agency and Department for Environment, Food and Rural Affairs (2025) Classify Different Types of Waste. Available at: </w:t>
      </w:r>
      <w:hyperlink r:id="rId22" w:tgtFrame="_new" w:history="1">
        <w:r w:rsidRPr="007E392A">
          <w:rPr>
            <w:rStyle w:val="Hyperlink"/>
            <w:rFonts w:ascii="Times New Roman" w:hAnsi="Times New Roman" w:cs="Times New Roman"/>
            <w:sz w:val="24"/>
            <w:szCs w:val="24"/>
          </w:rPr>
          <w:t>https://www.gov.uk/government/collections/classify-different-types-of-waste</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5</w:t>
      </w:r>
      <w:r w:rsidRPr="007E392A">
        <w:rPr>
          <w:rFonts w:ascii="Times New Roman" w:hAnsi="Times New Roman" w:cs="Times New Roman"/>
          <w:color w:val="000000" w:themeColor="text1"/>
          <w:sz w:val="24"/>
          <w:szCs w:val="24"/>
        </w:rPr>
        <w:t xml:space="preserve"> May 2026).</w:t>
      </w:r>
    </w:p>
    <w:p w14:paraId="3F9C0F50" w14:textId="77777777" w:rsidR="00CB6EEA" w:rsidRPr="00CB6EEA" w:rsidRDefault="00CB6EEA" w:rsidP="00CB6EEA">
      <w:pPr>
        <w:jc w:val="both"/>
        <w:rPr>
          <w:rFonts w:ascii="Times New Roman" w:hAnsi="Times New Roman" w:cs="Times New Roman"/>
          <w:color w:val="0F6FC6" w:themeColor="accent1"/>
          <w:sz w:val="24"/>
          <w:szCs w:val="24"/>
          <w:lang w:val="en-IN"/>
        </w:rPr>
      </w:pPr>
    </w:p>
    <w:p w14:paraId="0E458B77" w14:textId="77777777" w:rsidR="00F06A43" w:rsidRDefault="00F06A43" w:rsidP="00F06A43">
      <w:pPr>
        <w:rPr>
          <w:color w:val="0F6FC6" w:themeColor="accent1"/>
          <w:lang w:val="en-IN"/>
        </w:rPr>
      </w:pPr>
    </w:p>
    <w:p w14:paraId="73024742" w14:textId="77777777" w:rsidR="00F06A43" w:rsidRPr="00F06A43" w:rsidRDefault="00F06A43" w:rsidP="00F06A43">
      <w:pPr>
        <w:rPr>
          <w:color w:val="0F6FC6" w:themeColor="accent1"/>
          <w:lang w:val="en-IN"/>
        </w:rPr>
      </w:pPr>
    </w:p>
    <w:p w14:paraId="59A50D91" w14:textId="77777777" w:rsidR="00F06A43" w:rsidRPr="00F06A43" w:rsidRDefault="00F06A43" w:rsidP="00F06A43">
      <w:pPr>
        <w:rPr>
          <w:color w:val="0F6FC6" w:themeColor="accent1"/>
          <w:lang w:val="en-IN"/>
        </w:rPr>
      </w:pPr>
    </w:p>
    <w:p w14:paraId="1E42414B" w14:textId="77777777" w:rsidR="00F06A43" w:rsidRDefault="00F06A43" w:rsidP="00F06A43">
      <w:pPr>
        <w:rPr>
          <w:color w:val="0F6FC6" w:themeColor="accent1"/>
          <w:lang w:val="en-IN"/>
        </w:rPr>
      </w:pPr>
    </w:p>
    <w:p w14:paraId="5FB9DBC3" w14:textId="77777777" w:rsidR="00F06A43" w:rsidRPr="00F06A43" w:rsidRDefault="00F06A43" w:rsidP="00F06A43">
      <w:pPr>
        <w:rPr>
          <w:color w:val="0F6FC6" w:themeColor="accent1"/>
          <w:lang w:val="en-IN"/>
        </w:rPr>
      </w:pPr>
    </w:p>
    <w:p w14:paraId="18B318C2" w14:textId="77777777" w:rsidR="00F06A43" w:rsidRDefault="00F06A43" w:rsidP="00F06A43">
      <w:pPr>
        <w:rPr>
          <w:color w:val="0F6FC6" w:themeColor="accent1"/>
          <w:lang w:val="en-IN"/>
        </w:rPr>
      </w:pPr>
    </w:p>
    <w:p w14:paraId="72DE4C7A" w14:textId="77777777" w:rsidR="00F06A43" w:rsidRPr="00F06A43" w:rsidRDefault="00F06A43" w:rsidP="00F06A43">
      <w:pPr>
        <w:rPr>
          <w:color w:val="0F6FC6" w:themeColor="accent1"/>
          <w:lang w:val="en-IN"/>
        </w:rPr>
      </w:pPr>
    </w:p>
    <w:p w14:paraId="103CED0B" w14:textId="77777777" w:rsidR="00F93D1C" w:rsidRPr="00F93D1C" w:rsidRDefault="00F93D1C" w:rsidP="00F93D1C">
      <w:pPr>
        <w:rPr>
          <w:lang w:val="en-IN"/>
        </w:rPr>
      </w:pPr>
    </w:p>
    <w:p w14:paraId="24AF97FD" w14:textId="77777777" w:rsidR="00F93D1C" w:rsidRPr="00F93D1C" w:rsidRDefault="00F93D1C" w:rsidP="00F93D1C">
      <w:pPr>
        <w:rPr>
          <w:lang w:val="en-IN"/>
        </w:rPr>
      </w:pPr>
    </w:p>
    <w:p w14:paraId="3F988BDA" w14:textId="56D0F815" w:rsidR="00317B20" w:rsidRPr="00317B20" w:rsidRDefault="00317B20" w:rsidP="00317B20">
      <w:pPr>
        <w:rPr>
          <w:lang w:val="en-IN"/>
        </w:rPr>
      </w:pPr>
    </w:p>
    <w:p w14:paraId="322E1486" w14:textId="77777777" w:rsidR="00317B20" w:rsidRPr="00317B20" w:rsidRDefault="00317B20" w:rsidP="00317B20"/>
    <w:sectPr w:rsidR="00317B20" w:rsidRPr="00317B20">
      <w:headerReference w:type="default" r:id="rId23"/>
      <w:foot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80691" w14:textId="77777777" w:rsidR="00AD3933" w:rsidRDefault="00AD3933">
      <w:pPr>
        <w:spacing w:line="240" w:lineRule="auto"/>
      </w:pPr>
      <w:r>
        <w:separator/>
      </w:r>
    </w:p>
  </w:endnote>
  <w:endnote w:type="continuationSeparator" w:id="0">
    <w:p w14:paraId="24CB9848" w14:textId="77777777" w:rsidR="00AD3933" w:rsidRDefault="00AD39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14:paraId="1F7F43DC" w14:textId="77777777" w:rsidR="008C1C1A" w:rsidRDefault="00000000">
        <w:pPr>
          <w:pStyle w:val="Footer"/>
        </w:pPr>
        <w:r>
          <w:fldChar w:fldCharType="begin"/>
        </w:r>
        <w:r>
          <w:instrText xml:space="preserve"> PAGE   \* MERGEFORMAT </w:instrText>
        </w:r>
        <w:r>
          <w:fldChar w:fldCharType="separate"/>
        </w:r>
        <w:r>
          <w:t>2</w:t>
        </w:r>
        <w:r>
          <w:fldChar w:fldCharType="end"/>
        </w:r>
      </w:p>
    </w:sdtContent>
  </w:sdt>
  <w:p w14:paraId="705B0551" w14:textId="77777777"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55929" w14:textId="77777777" w:rsidR="00AD3933" w:rsidRDefault="00AD3933">
      <w:pPr>
        <w:spacing w:after="0"/>
      </w:pPr>
      <w:r>
        <w:separator/>
      </w:r>
    </w:p>
  </w:footnote>
  <w:footnote w:type="continuationSeparator" w:id="0">
    <w:p w14:paraId="169472A0" w14:textId="77777777" w:rsidR="00AD3933" w:rsidRDefault="00AD393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F143C" w14:textId="1D8C8909" w:rsidR="008C1C1A" w:rsidRDefault="00000000">
    <w:pPr>
      <w:pStyle w:val="Header"/>
      <w:jc w:val="right"/>
    </w:pPr>
    <w:r>
      <w:t xml:space="preserve">                                                   ACHA 70</w:t>
    </w:r>
    <w:r w:rsidR="0023034A">
      <w:t>31</w:t>
    </w:r>
    <w:r>
      <w:t>- 2505418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32D73FB"/>
    <w:multiLevelType w:val="hybridMultilevel"/>
    <w:tmpl w:val="48B0EA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643029"/>
    <w:multiLevelType w:val="hybridMultilevel"/>
    <w:tmpl w:val="8A00C99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92D4504"/>
    <w:multiLevelType w:val="hybridMultilevel"/>
    <w:tmpl w:val="E0C6B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946731A"/>
    <w:multiLevelType w:val="hybridMultilevel"/>
    <w:tmpl w:val="EA1CB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3056CE5"/>
    <w:multiLevelType w:val="hybridMultilevel"/>
    <w:tmpl w:val="AF4811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40D7DA5"/>
    <w:multiLevelType w:val="hybridMultilevel"/>
    <w:tmpl w:val="BD8E8E1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16847132"/>
    <w:multiLevelType w:val="hybridMultilevel"/>
    <w:tmpl w:val="A3B83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A99114D"/>
    <w:multiLevelType w:val="hybridMultilevel"/>
    <w:tmpl w:val="8B18A61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F0D5F92"/>
    <w:multiLevelType w:val="hybridMultilevel"/>
    <w:tmpl w:val="5784FB7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1FAA71EF"/>
    <w:multiLevelType w:val="hybridMultilevel"/>
    <w:tmpl w:val="708C2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39B3392"/>
    <w:multiLevelType w:val="hybridMultilevel"/>
    <w:tmpl w:val="33CA5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5684EB9"/>
    <w:multiLevelType w:val="hybridMultilevel"/>
    <w:tmpl w:val="C21C2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8A8653C"/>
    <w:multiLevelType w:val="hybridMultilevel"/>
    <w:tmpl w:val="1B4ED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8AD2F8F"/>
    <w:multiLevelType w:val="hybridMultilevel"/>
    <w:tmpl w:val="69D223F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6" w15:restartNumberingAfterBreak="0">
    <w:nsid w:val="2D3D2A09"/>
    <w:multiLevelType w:val="hybridMultilevel"/>
    <w:tmpl w:val="9C969B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23C612F"/>
    <w:multiLevelType w:val="hybridMultilevel"/>
    <w:tmpl w:val="254A02A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8" w15:restartNumberingAfterBreak="0">
    <w:nsid w:val="32971676"/>
    <w:multiLevelType w:val="hybridMultilevel"/>
    <w:tmpl w:val="7EE8EF60"/>
    <w:lvl w:ilvl="0" w:tplc="6290C4AC">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34A5FC1"/>
    <w:multiLevelType w:val="hybridMultilevel"/>
    <w:tmpl w:val="690A1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FA845B1"/>
    <w:multiLevelType w:val="hybridMultilevel"/>
    <w:tmpl w:val="9A7CF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FAA1F8D"/>
    <w:multiLevelType w:val="hybridMultilevel"/>
    <w:tmpl w:val="7F4ADE0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3944EE0"/>
    <w:multiLevelType w:val="hybridMultilevel"/>
    <w:tmpl w:val="5518C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94A695F"/>
    <w:multiLevelType w:val="hybridMultilevel"/>
    <w:tmpl w:val="3FF2B0E0"/>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4AD92F45"/>
    <w:multiLevelType w:val="hybridMultilevel"/>
    <w:tmpl w:val="456E01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4B333540"/>
    <w:multiLevelType w:val="hybridMultilevel"/>
    <w:tmpl w:val="B66845D4"/>
    <w:lvl w:ilvl="0" w:tplc="50E23D6C">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4FE26627"/>
    <w:multiLevelType w:val="hybridMultilevel"/>
    <w:tmpl w:val="74C07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3232498"/>
    <w:multiLevelType w:val="hybridMultilevel"/>
    <w:tmpl w:val="97E6F9FC"/>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42B3FEC"/>
    <w:multiLevelType w:val="hybridMultilevel"/>
    <w:tmpl w:val="D8A01C16"/>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5D47BCA"/>
    <w:multiLevelType w:val="hybridMultilevel"/>
    <w:tmpl w:val="9EB89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1"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5AF074CE"/>
    <w:multiLevelType w:val="hybridMultilevel"/>
    <w:tmpl w:val="9D94B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B004A3E"/>
    <w:multiLevelType w:val="hybridMultilevel"/>
    <w:tmpl w:val="DF6EF8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0D51B13"/>
    <w:multiLevelType w:val="hybridMultilevel"/>
    <w:tmpl w:val="DB2E2C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40570C7"/>
    <w:multiLevelType w:val="hybridMultilevel"/>
    <w:tmpl w:val="BD3E8F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52E645C"/>
    <w:multiLevelType w:val="hybridMultilevel"/>
    <w:tmpl w:val="B704C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62E4C72"/>
    <w:multiLevelType w:val="hybridMultilevel"/>
    <w:tmpl w:val="1988DBA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A091FC9"/>
    <w:multiLevelType w:val="hybridMultilevel"/>
    <w:tmpl w:val="1B1E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6B0901F3"/>
    <w:multiLevelType w:val="hybridMultilevel"/>
    <w:tmpl w:val="568827D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6F20203"/>
    <w:multiLevelType w:val="hybridMultilevel"/>
    <w:tmpl w:val="D6B8D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E85105B"/>
    <w:multiLevelType w:val="hybridMultilevel"/>
    <w:tmpl w:val="DC02B1D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30"/>
  </w:num>
  <w:num w:numId="4" w16cid:durableId="1607032640">
    <w:abstractNumId w:val="31"/>
  </w:num>
  <w:num w:numId="5" w16cid:durableId="1208837038">
    <w:abstractNumId w:val="22"/>
  </w:num>
  <w:num w:numId="6" w16cid:durableId="1037856401">
    <w:abstractNumId w:val="4"/>
  </w:num>
  <w:num w:numId="7" w16cid:durableId="19209193">
    <w:abstractNumId w:val="38"/>
  </w:num>
  <w:num w:numId="8" w16cid:durableId="526990841">
    <w:abstractNumId w:val="27"/>
  </w:num>
  <w:num w:numId="9" w16cid:durableId="811950237">
    <w:abstractNumId w:val="19"/>
  </w:num>
  <w:num w:numId="10" w16cid:durableId="1864442355">
    <w:abstractNumId w:val="12"/>
  </w:num>
  <w:num w:numId="11" w16cid:durableId="827403628">
    <w:abstractNumId w:val="17"/>
  </w:num>
  <w:num w:numId="12" w16cid:durableId="141772755">
    <w:abstractNumId w:val="7"/>
  </w:num>
  <w:num w:numId="13" w16cid:durableId="45448401">
    <w:abstractNumId w:val="15"/>
  </w:num>
  <w:num w:numId="14" w16cid:durableId="1747530791">
    <w:abstractNumId w:val="41"/>
  </w:num>
  <w:num w:numId="15" w16cid:durableId="400911645">
    <w:abstractNumId w:val="9"/>
  </w:num>
  <w:num w:numId="16" w16cid:durableId="90318990">
    <w:abstractNumId w:val="37"/>
  </w:num>
  <w:num w:numId="17" w16cid:durableId="604970556">
    <w:abstractNumId w:val="25"/>
  </w:num>
  <w:num w:numId="18" w16cid:durableId="404766815">
    <w:abstractNumId w:val="23"/>
  </w:num>
  <w:num w:numId="19" w16cid:durableId="202518220">
    <w:abstractNumId w:val="21"/>
  </w:num>
  <w:num w:numId="20" w16cid:durableId="1442147349">
    <w:abstractNumId w:val="10"/>
  </w:num>
  <w:num w:numId="21" w16cid:durableId="271671119">
    <w:abstractNumId w:val="11"/>
  </w:num>
  <w:num w:numId="22" w16cid:durableId="339896891">
    <w:abstractNumId w:val="14"/>
  </w:num>
  <w:num w:numId="23" w16cid:durableId="136531577">
    <w:abstractNumId w:val="39"/>
  </w:num>
  <w:num w:numId="24" w16cid:durableId="301080604">
    <w:abstractNumId w:val="8"/>
  </w:num>
  <w:num w:numId="25" w16cid:durableId="1254045798">
    <w:abstractNumId w:val="29"/>
  </w:num>
  <w:num w:numId="26" w16cid:durableId="503010501">
    <w:abstractNumId w:val="20"/>
  </w:num>
  <w:num w:numId="27" w16cid:durableId="958225559">
    <w:abstractNumId w:val="32"/>
  </w:num>
  <w:num w:numId="28" w16cid:durableId="449906009">
    <w:abstractNumId w:val="36"/>
  </w:num>
  <w:num w:numId="29" w16cid:durableId="232396406">
    <w:abstractNumId w:val="28"/>
  </w:num>
  <w:num w:numId="30" w16cid:durableId="257567280">
    <w:abstractNumId w:val="13"/>
  </w:num>
  <w:num w:numId="31" w16cid:durableId="399450349">
    <w:abstractNumId w:val="34"/>
  </w:num>
  <w:num w:numId="32" w16cid:durableId="638999799">
    <w:abstractNumId w:val="24"/>
  </w:num>
  <w:num w:numId="33" w16cid:durableId="1888761048">
    <w:abstractNumId w:val="3"/>
  </w:num>
  <w:num w:numId="34" w16cid:durableId="958801395">
    <w:abstractNumId w:val="5"/>
  </w:num>
  <w:num w:numId="35" w16cid:durableId="758213547">
    <w:abstractNumId w:val="33"/>
  </w:num>
  <w:num w:numId="36" w16cid:durableId="1226989052">
    <w:abstractNumId w:val="35"/>
  </w:num>
  <w:num w:numId="37" w16cid:durableId="782312419">
    <w:abstractNumId w:val="40"/>
  </w:num>
  <w:num w:numId="38" w16cid:durableId="584143659">
    <w:abstractNumId w:val="26"/>
  </w:num>
  <w:num w:numId="39" w16cid:durableId="160855902">
    <w:abstractNumId w:val="6"/>
  </w:num>
  <w:num w:numId="40" w16cid:durableId="1260331206">
    <w:abstractNumId w:val="2"/>
  </w:num>
  <w:num w:numId="41" w16cid:durableId="874348423">
    <w:abstractNumId w:val="16"/>
  </w:num>
  <w:num w:numId="42" w16cid:durableId="17409760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0204"/>
    <w:rsid w:val="0000196F"/>
    <w:rsid w:val="00001E23"/>
    <w:rsid w:val="00005CCD"/>
    <w:rsid w:val="00006C1E"/>
    <w:rsid w:val="00007984"/>
    <w:rsid w:val="00014357"/>
    <w:rsid w:val="00014F72"/>
    <w:rsid w:val="0001532D"/>
    <w:rsid w:val="00020D77"/>
    <w:rsid w:val="00024353"/>
    <w:rsid w:val="00026F27"/>
    <w:rsid w:val="0004152A"/>
    <w:rsid w:val="00043D2D"/>
    <w:rsid w:val="0004657C"/>
    <w:rsid w:val="00050479"/>
    <w:rsid w:val="0005054D"/>
    <w:rsid w:val="00052A82"/>
    <w:rsid w:val="00052F5D"/>
    <w:rsid w:val="00057DF1"/>
    <w:rsid w:val="000621EB"/>
    <w:rsid w:val="00071486"/>
    <w:rsid w:val="0008592B"/>
    <w:rsid w:val="00092484"/>
    <w:rsid w:val="000958E9"/>
    <w:rsid w:val="000A20B4"/>
    <w:rsid w:val="000A4704"/>
    <w:rsid w:val="000A7363"/>
    <w:rsid w:val="000B7126"/>
    <w:rsid w:val="000D0732"/>
    <w:rsid w:val="000D2E4B"/>
    <w:rsid w:val="000E0DB8"/>
    <w:rsid w:val="000E1FAF"/>
    <w:rsid w:val="000E2CC8"/>
    <w:rsid w:val="000E4B0B"/>
    <w:rsid w:val="000E6ECB"/>
    <w:rsid w:val="000F0A7D"/>
    <w:rsid w:val="000F3066"/>
    <w:rsid w:val="00101450"/>
    <w:rsid w:val="001101BA"/>
    <w:rsid w:val="00110CE7"/>
    <w:rsid w:val="001121F9"/>
    <w:rsid w:val="00113AD1"/>
    <w:rsid w:val="001156E3"/>
    <w:rsid w:val="0011664A"/>
    <w:rsid w:val="00116ADB"/>
    <w:rsid w:val="00121997"/>
    <w:rsid w:val="00121A33"/>
    <w:rsid w:val="00127547"/>
    <w:rsid w:val="00143917"/>
    <w:rsid w:val="00144166"/>
    <w:rsid w:val="001460A4"/>
    <w:rsid w:val="00164E8B"/>
    <w:rsid w:val="00165F66"/>
    <w:rsid w:val="00173014"/>
    <w:rsid w:val="0017315F"/>
    <w:rsid w:val="001847BE"/>
    <w:rsid w:val="00184AD9"/>
    <w:rsid w:val="0018525E"/>
    <w:rsid w:val="00185AE2"/>
    <w:rsid w:val="00195CB4"/>
    <w:rsid w:val="00197FFA"/>
    <w:rsid w:val="001B02D0"/>
    <w:rsid w:val="001B36DA"/>
    <w:rsid w:val="001B54F3"/>
    <w:rsid w:val="001C2EC9"/>
    <w:rsid w:val="001D04C4"/>
    <w:rsid w:val="001D5E69"/>
    <w:rsid w:val="001F4F8B"/>
    <w:rsid w:val="001F65E4"/>
    <w:rsid w:val="002011CE"/>
    <w:rsid w:val="00202273"/>
    <w:rsid w:val="00202809"/>
    <w:rsid w:val="00205E7D"/>
    <w:rsid w:val="00206628"/>
    <w:rsid w:val="0021235B"/>
    <w:rsid w:val="00216412"/>
    <w:rsid w:val="002256CA"/>
    <w:rsid w:val="0023034A"/>
    <w:rsid w:val="002447F3"/>
    <w:rsid w:val="00245271"/>
    <w:rsid w:val="00245818"/>
    <w:rsid w:val="00245C95"/>
    <w:rsid w:val="00251FEC"/>
    <w:rsid w:val="002554CD"/>
    <w:rsid w:val="00255AD2"/>
    <w:rsid w:val="00255AFD"/>
    <w:rsid w:val="00255B91"/>
    <w:rsid w:val="00265133"/>
    <w:rsid w:val="00265AF5"/>
    <w:rsid w:val="00275078"/>
    <w:rsid w:val="00275A5F"/>
    <w:rsid w:val="0027628E"/>
    <w:rsid w:val="00276509"/>
    <w:rsid w:val="002874D4"/>
    <w:rsid w:val="00290C6C"/>
    <w:rsid w:val="00293B83"/>
    <w:rsid w:val="00294D25"/>
    <w:rsid w:val="002A5CA1"/>
    <w:rsid w:val="002B0476"/>
    <w:rsid w:val="002B0DD2"/>
    <w:rsid w:val="002B2A64"/>
    <w:rsid w:val="002B4294"/>
    <w:rsid w:val="002B49AC"/>
    <w:rsid w:val="002C6335"/>
    <w:rsid w:val="002C6E43"/>
    <w:rsid w:val="002C6EC7"/>
    <w:rsid w:val="002D1EA6"/>
    <w:rsid w:val="002D3893"/>
    <w:rsid w:val="002D4AF3"/>
    <w:rsid w:val="002D51C4"/>
    <w:rsid w:val="002D6FAF"/>
    <w:rsid w:val="002E2542"/>
    <w:rsid w:val="002E62CD"/>
    <w:rsid w:val="002F07CD"/>
    <w:rsid w:val="002F3F16"/>
    <w:rsid w:val="002F5617"/>
    <w:rsid w:val="00314256"/>
    <w:rsid w:val="003148E8"/>
    <w:rsid w:val="00314910"/>
    <w:rsid w:val="00317B20"/>
    <w:rsid w:val="00333D0D"/>
    <w:rsid w:val="0034284A"/>
    <w:rsid w:val="00346EDE"/>
    <w:rsid w:val="003511BB"/>
    <w:rsid w:val="0035396F"/>
    <w:rsid w:val="003542F9"/>
    <w:rsid w:val="00362261"/>
    <w:rsid w:val="0036385D"/>
    <w:rsid w:val="00373C58"/>
    <w:rsid w:val="00375021"/>
    <w:rsid w:val="003831EA"/>
    <w:rsid w:val="003857D3"/>
    <w:rsid w:val="00386A9D"/>
    <w:rsid w:val="00391818"/>
    <w:rsid w:val="00397B56"/>
    <w:rsid w:val="003A16C4"/>
    <w:rsid w:val="003A3D6F"/>
    <w:rsid w:val="003B688B"/>
    <w:rsid w:val="003C0B40"/>
    <w:rsid w:val="003C54CF"/>
    <w:rsid w:val="003C6E4B"/>
    <w:rsid w:val="003C721D"/>
    <w:rsid w:val="003D3406"/>
    <w:rsid w:val="003D341F"/>
    <w:rsid w:val="003D48A4"/>
    <w:rsid w:val="003D5655"/>
    <w:rsid w:val="003D727C"/>
    <w:rsid w:val="003E59B9"/>
    <w:rsid w:val="003E6E7D"/>
    <w:rsid w:val="003F1325"/>
    <w:rsid w:val="003F22B8"/>
    <w:rsid w:val="003F667A"/>
    <w:rsid w:val="00401F44"/>
    <w:rsid w:val="00404255"/>
    <w:rsid w:val="00405902"/>
    <w:rsid w:val="00407E92"/>
    <w:rsid w:val="00410940"/>
    <w:rsid w:val="004167F8"/>
    <w:rsid w:val="00416F00"/>
    <w:rsid w:val="00417228"/>
    <w:rsid w:val="0042003D"/>
    <w:rsid w:val="00421CF5"/>
    <w:rsid w:val="00422EBC"/>
    <w:rsid w:val="00424064"/>
    <w:rsid w:val="004240FB"/>
    <w:rsid w:val="00424BED"/>
    <w:rsid w:val="00425CC9"/>
    <w:rsid w:val="00442B4B"/>
    <w:rsid w:val="00444527"/>
    <w:rsid w:val="004451AB"/>
    <w:rsid w:val="00446171"/>
    <w:rsid w:val="004507BE"/>
    <w:rsid w:val="00453B55"/>
    <w:rsid w:val="00454995"/>
    <w:rsid w:val="0045693D"/>
    <w:rsid w:val="00463E88"/>
    <w:rsid w:val="0046446C"/>
    <w:rsid w:val="00465547"/>
    <w:rsid w:val="0047493A"/>
    <w:rsid w:val="00480077"/>
    <w:rsid w:val="004803A2"/>
    <w:rsid w:val="004904DA"/>
    <w:rsid w:val="004953D8"/>
    <w:rsid w:val="004A0B3B"/>
    <w:rsid w:val="004A4387"/>
    <w:rsid w:val="004A50D6"/>
    <w:rsid w:val="004A6369"/>
    <w:rsid w:val="004B1EE3"/>
    <w:rsid w:val="004B2397"/>
    <w:rsid w:val="004B3A91"/>
    <w:rsid w:val="004B6E9A"/>
    <w:rsid w:val="004C049F"/>
    <w:rsid w:val="004C640A"/>
    <w:rsid w:val="004D7CB2"/>
    <w:rsid w:val="004D7E65"/>
    <w:rsid w:val="004E167C"/>
    <w:rsid w:val="004E2C7D"/>
    <w:rsid w:val="004E336A"/>
    <w:rsid w:val="004E7105"/>
    <w:rsid w:val="004F29A4"/>
    <w:rsid w:val="004F33DC"/>
    <w:rsid w:val="004F44B2"/>
    <w:rsid w:val="005000E2"/>
    <w:rsid w:val="0050645C"/>
    <w:rsid w:val="00512B7C"/>
    <w:rsid w:val="00512C96"/>
    <w:rsid w:val="00515A88"/>
    <w:rsid w:val="0052515D"/>
    <w:rsid w:val="005273DE"/>
    <w:rsid w:val="005303BB"/>
    <w:rsid w:val="005356B2"/>
    <w:rsid w:val="00536F91"/>
    <w:rsid w:val="005371C6"/>
    <w:rsid w:val="00540417"/>
    <w:rsid w:val="00544C0F"/>
    <w:rsid w:val="00545D25"/>
    <w:rsid w:val="00547CE0"/>
    <w:rsid w:val="0055194D"/>
    <w:rsid w:val="005521CB"/>
    <w:rsid w:val="0055362B"/>
    <w:rsid w:val="00555862"/>
    <w:rsid w:val="005604BE"/>
    <w:rsid w:val="005610A3"/>
    <w:rsid w:val="00561C7F"/>
    <w:rsid w:val="00562561"/>
    <w:rsid w:val="0056680D"/>
    <w:rsid w:val="00571584"/>
    <w:rsid w:val="00573A99"/>
    <w:rsid w:val="0057511C"/>
    <w:rsid w:val="005862C9"/>
    <w:rsid w:val="00596D04"/>
    <w:rsid w:val="005A0CDD"/>
    <w:rsid w:val="005A2BE1"/>
    <w:rsid w:val="005A328F"/>
    <w:rsid w:val="005A3621"/>
    <w:rsid w:val="005B37A8"/>
    <w:rsid w:val="005C77D0"/>
    <w:rsid w:val="005D70B6"/>
    <w:rsid w:val="005D7300"/>
    <w:rsid w:val="005E190F"/>
    <w:rsid w:val="005E5911"/>
    <w:rsid w:val="005E61B1"/>
    <w:rsid w:val="005E6DC0"/>
    <w:rsid w:val="005F5981"/>
    <w:rsid w:val="005F599D"/>
    <w:rsid w:val="005F6359"/>
    <w:rsid w:val="00605CB4"/>
    <w:rsid w:val="00605FCF"/>
    <w:rsid w:val="0060785D"/>
    <w:rsid w:val="00611511"/>
    <w:rsid w:val="006176B9"/>
    <w:rsid w:val="00617AB8"/>
    <w:rsid w:val="00626A31"/>
    <w:rsid w:val="00631CBB"/>
    <w:rsid w:val="00634DF4"/>
    <w:rsid w:val="00641584"/>
    <w:rsid w:val="006452F3"/>
    <w:rsid w:val="006456CD"/>
    <w:rsid w:val="00646659"/>
    <w:rsid w:val="006472F4"/>
    <w:rsid w:val="0065036D"/>
    <w:rsid w:val="0065037D"/>
    <w:rsid w:val="006539C2"/>
    <w:rsid w:val="0066454F"/>
    <w:rsid w:val="0066602D"/>
    <w:rsid w:val="00667384"/>
    <w:rsid w:val="00672946"/>
    <w:rsid w:val="0067401C"/>
    <w:rsid w:val="006778B1"/>
    <w:rsid w:val="00677F2E"/>
    <w:rsid w:val="006812D8"/>
    <w:rsid w:val="00681441"/>
    <w:rsid w:val="006833C2"/>
    <w:rsid w:val="00683610"/>
    <w:rsid w:val="006863E8"/>
    <w:rsid w:val="006963D5"/>
    <w:rsid w:val="006A159D"/>
    <w:rsid w:val="006A3CE7"/>
    <w:rsid w:val="006A608E"/>
    <w:rsid w:val="006B09D8"/>
    <w:rsid w:val="006B2EDF"/>
    <w:rsid w:val="006B3650"/>
    <w:rsid w:val="006B376D"/>
    <w:rsid w:val="006B500F"/>
    <w:rsid w:val="006B5373"/>
    <w:rsid w:val="006B78D1"/>
    <w:rsid w:val="006C0FAD"/>
    <w:rsid w:val="006D295D"/>
    <w:rsid w:val="006D39DC"/>
    <w:rsid w:val="006D5943"/>
    <w:rsid w:val="006D6922"/>
    <w:rsid w:val="006D7088"/>
    <w:rsid w:val="006E0193"/>
    <w:rsid w:val="006E0630"/>
    <w:rsid w:val="006E0AB9"/>
    <w:rsid w:val="006E3B7B"/>
    <w:rsid w:val="006E48DF"/>
    <w:rsid w:val="006E61F2"/>
    <w:rsid w:val="006E7638"/>
    <w:rsid w:val="006F0B22"/>
    <w:rsid w:val="006F41EB"/>
    <w:rsid w:val="006F7739"/>
    <w:rsid w:val="00702608"/>
    <w:rsid w:val="0070704A"/>
    <w:rsid w:val="007145CF"/>
    <w:rsid w:val="00714DBD"/>
    <w:rsid w:val="00715909"/>
    <w:rsid w:val="007229E5"/>
    <w:rsid w:val="007247DE"/>
    <w:rsid w:val="007320A3"/>
    <w:rsid w:val="00761DF0"/>
    <w:rsid w:val="007621AD"/>
    <w:rsid w:val="007671B6"/>
    <w:rsid w:val="00767A74"/>
    <w:rsid w:val="0077604C"/>
    <w:rsid w:val="0077730D"/>
    <w:rsid w:val="00787055"/>
    <w:rsid w:val="00791F71"/>
    <w:rsid w:val="0079210B"/>
    <w:rsid w:val="00796166"/>
    <w:rsid w:val="00796C2B"/>
    <w:rsid w:val="007A6B94"/>
    <w:rsid w:val="007B0B2F"/>
    <w:rsid w:val="007B20ED"/>
    <w:rsid w:val="007B297D"/>
    <w:rsid w:val="007C3BD9"/>
    <w:rsid w:val="007C4429"/>
    <w:rsid w:val="007C4B80"/>
    <w:rsid w:val="007C58D5"/>
    <w:rsid w:val="007C5E19"/>
    <w:rsid w:val="007C73F6"/>
    <w:rsid w:val="007C7E2B"/>
    <w:rsid w:val="007D5900"/>
    <w:rsid w:val="007D72F8"/>
    <w:rsid w:val="007E19F0"/>
    <w:rsid w:val="007E30D0"/>
    <w:rsid w:val="007E392A"/>
    <w:rsid w:val="007E560F"/>
    <w:rsid w:val="007E705C"/>
    <w:rsid w:val="007F09E4"/>
    <w:rsid w:val="007F2396"/>
    <w:rsid w:val="007F2EE0"/>
    <w:rsid w:val="00804576"/>
    <w:rsid w:val="0080612A"/>
    <w:rsid w:val="0081200D"/>
    <w:rsid w:val="00813C81"/>
    <w:rsid w:val="008158CD"/>
    <w:rsid w:val="008159D5"/>
    <w:rsid w:val="008217A3"/>
    <w:rsid w:val="008275CC"/>
    <w:rsid w:val="00833A5D"/>
    <w:rsid w:val="00834E93"/>
    <w:rsid w:val="00834FE5"/>
    <w:rsid w:val="008451DF"/>
    <w:rsid w:val="00845701"/>
    <w:rsid w:val="00864FB2"/>
    <w:rsid w:val="0087201D"/>
    <w:rsid w:val="00875BD1"/>
    <w:rsid w:val="00875CFE"/>
    <w:rsid w:val="0087683C"/>
    <w:rsid w:val="00876A36"/>
    <w:rsid w:val="00881D22"/>
    <w:rsid w:val="008824C7"/>
    <w:rsid w:val="0088250D"/>
    <w:rsid w:val="00884E50"/>
    <w:rsid w:val="00890A85"/>
    <w:rsid w:val="008971A1"/>
    <w:rsid w:val="008A00B0"/>
    <w:rsid w:val="008A5604"/>
    <w:rsid w:val="008A709A"/>
    <w:rsid w:val="008B41E4"/>
    <w:rsid w:val="008C05E6"/>
    <w:rsid w:val="008C1C1A"/>
    <w:rsid w:val="008D0D78"/>
    <w:rsid w:val="008D766D"/>
    <w:rsid w:val="008E2090"/>
    <w:rsid w:val="008E20AE"/>
    <w:rsid w:val="008E38C1"/>
    <w:rsid w:val="008E46B4"/>
    <w:rsid w:val="008F2D8D"/>
    <w:rsid w:val="009012B7"/>
    <w:rsid w:val="0090285A"/>
    <w:rsid w:val="00902C7F"/>
    <w:rsid w:val="00906365"/>
    <w:rsid w:val="00915B0C"/>
    <w:rsid w:val="00916690"/>
    <w:rsid w:val="0092042A"/>
    <w:rsid w:val="009209F4"/>
    <w:rsid w:val="00926C93"/>
    <w:rsid w:val="00927E93"/>
    <w:rsid w:val="0093083E"/>
    <w:rsid w:val="00936398"/>
    <w:rsid w:val="00937F73"/>
    <w:rsid w:val="00944A97"/>
    <w:rsid w:val="0094609F"/>
    <w:rsid w:val="00955301"/>
    <w:rsid w:val="00956322"/>
    <w:rsid w:val="00962811"/>
    <w:rsid w:val="00963100"/>
    <w:rsid w:val="0096442E"/>
    <w:rsid w:val="0096506C"/>
    <w:rsid w:val="00965C17"/>
    <w:rsid w:val="00974B45"/>
    <w:rsid w:val="0097560E"/>
    <w:rsid w:val="00980384"/>
    <w:rsid w:val="00980CF7"/>
    <w:rsid w:val="00981ECE"/>
    <w:rsid w:val="00983501"/>
    <w:rsid w:val="00984BA2"/>
    <w:rsid w:val="00984E7B"/>
    <w:rsid w:val="0098623B"/>
    <w:rsid w:val="0098635B"/>
    <w:rsid w:val="00986939"/>
    <w:rsid w:val="00993468"/>
    <w:rsid w:val="0099460F"/>
    <w:rsid w:val="00994843"/>
    <w:rsid w:val="00995AFA"/>
    <w:rsid w:val="009A1949"/>
    <w:rsid w:val="009A23EF"/>
    <w:rsid w:val="009A2607"/>
    <w:rsid w:val="009A2A89"/>
    <w:rsid w:val="009A4673"/>
    <w:rsid w:val="009B1294"/>
    <w:rsid w:val="009B7476"/>
    <w:rsid w:val="009D0723"/>
    <w:rsid w:val="009D1C77"/>
    <w:rsid w:val="009D3789"/>
    <w:rsid w:val="009D56F7"/>
    <w:rsid w:val="009D70CA"/>
    <w:rsid w:val="009E1E60"/>
    <w:rsid w:val="009E528B"/>
    <w:rsid w:val="009F7FF2"/>
    <w:rsid w:val="00A00E6F"/>
    <w:rsid w:val="00A013BA"/>
    <w:rsid w:val="00A0312D"/>
    <w:rsid w:val="00A06140"/>
    <w:rsid w:val="00A229B3"/>
    <w:rsid w:val="00A2692C"/>
    <w:rsid w:val="00A27FCB"/>
    <w:rsid w:val="00A314A6"/>
    <w:rsid w:val="00A42681"/>
    <w:rsid w:val="00A43B40"/>
    <w:rsid w:val="00A45ECD"/>
    <w:rsid w:val="00A46161"/>
    <w:rsid w:val="00A4690D"/>
    <w:rsid w:val="00A5157B"/>
    <w:rsid w:val="00A555DF"/>
    <w:rsid w:val="00A64713"/>
    <w:rsid w:val="00A72A23"/>
    <w:rsid w:val="00A7692F"/>
    <w:rsid w:val="00A77B95"/>
    <w:rsid w:val="00A82B7A"/>
    <w:rsid w:val="00A836C1"/>
    <w:rsid w:val="00A83708"/>
    <w:rsid w:val="00A853AE"/>
    <w:rsid w:val="00A879D0"/>
    <w:rsid w:val="00A95FBB"/>
    <w:rsid w:val="00AA083E"/>
    <w:rsid w:val="00AA0C80"/>
    <w:rsid w:val="00AA3C3C"/>
    <w:rsid w:val="00AA3D60"/>
    <w:rsid w:val="00AA7023"/>
    <w:rsid w:val="00AB1810"/>
    <w:rsid w:val="00AB5524"/>
    <w:rsid w:val="00AC2E37"/>
    <w:rsid w:val="00AC6D60"/>
    <w:rsid w:val="00AC709D"/>
    <w:rsid w:val="00AD0352"/>
    <w:rsid w:val="00AD3933"/>
    <w:rsid w:val="00AD552E"/>
    <w:rsid w:val="00AF011C"/>
    <w:rsid w:val="00AF0D35"/>
    <w:rsid w:val="00AF7CAD"/>
    <w:rsid w:val="00B05C3E"/>
    <w:rsid w:val="00B16B81"/>
    <w:rsid w:val="00B16EB6"/>
    <w:rsid w:val="00B200C9"/>
    <w:rsid w:val="00B23491"/>
    <w:rsid w:val="00B24767"/>
    <w:rsid w:val="00B24A49"/>
    <w:rsid w:val="00B24F7B"/>
    <w:rsid w:val="00B30F7E"/>
    <w:rsid w:val="00B36D91"/>
    <w:rsid w:val="00B4136F"/>
    <w:rsid w:val="00B421BF"/>
    <w:rsid w:val="00B45017"/>
    <w:rsid w:val="00B46B7B"/>
    <w:rsid w:val="00B52304"/>
    <w:rsid w:val="00B53E12"/>
    <w:rsid w:val="00B648DB"/>
    <w:rsid w:val="00B66195"/>
    <w:rsid w:val="00B701A7"/>
    <w:rsid w:val="00B734D0"/>
    <w:rsid w:val="00B76504"/>
    <w:rsid w:val="00B80020"/>
    <w:rsid w:val="00B87AF3"/>
    <w:rsid w:val="00BA08B5"/>
    <w:rsid w:val="00BA20AA"/>
    <w:rsid w:val="00BA2224"/>
    <w:rsid w:val="00BA3D81"/>
    <w:rsid w:val="00BC39F4"/>
    <w:rsid w:val="00BC555D"/>
    <w:rsid w:val="00BC67EC"/>
    <w:rsid w:val="00BD2EF6"/>
    <w:rsid w:val="00BD5AAD"/>
    <w:rsid w:val="00BD5C22"/>
    <w:rsid w:val="00BF3697"/>
    <w:rsid w:val="00BF4357"/>
    <w:rsid w:val="00BF4AE4"/>
    <w:rsid w:val="00BF4BE7"/>
    <w:rsid w:val="00BF5D65"/>
    <w:rsid w:val="00BF5ED2"/>
    <w:rsid w:val="00C0422E"/>
    <w:rsid w:val="00C07B29"/>
    <w:rsid w:val="00C12853"/>
    <w:rsid w:val="00C12C91"/>
    <w:rsid w:val="00C1422D"/>
    <w:rsid w:val="00C16DDC"/>
    <w:rsid w:val="00C175B0"/>
    <w:rsid w:val="00C23531"/>
    <w:rsid w:val="00C27C5F"/>
    <w:rsid w:val="00C458D5"/>
    <w:rsid w:val="00C47A12"/>
    <w:rsid w:val="00C515A4"/>
    <w:rsid w:val="00C5172E"/>
    <w:rsid w:val="00C572EF"/>
    <w:rsid w:val="00C621E0"/>
    <w:rsid w:val="00C6243A"/>
    <w:rsid w:val="00C65226"/>
    <w:rsid w:val="00C6554A"/>
    <w:rsid w:val="00C720F5"/>
    <w:rsid w:val="00C836D3"/>
    <w:rsid w:val="00C84FB1"/>
    <w:rsid w:val="00C86AD4"/>
    <w:rsid w:val="00C87CDB"/>
    <w:rsid w:val="00C92364"/>
    <w:rsid w:val="00C92797"/>
    <w:rsid w:val="00C966AB"/>
    <w:rsid w:val="00CA1B42"/>
    <w:rsid w:val="00CA235D"/>
    <w:rsid w:val="00CA7512"/>
    <w:rsid w:val="00CB6EEA"/>
    <w:rsid w:val="00CB6F83"/>
    <w:rsid w:val="00CB7172"/>
    <w:rsid w:val="00CC1A85"/>
    <w:rsid w:val="00CC6DE8"/>
    <w:rsid w:val="00CD0FC8"/>
    <w:rsid w:val="00CD3D72"/>
    <w:rsid w:val="00CD54E0"/>
    <w:rsid w:val="00CD7B3F"/>
    <w:rsid w:val="00CE5562"/>
    <w:rsid w:val="00CE77B7"/>
    <w:rsid w:val="00CF2971"/>
    <w:rsid w:val="00CF647B"/>
    <w:rsid w:val="00D1204A"/>
    <w:rsid w:val="00D13778"/>
    <w:rsid w:val="00D20DC2"/>
    <w:rsid w:val="00D243BA"/>
    <w:rsid w:val="00D32163"/>
    <w:rsid w:val="00D33384"/>
    <w:rsid w:val="00D3543D"/>
    <w:rsid w:val="00D41F0D"/>
    <w:rsid w:val="00D44259"/>
    <w:rsid w:val="00D47EE9"/>
    <w:rsid w:val="00D568F3"/>
    <w:rsid w:val="00D60343"/>
    <w:rsid w:val="00D62460"/>
    <w:rsid w:val="00D64D3F"/>
    <w:rsid w:val="00D6619D"/>
    <w:rsid w:val="00D6710C"/>
    <w:rsid w:val="00D80FE0"/>
    <w:rsid w:val="00D83215"/>
    <w:rsid w:val="00D903E5"/>
    <w:rsid w:val="00D93EDF"/>
    <w:rsid w:val="00D9598C"/>
    <w:rsid w:val="00DB016E"/>
    <w:rsid w:val="00DB4118"/>
    <w:rsid w:val="00DB641A"/>
    <w:rsid w:val="00DB79AD"/>
    <w:rsid w:val="00DC0B2A"/>
    <w:rsid w:val="00DC4D7F"/>
    <w:rsid w:val="00DC6081"/>
    <w:rsid w:val="00DC7CAA"/>
    <w:rsid w:val="00DD0806"/>
    <w:rsid w:val="00DD114B"/>
    <w:rsid w:val="00DD1BC4"/>
    <w:rsid w:val="00DD20D6"/>
    <w:rsid w:val="00DD3D79"/>
    <w:rsid w:val="00DD4278"/>
    <w:rsid w:val="00DE7C1A"/>
    <w:rsid w:val="00E00056"/>
    <w:rsid w:val="00E077D3"/>
    <w:rsid w:val="00E10B6C"/>
    <w:rsid w:val="00E1216D"/>
    <w:rsid w:val="00E1447D"/>
    <w:rsid w:val="00E23065"/>
    <w:rsid w:val="00E2376A"/>
    <w:rsid w:val="00E26EC1"/>
    <w:rsid w:val="00E336B7"/>
    <w:rsid w:val="00E36A62"/>
    <w:rsid w:val="00E42C14"/>
    <w:rsid w:val="00E44487"/>
    <w:rsid w:val="00E45FE4"/>
    <w:rsid w:val="00E46E01"/>
    <w:rsid w:val="00E47837"/>
    <w:rsid w:val="00E500F8"/>
    <w:rsid w:val="00E5383C"/>
    <w:rsid w:val="00E5436A"/>
    <w:rsid w:val="00E5451B"/>
    <w:rsid w:val="00E62229"/>
    <w:rsid w:val="00E71D12"/>
    <w:rsid w:val="00E73003"/>
    <w:rsid w:val="00E773C3"/>
    <w:rsid w:val="00E77617"/>
    <w:rsid w:val="00E80AF4"/>
    <w:rsid w:val="00E8700F"/>
    <w:rsid w:val="00E95C5C"/>
    <w:rsid w:val="00EA13DE"/>
    <w:rsid w:val="00EB2228"/>
    <w:rsid w:val="00EB4716"/>
    <w:rsid w:val="00EB7F61"/>
    <w:rsid w:val="00EC0D91"/>
    <w:rsid w:val="00EC0FBA"/>
    <w:rsid w:val="00EC11A8"/>
    <w:rsid w:val="00EC4041"/>
    <w:rsid w:val="00EC4464"/>
    <w:rsid w:val="00EC5561"/>
    <w:rsid w:val="00ED19BD"/>
    <w:rsid w:val="00ED3617"/>
    <w:rsid w:val="00ED7C44"/>
    <w:rsid w:val="00EE2503"/>
    <w:rsid w:val="00EE2D28"/>
    <w:rsid w:val="00EE56D0"/>
    <w:rsid w:val="00EE686C"/>
    <w:rsid w:val="00EF1F21"/>
    <w:rsid w:val="00F03A96"/>
    <w:rsid w:val="00F05D4D"/>
    <w:rsid w:val="00F06815"/>
    <w:rsid w:val="00F06A43"/>
    <w:rsid w:val="00F1282B"/>
    <w:rsid w:val="00F1288E"/>
    <w:rsid w:val="00F13993"/>
    <w:rsid w:val="00F16788"/>
    <w:rsid w:val="00F16BA0"/>
    <w:rsid w:val="00F20B40"/>
    <w:rsid w:val="00F24E2D"/>
    <w:rsid w:val="00F259B0"/>
    <w:rsid w:val="00F31E7D"/>
    <w:rsid w:val="00F33F85"/>
    <w:rsid w:val="00F36775"/>
    <w:rsid w:val="00F37754"/>
    <w:rsid w:val="00F53E37"/>
    <w:rsid w:val="00F54504"/>
    <w:rsid w:val="00F57147"/>
    <w:rsid w:val="00F66BD9"/>
    <w:rsid w:val="00F71CE9"/>
    <w:rsid w:val="00F732FC"/>
    <w:rsid w:val="00F750CA"/>
    <w:rsid w:val="00F81803"/>
    <w:rsid w:val="00F81BEF"/>
    <w:rsid w:val="00F82618"/>
    <w:rsid w:val="00F84579"/>
    <w:rsid w:val="00F87634"/>
    <w:rsid w:val="00F93755"/>
    <w:rsid w:val="00F93D1C"/>
    <w:rsid w:val="00F941A0"/>
    <w:rsid w:val="00FA6944"/>
    <w:rsid w:val="00FB7149"/>
    <w:rsid w:val="00FC0446"/>
    <w:rsid w:val="00FC1001"/>
    <w:rsid w:val="00FC2164"/>
    <w:rsid w:val="00FC3289"/>
    <w:rsid w:val="00FC44F2"/>
    <w:rsid w:val="00FC7917"/>
    <w:rsid w:val="00FC7FF5"/>
    <w:rsid w:val="00FD0B7C"/>
    <w:rsid w:val="00FD31F1"/>
    <w:rsid w:val="00FD32DA"/>
    <w:rsid w:val="00FD5DD5"/>
    <w:rsid w:val="00FD6529"/>
    <w:rsid w:val="00FD705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436B1A48"/>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rsid w:val="003D727C"/>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 w:type="paragraph" w:styleId="TOCHeading">
    <w:name w:val="TOC Heading"/>
    <w:basedOn w:val="Heading1"/>
    <w:next w:val="Normal"/>
    <w:uiPriority w:val="39"/>
    <w:unhideWhenUsed/>
    <w:qFormat/>
    <w:rsid w:val="00EE2D28"/>
    <w:pPr>
      <w:pBdr>
        <w:bottom w:val="none" w:sz="0" w:space="0" w:color="auto"/>
      </w:pBdr>
      <w:spacing w:before="240" w:after="0" w:line="259" w:lineRule="auto"/>
      <w:outlineLvl w:val="9"/>
    </w:pPr>
    <w:rPr>
      <w:color w:val="0B5294" w:themeColor="accent1" w:themeShade="BF"/>
      <w:sz w:val="32"/>
      <w:szCs w:val="32"/>
    </w:rPr>
  </w:style>
  <w:style w:type="character" w:styleId="IntenseEmphasis">
    <w:name w:val="Intense Emphasis"/>
    <w:basedOn w:val="DefaultParagraphFont"/>
    <w:uiPriority w:val="21"/>
    <w:qFormat/>
    <w:rsid w:val="00EE2D28"/>
    <w:rPr>
      <w:i/>
      <w:iCs/>
      <w:color w:val="0F6FC6"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jclepro.2008.04.020" TargetMode="External"/><Relationship Id="rId18" Type="http://schemas.openxmlformats.org/officeDocument/2006/relationships/hyperlink" Target="https://www.sciencedirect.com/science/article/pii/S2949863525000895?utm_source=chatgpt.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11/jbl.12328" TargetMode="External"/><Relationship Id="rId7" Type="http://schemas.openxmlformats.org/officeDocument/2006/relationships/webSettings" Target="webSettings.xml"/><Relationship Id="rId12" Type="http://schemas.openxmlformats.org/officeDocument/2006/relationships/hyperlink" Target="https://doi.org/10.2478/mspe-2024-0050" TargetMode="External"/><Relationship Id="rId17" Type="http://schemas.openxmlformats.org/officeDocument/2006/relationships/hyperlink" Target="https://doi.org/10.1287/inte.33.4.79.1637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287/trsc.36.3.354.7825" TargetMode="External"/><Relationship Id="rId20" Type="http://schemas.openxmlformats.org/officeDocument/2006/relationships/hyperlink" Target="https://assets.publishing.service.gov.uk/media/6152d0b78fa8f5610b9c222b/Waste_classification_technical_guidance_WM3.pdf?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jstor.org.uwtsd.idm.oclc.org/stable/25062761"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080/00207543.2022.2118891" TargetMode="External"/><Relationship Id="rId23" Type="http://schemas.openxmlformats.org/officeDocument/2006/relationships/header" Target="header1.xml"/><Relationship Id="rId10" Type="http://schemas.openxmlformats.org/officeDocument/2006/relationships/hyperlink" Target="https://doi.org/10.1016/j.pursup.2013.11.001" TargetMode="External"/><Relationship Id="rId19" Type="http://schemas.openxmlformats.org/officeDocument/2006/relationships/hyperlink" Target="https://consult.defra.gov.uk/waste-and-recycling/waste-management-plan-for-england/supporting_documents/Waste%20Management%20Plan%20for%20England.pdf?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07/s10551-023-05600-z" TargetMode="External"/><Relationship Id="rId22" Type="http://schemas.openxmlformats.org/officeDocument/2006/relationships/hyperlink" Target="https://www.gov.uk/government/collections/classify-different-types-of-waste?utm_source=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1965</TotalTime>
  <Pages>23</Pages>
  <Words>4406</Words>
  <Characters>25116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RESOURCING AND FINANCIAL MANAGEMENT FOR PROJECT (ACHA7028)</vt:lpstr>
    </vt:vector>
  </TitlesOfParts>
  <Company/>
  <LinksUpToDate>false</LinksUpToDate>
  <CharactersWithSpaces>29464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RESOURCING AND FINANCIAL MANAGEMENT FOR PROJECT (ACHA7028)</dc:title>
  <dc:subject>Title: A critical Evaluation of inventory management inefficiencies and sustainable operations: a system-based analysis of Brocksweir Engineering Ltd</dc:subject>
  <dc:creator>smit prajapati</dc:creator>
  <cp:lastModifiedBy>smeet prajapati</cp:lastModifiedBy>
  <cp:revision>177</cp:revision>
  <dcterms:created xsi:type="dcterms:W3CDTF">2026-01-29T20:29:00Z</dcterms:created>
  <dcterms:modified xsi:type="dcterms:W3CDTF">2026-05-07T11:36:00Z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