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464E4" w14:textId="1EE6A271" w:rsidR="005A2DE2" w:rsidRDefault="005A2DE2" w:rsidP="005A2DE2">
      <w:pPr>
        <w:shd w:val="clear" w:color="auto" w:fill="FFFFFF"/>
        <w:spacing w:after="240" w:line="240" w:lineRule="auto"/>
        <w:rPr>
          <w:rFonts w:ascii="Arial" w:eastAsia="Times New Roman" w:hAnsi="Arial" w:cs="Arial"/>
          <w:color w:val="000000"/>
          <w:sz w:val="20"/>
          <w:szCs w:val="20"/>
          <w:lang w:eastAsia="en-GB"/>
        </w:rPr>
      </w:pPr>
      <w:proofErr w:type="spellStart"/>
      <w:r>
        <w:rPr>
          <w:rFonts w:ascii="Arial" w:eastAsia="Times New Roman" w:hAnsi="Arial" w:cs="Arial"/>
          <w:color w:val="000000"/>
          <w:sz w:val="20"/>
          <w:szCs w:val="20"/>
          <w:lang w:eastAsia="en-GB"/>
        </w:rPr>
        <w:t>Gramaglia</w:t>
      </w:r>
      <w:proofErr w:type="spellEnd"/>
      <w:r>
        <w:rPr>
          <w:rFonts w:ascii="Arial" w:eastAsia="Times New Roman" w:hAnsi="Arial" w:cs="Arial"/>
          <w:color w:val="000000"/>
          <w:sz w:val="20"/>
          <w:szCs w:val="20"/>
          <w:lang w:eastAsia="en-GB"/>
        </w:rPr>
        <w:t xml:space="preserve">, L (2007) Scarman Report in </w:t>
      </w:r>
      <w:r w:rsidR="00397D2B">
        <w:rPr>
          <w:rFonts w:ascii="Arial" w:eastAsia="Times New Roman" w:hAnsi="Arial" w:cs="Arial"/>
          <w:color w:val="000000"/>
          <w:sz w:val="20"/>
          <w:szCs w:val="20"/>
          <w:lang w:eastAsia="en-GB"/>
        </w:rPr>
        <w:t>Dabydeen, D.,</w:t>
      </w:r>
      <w:r w:rsidR="0018110E">
        <w:rPr>
          <w:rFonts w:ascii="Arial" w:eastAsia="Times New Roman" w:hAnsi="Arial" w:cs="Arial"/>
          <w:color w:val="000000"/>
          <w:sz w:val="20"/>
          <w:szCs w:val="20"/>
          <w:lang w:eastAsia="en-GB"/>
        </w:rPr>
        <w:t xml:space="preserve"> Gilmore, J., and Jones, C. (2007</w:t>
      </w:r>
      <w:r w:rsidR="0070066C">
        <w:rPr>
          <w:rFonts w:ascii="Arial" w:eastAsia="Times New Roman" w:hAnsi="Arial" w:cs="Arial"/>
          <w:color w:val="000000"/>
          <w:sz w:val="20"/>
          <w:szCs w:val="20"/>
          <w:lang w:eastAsia="en-GB"/>
        </w:rPr>
        <w:t>)</w:t>
      </w:r>
      <w:r w:rsidR="0018110E">
        <w:rPr>
          <w:rFonts w:ascii="Arial" w:eastAsia="Times New Roman" w:hAnsi="Arial" w:cs="Arial"/>
          <w:color w:val="000000"/>
          <w:sz w:val="20"/>
          <w:szCs w:val="20"/>
          <w:lang w:eastAsia="en-GB"/>
        </w:rPr>
        <w:t xml:space="preserve"> The Oxford Companion to Black British History</w:t>
      </w:r>
      <w:r w:rsidR="0070066C">
        <w:rPr>
          <w:rFonts w:ascii="Arial" w:eastAsia="Times New Roman" w:hAnsi="Arial" w:cs="Arial"/>
          <w:color w:val="000000"/>
          <w:sz w:val="20"/>
          <w:szCs w:val="20"/>
          <w:lang w:eastAsia="en-GB"/>
        </w:rPr>
        <w:t>. Oxford: OUP</w:t>
      </w:r>
    </w:p>
    <w:p w14:paraId="407A1C16" w14:textId="15EF2EF1" w:rsidR="005A2DE2" w:rsidRDefault="001B4902" w:rsidP="005A2DE2">
      <w:pPr>
        <w:shd w:val="clear" w:color="auto" w:fill="FFFFFF"/>
        <w:spacing w:after="240" w:line="240" w:lineRule="auto"/>
        <w:rPr>
          <w:rFonts w:ascii="Arial" w:eastAsia="Times New Roman" w:hAnsi="Arial" w:cs="Arial"/>
          <w:color w:val="000000"/>
          <w:sz w:val="20"/>
          <w:szCs w:val="20"/>
          <w:lang w:eastAsia="en-GB"/>
        </w:rPr>
      </w:pPr>
      <w:r w:rsidRPr="001B4902">
        <w:drawing>
          <wp:inline distT="0" distB="0" distL="0" distR="0" wp14:anchorId="13E895B7" wp14:editId="5F3334A3">
            <wp:extent cx="927100" cy="1407568"/>
            <wp:effectExtent l="0" t="0" r="635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935778" cy="1420744"/>
                    </a:xfrm>
                    <a:prstGeom prst="rect">
                      <a:avLst/>
                    </a:prstGeom>
                  </pic:spPr>
                </pic:pic>
              </a:graphicData>
            </a:graphic>
          </wp:inline>
        </w:drawing>
      </w:r>
    </w:p>
    <w:p w14:paraId="52CA27A1" w14:textId="77777777" w:rsidR="001B4902" w:rsidRPr="005A2DE2" w:rsidRDefault="001B4902" w:rsidP="001B4902">
      <w:pPr>
        <w:shd w:val="clear" w:color="auto" w:fill="FFFFFF"/>
        <w:spacing w:before="192" w:after="225" w:line="240" w:lineRule="auto"/>
        <w:outlineLvl w:val="0"/>
        <w:rPr>
          <w:rFonts w:ascii="Arial" w:eastAsia="Times New Roman" w:hAnsi="Arial" w:cs="Arial"/>
          <w:b/>
          <w:bCs/>
          <w:color w:val="231F20"/>
          <w:kern w:val="36"/>
          <w:sz w:val="44"/>
          <w:szCs w:val="44"/>
          <w:lang w:eastAsia="en-GB"/>
        </w:rPr>
      </w:pPr>
      <w:r w:rsidRPr="005A2DE2">
        <w:rPr>
          <w:rFonts w:ascii="Arial" w:eastAsia="Times New Roman" w:hAnsi="Arial" w:cs="Arial"/>
          <w:b/>
          <w:bCs/>
          <w:color w:val="231F20"/>
          <w:kern w:val="36"/>
          <w:sz w:val="44"/>
          <w:szCs w:val="44"/>
          <w:lang w:eastAsia="en-GB"/>
        </w:rPr>
        <w:t>Scarman Report. </w:t>
      </w:r>
    </w:p>
    <w:p w14:paraId="7F86F3A4" w14:textId="4A772F79" w:rsidR="005A2DE2" w:rsidRPr="005A2DE2" w:rsidRDefault="005A2DE2" w:rsidP="005A2DE2">
      <w:pPr>
        <w:shd w:val="clear" w:color="auto" w:fill="FFFFFF"/>
        <w:spacing w:after="240" w:line="240" w:lineRule="auto"/>
        <w:rPr>
          <w:rFonts w:ascii="Arial" w:eastAsia="Times New Roman" w:hAnsi="Arial" w:cs="Arial"/>
          <w:color w:val="000000"/>
          <w:sz w:val="20"/>
          <w:szCs w:val="20"/>
          <w:lang w:eastAsia="en-GB"/>
        </w:rPr>
      </w:pPr>
      <w:r w:rsidRPr="005A2DE2">
        <w:rPr>
          <w:rFonts w:ascii="Arial" w:eastAsia="Times New Roman" w:hAnsi="Arial" w:cs="Arial"/>
          <w:color w:val="000000"/>
          <w:sz w:val="20"/>
          <w:szCs w:val="20"/>
          <w:lang w:eastAsia="en-GB"/>
        </w:rPr>
        <w:t>Following the </w:t>
      </w:r>
      <w:hyperlink r:id="rId5" w:history="1">
        <w:r w:rsidRPr="005A2DE2">
          <w:rPr>
            <w:rFonts w:ascii="Arial" w:eastAsia="Times New Roman" w:hAnsi="Arial" w:cs="Arial"/>
            <w:color w:val="206B7A"/>
            <w:sz w:val="20"/>
            <w:szCs w:val="20"/>
            <w:u w:val="single"/>
            <w:lang w:eastAsia="en-GB"/>
          </w:rPr>
          <w:t>Brixton</w:t>
        </w:r>
      </w:hyperlink>
      <w:r w:rsidRPr="005A2DE2">
        <w:rPr>
          <w:rFonts w:ascii="Arial" w:eastAsia="Times New Roman" w:hAnsi="Arial" w:cs="Arial"/>
          <w:color w:val="000000"/>
          <w:sz w:val="20"/>
          <w:szCs w:val="20"/>
          <w:lang w:eastAsia="en-GB"/>
        </w:rPr>
        <w:t xml:space="preserve"> disorders of April 1981 the Home Secretary, William Whitelaw, appointed Lord Scarman to undertake an investigation into the causes of the disturbances. The results of the Inquiry were published in the Scarman Report, which offered a scrupulous examination of the social issues behind the violent events of Brixton and included </w:t>
      </w:r>
      <w:proofErr w:type="gramStart"/>
      <w:r w:rsidRPr="005A2DE2">
        <w:rPr>
          <w:rFonts w:ascii="Arial" w:eastAsia="Times New Roman" w:hAnsi="Arial" w:cs="Arial"/>
          <w:color w:val="000000"/>
          <w:sz w:val="20"/>
          <w:szCs w:val="20"/>
          <w:lang w:eastAsia="en-GB"/>
        </w:rPr>
        <w:t>a number of</w:t>
      </w:r>
      <w:proofErr w:type="gramEnd"/>
      <w:r w:rsidRPr="005A2DE2">
        <w:rPr>
          <w:rFonts w:ascii="Arial" w:eastAsia="Times New Roman" w:hAnsi="Arial" w:cs="Arial"/>
          <w:color w:val="000000"/>
          <w:sz w:val="20"/>
          <w:szCs w:val="20"/>
          <w:lang w:eastAsia="en-GB"/>
        </w:rPr>
        <w:t xml:space="preserve"> relevant recommendations.</w:t>
      </w:r>
    </w:p>
    <w:p w14:paraId="773DDAED" w14:textId="77777777" w:rsidR="005A2DE2" w:rsidRPr="005A2DE2" w:rsidRDefault="005A2DE2" w:rsidP="005A2DE2">
      <w:pPr>
        <w:shd w:val="clear" w:color="auto" w:fill="FFFFFF"/>
        <w:spacing w:after="240" w:line="240" w:lineRule="auto"/>
        <w:rPr>
          <w:rFonts w:ascii="Arial" w:eastAsia="Times New Roman" w:hAnsi="Arial" w:cs="Arial"/>
          <w:color w:val="000000"/>
          <w:sz w:val="20"/>
          <w:szCs w:val="20"/>
          <w:lang w:eastAsia="en-GB"/>
        </w:rPr>
      </w:pPr>
      <w:r w:rsidRPr="005A2DE2">
        <w:rPr>
          <w:rFonts w:ascii="Arial" w:eastAsia="Times New Roman" w:hAnsi="Arial" w:cs="Arial"/>
          <w:color w:val="000000"/>
          <w:sz w:val="20"/>
          <w:szCs w:val="20"/>
          <w:lang w:eastAsia="en-GB"/>
        </w:rPr>
        <w:t xml:space="preserve">Before considering the course and pattern of the events that occurred between 10 and 12 April, the Report presented an outline of Brixton's local environment, addressing </w:t>
      </w:r>
      <w:proofErr w:type="gramStart"/>
      <w:r w:rsidRPr="005A2DE2">
        <w:rPr>
          <w:rFonts w:ascii="Arial" w:eastAsia="Times New Roman" w:hAnsi="Arial" w:cs="Arial"/>
          <w:color w:val="000000"/>
          <w:sz w:val="20"/>
          <w:szCs w:val="20"/>
          <w:lang w:eastAsia="en-GB"/>
        </w:rPr>
        <w:t>in particular the</w:t>
      </w:r>
      <w:proofErr w:type="gramEnd"/>
      <w:r w:rsidRPr="005A2DE2">
        <w:rPr>
          <w:rFonts w:ascii="Arial" w:eastAsia="Times New Roman" w:hAnsi="Arial" w:cs="Arial"/>
          <w:color w:val="000000"/>
          <w:sz w:val="20"/>
          <w:szCs w:val="20"/>
          <w:lang w:eastAsia="en-GB"/>
        </w:rPr>
        <w:t xml:space="preserve"> issues of education, poor housing, discrimination, and unemployment. It identified in this complex of social, political, and economic factors the key elements that ‘create a predisposition toward violent protest’.</w:t>
      </w:r>
    </w:p>
    <w:p w14:paraId="1B04BC26" w14:textId="77777777" w:rsidR="005A2DE2" w:rsidRPr="005A2DE2" w:rsidRDefault="005A2DE2" w:rsidP="005A2DE2">
      <w:pPr>
        <w:shd w:val="clear" w:color="auto" w:fill="FFFFFF"/>
        <w:spacing w:after="240" w:line="240" w:lineRule="auto"/>
        <w:rPr>
          <w:rFonts w:ascii="Arial" w:eastAsia="Times New Roman" w:hAnsi="Arial" w:cs="Arial"/>
          <w:color w:val="000000"/>
          <w:sz w:val="20"/>
          <w:szCs w:val="20"/>
          <w:lang w:eastAsia="en-GB"/>
        </w:rPr>
      </w:pPr>
      <w:r w:rsidRPr="005A2DE2">
        <w:rPr>
          <w:rFonts w:ascii="Arial" w:eastAsia="Times New Roman" w:hAnsi="Arial" w:cs="Arial"/>
          <w:color w:val="000000"/>
          <w:sz w:val="20"/>
          <w:szCs w:val="20"/>
          <w:lang w:eastAsia="en-GB"/>
        </w:rPr>
        <w:t>The event that precipitated the unrest took place on Friday 10 April, when two police officers attempted to assist a young black man who was severely injured. Under the impression that he was being arrested, three other black youths jostled the police officers and encouraged the injured man to run off. He was intercepted shortly afterwards by two other officers, who administered first aid and called for an ambulance. An inquisitive crowd rapidly gathered and suddenly a group of 30 to 40 people, mainly young Blacks, surrounded the officers. The injured man was pulled away, carried off by the crowd, and then put in a private car and taken to the hospital.</w:t>
      </w:r>
    </w:p>
    <w:p w14:paraId="1FB2AFA2" w14:textId="77777777" w:rsidR="005A2DE2" w:rsidRPr="005A2DE2" w:rsidRDefault="005A2DE2" w:rsidP="005A2DE2">
      <w:pPr>
        <w:shd w:val="clear" w:color="auto" w:fill="FFFFFF"/>
        <w:spacing w:after="240" w:line="240" w:lineRule="auto"/>
        <w:rPr>
          <w:rFonts w:ascii="Arial" w:eastAsia="Times New Roman" w:hAnsi="Arial" w:cs="Arial"/>
          <w:color w:val="000000"/>
          <w:sz w:val="20"/>
          <w:szCs w:val="20"/>
          <w:lang w:eastAsia="en-GB"/>
        </w:rPr>
      </w:pPr>
      <w:r w:rsidRPr="005A2DE2">
        <w:rPr>
          <w:rFonts w:ascii="Arial" w:eastAsia="Times New Roman" w:hAnsi="Arial" w:cs="Arial"/>
          <w:color w:val="000000"/>
          <w:sz w:val="20"/>
          <w:szCs w:val="20"/>
          <w:lang w:eastAsia="en-GB"/>
        </w:rPr>
        <w:t xml:space="preserve">In the </w:t>
      </w:r>
      <w:proofErr w:type="gramStart"/>
      <w:r w:rsidRPr="005A2DE2">
        <w:rPr>
          <w:rFonts w:ascii="Arial" w:eastAsia="Times New Roman" w:hAnsi="Arial" w:cs="Arial"/>
          <w:color w:val="000000"/>
          <w:sz w:val="20"/>
          <w:szCs w:val="20"/>
          <w:lang w:eastAsia="en-GB"/>
        </w:rPr>
        <w:t>meantime</w:t>
      </w:r>
      <w:proofErr w:type="gramEnd"/>
      <w:r w:rsidRPr="005A2DE2">
        <w:rPr>
          <w:rFonts w:ascii="Arial" w:eastAsia="Times New Roman" w:hAnsi="Arial" w:cs="Arial"/>
          <w:color w:val="000000"/>
          <w:sz w:val="20"/>
          <w:szCs w:val="20"/>
          <w:lang w:eastAsia="en-GB"/>
        </w:rPr>
        <w:t xml:space="preserve"> bricks and bottles were thrown at the police officers, who called for assistance. A missile broke the windscreen of a police transit </w:t>
      </w:r>
      <w:proofErr w:type="gramStart"/>
      <w:r w:rsidRPr="005A2DE2">
        <w:rPr>
          <w:rFonts w:ascii="Arial" w:eastAsia="Times New Roman" w:hAnsi="Arial" w:cs="Arial"/>
          <w:color w:val="000000"/>
          <w:sz w:val="20"/>
          <w:szCs w:val="20"/>
          <w:lang w:eastAsia="en-GB"/>
        </w:rPr>
        <w:t>van</w:t>
      </w:r>
      <w:proofErr w:type="gramEnd"/>
      <w:r w:rsidRPr="005A2DE2">
        <w:rPr>
          <w:rFonts w:ascii="Arial" w:eastAsia="Times New Roman" w:hAnsi="Arial" w:cs="Arial"/>
          <w:color w:val="000000"/>
          <w:sz w:val="20"/>
          <w:szCs w:val="20"/>
          <w:lang w:eastAsia="en-GB"/>
        </w:rPr>
        <w:t xml:space="preserve"> and a police officer was wounded as a result. The unrest lasted for about an hour, and by the time the incident was over six people had been arrested, six police officers injured, and four police vehicles damaged. In the light of the day's events, foot patrols in the area were increased with effect from 11 p.m. and continued throughout Friday night and into Saturday.</w:t>
      </w:r>
    </w:p>
    <w:p w14:paraId="2508ABAD" w14:textId="77777777" w:rsidR="005A2DE2" w:rsidRPr="005A2DE2" w:rsidRDefault="005A2DE2" w:rsidP="005A2DE2">
      <w:pPr>
        <w:shd w:val="clear" w:color="auto" w:fill="FFFFFF"/>
        <w:spacing w:after="240" w:line="240" w:lineRule="auto"/>
        <w:rPr>
          <w:rFonts w:ascii="Arial" w:eastAsia="Times New Roman" w:hAnsi="Arial" w:cs="Arial"/>
          <w:color w:val="000000"/>
          <w:sz w:val="20"/>
          <w:szCs w:val="20"/>
          <w:lang w:eastAsia="en-GB"/>
        </w:rPr>
      </w:pPr>
      <w:r w:rsidRPr="005A2DE2">
        <w:rPr>
          <w:rFonts w:ascii="Arial" w:eastAsia="Times New Roman" w:hAnsi="Arial" w:cs="Arial"/>
          <w:color w:val="000000"/>
          <w:sz w:val="20"/>
          <w:szCs w:val="20"/>
          <w:lang w:eastAsia="en-GB"/>
        </w:rPr>
        <w:t>Rumours about the incident involving the injured youth began immediately to circulate in Brixton. It was said that the police officers had prevented the youth from going to hospital, that they had refused to call an ambulance, and that they had in fact caused the youth's injury themselves. On Friday night several community leaders were summoned to a meeting with the police to be presented with the facts of the day and to assist in dispelling the rumours and easing the tension.</w:t>
      </w:r>
    </w:p>
    <w:p w14:paraId="58AECCCF" w14:textId="77777777" w:rsidR="005A2DE2" w:rsidRPr="005A2DE2" w:rsidRDefault="005A2DE2" w:rsidP="005A2DE2">
      <w:pPr>
        <w:shd w:val="clear" w:color="auto" w:fill="FFFFFF"/>
        <w:spacing w:after="240" w:line="240" w:lineRule="auto"/>
        <w:rPr>
          <w:rFonts w:ascii="Arial" w:eastAsia="Times New Roman" w:hAnsi="Arial" w:cs="Arial"/>
          <w:color w:val="000000"/>
          <w:sz w:val="20"/>
          <w:szCs w:val="20"/>
          <w:lang w:eastAsia="en-GB"/>
        </w:rPr>
      </w:pPr>
      <w:r w:rsidRPr="005A2DE2">
        <w:rPr>
          <w:rFonts w:ascii="Arial" w:eastAsia="Times New Roman" w:hAnsi="Arial" w:cs="Arial"/>
          <w:color w:val="000000"/>
          <w:sz w:val="20"/>
          <w:szCs w:val="20"/>
          <w:lang w:eastAsia="en-GB"/>
        </w:rPr>
        <w:t>On Saturday 11 April heavy police presence was noticeable in the streets of Brixton. Besides this, Swamp 81, a crime control operation employing officers in plain clothes to patrol the streets in pairs and to stop suspects, was kept in action in the area. At about 4.40 p.m. two officers engaged in the operation saw a man placing something in his socks; suspecting that he was dealing in drugs, they stopped him and searched his car. A hostile crowd rapidly gathered, and a black man was arrested for obstructing the police in the execution of their duties. It was at that point that the disorders broke out again and the situation slipped out of control.</w:t>
      </w:r>
    </w:p>
    <w:p w14:paraId="44F40D8C" w14:textId="77777777" w:rsidR="005A2DE2" w:rsidRPr="005A2DE2" w:rsidRDefault="005A2DE2" w:rsidP="005A2DE2">
      <w:pPr>
        <w:shd w:val="clear" w:color="auto" w:fill="FFFFFF"/>
        <w:spacing w:after="240" w:line="240" w:lineRule="auto"/>
        <w:rPr>
          <w:rFonts w:ascii="Arial" w:eastAsia="Times New Roman" w:hAnsi="Arial" w:cs="Arial"/>
          <w:color w:val="000000"/>
          <w:sz w:val="20"/>
          <w:szCs w:val="20"/>
          <w:lang w:eastAsia="en-GB"/>
        </w:rPr>
      </w:pPr>
      <w:r w:rsidRPr="005A2DE2">
        <w:rPr>
          <w:rFonts w:ascii="Arial" w:eastAsia="Times New Roman" w:hAnsi="Arial" w:cs="Arial"/>
          <w:color w:val="000000"/>
          <w:sz w:val="20"/>
          <w:szCs w:val="20"/>
          <w:lang w:eastAsia="en-GB"/>
        </w:rPr>
        <w:t xml:space="preserve">The confrontation between crowd and police quickly escalated into chaos. A wide area of central Brixton was affected by episodes of violence, arson, and looting. Several people were assaulted in the attacks to public houses and shops, and altogether 219 police officers, 14 firemen, and 45 members of the public were reported injured. A total of 145 premises were damaged and 4 </w:t>
      </w:r>
      <w:r w:rsidRPr="005A2DE2">
        <w:rPr>
          <w:rFonts w:ascii="Arial" w:eastAsia="Times New Roman" w:hAnsi="Arial" w:cs="Arial"/>
          <w:color w:val="000000"/>
          <w:sz w:val="20"/>
          <w:szCs w:val="20"/>
          <w:lang w:eastAsia="en-GB"/>
        </w:rPr>
        <w:lastRenderedPageBreak/>
        <w:t>ambulances, 9 fire appliances, 61 private vehicles, and 56 police vehicles were damaged or destroyed. Although less intense, the disorders recurred on Sunday and finally ceased by 1 a.m. on Monday.</w:t>
      </w:r>
    </w:p>
    <w:p w14:paraId="61B8805C" w14:textId="77777777" w:rsidR="005A2DE2" w:rsidRPr="005A2DE2" w:rsidRDefault="005A2DE2" w:rsidP="005A2DE2">
      <w:pPr>
        <w:shd w:val="clear" w:color="auto" w:fill="FFFFFF"/>
        <w:spacing w:after="240" w:line="240" w:lineRule="auto"/>
        <w:rPr>
          <w:rFonts w:ascii="Arial" w:eastAsia="Times New Roman" w:hAnsi="Arial" w:cs="Arial"/>
          <w:color w:val="000000"/>
          <w:sz w:val="20"/>
          <w:szCs w:val="20"/>
          <w:lang w:eastAsia="en-GB"/>
        </w:rPr>
      </w:pPr>
      <w:r w:rsidRPr="005A2DE2">
        <w:rPr>
          <w:rFonts w:ascii="Arial" w:eastAsia="Times New Roman" w:hAnsi="Arial" w:cs="Arial"/>
          <w:color w:val="000000"/>
          <w:sz w:val="20"/>
          <w:szCs w:val="20"/>
          <w:lang w:eastAsia="en-GB"/>
        </w:rPr>
        <w:t xml:space="preserve">The Scarman Report found that the disorders were not premeditated, but originated spontaneously as a reaction to what was seen as police harassment. However, an element of leadership and direction did rapidly </w:t>
      </w:r>
      <w:proofErr w:type="gramStart"/>
      <w:r w:rsidRPr="005A2DE2">
        <w:rPr>
          <w:rFonts w:ascii="Arial" w:eastAsia="Times New Roman" w:hAnsi="Arial" w:cs="Arial"/>
          <w:color w:val="000000"/>
          <w:sz w:val="20"/>
          <w:szCs w:val="20"/>
          <w:lang w:eastAsia="en-GB"/>
        </w:rPr>
        <w:t>emerge</w:t>
      </w:r>
      <w:proofErr w:type="gramEnd"/>
      <w:r w:rsidRPr="005A2DE2">
        <w:rPr>
          <w:rFonts w:ascii="Arial" w:eastAsia="Times New Roman" w:hAnsi="Arial" w:cs="Arial"/>
          <w:color w:val="000000"/>
          <w:sz w:val="20"/>
          <w:szCs w:val="20"/>
          <w:lang w:eastAsia="en-GB"/>
        </w:rPr>
        <w:t xml:space="preserve"> and the disturbances soon developed into a riot. Despite the strong racial element in the disorders, the Report discarded the argument that they were racial riots and concluded that they were essentially an outburst of anger and resentment by black youths against the police arising from complex socio</w:t>
      </w:r>
      <w:r w:rsidRPr="005A2DE2">
        <w:rPr>
          <w:rFonts w:ascii="Cambria Math" w:eastAsia="Times New Roman" w:hAnsi="Cambria Math" w:cs="Cambria Math"/>
          <w:color w:val="000000"/>
          <w:sz w:val="20"/>
          <w:szCs w:val="20"/>
          <w:lang w:eastAsia="en-GB"/>
        </w:rPr>
        <w:t>‐</w:t>
      </w:r>
      <w:r w:rsidRPr="005A2DE2">
        <w:rPr>
          <w:rFonts w:ascii="Arial" w:eastAsia="Times New Roman" w:hAnsi="Arial" w:cs="Arial"/>
          <w:color w:val="000000"/>
          <w:sz w:val="20"/>
          <w:szCs w:val="20"/>
          <w:lang w:eastAsia="en-GB"/>
        </w:rPr>
        <w:t>economic circumstances.</w:t>
      </w:r>
    </w:p>
    <w:p w14:paraId="7E2134B7" w14:textId="77777777" w:rsidR="005A2DE2" w:rsidRPr="005A2DE2" w:rsidRDefault="005A2DE2" w:rsidP="005A2DE2">
      <w:pPr>
        <w:shd w:val="clear" w:color="auto" w:fill="FFFFFF"/>
        <w:spacing w:after="240" w:line="240" w:lineRule="auto"/>
        <w:rPr>
          <w:rFonts w:ascii="Arial" w:eastAsia="Times New Roman" w:hAnsi="Arial" w:cs="Arial"/>
          <w:color w:val="000000"/>
          <w:sz w:val="20"/>
          <w:szCs w:val="20"/>
          <w:lang w:eastAsia="en-GB"/>
        </w:rPr>
      </w:pPr>
      <w:r w:rsidRPr="005A2DE2">
        <w:rPr>
          <w:rFonts w:ascii="Arial" w:eastAsia="Times New Roman" w:hAnsi="Arial" w:cs="Arial"/>
          <w:color w:val="000000"/>
          <w:sz w:val="20"/>
          <w:szCs w:val="20"/>
          <w:lang w:eastAsia="en-GB"/>
        </w:rPr>
        <w:t>The Report also gathered that a major cause of the hostility was loss of confidence in the police, caused by ‘hard’ policing methods; the collapse of the police liaison committee in 1979; distrust in the procedures for investigating complaints against the police; and racially prejudiced conduct by some police officers. Both the police and the community leaders carried some responsibility for the enduring atmosphere of distrust that lurked behind the outbreak of the disorders.</w:t>
      </w:r>
    </w:p>
    <w:p w14:paraId="5AF054E1" w14:textId="77777777" w:rsidR="005A2DE2" w:rsidRPr="005A2DE2" w:rsidRDefault="005A2DE2" w:rsidP="005A2DE2">
      <w:pPr>
        <w:shd w:val="clear" w:color="auto" w:fill="FFFFFF"/>
        <w:spacing w:after="240" w:line="240" w:lineRule="auto"/>
        <w:rPr>
          <w:rFonts w:ascii="Arial" w:eastAsia="Times New Roman" w:hAnsi="Arial" w:cs="Arial"/>
          <w:color w:val="000000"/>
          <w:sz w:val="20"/>
          <w:szCs w:val="20"/>
          <w:lang w:eastAsia="en-GB"/>
        </w:rPr>
      </w:pPr>
      <w:r w:rsidRPr="005A2DE2">
        <w:rPr>
          <w:rFonts w:ascii="Arial" w:eastAsia="Times New Roman" w:hAnsi="Arial" w:cs="Arial"/>
          <w:color w:val="000000"/>
          <w:sz w:val="20"/>
          <w:szCs w:val="20"/>
          <w:lang w:eastAsia="en-GB"/>
        </w:rPr>
        <w:t xml:space="preserve">Lord Scarman advanced </w:t>
      </w:r>
      <w:proofErr w:type="gramStart"/>
      <w:r w:rsidRPr="005A2DE2">
        <w:rPr>
          <w:rFonts w:ascii="Arial" w:eastAsia="Times New Roman" w:hAnsi="Arial" w:cs="Arial"/>
          <w:color w:val="000000"/>
          <w:sz w:val="20"/>
          <w:szCs w:val="20"/>
          <w:lang w:eastAsia="en-GB"/>
        </w:rPr>
        <w:t>a number of</w:t>
      </w:r>
      <w:proofErr w:type="gramEnd"/>
      <w:r w:rsidRPr="005A2DE2">
        <w:rPr>
          <w:rFonts w:ascii="Arial" w:eastAsia="Times New Roman" w:hAnsi="Arial" w:cs="Arial"/>
          <w:color w:val="000000"/>
          <w:sz w:val="20"/>
          <w:szCs w:val="20"/>
          <w:lang w:eastAsia="en-GB"/>
        </w:rPr>
        <w:t xml:space="preserve"> proposals and recommendations for improving the quality of policing in modern multiracial societies. In particular, he recommended the study of methods of enhancing the recruitment of ethnic minorities into the police; the extension of the initial period of training for police recruits; and the re</w:t>
      </w:r>
      <w:r w:rsidRPr="005A2DE2">
        <w:rPr>
          <w:rFonts w:ascii="Cambria Math" w:eastAsia="Times New Roman" w:hAnsi="Cambria Math" w:cs="Cambria Math"/>
          <w:color w:val="000000"/>
          <w:sz w:val="20"/>
          <w:szCs w:val="20"/>
          <w:lang w:eastAsia="en-GB"/>
        </w:rPr>
        <w:t>‐</w:t>
      </w:r>
      <w:r w:rsidRPr="005A2DE2">
        <w:rPr>
          <w:rFonts w:ascii="Arial" w:eastAsia="Times New Roman" w:hAnsi="Arial" w:cs="Arial"/>
          <w:color w:val="000000"/>
          <w:sz w:val="20"/>
          <w:szCs w:val="20"/>
          <w:lang w:eastAsia="en-GB"/>
        </w:rPr>
        <w:t>examination of policing methods in sensitive areas. He also endorsed a proposal by the </w:t>
      </w:r>
      <w:hyperlink r:id="rId6" w:history="1">
        <w:r w:rsidRPr="005A2DE2">
          <w:rPr>
            <w:rFonts w:ascii="Arial" w:eastAsia="Times New Roman" w:hAnsi="Arial" w:cs="Arial"/>
            <w:color w:val="206B7A"/>
            <w:sz w:val="20"/>
            <w:szCs w:val="20"/>
            <w:u w:val="single"/>
            <w:lang w:eastAsia="en-GB"/>
          </w:rPr>
          <w:t>Commission for Racial Equality</w:t>
        </w:r>
      </w:hyperlink>
      <w:r w:rsidRPr="005A2DE2">
        <w:rPr>
          <w:rFonts w:ascii="Arial" w:eastAsia="Times New Roman" w:hAnsi="Arial" w:cs="Arial"/>
          <w:color w:val="000000"/>
          <w:sz w:val="20"/>
          <w:szCs w:val="20"/>
          <w:lang w:eastAsia="en-GB"/>
        </w:rPr>
        <w:t> to incorporate racially prejudiced behaviour as a specific offence in the Police Disciplinary Code and to make it punishable with dismissal.</w:t>
      </w:r>
    </w:p>
    <w:p w14:paraId="50F51414" w14:textId="77777777" w:rsidR="005A2DE2" w:rsidRPr="005A2DE2" w:rsidRDefault="005A2DE2" w:rsidP="005A2DE2">
      <w:pPr>
        <w:shd w:val="clear" w:color="auto" w:fill="FFFFFF"/>
        <w:spacing w:after="240" w:line="240" w:lineRule="auto"/>
        <w:rPr>
          <w:rFonts w:ascii="Arial" w:eastAsia="Times New Roman" w:hAnsi="Arial" w:cs="Arial"/>
          <w:color w:val="000000"/>
          <w:sz w:val="20"/>
          <w:szCs w:val="20"/>
          <w:lang w:eastAsia="en-GB"/>
        </w:rPr>
      </w:pPr>
      <w:r w:rsidRPr="005A2DE2">
        <w:rPr>
          <w:rFonts w:ascii="Arial" w:eastAsia="Times New Roman" w:hAnsi="Arial" w:cs="Arial"/>
          <w:color w:val="000000"/>
          <w:sz w:val="20"/>
          <w:szCs w:val="20"/>
          <w:lang w:eastAsia="en-GB"/>
        </w:rPr>
        <w:t>In general, the central contention of the Report was the need to embrace social policies that effectively eradicate racial disadvantage. It explicitly advised the government to tackle inner</w:t>
      </w:r>
      <w:r w:rsidRPr="005A2DE2">
        <w:rPr>
          <w:rFonts w:ascii="Cambria Math" w:eastAsia="Times New Roman" w:hAnsi="Cambria Math" w:cs="Cambria Math"/>
          <w:color w:val="000000"/>
          <w:sz w:val="20"/>
          <w:szCs w:val="20"/>
          <w:lang w:eastAsia="en-GB"/>
        </w:rPr>
        <w:t>‐</w:t>
      </w:r>
      <w:r w:rsidRPr="005A2DE2">
        <w:rPr>
          <w:rFonts w:ascii="Arial" w:eastAsia="Times New Roman" w:hAnsi="Arial" w:cs="Arial"/>
          <w:color w:val="000000"/>
          <w:sz w:val="20"/>
          <w:szCs w:val="20"/>
          <w:lang w:eastAsia="en-GB"/>
        </w:rPr>
        <w:t>city problems, with particular attention to the areas of housing, education, and employment, and to create ethnic</w:t>
      </w:r>
      <w:r w:rsidRPr="005A2DE2">
        <w:rPr>
          <w:rFonts w:ascii="Cambria Math" w:eastAsia="Times New Roman" w:hAnsi="Cambria Math" w:cs="Cambria Math"/>
          <w:color w:val="000000"/>
          <w:sz w:val="20"/>
          <w:szCs w:val="20"/>
          <w:lang w:eastAsia="en-GB"/>
        </w:rPr>
        <w:t>‐</w:t>
      </w:r>
      <w:r w:rsidRPr="005A2DE2">
        <w:rPr>
          <w:rFonts w:ascii="Arial" w:eastAsia="Times New Roman" w:hAnsi="Arial" w:cs="Arial"/>
          <w:color w:val="000000"/>
          <w:sz w:val="20"/>
          <w:szCs w:val="20"/>
          <w:lang w:eastAsia="en-GB"/>
        </w:rPr>
        <w:t>minority opportunities in all sectors.</w:t>
      </w:r>
    </w:p>
    <w:p w14:paraId="65102306" w14:textId="77777777" w:rsidR="005A2DE2" w:rsidRPr="005A2DE2" w:rsidRDefault="005A2DE2" w:rsidP="005A2DE2">
      <w:pPr>
        <w:shd w:val="clear" w:color="auto" w:fill="FFFFFF"/>
        <w:spacing w:after="240" w:line="240" w:lineRule="auto"/>
        <w:rPr>
          <w:rFonts w:ascii="inherit" w:eastAsia="Times New Roman" w:hAnsi="inherit" w:cs="Arial"/>
          <w:smallCaps/>
          <w:color w:val="000000"/>
          <w:sz w:val="24"/>
          <w:szCs w:val="24"/>
          <w:lang w:eastAsia="en-GB"/>
        </w:rPr>
      </w:pPr>
      <w:r w:rsidRPr="005A2DE2">
        <w:rPr>
          <w:rFonts w:ascii="inherit" w:eastAsia="Times New Roman" w:hAnsi="inherit" w:cs="Arial"/>
          <w:smallCaps/>
          <w:color w:val="000000"/>
          <w:sz w:val="24"/>
          <w:szCs w:val="24"/>
          <w:lang w:eastAsia="en-GB"/>
        </w:rPr>
        <w:t xml:space="preserve">Letizia </w:t>
      </w:r>
      <w:proofErr w:type="spellStart"/>
      <w:r w:rsidRPr="005A2DE2">
        <w:rPr>
          <w:rFonts w:ascii="inherit" w:eastAsia="Times New Roman" w:hAnsi="inherit" w:cs="Arial"/>
          <w:smallCaps/>
          <w:color w:val="000000"/>
          <w:sz w:val="24"/>
          <w:szCs w:val="24"/>
          <w:lang w:eastAsia="en-GB"/>
        </w:rPr>
        <w:t>Gramaglia</w:t>
      </w:r>
      <w:proofErr w:type="spellEnd"/>
    </w:p>
    <w:p w14:paraId="371C7C44" w14:textId="77777777" w:rsidR="005A2DE2" w:rsidRPr="005A2DE2" w:rsidRDefault="005A2DE2" w:rsidP="005A2DE2">
      <w:pPr>
        <w:shd w:val="clear" w:color="auto" w:fill="FFFFFF"/>
        <w:spacing w:after="144" w:line="240" w:lineRule="auto"/>
        <w:rPr>
          <w:rFonts w:ascii="Arial" w:eastAsia="Times New Roman" w:hAnsi="Arial" w:cs="Arial"/>
          <w:b/>
          <w:bCs/>
          <w:color w:val="000000"/>
          <w:sz w:val="26"/>
          <w:szCs w:val="26"/>
          <w:lang w:eastAsia="en-GB"/>
        </w:rPr>
      </w:pPr>
      <w:r w:rsidRPr="005A2DE2">
        <w:rPr>
          <w:rFonts w:ascii="Arial" w:eastAsia="Times New Roman" w:hAnsi="Arial" w:cs="Arial"/>
          <w:b/>
          <w:bCs/>
          <w:color w:val="000000"/>
          <w:sz w:val="26"/>
          <w:szCs w:val="26"/>
          <w:lang w:eastAsia="en-GB"/>
        </w:rPr>
        <w:t>Bibliography</w:t>
      </w:r>
    </w:p>
    <w:p w14:paraId="5AD8036F" w14:textId="77777777" w:rsidR="005A2DE2" w:rsidRPr="005A2DE2" w:rsidRDefault="005A2DE2" w:rsidP="005A2DE2">
      <w:pPr>
        <w:shd w:val="clear" w:color="auto" w:fill="FFFFFF"/>
        <w:spacing w:after="240" w:line="240" w:lineRule="auto"/>
        <w:rPr>
          <w:rFonts w:ascii="Arial" w:eastAsia="Times New Roman" w:hAnsi="Arial" w:cs="Arial"/>
          <w:color w:val="000000"/>
          <w:sz w:val="20"/>
          <w:szCs w:val="20"/>
          <w:lang w:eastAsia="en-GB"/>
        </w:rPr>
      </w:pPr>
      <w:r w:rsidRPr="005A2DE2">
        <w:rPr>
          <w:rFonts w:ascii="Arial" w:eastAsia="Times New Roman" w:hAnsi="Arial" w:cs="Arial"/>
          <w:color w:val="000000"/>
          <w:sz w:val="20"/>
          <w:szCs w:val="20"/>
          <w:lang w:eastAsia="en-GB"/>
        </w:rPr>
        <w:t>Scarman, Lord, </w:t>
      </w:r>
      <w:r w:rsidRPr="005A2DE2">
        <w:rPr>
          <w:rFonts w:ascii="Arial" w:eastAsia="Times New Roman" w:hAnsi="Arial" w:cs="Arial"/>
          <w:i/>
          <w:iCs/>
          <w:color w:val="000000"/>
          <w:sz w:val="20"/>
          <w:szCs w:val="20"/>
          <w:lang w:eastAsia="en-GB"/>
        </w:rPr>
        <w:t>The Scarman Report: The Brixton Disorders 10–12 April 1981</w:t>
      </w:r>
      <w:r w:rsidRPr="005A2DE2">
        <w:rPr>
          <w:rFonts w:ascii="Arial" w:eastAsia="Times New Roman" w:hAnsi="Arial" w:cs="Arial"/>
          <w:color w:val="000000"/>
          <w:sz w:val="20"/>
          <w:szCs w:val="20"/>
          <w:lang w:eastAsia="en-GB"/>
        </w:rPr>
        <w:t> (1981)</w:t>
      </w:r>
    </w:p>
    <w:p w14:paraId="0347E8A4" w14:textId="77777777" w:rsidR="00F6611B" w:rsidRDefault="001B4902"/>
    <w:sectPr w:rsidR="00F661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1BD"/>
    <w:rsid w:val="0018110E"/>
    <w:rsid w:val="001B4902"/>
    <w:rsid w:val="00397D2B"/>
    <w:rsid w:val="005A2DE2"/>
    <w:rsid w:val="0070066C"/>
    <w:rsid w:val="007F4891"/>
    <w:rsid w:val="00934FC3"/>
    <w:rsid w:val="00B34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90906"/>
  <w15:chartTrackingRefBased/>
  <w15:docId w15:val="{3442045A-5E21-402E-93B0-28389A3AA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235661">
      <w:bodyDiv w:val="1"/>
      <w:marLeft w:val="0"/>
      <w:marRight w:val="0"/>
      <w:marTop w:val="0"/>
      <w:marBottom w:val="0"/>
      <w:divBdr>
        <w:top w:val="none" w:sz="0" w:space="0" w:color="auto"/>
        <w:left w:val="none" w:sz="0" w:space="0" w:color="auto"/>
        <w:bottom w:val="none" w:sz="0" w:space="0" w:color="auto"/>
        <w:right w:val="none" w:sz="0" w:space="0" w:color="auto"/>
      </w:divBdr>
      <w:divsChild>
        <w:div w:id="295645229">
          <w:marLeft w:val="0"/>
          <w:marRight w:val="0"/>
          <w:marTop w:val="225"/>
          <w:marBottom w:val="225"/>
          <w:divBdr>
            <w:top w:val="none" w:sz="0" w:space="0" w:color="auto"/>
            <w:left w:val="none" w:sz="0" w:space="0" w:color="auto"/>
            <w:bottom w:val="none" w:sz="0" w:space="0" w:color="auto"/>
            <w:right w:val="none" w:sz="0" w:space="0" w:color="auto"/>
          </w:divBdr>
        </w:div>
        <w:div w:id="1628201679">
          <w:marLeft w:val="0"/>
          <w:marRight w:val="0"/>
          <w:marTop w:val="225"/>
          <w:marBottom w:val="225"/>
          <w:divBdr>
            <w:top w:val="none" w:sz="0" w:space="0" w:color="auto"/>
            <w:left w:val="none" w:sz="0" w:space="0" w:color="auto"/>
            <w:bottom w:val="none" w:sz="0" w:space="0" w:color="auto"/>
            <w:right w:val="none" w:sz="0" w:space="0" w:color="auto"/>
          </w:divBdr>
          <w:divsChild>
            <w:div w:id="1328751124">
              <w:marLeft w:val="0"/>
              <w:marRight w:val="0"/>
              <w:marTop w:val="0"/>
              <w:marBottom w:val="0"/>
              <w:divBdr>
                <w:top w:val="none" w:sz="0" w:space="0" w:color="auto"/>
                <w:left w:val="none" w:sz="0" w:space="0" w:color="auto"/>
                <w:bottom w:val="none" w:sz="0" w:space="0" w:color="auto"/>
                <w:right w:val="none" w:sz="0" w:space="0" w:color="auto"/>
              </w:divBdr>
            </w:div>
          </w:divsChild>
        </w:div>
        <w:div w:id="1020475089">
          <w:marLeft w:val="0"/>
          <w:marRight w:val="0"/>
          <w:marTop w:val="225"/>
          <w:marBottom w:val="225"/>
          <w:divBdr>
            <w:top w:val="none" w:sz="0" w:space="0" w:color="auto"/>
            <w:left w:val="none" w:sz="0" w:space="0" w:color="auto"/>
            <w:bottom w:val="none" w:sz="0" w:space="0" w:color="auto"/>
            <w:right w:val="none" w:sz="0" w:space="0" w:color="auto"/>
          </w:divBdr>
          <w:divsChild>
            <w:div w:id="987199938">
              <w:marLeft w:val="0"/>
              <w:marRight w:val="0"/>
              <w:marTop w:val="360"/>
              <w:marBottom w:val="144"/>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xfordreference-com.ezproxy.uwtsd.ac.uk/view/10.1093/acref/9780192804396.001.0001/acref-9780192804396-e-95" TargetMode="External"/><Relationship Id="rId5" Type="http://schemas.openxmlformats.org/officeDocument/2006/relationships/hyperlink" Target="https://www-oxfordreference-com.ezproxy.uwtsd.ac.uk/view/10.1093/acref/9780192804396.001.0001/acref-9780192804396-e-61"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924</Words>
  <Characters>5270</Characters>
  <Application>Microsoft Office Word</Application>
  <DocSecurity>0</DocSecurity>
  <Lines>43</Lines>
  <Paragraphs>12</Paragraphs>
  <ScaleCrop>false</ScaleCrop>
  <Company/>
  <LinksUpToDate>false</LinksUpToDate>
  <CharactersWithSpaces>6182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6</cp:revision>
  <dcterms:created xsi:type="dcterms:W3CDTF">2023-03-09T07:54:00Z</dcterms:created>
  <dcterms:modified xsi:type="dcterms:W3CDTF">2023-03-09T07:58:00Z</dcterms:modified>
</cp:coreProperties>
</file>