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07045" w14:textId="1FB87D0A" w:rsidR="00466B3A" w:rsidRDefault="00466B3A" w:rsidP="00466B3A">
      <w:pPr>
        <w:spacing w:before="0" w:after="0" w:line="240" w:lineRule="auto"/>
        <w:jc w:val="center"/>
      </w:pPr>
    </w:p>
    <w:p w14:paraId="055FBE11" w14:textId="77777777" w:rsidR="00466B3A" w:rsidRDefault="00466B3A" w:rsidP="00466B3A">
      <w:pPr>
        <w:spacing w:before="0" w:after="0" w:line="240" w:lineRule="auto"/>
        <w:jc w:val="center"/>
      </w:pPr>
      <w:r>
        <w:t>MODULE CODE/ COD Y MODIWL: LCBB4002</w:t>
      </w:r>
    </w:p>
    <w:p w14:paraId="6E104751" w14:textId="77777777" w:rsidR="00505323" w:rsidRDefault="00466B3A" w:rsidP="00466B3A">
      <w:pPr>
        <w:spacing w:before="0" w:after="0" w:line="240" w:lineRule="auto"/>
        <w:jc w:val="center"/>
      </w:pPr>
      <w:r>
        <w:t>COMMUNITY ENGAGEMENT</w:t>
      </w:r>
    </w:p>
    <w:p w14:paraId="16524C2C" w14:textId="77777777" w:rsidR="00505323" w:rsidRDefault="00505323" w:rsidP="00466B3A">
      <w:pPr>
        <w:spacing w:before="0" w:after="0" w:line="240" w:lineRule="auto"/>
        <w:jc w:val="center"/>
      </w:pPr>
    </w:p>
    <w:p w14:paraId="4CD101F6" w14:textId="77777777" w:rsidR="00505323" w:rsidRDefault="00505323" w:rsidP="00466B3A">
      <w:pPr>
        <w:spacing w:before="0" w:after="0" w:line="240" w:lineRule="auto"/>
        <w:jc w:val="center"/>
      </w:pPr>
    </w:p>
    <w:p w14:paraId="395BCFFB" w14:textId="77777777" w:rsidR="00505323" w:rsidRDefault="00505323" w:rsidP="00466B3A">
      <w:pPr>
        <w:spacing w:before="0" w:after="0" w:line="240" w:lineRule="auto"/>
        <w:jc w:val="center"/>
      </w:pPr>
    </w:p>
    <w:p w14:paraId="39211A71" w14:textId="77777777" w:rsidR="00505323" w:rsidRDefault="00505323" w:rsidP="00466B3A">
      <w:pPr>
        <w:spacing w:before="0" w:after="0" w:line="240" w:lineRule="auto"/>
        <w:jc w:val="center"/>
      </w:pPr>
    </w:p>
    <w:p w14:paraId="12364AA0" w14:textId="77777777" w:rsidR="00505323" w:rsidRDefault="00505323" w:rsidP="00466B3A">
      <w:pPr>
        <w:spacing w:before="0" w:after="0" w:line="240" w:lineRule="auto"/>
        <w:jc w:val="center"/>
      </w:pPr>
    </w:p>
    <w:p w14:paraId="7F0DE822" w14:textId="77777777" w:rsidR="00505323" w:rsidRDefault="00505323" w:rsidP="00466B3A">
      <w:pPr>
        <w:spacing w:before="0" w:after="0" w:line="240" w:lineRule="auto"/>
        <w:jc w:val="center"/>
      </w:pPr>
    </w:p>
    <w:p w14:paraId="3DC5C15A" w14:textId="77777777" w:rsidR="00505323" w:rsidRDefault="00505323" w:rsidP="00466B3A">
      <w:pPr>
        <w:spacing w:before="0" w:after="0" w:line="240" w:lineRule="auto"/>
        <w:jc w:val="center"/>
      </w:pPr>
    </w:p>
    <w:p w14:paraId="5A3E0BB1" w14:textId="77777777" w:rsidR="00505323" w:rsidRDefault="00505323" w:rsidP="00466B3A">
      <w:pPr>
        <w:spacing w:before="0" w:after="0" w:line="240" w:lineRule="auto"/>
        <w:jc w:val="center"/>
      </w:pPr>
    </w:p>
    <w:p w14:paraId="306143A3" w14:textId="77777777" w:rsidR="00505323" w:rsidRDefault="00505323" w:rsidP="00466B3A">
      <w:pPr>
        <w:spacing w:before="0" w:after="0" w:line="240" w:lineRule="auto"/>
        <w:jc w:val="center"/>
      </w:pPr>
    </w:p>
    <w:p w14:paraId="45C7C9FA" w14:textId="77777777" w:rsidR="00505323" w:rsidRDefault="00505323" w:rsidP="00466B3A">
      <w:pPr>
        <w:spacing w:before="0" w:after="0" w:line="240" w:lineRule="auto"/>
        <w:jc w:val="center"/>
      </w:pPr>
    </w:p>
    <w:p w14:paraId="34302A56" w14:textId="77777777" w:rsidR="00505323" w:rsidRDefault="00505323" w:rsidP="00466B3A">
      <w:pPr>
        <w:spacing w:before="0" w:after="0" w:line="240" w:lineRule="auto"/>
        <w:jc w:val="center"/>
      </w:pPr>
    </w:p>
    <w:p w14:paraId="219B9936" w14:textId="77777777" w:rsidR="00505323" w:rsidRDefault="00505323" w:rsidP="00466B3A">
      <w:pPr>
        <w:spacing w:before="0" w:after="0" w:line="240" w:lineRule="auto"/>
        <w:jc w:val="center"/>
      </w:pPr>
    </w:p>
    <w:p w14:paraId="75AEBE8C" w14:textId="77777777" w:rsidR="00505323" w:rsidRDefault="00505323" w:rsidP="00466B3A">
      <w:pPr>
        <w:spacing w:before="0" w:after="0" w:line="240" w:lineRule="auto"/>
        <w:jc w:val="center"/>
      </w:pPr>
    </w:p>
    <w:p w14:paraId="29AD10CF" w14:textId="77777777" w:rsidR="00505323" w:rsidRDefault="00505323" w:rsidP="00466B3A">
      <w:pPr>
        <w:spacing w:before="0" w:after="0" w:line="240" w:lineRule="auto"/>
        <w:jc w:val="center"/>
      </w:pPr>
    </w:p>
    <w:p w14:paraId="67FE2481" w14:textId="77777777" w:rsidR="00505323" w:rsidRDefault="00505323" w:rsidP="00466B3A">
      <w:pPr>
        <w:spacing w:before="0" w:after="0" w:line="240" w:lineRule="auto"/>
        <w:jc w:val="center"/>
      </w:pPr>
    </w:p>
    <w:p w14:paraId="6409542D" w14:textId="77777777" w:rsidR="00505323" w:rsidRDefault="00505323" w:rsidP="00466B3A">
      <w:pPr>
        <w:spacing w:before="0" w:after="0" w:line="240" w:lineRule="auto"/>
        <w:jc w:val="center"/>
      </w:pPr>
    </w:p>
    <w:p w14:paraId="764C95C2" w14:textId="77777777" w:rsidR="00505323" w:rsidRDefault="00505323" w:rsidP="00466B3A">
      <w:pPr>
        <w:spacing w:before="0" w:after="0" w:line="240" w:lineRule="auto"/>
        <w:jc w:val="center"/>
      </w:pPr>
    </w:p>
    <w:p w14:paraId="4EDBB05B" w14:textId="77777777" w:rsidR="00505323" w:rsidRDefault="00505323" w:rsidP="00466B3A">
      <w:pPr>
        <w:spacing w:before="0" w:after="0" w:line="240" w:lineRule="auto"/>
        <w:jc w:val="center"/>
      </w:pPr>
    </w:p>
    <w:p w14:paraId="4CA0D0DE" w14:textId="77777777" w:rsidR="00505323" w:rsidRDefault="00505323" w:rsidP="00466B3A">
      <w:pPr>
        <w:spacing w:before="0" w:after="0" w:line="240" w:lineRule="auto"/>
        <w:jc w:val="center"/>
      </w:pPr>
    </w:p>
    <w:p w14:paraId="652DD9D7" w14:textId="77777777" w:rsidR="00505323" w:rsidRDefault="00505323" w:rsidP="00466B3A">
      <w:pPr>
        <w:spacing w:before="0" w:after="0" w:line="240" w:lineRule="auto"/>
        <w:jc w:val="center"/>
      </w:pPr>
    </w:p>
    <w:p w14:paraId="616F285A" w14:textId="77777777" w:rsidR="00505323" w:rsidRDefault="00505323" w:rsidP="00466B3A">
      <w:pPr>
        <w:spacing w:before="0" w:after="0" w:line="240" w:lineRule="auto"/>
        <w:jc w:val="center"/>
      </w:pPr>
    </w:p>
    <w:p w14:paraId="49CE4B32" w14:textId="77777777" w:rsidR="00505323" w:rsidRDefault="00505323" w:rsidP="00466B3A">
      <w:pPr>
        <w:spacing w:before="0" w:after="0" w:line="240" w:lineRule="auto"/>
        <w:jc w:val="center"/>
      </w:pPr>
    </w:p>
    <w:p w14:paraId="297D39A9" w14:textId="77777777" w:rsidR="00505323" w:rsidRDefault="00505323" w:rsidP="00466B3A">
      <w:pPr>
        <w:spacing w:before="0" w:after="0" w:line="240" w:lineRule="auto"/>
        <w:jc w:val="center"/>
      </w:pPr>
    </w:p>
    <w:p w14:paraId="2C3A7550" w14:textId="77777777" w:rsidR="00505323" w:rsidRDefault="00505323" w:rsidP="00466B3A">
      <w:pPr>
        <w:spacing w:before="0" w:after="0" w:line="240" w:lineRule="auto"/>
        <w:jc w:val="center"/>
      </w:pPr>
    </w:p>
    <w:p w14:paraId="4CD35209" w14:textId="77777777" w:rsidR="00505323" w:rsidRDefault="00505323" w:rsidP="00466B3A">
      <w:pPr>
        <w:spacing w:before="0" w:after="0" w:line="240" w:lineRule="auto"/>
        <w:jc w:val="center"/>
      </w:pPr>
    </w:p>
    <w:p w14:paraId="0CD3DD46" w14:textId="77777777" w:rsidR="00505323" w:rsidRDefault="00505323" w:rsidP="00466B3A">
      <w:pPr>
        <w:spacing w:before="0" w:after="0" w:line="240" w:lineRule="auto"/>
        <w:jc w:val="center"/>
      </w:pPr>
    </w:p>
    <w:p w14:paraId="594912E2" w14:textId="77777777" w:rsidR="00A03882" w:rsidRDefault="00505323" w:rsidP="00505323">
      <w:pPr>
        <w:spacing w:before="0" w:after="0" w:line="240" w:lineRule="auto"/>
        <w:jc w:val="left"/>
        <w:rPr>
          <w:b/>
          <w:bCs/>
        </w:rPr>
      </w:pPr>
      <w:r>
        <w:rPr>
          <w:b/>
          <w:bCs/>
        </w:rPr>
        <w:t>Student ID:</w:t>
      </w:r>
      <w:r w:rsidR="00A03882">
        <w:rPr>
          <w:b/>
          <w:bCs/>
        </w:rPr>
        <w:t>2111163</w:t>
      </w:r>
    </w:p>
    <w:p w14:paraId="40CEDFB1" w14:textId="4158757B" w:rsidR="00A03882" w:rsidRDefault="00A03882" w:rsidP="00505323">
      <w:pPr>
        <w:spacing w:before="0" w:after="0" w:line="240" w:lineRule="auto"/>
        <w:jc w:val="left"/>
        <w:rPr>
          <w:b/>
          <w:bCs/>
        </w:rPr>
      </w:pPr>
      <w:r>
        <w:rPr>
          <w:b/>
          <w:bCs/>
        </w:rPr>
        <w:t>Student name: Florina-</w:t>
      </w:r>
      <w:proofErr w:type="gramStart"/>
      <w:r>
        <w:rPr>
          <w:b/>
          <w:bCs/>
        </w:rPr>
        <w:t>Madalina  Gugoi</w:t>
      </w:r>
      <w:proofErr w:type="gramEnd"/>
    </w:p>
    <w:p w14:paraId="7F5C89DE" w14:textId="6BBE3A63" w:rsidR="00A03882" w:rsidRDefault="00A03882" w:rsidP="00505323">
      <w:pPr>
        <w:spacing w:before="0" w:after="0" w:line="240" w:lineRule="auto"/>
        <w:jc w:val="left"/>
        <w:rPr>
          <w:b/>
          <w:bCs/>
        </w:rPr>
      </w:pPr>
      <w:r>
        <w:rPr>
          <w:b/>
          <w:bCs/>
        </w:rPr>
        <w:t xml:space="preserve">Lecturer name: Zahra </w:t>
      </w:r>
      <w:proofErr w:type="spellStart"/>
      <w:r>
        <w:rPr>
          <w:b/>
          <w:bCs/>
        </w:rPr>
        <w:t>Mohammadnazari</w:t>
      </w:r>
      <w:proofErr w:type="spellEnd"/>
    </w:p>
    <w:p w14:paraId="62054F44" w14:textId="77777777" w:rsidR="00A03882" w:rsidRDefault="00A03882" w:rsidP="00505323">
      <w:pPr>
        <w:spacing w:before="0" w:after="0" w:line="240" w:lineRule="auto"/>
        <w:jc w:val="left"/>
        <w:rPr>
          <w:b/>
          <w:bCs/>
        </w:rPr>
      </w:pPr>
    </w:p>
    <w:p w14:paraId="311B47ED" w14:textId="77777777" w:rsidR="00A03882" w:rsidRDefault="00A03882" w:rsidP="00505323">
      <w:pPr>
        <w:spacing w:before="0" w:after="0" w:line="240" w:lineRule="auto"/>
        <w:jc w:val="left"/>
        <w:rPr>
          <w:b/>
          <w:bCs/>
        </w:rPr>
      </w:pPr>
    </w:p>
    <w:p w14:paraId="543E1E2C" w14:textId="77777777" w:rsidR="00A03882" w:rsidRDefault="00A03882" w:rsidP="00505323">
      <w:pPr>
        <w:spacing w:before="0" w:after="0" w:line="240" w:lineRule="auto"/>
        <w:jc w:val="left"/>
        <w:rPr>
          <w:b/>
          <w:bCs/>
        </w:rPr>
      </w:pPr>
    </w:p>
    <w:p w14:paraId="3636139A" w14:textId="77777777" w:rsidR="00A03882" w:rsidRDefault="00A03882" w:rsidP="00505323">
      <w:pPr>
        <w:spacing w:before="0" w:after="0" w:line="240" w:lineRule="auto"/>
        <w:jc w:val="left"/>
        <w:rPr>
          <w:b/>
          <w:bCs/>
        </w:rPr>
      </w:pPr>
    </w:p>
    <w:p w14:paraId="450B5217" w14:textId="7F46238D" w:rsidR="00466B3A" w:rsidRDefault="00466B3A" w:rsidP="00505323">
      <w:pPr>
        <w:spacing w:before="0" w:after="0" w:line="240" w:lineRule="auto"/>
        <w:jc w:val="left"/>
      </w:pPr>
      <w:r>
        <w:br w:type="page"/>
      </w:r>
    </w:p>
    <w:p w14:paraId="5E5913DF"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lastRenderedPageBreak/>
        <w:t>To be successful, any community development plan that tries to enhance the well-being of the people who reside in the community must have the full and active participation of the local inhabitants. According to Head (2007), in order to successfully manage a project that incorporates community engagement, it is vital to be fully informed of the many participation techniques accessible. This equips me with the necessary basis for a prosperous career as a programme officer specialising in community participation. The primary goal of this introspective inquiry is to examine the varied interpretations of community engagement as well as the diverse techniques employed while preparing a community participation campaign.</w:t>
      </w:r>
    </w:p>
    <w:p w14:paraId="1A5C31D9"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t>In my opinion, the effectiveness of community involvement activities is directly proportionate to the community council's ability to establish strong connections with the individuals who make up the community. According to Dempsey (2010), the three most critical qualities that must be present in order to build a stable and healthy love relationship are open communication, mutual trust, and an equitable division of chores. The case study covered in this article elucidates the entire strategy used by the council to lower crime rates. Community policing encompasses a broad variety of approaches and programmes, such as educational efforts and neighbourhood watch programmes, as examples of the kind of activities that fall within its purview. It is expected that the implementation of these measures would result in a drop in overall crime rates, which will help to the development of a more secure community on a local level.</w:t>
      </w:r>
    </w:p>
    <w:p w14:paraId="5DF11185"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t>My first task as the officer in charge of community engagement is to identify the components of the project that need the greatest public participation and then prioritise those aspects in order of significance. The foundation is established during the first phase, which establishes the platform for the subsequent phases and focuses a specific emphasis on the development of an all-encompassing community involvement strategy. The plan includes a variety of elements, such as goals, strategies, and techniques for achieving those objectives. In the following sections, I will go through the many components that make up the strategy.</w:t>
      </w:r>
    </w:p>
    <w:p w14:paraId="043A044B"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t>The establishment of open and honest communication links serves as the cornerstone for every successful activity involving a group of individuals working together. The development of a two-way communication channel between project managers and members of the community</w:t>
      </w:r>
      <w:r>
        <w:rPr>
          <w:rFonts w:ascii="Times New Roman" w:hAnsi="Times New Roman" w:cs="Times New Roman"/>
        </w:rPr>
        <w:t xml:space="preserve"> can </w:t>
      </w:r>
      <w:r w:rsidRPr="00466B3A">
        <w:rPr>
          <w:rFonts w:ascii="Times New Roman" w:hAnsi="Times New Roman" w:cs="Times New Roman"/>
        </w:rPr>
        <w:t xml:space="preserve">be aided by developing an environment that supports open and sincere discussion about the project's objectives, progress, and outcomes. As a community officer, it would be my obligation to provide a variety of various communication channels to make it simpler for community members to express their thoughts, questions, and suggestions. According to </w:t>
      </w:r>
      <w:r w:rsidRPr="00466B3A">
        <w:rPr>
          <w:rFonts w:ascii="Times New Roman" w:hAnsi="Times New Roman" w:cs="Times New Roman"/>
        </w:rPr>
        <w:lastRenderedPageBreak/>
        <w:t>Newman (2006), among the many venues for communication and collaboration include public forums, newsletters, social media, and in-person meetings.</w:t>
      </w:r>
    </w:p>
    <w:p w14:paraId="40C37714"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t>One of the most crucial components of any community engagement strategy is including community members in the decision-making process. According to Aslin and Brown (2004), it is critical to incorporate local people in the policymaking process since these people have the necessary knowledge and experience to properly deal with the issues that they face in their daily lives. Establishing opportunities for public participation at each stage of the project, including its conception, execution, and assessment, would be one of my primary goals for the project. The use of public discussions, focus groups, or advisory committees to establish equitable and transparent conversation</w:t>
      </w:r>
      <w:r>
        <w:rPr>
          <w:rFonts w:ascii="Times New Roman" w:hAnsi="Times New Roman" w:cs="Times New Roman"/>
        </w:rPr>
        <w:t xml:space="preserve"> can </w:t>
      </w:r>
      <w:r w:rsidRPr="00466B3A">
        <w:rPr>
          <w:rFonts w:ascii="Times New Roman" w:hAnsi="Times New Roman" w:cs="Times New Roman"/>
        </w:rPr>
        <w:t>contribute in the achievement of this aim. This might make achieving this aim simpler.</w:t>
      </w:r>
    </w:p>
    <w:p w14:paraId="25BC1F32"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t>The proposed approach involves capitalising on community events in order to enhance involvement. Attending community activities allows neighbours to engage with one another, form new social relationships, and discuss problems that are important to them as individuals and as a group. As the senior officer, it is my responsibility to effectively manage community activities that are consistent with the program's goals and objectives. This purpose</w:t>
      </w:r>
      <w:r>
        <w:rPr>
          <w:rFonts w:ascii="Times New Roman" w:hAnsi="Times New Roman" w:cs="Times New Roman"/>
        </w:rPr>
        <w:t xml:space="preserve"> can </w:t>
      </w:r>
      <w:r w:rsidRPr="00466B3A">
        <w:rPr>
          <w:rFonts w:ascii="Times New Roman" w:hAnsi="Times New Roman" w:cs="Times New Roman"/>
        </w:rPr>
        <w:t>be met through holding numerous community events such as fairs, festivals, and other forms of gatherings. These social gatherings make participants feel more connected to one another and inspire greater community engagement in the program's overall aims (Driscoll, 2008)</w:t>
      </w:r>
    </w:p>
    <w:p w14:paraId="3D058E57"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t>As a community officer, my main focus would be on fostering open and honest communication as well as consensus-building strategies in order to effectively engage with the community. This would be done in tandem with the promotion of open and transparent communication. If these steps are carried out properly, they will deepen the link that presently exists between the community and the development project, increasing the chance of the project's success.</w:t>
      </w:r>
    </w:p>
    <w:p w14:paraId="19327CE5"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t>When it comes to including the whole community, joint planning is crucial. An examination of the current state of affairs will be conducted with the cooperation of local residents in order to determine the actions that must be done to improve the situation. If</w:t>
      </w:r>
      <w:r w:rsidR="002E15C4">
        <w:rPr>
          <w:rFonts w:ascii="Times New Roman" w:hAnsi="Times New Roman" w:cs="Times New Roman"/>
        </w:rPr>
        <w:t xml:space="preserve"> one was</w:t>
      </w:r>
      <w:r w:rsidRPr="00466B3A">
        <w:rPr>
          <w:rFonts w:ascii="Times New Roman" w:hAnsi="Times New Roman" w:cs="Times New Roman"/>
        </w:rPr>
        <w:t xml:space="preserve"> to become a community officer,</w:t>
      </w:r>
      <w:r w:rsidR="002E15C4">
        <w:rPr>
          <w:rFonts w:ascii="Times New Roman" w:hAnsi="Times New Roman" w:cs="Times New Roman"/>
        </w:rPr>
        <w:t xml:space="preserve"> his/her </w:t>
      </w:r>
      <w:r w:rsidRPr="00466B3A">
        <w:rPr>
          <w:rFonts w:ascii="Times New Roman" w:hAnsi="Times New Roman" w:cs="Times New Roman"/>
        </w:rPr>
        <w:t xml:space="preserve">primary goal would be to strengthen the level of communication and collaboration that currently exists between the people of the community and the several organisations that serve to satisfy their needs. Furthermore, in order to maximise the chance of success, it would be prudent to create strong coordination with stakeholders that have a vested interest in the successful accomplishment of the project's aims. The attainment of the project's </w:t>
      </w:r>
      <w:r w:rsidRPr="00466B3A">
        <w:rPr>
          <w:rFonts w:ascii="Times New Roman" w:hAnsi="Times New Roman" w:cs="Times New Roman"/>
        </w:rPr>
        <w:lastRenderedPageBreak/>
        <w:t>goals and objectives, as well as the choice to follow an efficient strategy for pushing the work ahead, are the three most crucial variables that will define the amount of success achieved by the effort (Watson and Waterton, 2013).</w:t>
      </w:r>
    </w:p>
    <w:p w14:paraId="40EE1623"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t>Volunteering in the community often necessitates collaboration with others, which is a vital aspect of the experience. Partnerships are types of cooperation that include individuals working together to achieve a shared purpose. Partnerships</w:t>
      </w:r>
      <w:r>
        <w:rPr>
          <w:rFonts w:ascii="Times New Roman" w:hAnsi="Times New Roman" w:cs="Times New Roman"/>
        </w:rPr>
        <w:t xml:space="preserve"> can </w:t>
      </w:r>
      <w:r w:rsidRPr="00466B3A">
        <w:rPr>
          <w:rFonts w:ascii="Times New Roman" w:hAnsi="Times New Roman" w:cs="Times New Roman"/>
        </w:rPr>
        <w:t>include a broad range of entities, such as community organisations, businesses, and other sorts of groups. There is a high likelihood that the aforementioned objective</w:t>
      </w:r>
      <w:r>
        <w:rPr>
          <w:rFonts w:ascii="Times New Roman" w:hAnsi="Times New Roman" w:cs="Times New Roman"/>
        </w:rPr>
        <w:t xml:space="preserve"> can </w:t>
      </w:r>
      <w:r w:rsidRPr="00466B3A">
        <w:rPr>
          <w:rFonts w:ascii="Times New Roman" w:hAnsi="Times New Roman" w:cs="Times New Roman"/>
        </w:rPr>
        <w:t>be achieved via effective collaboration since the aims of various organisations are linked with one another. It is likely that formal or informal partnerships, alliances, and networks, as well as other types of cooperation, will make this aim simpler to achieve.</w:t>
      </w:r>
    </w:p>
    <w:p w14:paraId="08D4185B"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t>To ensure that members of the general public understand a project completely, awareness campaigns must be launched. The anticipated outcomes and potential consequences of a project are at the forefront of these diverse initiatives' principal concentrations of focus. If I were given the opportunity to join in this project, I would make every effort to conceptualise and carry out PR efforts with the purpose of effectively attaining the mentioned goals. These initiatives take the shape of instructional seminars and community forums. The aim of these efforts is to exchange knowledge and foster a deeper understanding (Wallerstein et al., 2015).</w:t>
      </w:r>
    </w:p>
    <w:p w14:paraId="4BB71427"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t>The establishment of volunteer programmes serves the objective of expanding community engagement in the project's execution. The main goal is to organise volunteer activities such that they instantly align with the project's goals. This purpose</w:t>
      </w:r>
      <w:r>
        <w:rPr>
          <w:rFonts w:ascii="Times New Roman" w:hAnsi="Times New Roman" w:cs="Times New Roman"/>
        </w:rPr>
        <w:t xml:space="preserve"> can </w:t>
      </w:r>
      <w:r w:rsidRPr="00466B3A">
        <w:rPr>
          <w:rFonts w:ascii="Times New Roman" w:hAnsi="Times New Roman" w:cs="Times New Roman"/>
        </w:rPr>
        <w:t>be met through providing mentoring, participating in volunteer work, and doing a variety of acts of service.</w:t>
      </w:r>
    </w:p>
    <w:p w14:paraId="498D05BE"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t xml:space="preserve">My plan for fostering community participation would include group brainstorming, making contacts, providing public information, and engaging in service-oriented initiatives. By boosting the amount of engagement of individuals living in the local community, these strategies aim to forge a relationship between the project and the people who stand to profit the most from its implementation. This </w:t>
      </w:r>
      <w:proofErr w:type="spellStart"/>
      <w:r w:rsidRPr="00466B3A">
        <w:rPr>
          <w:rFonts w:ascii="Times New Roman" w:hAnsi="Times New Roman" w:cs="Times New Roman"/>
        </w:rPr>
        <w:t>endeavor's</w:t>
      </w:r>
      <w:proofErr w:type="spellEnd"/>
      <w:r w:rsidRPr="00466B3A">
        <w:rPr>
          <w:rFonts w:ascii="Times New Roman" w:hAnsi="Times New Roman" w:cs="Times New Roman"/>
        </w:rPr>
        <w:t xml:space="preserve"> specific purpose is to improve the level of participation of local community members.</w:t>
      </w:r>
    </w:p>
    <w:p w14:paraId="4222213D"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t xml:space="preserve">Following the completion of the community engagement strategy, the next stage is to put it into action via clear and concise communication with local residents, business owners, and any other relevant stakeholders who have a vested interest in the project's success. I am aware of the need of ensuring that all parties involved in the plan's implementation have open and </w:t>
      </w:r>
      <w:r w:rsidRPr="00466B3A">
        <w:rPr>
          <w:rFonts w:ascii="Times New Roman" w:hAnsi="Times New Roman" w:cs="Times New Roman"/>
        </w:rPr>
        <w:lastRenderedPageBreak/>
        <w:t xml:space="preserve">unobstructed lines of communication with one another at all times. It is probable that as the project progresses, it will become necessary to adopt a reflective stance, assess our existing strategy, and make some changes. This is something that is possible but not guaranteed. My community participation is something I regard as a continuous process that demands all of my attention and to which I am entirely devoted. </w:t>
      </w:r>
    </w:p>
    <w:p w14:paraId="32620B7C"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t>Furthermore, I recognise the importance of providing members of the community with a place in which to express themselves and actively adopting the proposals they provide. In order to achieve successful community engagement, it is vital to realise the necessity of altering programming to meet the aims and views of community members. This is a requirement that must be met (Redding et al., 2011). The project's success in encouraging community interaction is dependent on its willingness to receive and react to constructive criticism; this is a vow I am entirely dedicated to keeping. Managing a community engagement programme is a dynamic effort that needs adaptability, commitment, and an openness to constructive input. To be successful in this quest,</w:t>
      </w:r>
      <w:r w:rsidR="002E15C4">
        <w:rPr>
          <w:rFonts w:ascii="Times New Roman" w:hAnsi="Times New Roman" w:cs="Times New Roman"/>
        </w:rPr>
        <w:t xml:space="preserve"> one </w:t>
      </w:r>
      <w:r w:rsidRPr="00466B3A">
        <w:rPr>
          <w:rFonts w:ascii="Times New Roman" w:hAnsi="Times New Roman" w:cs="Times New Roman"/>
        </w:rPr>
        <w:t>must be open to constructive criticism. Keeping all of this in mind, I am certain that by participating in teams, I will be able to effectively integrate the community in the project and make major contributions to the collaborative effort that will contribute to the project's overall success.</w:t>
      </w:r>
    </w:p>
    <w:p w14:paraId="765F6438"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t>As the project manager, it would be my role to monitor community members' attitudes towards the initiative, gather input from them, and assess the program's efficacy in achieving its objectives. To a certain extent, continual assessment</w:t>
      </w:r>
      <w:r>
        <w:rPr>
          <w:rFonts w:ascii="Times New Roman" w:hAnsi="Times New Roman" w:cs="Times New Roman"/>
        </w:rPr>
        <w:t xml:space="preserve"> can </w:t>
      </w:r>
      <w:r w:rsidRPr="00466B3A">
        <w:rPr>
          <w:rFonts w:ascii="Times New Roman" w:hAnsi="Times New Roman" w:cs="Times New Roman"/>
        </w:rPr>
        <w:t>be used to assess the effectiveness of the training that has been delivered. Within the context of my proposed strategy, I want to employ a broad range of assessment tools to collect input and comments. These tools will include surveys, focus groups, and other data collection methods. In addition, I would prioritise locating any relevant indicators that</w:t>
      </w:r>
      <w:r>
        <w:rPr>
          <w:rFonts w:ascii="Times New Roman" w:hAnsi="Times New Roman" w:cs="Times New Roman"/>
        </w:rPr>
        <w:t xml:space="preserve"> can </w:t>
      </w:r>
      <w:r w:rsidRPr="00466B3A">
        <w:rPr>
          <w:rFonts w:ascii="Times New Roman" w:hAnsi="Times New Roman" w:cs="Times New Roman"/>
        </w:rPr>
        <w:t>be utilised in the process of assessing the program's outcomes. Changes in people's perceptions of the area's safety and increases in involvement in community activities are two examples of obvious differences that such indicators</w:t>
      </w:r>
      <w:r>
        <w:rPr>
          <w:rFonts w:ascii="Times New Roman" w:hAnsi="Times New Roman" w:cs="Times New Roman"/>
        </w:rPr>
        <w:t xml:space="preserve"> can </w:t>
      </w:r>
      <w:r w:rsidRPr="00466B3A">
        <w:rPr>
          <w:rFonts w:ascii="Times New Roman" w:hAnsi="Times New Roman" w:cs="Times New Roman"/>
        </w:rPr>
        <w:t>capture.</w:t>
      </w:r>
    </w:p>
    <w:p w14:paraId="44949FD2" w14:textId="77777777" w:rsidR="00466B3A" w:rsidRPr="00466B3A" w:rsidRDefault="00466B3A" w:rsidP="00466B3A">
      <w:pPr>
        <w:rPr>
          <w:rFonts w:ascii="Times New Roman" w:hAnsi="Times New Roman" w:cs="Times New Roman"/>
        </w:rPr>
      </w:pPr>
      <w:r w:rsidRPr="00466B3A">
        <w:rPr>
          <w:rFonts w:ascii="Times New Roman" w:hAnsi="Times New Roman" w:cs="Times New Roman"/>
        </w:rPr>
        <w:t>To assess whether the programme is successful in boosting community engagement, a broad range of qualitative and quantitative data acquired throughout the evaluation process must be examined. This information</w:t>
      </w:r>
      <w:r>
        <w:rPr>
          <w:rFonts w:ascii="Times New Roman" w:hAnsi="Times New Roman" w:cs="Times New Roman"/>
        </w:rPr>
        <w:t xml:space="preserve"> can </w:t>
      </w:r>
      <w:r w:rsidRPr="00466B3A">
        <w:rPr>
          <w:rFonts w:ascii="Times New Roman" w:hAnsi="Times New Roman" w:cs="Times New Roman"/>
        </w:rPr>
        <w:t>be acquired at any stage throughout the procedure. My objectives would include doing a data analysis to check for patterns, assessing whether or not the different project components were completed effectively, and identifying any areas of weakness. It is important to evaluate the potential implications that the curriculum</w:t>
      </w:r>
      <w:r>
        <w:rPr>
          <w:rFonts w:ascii="Times New Roman" w:hAnsi="Times New Roman" w:cs="Times New Roman"/>
        </w:rPr>
        <w:t xml:space="preserve"> can </w:t>
      </w:r>
      <w:r w:rsidRPr="00466B3A">
        <w:rPr>
          <w:rFonts w:ascii="Times New Roman" w:hAnsi="Times New Roman" w:cs="Times New Roman"/>
        </w:rPr>
        <w:t>have on the many diverse demographic groups that exist throughout society (</w:t>
      </w:r>
      <w:proofErr w:type="spellStart"/>
      <w:r w:rsidRPr="00466B3A">
        <w:rPr>
          <w:rFonts w:ascii="Times New Roman" w:hAnsi="Times New Roman" w:cs="Times New Roman"/>
        </w:rPr>
        <w:t>Midglay</w:t>
      </w:r>
      <w:proofErr w:type="spellEnd"/>
      <w:r w:rsidRPr="00466B3A">
        <w:rPr>
          <w:rFonts w:ascii="Times New Roman" w:hAnsi="Times New Roman" w:cs="Times New Roman"/>
        </w:rPr>
        <w:t xml:space="preserve"> et al., 1986). </w:t>
      </w:r>
      <w:r w:rsidRPr="00466B3A">
        <w:rPr>
          <w:rFonts w:ascii="Times New Roman" w:hAnsi="Times New Roman" w:cs="Times New Roman"/>
        </w:rPr>
        <w:lastRenderedPageBreak/>
        <w:t>Because that is the goal of completing this action, the objective of this action is to guarantee that all people</w:t>
      </w:r>
      <w:r>
        <w:rPr>
          <w:rFonts w:ascii="Times New Roman" w:hAnsi="Times New Roman" w:cs="Times New Roman"/>
        </w:rPr>
        <w:t xml:space="preserve"> can </w:t>
      </w:r>
      <w:r w:rsidRPr="00466B3A">
        <w:rPr>
          <w:rFonts w:ascii="Times New Roman" w:hAnsi="Times New Roman" w:cs="Times New Roman"/>
        </w:rPr>
        <w:t>benefit from the effort being made. People's quality of life improves as a consequence of their active involvement in the communities in which they live. As the coordinator of a project involving community engagement, it is critical to use a broad range of techniques, approaches, strategies, procedures, concepts, and guidelines in order to maximise the likelihood of the project's successful completion. If given the authority, I would devise a comprehensive plan with the objective of including members of the community in the process of making decisions and organising events, with a focus on catering to the needs and aspirations of the community members. Volunteer programmes, awareness campaigns, and creative collaborations might all be key components of this strategic approach, which will be described more below. Monitoring the initiative's outcomes, requesting comments, and conducting frequent evaluations would be components of an ongoing review of the initiative's effectiveness. If I maintain an open mind, show reverence, and demonstrate flexibility, I</w:t>
      </w:r>
      <w:r>
        <w:rPr>
          <w:rFonts w:ascii="Times New Roman" w:hAnsi="Times New Roman" w:cs="Times New Roman"/>
        </w:rPr>
        <w:t xml:space="preserve"> can </w:t>
      </w:r>
      <w:r w:rsidRPr="00466B3A">
        <w:rPr>
          <w:rFonts w:ascii="Times New Roman" w:hAnsi="Times New Roman" w:cs="Times New Roman"/>
        </w:rPr>
        <w:t>contribute to ensuring that the project respects and correctly fulfils the requirements of the local community.</w:t>
      </w:r>
    </w:p>
    <w:p w14:paraId="14C40F49" w14:textId="77777777" w:rsidR="00466B3A" w:rsidRPr="00491E43" w:rsidRDefault="00466B3A" w:rsidP="00466B3A">
      <w:pPr>
        <w:rPr>
          <w:rFonts w:ascii="Times New Roman" w:hAnsi="Times New Roman" w:cs="Times New Roman"/>
          <w:b/>
          <w:bCs/>
        </w:rPr>
      </w:pPr>
      <w:r w:rsidRPr="00491E43">
        <w:rPr>
          <w:rFonts w:ascii="Times New Roman" w:hAnsi="Times New Roman" w:cs="Times New Roman"/>
          <w:b/>
          <w:bCs/>
        </w:rPr>
        <w:t xml:space="preserve">Reference </w:t>
      </w:r>
    </w:p>
    <w:p w14:paraId="408B2EBF" w14:textId="77777777" w:rsidR="00466B3A" w:rsidRPr="00466B3A" w:rsidRDefault="00466B3A" w:rsidP="00466B3A">
      <w:pPr>
        <w:rPr>
          <w:rFonts w:ascii="Times New Roman" w:hAnsi="Times New Roman" w:cs="Times New Roman"/>
          <w:sz w:val="36"/>
          <w:szCs w:val="40"/>
        </w:rPr>
      </w:pPr>
      <w:r w:rsidRPr="00466B3A">
        <w:rPr>
          <w:rFonts w:ascii="Times New Roman" w:hAnsi="Times New Roman" w:cs="Times New Roman"/>
          <w:color w:val="222222"/>
          <w:szCs w:val="24"/>
          <w:shd w:val="clear" w:color="auto" w:fill="FFFFFF"/>
        </w:rPr>
        <w:t>Aslin, H. and Brown, V., 2004. </w:t>
      </w:r>
      <w:r w:rsidRPr="00466B3A">
        <w:rPr>
          <w:rFonts w:ascii="Times New Roman" w:hAnsi="Times New Roman" w:cs="Times New Roman"/>
          <w:i/>
          <w:iCs/>
          <w:color w:val="222222"/>
          <w:szCs w:val="24"/>
          <w:shd w:val="clear" w:color="auto" w:fill="FFFFFF"/>
        </w:rPr>
        <w:t>Towards whole of community engagement: A practical toolkit</w:t>
      </w:r>
      <w:r w:rsidRPr="00466B3A">
        <w:rPr>
          <w:rFonts w:ascii="Times New Roman" w:hAnsi="Times New Roman" w:cs="Times New Roman"/>
          <w:color w:val="222222"/>
          <w:szCs w:val="24"/>
          <w:shd w:val="clear" w:color="auto" w:fill="FFFFFF"/>
        </w:rPr>
        <w:t>. Murray-Darling Basin Commission.</w:t>
      </w:r>
    </w:p>
    <w:p w14:paraId="368D3D50" w14:textId="77777777" w:rsidR="00466B3A" w:rsidRPr="00466B3A" w:rsidRDefault="00466B3A" w:rsidP="00466B3A">
      <w:pPr>
        <w:rPr>
          <w:rFonts w:ascii="Times New Roman" w:hAnsi="Times New Roman" w:cs="Times New Roman"/>
          <w:sz w:val="36"/>
          <w:szCs w:val="40"/>
        </w:rPr>
      </w:pPr>
      <w:r w:rsidRPr="00466B3A">
        <w:rPr>
          <w:rFonts w:ascii="Times New Roman" w:hAnsi="Times New Roman" w:cs="Times New Roman"/>
          <w:color w:val="222222"/>
          <w:szCs w:val="24"/>
          <w:shd w:val="clear" w:color="auto" w:fill="FFFFFF"/>
        </w:rPr>
        <w:t>Dempsey, S.E., 2010. Critiquing community engagement. </w:t>
      </w:r>
      <w:r w:rsidRPr="00466B3A">
        <w:rPr>
          <w:rFonts w:ascii="Times New Roman" w:hAnsi="Times New Roman" w:cs="Times New Roman"/>
          <w:i/>
          <w:iCs/>
          <w:color w:val="222222"/>
          <w:szCs w:val="24"/>
          <w:shd w:val="clear" w:color="auto" w:fill="FFFFFF"/>
        </w:rPr>
        <w:t>Management Communication Quarterly</w:t>
      </w:r>
      <w:r w:rsidRPr="00466B3A">
        <w:rPr>
          <w:rFonts w:ascii="Times New Roman" w:hAnsi="Times New Roman" w:cs="Times New Roman"/>
          <w:color w:val="222222"/>
          <w:szCs w:val="24"/>
          <w:shd w:val="clear" w:color="auto" w:fill="FFFFFF"/>
        </w:rPr>
        <w:t>, </w:t>
      </w:r>
      <w:r w:rsidRPr="00466B3A">
        <w:rPr>
          <w:rFonts w:ascii="Times New Roman" w:hAnsi="Times New Roman" w:cs="Times New Roman"/>
          <w:i/>
          <w:iCs/>
          <w:color w:val="222222"/>
          <w:szCs w:val="24"/>
          <w:shd w:val="clear" w:color="auto" w:fill="FFFFFF"/>
        </w:rPr>
        <w:t>24</w:t>
      </w:r>
      <w:r w:rsidRPr="00466B3A">
        <w:rPr>
          <w:rFonts w:ascii="Times New Roman" w:hAnsi="Times New Roman" w:cs="Times New Roman"/>
          <w:color w:val="222222"/>
          <w:szCs w:val="24"/>
          <w:shd w:val="clear" w:color="auto" w:fill="FFFFFF"/>
        </w:rPr>
        <w:t>(3), pp.359-390.</w:t>
      </w:r>
    </w:p>
    <w:p w14:paraId="6375FD6D" w14:textId="77777777" w:rsidR="00466B3A" w:rsidRPr="00466B3A" w:rsidRDefault="00466B3A" w:rsidP="00466B3A">
      <w:pPr>
        <w:rPr>
          <w:rFonts w:ascii="Times New Roman" w:hAnsi="Times New Roman" w:cs="Times New Roman"/>
          <w:sz w:val="36"/>
          <w:szCs w:val="40"/>
        </w:rPr>
      </w:pPr>
      <w:r w:rsidRPr="00466B3A">
        <w:rPr>
          <w:rFonts w:ascii="Times New Roman" w:hAnsi="Times New Roman" w:cs="Times New Roman"/>
          <w:color w:val="222222"/>
          <w:szCs w:val="24"/>
          <w:shd w:val="clear" w:color="auto" w:fill="FFFFFF"/>
        </w:rPr>
        <w:t>Driscoll, A., 2008. Carnegie's community-engagement classification: Intentions and insights. </w:t>
      </w:r>
      <w:r w:rsidRPr="00466B3A">
        <w:rPr>
          <w:rFonts w:ascii="Times New Roman" w:hAnsi="Times New Roman" w:cs="Times New Roman"/>
          <w:i/>
          <w:iCs/>
          <w:color w:val="222222"/>
          <w:szCs w:val="24"/>
          <w:shd w:val="clear" w:color="auto" w:fill="FFFFFF"/>
        </w:rPr>
        <w:t>Change: The Magazine of Higher Learning</w:t>
      </w:r>
      <w:r w:rsidRPr="00466B3A">
        <w:rPr>
          <w:rFonts w:ascii="Times New Roman" w:hAnsi="Times New Roman" w:cs="Times New Roman"/>
          <w:color w:val="222222"/>
          <w:szCs w:val="24"/>
          <w:shd w:val="clear" w:color="auto" w:fill="FFFFFF"/>
        </w:rPr>
        <w:t>, </w:t>
      </w:r>
      <w:r w:rsidRPr="00466B3A">
        <w:rPr>
          <w:rFonts w:ascii="Times New Roman" w:hAnsi="Times New Roman" w:cs="Times New Roman"/>
          <w:i/>
          <w:iCs/>
          <w:color w:val="222222"/>
          <w:szCs w:val="24"/>
          <w:shd w:val="clear" w:color="auto" w:fill="FFFFFF"/>
        </w:rPr>
        <w:t>40</w:t>
      </w:r>
      <w:r w:rsidRPr="00466B3A">
        <w:rPr>
          <w:rFonts w:ascii="Times New Roman" w:hAnsi="Times New Roman" w:cs="Times New Roman"/>
          <w:color w:val="222222"/>
          <w:szCs w:val="24"/>
          <w:shd w:val="clear" w:color="auto" w:fill="FFFFFF"/>
        </w:rPr>
        <w:t>(1), pp.38-41.</w:t>
      </w:r>
    </w:p>
    <w:p w14:paraId="408836DC" w14:textId="77777777" w:rsidR="00466B3A" w:rsidRPr="00466B3A" w:rsidRDefault="00466B3A" w:rsidP="00466B3A">
      <w:pPr>
        <w:rPr>
          <w:rFonts w:ascii="Times New Roman" w:hAnsi="Times New Roman" w:cs="Times New Roman"/>
          <w:color w:val="222222"/>
          <w:szCs w:val="24"/>
          <w:shd w:val="clear" w:color="auto" w:fill="FFFFFF"/>
        </w:rPr>
      </w:pPr>
      <w:r w:rsidRPr="00466B3A">
        <w:rPr>
          <w:rFonts w:ascii="Times New Roman" w:hAnsi="Times New Roman" w:cs="Times New Roman"/>
          <w:color w:val="222222"/>
          <w:szCs w:val="24"/>
          <w:shd w:val="clear" w:color="auto" w:fill="FFFFFF"/>
        </w:rPr>
        <w:t xml:space="preserve">Head, B.W., 2007. Community engagement: participation on whose </w:t>
      </w:r>
      <w:proofErr w:type="gramStart"/>
      <w:r w:rsidRPr="00466B3A">
        <w:rPr>
          <w:rFonts w:ascii="Times New Roman" w:hAnsi="Times New Roman" w:cs="Times New Roman"/>
          <w:color w:val="222222"/>
          <w:szCs w:val="24"/>
          <w:shd w:val="clear" w:color="auto" w:fill="FFFFFF"/>
        </w:rPr>
        <w:t>terms?.</w:t>
      </w:r>
      <w:proofErr w:type="gramEnd"/>
      <w:r w:rsidRPr="00466B3A">
        <w:rPr>
          <w:rFonts w:ascii="Times New Roman" w:hAnsi="Times New Roman" w:cs="Times New Roman"/>
          <w:color w:val="222222"/>
          <w:szCs w:val="24"/>
          <w:shd w:val="clear" w:color="auto" w:fill="FFFFFF"/>
        </w:rPr>
        <w:t> </w:t>
      </w:r>
      <w:r w:rsidRPr="00466B3A">
        <w:rPr>
          <w:rFonts w:ascii="Times New Roman" w:hAnsi="Times New Roman" w:cs="Times New Roman"/>
          <w:i/>
          <w:iCs/>
          <w:color w:val="222222"/>
          <w:szCs w:val="24"/>
          <w:shd w:val="clear" w:color="auto" w:fill="FFFFFF"/>
        </w:rPr>
        <w:t>Australian journal of political science</w:t>
      </w:r>
      <w:r w:rsidRPr="00466B3A">
        <w:rPr>
          <w:rFonts w:ascii="Times New Roman" w:hAnsi="Times New Roman" w:cs="Times New Roman"/>
          <w:color w:val="222222"/>
          <w:szCs w:val="24"/>
          <w:shd w:val="clear" w:color="auto" w:fill="FFFFFF"/>
        </w:rPr>
        <w:t>, </w:t>
      </w:r>
      <w:r w:rsidRPr="00466B3A">
        <w:rPr>
          <w:rFonts w:ascii="Times New Roman" w:hAnsi="Times New Roman" w:cs="Times New Roman"/>
          <w:i/>
          <w:iCs/>
          <w:color w:val="222222"/>
          <w:szCs w:val="24"/>
          <w:shd w:val="clear" w:color="auto" w:fill="FFFFFF"/>
        </w:rPr>
        <w:t>42</w:t>
      </w:r>
      <w:r w:rsidRPr="00466B3A">
        <w:rPr>
          <w:rFonts w:ascii="Times New Roman" w:hAnsi="Times New Roman" w:cs="Times New Roman"/>
          <w:color w:val="222222"/>
          <w:szCs w:val="24"/>
          <w:shd w:val="clear" w:color="auto" w:fill="FFFFFF"/>
        </w:rPr>
        <w:t>(3), pp.441-454.</w:t>
      </w:r>
    </w:p>
    <w:p w14:paraId="44AD5DDA" w14:textId="77777777" w:rsidR="00466B3A" w:rsidRPr="00466B3A" w:rsidRDefault="00466B3A" w:rsidP="00466B3A">
      <w:pPr>
        <w:rPr>
          <w:rFonts w:ascii="Times New Roman" w:hAnsi="Times New Roman" w:cs="Times New Roman"/>
          <w:sz w:val="36"/>
          <w:szCs w:val="40"/>
        </w:rPr>
      </w:pPr>
      <w:r w:rsidRPr="00466B3A">
        <w:rPr>
          <w:rFonts w:ascii="Times New Roman" w:hAnsi="Times New Roman" w:cs="Times New Roman"/>
          <w:color w:val="222222"/>
          <w:szCs w:val="24"/>
          <w:shd w:val="clear" w:color="auto" w:fill="FFFFFF"/>
        </w:rPr>
        <w:t xml:space="preserve">Midgley, J., Hall, A., Hardiman, M. and </w:t>
      </w:r>
      <w:proofErr w:type="spellStart"/>
      <w:r w:rsidRPr="00466B3A">
        <w:rPr>
          <w:rFonts w:ascii="Times New Roman" w:hAnsi="Times New Roman" w:cs="Times New Roman"/>
          <w:color w:val="222222"/>
          <w:szCs w:val="24"/>
          <w:shd w:val="clear" w:color="auto" w:fill="FFFFFF"/>
        </w:rPr>
        <w:t>Narine</w:t>
      </w:r>
      <w:proofErr w:type="spellEnd"/>
      <w:r w:rsidRPr="00466B3A">
        <w:rPr>
          <w:rFonts w:ascii="Times New Roman" w:hAnsi="Times New Roman" w:cs="Times New Roman"/>
          <w:color w:val="222222"/>
          <w:szCs w:val="24"/>
          <w:shd w:val="clear" w:color="auto" w:fill="FFFFFF"/>
        </w:rPr>
        <w:t>, D., 1986. </w:t>
      </w:r>
      <w:r w:rsidRPr="00466B3A">
        <w:rPr>
          <w:rFonts w:ascii="Times New Roman" w:hAnsi="Times New Roman" w:cs="Times New Roman"/>
          <w:i/>
          <w:iCs/>
          <w:color w:val="222222"/>
          <w:szCs w:val="24"/>
          <w:shd w:val="clear" w:color="auto" w:fill="FFFFFF"/>
        </w:rPr>
        <w:t>Community participation, social development and the state</w:t>
      </w:r>
      <w:r w:rsidRPr="00466B3A">
        <w:rPr>
          <w:rFonts w:ascii="Times New Roman" w:hAnsi="Times New Roman" w:cs="Times New Roman"/>
          <w:color w:val="222222"/>
          <w:szCs w:val="24"/>
          <w:shd w:val="clear" w:color="auto" w:fill="FFFFFF"/>
        </w:rPr>
        <w:t>. Methuen.</w:t>
      </w:r>
    </w:p>
    <w:p w14:paraId="49F65C6C" w14:textId="77777777" w:rsidR="00466B3A" w:rsidRPr="00466B3A" w:rsidRDefault="00466B3A" w:rsidP="00466B3A">
      <w:pPr>
        <w:rPr>
          <w:rFonts w:ascii="Times New Roman" w:hAnsi="Times New Roman" w:cs="Times New Roman"/>
          <w:color w:val="222222"/>
          <w:szCs w:val="24"/>
          <w:shd w:val="clear" w:color="auto" w:fill="FFFFFF"/>
        </w:rPr>
      </w:pPr>
      <w:r w:rsidRPr="00466B3A">
        <w:rPr>
          <w:rFonts w:ascii="Times New Roman" w:hAnsi="Times New Roman" w:cs="Times New Roman"/>
          <w:color w:val="222222"/>
          <w:szCs w:val="24"/>
          <w:shd w:val="clear" w:color="auto" w:fill="FFFFFF"/>
        </w:rPr>
        <w:t>Newman, P.A., 2006. Towards a science of community engagement. </w:t>
      </w:r>
      <w:r w:rsidRPr="00466B3A">
        <w:rPr>
          <w:rFonts w:ascii="Times New Roman" w:hAnsi="Times New Roman" w:cs="Times New Roman"/>
          <w:i/>
          <w:iCs/>
          <w:color w:val="222222"/>
          <w:szCs w:val="24"/>
          <w:shd w:val="clear" w:color="auto" w:fill="FFFFFF"/>
        </w:rPr>
        <w:t>The Lancet</w:t>
      </w:r>
      <w:r w:rsidRPr="00466B3A">
        <w:rPr>
          <w:rFonts w:ascii="Times New Roman" w:hAnsi="Times New Roman" w:cs="Times New Roman"/>
          <w:color w:val="222222"/>
          <w:szCs w:val="24"/>
          <w:shd w:val="clear" w:color="auto" w:fill="FFFFFF"/>
        </w:rPr>
        <w:t>, </w:t>
      </w:r>
      <w:r w:rsidRPr="00466B3A">
        <w:rPr>
          <w:rFonts w:ascii="Times New Roman" w:hAnsi="Times New Roman" w:cs="Times New Roman"/>
          <w:i/>
          <w:iCs/>
          <w:color w:val="222222"/>
          <w:szCs w:val="24"/>
          <w:shd w:val="clear" w:color="auto" w:fill="FFFFFF"/>
        </w:rPr>
        <w:t>367</w:t>
      </w:r>
      <w:r w:rsidRPr="00466B3A">
        <w:rPr>
          <w:rFonts w:ascii="Times New Roman" w:hAnsi="Times New Roman" w:cs="Times New Roman"/>
          <w:color w:val="222222"/>
          <w:szCs w:val="24"/>
          <w:shd w:val="clear" w:color="auto" w:fill="FFFFFF"/>
        </w:rPr>
        <w:t>(9507), p.302.</w:t>
      </w:r>
    </w:p>
    <w:p w14:paraId="0B44681D" w14:textId="77777777" w:rsidR="00466B3A" w:rsidRPr="00466B3A" w:rsidRDefault="00466B3A" w:rsidP="00466B3A">
      <w:pPr>
        <w:rPr>
          <w:rFonts w:ascii="Times New Roman" w:hAnsi="Times New Roman" w:cs="Times New Roman"/>
          <w:sz w:val="36"/>
          <w:szCs w:val="40"/>
        </w:rPr>
      </w:pPr>
      <w:r w:rsidRPr="00466B3A">
        <w:rPr>
          <w:rFonts w:ascii="Times New Roman" w:hAnsi="Times New Roman" w:cs="Times New Roman"/>
          <w:color w:val="222222"/>
          <w:szCs w:val="24"/>
          <w:shd w:val="clear" w:color="auto" w:fill="FFFFFF"/>
        </w:rPr>
        <w:t>Redding, S., Murphy, M. and Sheley, P. eds., 2011. </w:t>
      </w:r>
      <w:r w:rsidRPr="00466B3A">
        <w:rPr>
          <w:rFonts w:ascii="Times New Roman" w:hAnsi="Times New Roman" w:cs="Times New Roman"/>
          <w:i/>
          <w:iCs/>
          <w:color w:val="222222"/>
          <w:szCs w:val="24"/>
          <w:shd w:val="clear" w:color="auto" w:fill="FFFFFF"/>
        </w:rPr>
        <w:t>Handbook on family and community engagement</w:t>
      </w:r>
      <w:r w:rsidRPr="00466B3A">
        <w:rPr>
          <w:rFonts w:ascii="Times New Roman" w:hAnsi="Times New Roman" w:cs="Times New Roman"/>
          <w:color w:val="222222"/>
          <w:szCs w:val="24"/>
          <w:shd w:val="clear" w:color="auto" w:fill="FFFFFF"/>
        </w:rPr>
        <w:t>. IAP.</w:t>
      </w:r>
    </w:p>
    <w:p w14:paraId="5A5AE1F2" w14:textId="77777777" w:rsidR="00466B3A" w:rsidRPr="00466B3A" w:rsidRDefault="00466B3A" w:rsidP="00466B3A">
      <w:pPr>
        <w:rPr>
          <w:rFonts w:ascii="Times New Roman" w:hAnsi="Times New Roman" w:cs="Times New Roman"/>
          <w:color w:val="222222"/>
          <w:szCs w:val="24"/>
          <w:shd w:val="clear" w:color="auto" w:fill="FFFFFF"/>
        </w:rPr>
      </w:pPr>
      <w:r w:rsidRPr="00466B3A">
        <w:rPr>
          <w:rFonts w:ascii="Times New Roman" w:hAnsi="Times New Roman" w:cs="Times New Roman"/>
          <w:color w:val="222222"/>
          <w:szCs w:val="24"/>
          <w:shd w:val="clear" w:color="auto" w:fill="FFFFFF"/>
        </w:rPr>
        <w:lastRenderedPageBreak/>
        <w:t>Wallerstein, N., Minkler, M., Carter-Edwards, L., Avila, M. and Sanchez, V., 2015. Improving health through community engagement, community organization, and community building. </w:t>
      </w:r>
      <w:r w:rsidRPr="00466B3A">
        <w:rPr>
          <w:rFonts w:ascii="Times New Roman" w:hAnsi="Times New Roman" w:cs="Times New Roman"/>
          <w:i/>
          <w:iCs/>
          <w:color w:val="222222"/>
          <w:szCs w:val="24"/>
          <w:shd w:val="clear" w:color="auto" w:fill="FFFFFF"/>
        </w:rPr>
        <w:t xml:space="preserve">Health </w:t>
      </w:r>
      <w:proofErr w:type="spellStart"/>
      <w:r w:rsidRPr="00466B3A">
        <w:rPr>
          <w:rFonts w:ascii="Times New Roman" w:hAnsi="Times New Roman" w:cs="Times New Roman"/>
          <w:i/>
          <w:iCs/>
          <w:color w:val="222222"/>
          <w:szCs w:val="24"/>
          <w:shd w:val="clear" w:color="auto" w:fill="FFFFFF"/>
        </w:rPr>
        <w:t>behavior</w:t>
      </w:r>
      <w:proofErr w:type="spellEnd"/>
      <w:r w:rsidRPr="00466B3A">
        <w:rPr>
          <w:rFonts w:ascii="Times New Roman" w:hAnsi="Times New Roman" w:cs="Times New Roman"/>
          <w:i/>
          <w:iCs/>
          <w:color w:val="222222"/>
          <w:szCs w:val="24"/>
          <w:shd w:val="clear" w:color="auto" w:fill="FFFFFF"/>
        </w:rPr>
        <w:t>: theory, research and practice</w:t>
      </w:r>
      <w:r w:rsidRPr="00466B3A">
        <w:rPr>
          <w:rFonts w:ascii="Times New Roman" w:hAnsi="Times New Roman" w:cs="Times New Roman"/>
          <w:color w:val="222222"/>
          <w:szCs w:val="24"/>
          <w:shd w:val="clear" w:color="auto" w:fill="FFFFFF"/>
        </w:rPr>
        <w:t>, </w:t>
      </w:r>
      <w:r w:rsidRPr="00466B3A">
        <w:rPr>
          <w:rFonts w:ascii="Times New Roman" w:hAnsi="Times New Roman" w:cs="Times New Roman"/>
          <w:i/>
          <w:iCs/>
          <w:color w:val="222222"/>
          <w:szCs w:val="24"/>
          <w:shd w:val="clear" w:color="auto" w:fill="FFFFFF"/>
        </w:rPr>
        <w:t>5</w:t>
      </w:r>
      <w:r w:rsidRPr="00466B3A">
        <w:rPr>
          <w:rFonts w:ascii="Times New Roman" w:hAnsi="Times New Roman" w:cs="Times New Roman"/>
          <w:color w:val="222222"/>
          <w:szCs w:val="24"/>
          <w:shd w:val="clear" w:color="auto" w:fill="FFFFFF"/>
        </w:rPr>
        <w:t>.</w:t>
      </w:r>
    </w:p>
    <w:p w14:paraId="6B9AF0B4" w14:textId="77777777" w:rsidR="00466B3A" w:rsidRPr="00466B3A" w:rsidRDefault="00466B3A" w:rsidP="00466B3A">
      <w:pPr>
        <w:rPr>
          <w:rFonts w:ascii="Times New Roman" w:hAnsi="Times New Roman" w:cs="Times New Roman"/>
          <w:sz w:val="36"/>
          <w:szCs w:val="40"/>
        </w:rPr>
      </w:pPr>
      <w:r w:rsidRPr="00466B3A">
        <w:rPr>
          <w:rFonts w:ascii="Times New Roman" w:hAnsi="Times New Roman" w:cs="Times New Roman"/>
          <w:color w:val="222222"/>
          <w:szCs w:val="24"/>
          <w:shd w:val="clear" w:color="auto" w:fill="FFFFFF"/>
        </w:rPr>
        <w:t>Watson, S. and Waterton, E., 2013. Heritage and community engagement: finding a new agenda. In </w:t>
      </w:r>
      <w:r w:rsidRPr="00466B3A">
        <w:rPr>
          <w:rFonts w:ascii="Times New Roman" w:hAnsi="Times New Roman" w:cs="Times New Roman"/>
          <w:i/>
          <w:iCs/>
          <w:color w:val="222222"/>
          <w:szCs w:val="24"/>
          <w:shd w:val="clear" w:color="auto" w:fill="FFFFFF"/>
        </w:rPr>
        <w:t>Heritage and Community Engagement</w:t>
      </w:r>
      <w:r w:rsidRPr="00466B3A">
        <w:rPr>
          <w:rFonts w:ascii="Times New Roman" w:hAnsi="Times New Roman" w:cs="Times New Roman"/>
          <w:color w:val="222222"/>
          <w:szCs w:val="24"/>
          <w:shd w:val="clear" w:color="auto" w:fill="FFFFFF"/>
        </w:rPr>
        <w:t> (pp. 1-11). Routledge.</w:t>
      </w:r>
    </w:p>
    <w:p w14:paraId="321129E5" w14:textId="77777777" w:rsidR="00466B3A" w:rsidRDefault="00466B3A" w:rsidP="00466B3A"/>
    <w:p w14:paraId="5780FD72" w14:textId="77777777" w:rsidR="00466B3A" w:rsidRDefault="00466B3A" w:rsidP="00466B3A"/>
    <w:p w14:paraId="0A87F4A8" w14:textId="77777777" w:rsidR="00466B3A" w:rsidRDefault="00466B3A" w:rsidP="00466B3A"/>
    <w:p w14:paraId="1CC17646" w14:textId="77777777" w:rsidR="00466B3A" w:rsidRDefault="00466B3A" w:rsidP="00466B3A"/>
    <w:p w14:paraId="44E31978" w14:textId="77777777" w:rsidR="00466B3A" w:rsidRDefault="00466B3A" w:rsidP="00466B3A"/>
    <w:p w14:paraId="5754F9B8" w14:textId="77777777" w:rsidR="00466B3A" w:rsidRDefault="00466B3A" w:rsidP="00466B3A"/>
    <w:p w14:paraId="71FCDB9C" w14:textId="77777777" w:rsidR="00466B3A" w:rsidRDefault="00466B3A" w:rsidP="00466B3A"/>
    <w:p w14:paraId="0C81F2BA" w14:textId="77777777" w:rsidR="00466B3A" w:rsidRDefault="00466B3A" w:rsidP="00466B3A"/>
    <w:p w14:paraId="70497134" w14:textId="77777777" w:rsidR="00EA41E3" w:rsidRDefault="00EA41E3"/>
    <w:sectPr w:rsidR="00EA41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B3A"/>
    <w:rsid w:val="002E15C4"/>
    <w:rsid w:val="00466B3A"/>
    <w:rsid w:val="00491E43"/>
    <w:rsid w:val="004B4C51"/>
    <w:rsid w:val="00505323"/>
    <w:rsid w:val="007F1B27"/>
    <w:rsid w:val="0088485B"/>
    <w:rsid w:val="008E45DE"/>
    <w:rsid w:val="00976797"/>
    <w:rsid w:val="00A03882"/>
    <w:rsid w:val="00AE42D9"/>
    <w:rsid w:val="00C330E8"/>
    <w:rsid w:val="00CE70CF"/>
    <w:rsid w:val="00E26F65"/>
    <w:rsid w:val="00E837E0"/>
    <w:rsid w:val="00EA41E3"/>
  </w:rsids>
  <m:mathPr>
    <m:mathFont m:val="Cambria Math"/>
    <m:brkBin m:val="before"/>
    <m:brkBinSub m:val="--"/>
    <m:smallFrac m:val="0"/>
    <m:dispDef/>
    <m:lMargin m:val="0"/>
    <m:rMargin m:val="0"/>
    <m:defJc m:val="centerGroup"/>
    <m:wrapIndent m:val="1440"/>
    <m:intLim m:val="subSup"/>
    <m:naryLim m:val="undOvr"/>
  </m:mathPr>
  <w:themeFontLang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E4D3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30"/>
        <w:lang w:eastAsia="ko-KR"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85B"/>
    <w:pPr>
      <w:spacing w:before="120" w:after="120" w:line="360" w:lineRule="auto"/>
      <w:jc w:val="both"/>
    </w:pPr>
    <w:rPr>
      <w:rFonts w:ascii="Arial" w:hAnsi="Arial" w:cs="Vrinda"/>
      <w:lang w:val="en-GB"/>
    </w:rPr>
  </w:style>
  <w:style w:type="paragraph" w:styleId="Heading1">
    <w:name w:val="heading 1"/>
    <w:basedOn w:val="Normal"/>
    <w:next w:val="Normal"/>
    <w:link w:val="Heading1Char"/>
    <w:uiPriority w:val="9"/>
    <w:qFormat/>
    <w:rsid w:val="008E45DE"/>
    <w:pPr>
      <w:keepNext/>
      <w:keepLines/>
      <w:spacing w:before="36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semiHidden/>
    <w:unhideWhenUsed/>
    <w:qFormat/>
    <w:rsid w:val="008E45DE"/>
    <w:pPr>
      <w:keepNext/>
      <w:keepLines/>
      <w:spacing w:before="28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5DE"/>
    <w:rPr>
      <w:rFonts w:ascii="Arial" w:eastAsiaTheme="majorEastAsia" w:hAnsi="Arial" w:cstheme="majorBidi"/>
      <w:b/>
      <w:color w:val="000000" w:themeColor="text1"/>
      <w:sz w:val="32"/>
      <w:szCs w:val="40"/>
      <w:lang w:val="en-GB"/>
    </w:rPr>
  </w:style>
  <w:style w:type="character" w:customStyle="1" w:styleId="Heading2Char">
    <w:name w:val="Heading 2 Char"/>
    <w:basedOn w:val="DefaultParagraphFont"/>
    <w:link w:val="Heading2"/>
    <w:uiPriority w:val="9"/>
    <w:semiHidden/>
    <w:rsid w:val="008E45DE"/>
    <w:rPr>
      <w:rFonts w:ascii="Arial" w:eastAsiaTheme="majorEastAsia" w:hAnsi="Arial" w:cstheme="majorBidi"/>
      <w:b/>
      <w:color w:val="000000" w:themeColor="text1"/>
      <w:sz w:val="28"/>
      <w:szCs w:val="33"/>
      <w:lang w:val="en-GB"/>
    </w:rPr>
  </w:style>
  <w:style w:type="paragraph" w:styleId="NoSpacing">
    <w:name w:val="No Spacing"/>
    <w:uiPriority w:val="1"/>
    <w:qFormat/>
    <w:rsid w:val="00CE70CF"/>
    <w:pPr>
      <w:spacing w:line="360" w:lineRule="auto"/>
      <w:jc w:val="both"/>
    </w:pPr>
    <w:rPr>
      <w:rFonts w:ascii="Times New Roman" w:eastAsiaTheme="minorHAnsi" w:hAnsi="Times New Roman"/>
      <w:b/>
      <w:sz w:val="36"/>
      <w:szCs w:val="22"/>
      <w:lang w:val="en-US" w:eastAsia="en-US" w:bidi="ar-SA"/>
    </w:rPr>
  </w:style>
  <w:style w:type="paragraph" w:styleId="Caption">
    <w:name w:val="caption"/>
    <w:basedOn w:val="Normal"/>
    <w:next w:val="Normal"/>
    <w:uiPriority w:val="35"/>
    <w:unhideWhenUsed/>
    <w:qFormat/>
    <w:rsid w:val="00AE42D9"/>
    <w:pPr>
      <w:spacing w:before="240" w:after="440" w:line="240" w:lineRule="auto"/>
      <w:jc w:val="left"/>
    </w:pPr>
    <w:rPr>
      <w:rFonts w:eastAsiaTheme="minorHAnsi" w:cstheme="minorBidi"/>
      <w:i/>
      <w:iCs/>
      <w:color w:val="000000" w:themeColor="text1"/>
      <w:szCs w:val="18"/>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2123</Words>
  <Characters>12106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14201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2023-07-22T14:05:00Z</dcterms:created>
  <dcterms:modified xsi:type="dcterms:W3CDTF">2023-07-22T14:05:00Z</dcterms:modified>
  <cp:category/>
</cp:coreProperties>
</file>