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08341" w14:textId="3FD9D232" w:rsidR="00B90771" w:rsidRDefault="00B90771" w:rsidP="1F82A93F">
      <w:pPr>
        <w:rPr>
          <w:rFonts w:ascii="Arial" w:eastAsia="Arial" w:hAnsi="Arial" w:cs="Arial"/>
          <w:b/>
          <w:bCs/>
          <w:sz w:val="24"/>
          <w:szCs w:val="24"/>
        </w:rPr>
      </w:pPr>
    </w:p>
    <w:p w14:paraId="59116F50" w14:textId="192B9415" w:rsidR="00B90771" w:rsidRDefault="00B90771" w:rsidP="1F82A93F">
      <w:pPr>
        <w:rPr>
          <w:rFonts w:ascii="Arial" w:eastAsia="Arial" w:hAnsi="Arial" w:cs="Arial"/>
          <w:b/>
          <w:bCs/>
          <w:sz w:val="24"/>
          <w:szCs w:val="24"/>
        </w:rPr>
      </w:pPr>
    </w:p>
    <w:p w14:paraId="5F3D2B46" w14:textId="2C9E753E" w:rsidR="00B90771" w:rsidRDefault="00B90771" w:rsidP="1F82A93F">
      <w:pPr>
        <w:rPr>
          <w:rFonts w:ascii="Arial" w:eastAsia="Arial" w:hAnsi="Arial" w:cs="Arial"/>
          <w:b/>
          <w:bCs/>
          <w:sz w:val="24"/>
          <w:szCs w:val="24"/>
        </w:rPr>
      </w:pPr>
    </w:p>
    <w:p w14:paraId="7EA59F38" w14:textId="1DD9DC51" w:rsidR="00B90771" w:rsidRDefault="00B90771" w:rsidP="1F82A93F">
      <w:pPr>
        <w:rPr>
          <w:rFonts w:ascii="Arial" w:eastAsia="Arial" w:hAnsi="Arial" w:cs="Arial"/>
          <w:b/>
          <w:bCs/>
          <w:sz w:val="24"/>
          <w:szCs w:val="24"/>
        </w:rPr>
      </w:pPr>
    </w:p>
    <w:p w14:paraId="07D013B6" w14:textId="60B97FA9" w:rsidR="00B90771" w:rsidRDefault="00B90771" w:rsidP="1F82A93F">
      <w:pPr>
        <w:rPr>
          <w:rFonts w:ascii="Arial" w:eastAsia="Arial" w:hAnsi="Arial" w:cs="Arial"/>
          <w:b/>
          <w:bCs/>
          <w:sz w:val="24"/>
          <w:szCs w:val="24"/>
        </w:rPr>
      </w:pPr>
    </w:p>
    <w:p w14:paraId="63F17257" w14:textId="25CE06E0" w:rsidR="00B90771" w:rsidRDefault="00B90771" w:rsidP="1F82A93F">
      <w:pPr>
        <w:rPr>
          <w:rFonts w:ascii="Arial" w:eastAsia="Arial" w:hAnsi="Arial" w:cs="Arial"/>
          <w:b/>
          <w:bCs/>
          <w:sz w:val="24"/>
          <w:szCs w:val="24"/>
        </w:rPr>
      </w:pPr>
    </w:p>
    <w:p w14:paraId="3457B5D4" w14:textId="5387D702" w:rsidR="00B90771" w:rsidRDefault="00B90771" w:rsidP="1F82A93F">
      <w:pPr>
        <w:rPr>
          <w:rFonts w:ascii="Arial" w:eastAsia="Arial" w:hAnsi="Arial" w:cs="Arial"/>
          <w:b/>
          <w:bCs/>
          <w:sz w:val="24"/>
          <w:szCs w:val="24"/>
        </w:rPr>
      </w:pPr>
    </w:p>
    <w:p w14:paraId="1366CA73" w14:textId="36501B56" w:rsidR="00B90771" w:rsidRDefault="00B90771" w:rsidP="1F82A93F">
      <w:pPr>
        <w:rPr>
          <w:rFonts w:ascii="Arial" w:eastAsia="Arial" w:hAnsi="Arial" w:cs="Arial"/>
          <w:b/>
          <w:bCs/>
          <w:sz w:val="24"/>
          <w:szCs w:val="24"/>
        </w:rPr>
      </w:pPr>
    </w:p>
    <w:p w14:paraId="507E7EB3" w14:textId="0B3C1C69" w:rsidR="00B90771" w:rsidRDefault="00B90771" w:rsidP="1F82A93F">
      <w:pPr>
        <w:rPr>
          <w:rFonts w:ascii="Arial" w:eastAsia="Arial" w:hAnsi="Arial" w:cs="Arial"/>
          <w:b/>
          <w:bCs/>
          <w:sz w:val="24"/>
          <w:szCs w:val="24"/>
        </w:rPr>
      </w:pPr>
    </w:p>
    <w:p w14:paraId="169D0CDB" w14:textId="76D2FF89" w:rsidR="00B90771" w:rsidRDefault="43A46BB0" w:rsidP="1F82A93F">
      <w:pPr>
        <w:jc w:val="center"/>
        <w:rPr>
          <w:rFonts w:ascii="Arial" w:eastAsia="Arial" w:hAnsi="Arial" w:cs="Arial"/>
          <w:color w:val="000000" w:themeColor="text1"/>
          <w:sz w:val="52"/>
          <w:szCs w:val="52"/>
        </w:rPr>
      </w:pPr>
      <w:r w:rsidRPr="1F82A93F">
        <w:rPr>
          <w:rFonts w:ascii="Arial" w:eastAsia="Arial" w:hAnsi="Arial" w:cs="Arial"/>
          <w:b/>
          <w:bCs/>
          <w:color w:val="000000" w:themeColor="text1"/>
          <w:sz w:val="52"/>
          <w:szCs w:val="52"/>
        </w:rPr>
        <w:t xml:space="preserve">Reflective Portfolio </w:t>
      </w:r>
    </w:p>
    <w:p w14:paraId="7E3812FA" w14:textId="0DC02AA2" w:rsidR="00B90771" w:rsidRDefault="43A46BB0" w:rsidP="1F82A93F">
      <w:pPr>
        <w:jc w:val="center"/>
        <w:rPr>
          <w:rFonts w:ascii="Arial" w:eastAsia="Arial" w:hAnsi="Arial" w:cs="Arial"/>
          <w:color w:val="000000" w:themeColor="text1"/>
          <w:sz w:val="52"/>
          <w:szCs w:val="52"/>
        </w:rPr>
      </w:pPr>
      <w:r w:rsidRPr="1F82A93F">
        <w:rPr>
          <w:rFonts w:ascii="Arial" w:eastAsia="Arial" w:hAnsi="Arial" w:cs="Arial"/>
          <w:b/>
          <w:bCs/>
          <w:color w:val="000000" w:themeColor="text1"/>
          <w:sz w:val="52"/>
          <w:szCs w:val="52"/>
        </w:rPr>
        <w:t>of Practical Tasks</w:t>
      </w:r>
    </w:p>
    <w:p w14:paraId="1BB4261D" w14:textId="05F57349" w:rsidR="00B90771" w:rsidRDefault="00B90771" w:rsidP="1F82A93F">
      <w:pPr>
        <w:jc w:val="center"/>
        <w:rPr>
          <w:rFonts w:ascii="Arial" w:eastAsia="Arial" w:hAnsi="Arial" w:cs="Arial"/>
          <w:color w:val="000000" w:themeColor="text1"/>
          <w:sz w:val="52"/>
          <w:szCs w:val="52"/>
        </w:rPr>
      </w:pPr>
    </w:p>
    <w:p w14:paraId="29846F76" w14:textId="631262DE" w:rsidR="00B90771" w:rsidRDefault="00B90771" w:rsidP="1F82A93F">
      <w:pPr>
        <w:jc w:val="center"/>
        <w:rPr>
          <w:rFonts w:ascii="Arial" w:eastAsia="Arial" w:hAnsi="Arial" w:cs="Arial"/>
          <w:color w:val="000000" w:themeColor="text1"/>
          <w:sz w:val="52"/>
          <w:szCs w:val="52"/>
        </w:rPr>
      </w:pPr>
    </w:p>
    <w:p w14:paraId="1A8D21E4" w14:textId="2FEB5FBD" w:rsidR="00B90771" w:rsidRDefault="00B90771" w:rsidP="1F82A93F">
      <w:pPr>
        <w:jc w:val="center"/>
        <w:rPr>
          <w:rFonts w:ascii="Arial" w:eastAsia="Arial" w:hAnsi="Arial" w:cs="Arial"/>
          <w:color w:val="000000" w:themeColor="text1"/>
          <w:sz w:val="52"/>
          <w:szCs w:val="52"/>
        </w:rPr>
      </w:pPr>
    </w:p>
    <w:p w14:paraId="4492592F" w14:textId="326D0ADE" w:rsidR="00B90771" w:rsidRDefault="00B90771" w:rsidP="1F82A93F">
      <w:pPr>
        <w:rPr>
          <w:rFonts w:ascii="Arial" w:eastAsia="Arial" w:hAnsi="Arial" w:cs="Arial"/>
          <w:color w:val="000000" w:themeColor="text1"/>
          <w:sz w:val="28"/>
          <w:szCs w:val="28"/>
        </w:rPr>
      </w:pPr>
    </w:p>
    <w:p w14:paraId="02B4F884" w14:textId="238180A2" w:rsidR="00B90771" w:rsidRDefault="00B90771" w:rsidP="1F82A93F">
      <w:pPr>
        <w:rPr>
          <w:rFonts w:ascii="Arial" w:eastAsia="Arial" w:hAnsi="Arial" w:cs="Arial"/>
          <w:color w:val="000000" w:themeColor="text1"/>
          <w:sz w:val="28"/>
          <w:szCs w:val="28"/>
        </w:rPr>
      </w:pPr>
    </w:p>
    <w:p w14:paraId="7D88A76E" w14:textId="7F2941D6" w:rsidR="00B90771" w:rsidRDefault="00B90771" w:rsidP="1F82A93F">
      <w:pPr>
        <w:rPr>
          <w:rFonts w:ascii="Arial" w:eastAsia="Arial" w:hAnsi="Arial" w:cs="Arial"/>
          <w:color w:val="000000" w:themeColor="text1"/>
          <w:sz w:val="28"/>
          <w:szCs w:val="28"/>
        </w:rPr>
      </w:pPr>
    </w:p>
    <w:p w14:paraId="49D88FA1" w14:textId="3ED25699" w:rsidR="00B90771" w:rsidRDefault="00B90771" w:rsidP="1F82A93F">
      <w:pPr>
        <w:rPr>
          <w:rFonts w:ascii="Arial" w:eastAsia="Arial" w:hAnsi="Arial" w:cs="Arial"/>
          <w:color w:val="000000" w:themeColor="text1"/>
          <w:sz w:val="28"/>
          <w:szCs w:val="28"/>
        </w:rPr>
      </w:pPr>
    </w:p>
    <w:p w14:paraId="7E94CDC1" w14:textId="51B4BE5F" w:rsidR="00B90771" w:rsidRDefault="00B90771" w:rsidP="1F82A93F">
      <w:pPr>
        <w:rPr>
          <w:rFonts w:ascii="Arial" w:eastAsia="Arial" w:hAnsi="Arial" w:cs="Arial"/>
          <w:color w:val="000000" w:themeColor="text1"/>
          <w:sz w:val="28"/>
          <w:szCs w:val="28"/>
        </w:rPr>
      </w:pPr>
    </w:p>
    <w:p w14:paraId="0D78E40B" w14:textId="125BE2F3" w:rsidR="00B90771" w:rsidRDefault="00B90771" w:rsidP="1F82A93F">
      <w:pPr>
        <w:rPr>
          <w:rFonts w:ascii="Arial" w:eastAsia="Arial" w:hAnsi="Arial" w:cs="Arial"/>
          <w:color w:val="000000" w:themeColor="text1"/>
          <w:sz w:val="28"/>
          <w:szCs w:val="28"/>
        </w:rPr>
      </w:pPr>
    </w:p>
    <w:p w14:paraId="087A7513" w14:textId="1914067D" w:rsidR="00B90771" w:rsidRDefault="00B90771" w:rsidP="1F82A93F">
      <w:pPr>
        <w:rPr>
          <w:rFonts w:ascii="Arial" w:eastAsia="Arial" w:hAnsi="Arial" w:cs="Arial"/>
          <w:color w:val="000000" w:themeColor="text1"/>
          <w:sz w:val="28"/>
          <w:szCs w:val="28"/>
        </w:rPr>
      </w:pPr>
    </w:p>
    <w:p w14:paraId="33E7B181" w14:textId="1982A1CC" w:rsidR="00B90771" w:rsidRDefault="43A46BB0" w:rsidP="1F82A93F">
      <w:pPr>
        <w:rPr>
          <w:rFonts w:ascii="Arial" w:eastAsia="Arial" w:hAnsi="Arial" w:cs="Arial"/>
          <w:color w:val="000000" w:themeColor="text1"/>
          <w:sz w:val="28"/>
          <w:szCs w:val="28"/>
        </w:rPr>
      </w:pPr>
      <w:r w:rsidRPr="1F82A93F">
        <w:rPr>
          <w:rFonts w:ascii="Arial" w:eastAsia="Arial" w:hAnsi="Arial" w:cs="Arial"/>
          <w:color w:val="000000" w:themeColor="text1"/>
          <w:sz w:val="28"/>
          <w:szCs w:val="28"/>
        </w:rPr>
        <w:t>Student Name: Mark Jeffrey Pascual</w:t>
      </w:r>
    </w:p>
    <w:p w14:paraId="14E0BAB5" w14:textId="6E531A91" w:rsidR="00B90771" w:rsidRDefault="43A46BB0" w:rsidP="1F82A93F">
      <w:pPr>
        <w:rPr>
          <w:rFonts w:ascii="Arial" w:eastAsia="Arial" w:hAnsi="Arial" w:cs="Arial"/>
          <w:color w:val="000000" w:themeColor="text1"/>
          <w:sz w:val="28"/>
          <w:szCs w:val="28"/>
        </w:rPr>
      </w:pPr>
      <w:r w:rsidRPr="1F82A93F">
        <w:rPr>
          <w:rFonts w:ascii="Arial" w:eastAsia="Arial" w:hAnsi="Arial" w:cs="Arial"/>
          <w:color w:val="000000" w:themeColor="text1"/>
          <w:sz w:val="28"/>
          <w:szCs w:val="28"/>
        </w:rPr>
        <w:t>Student Number: 2229176</w:t>
      </w:r>
    </w:p>
    <w:p w14:paraId="44439052" w14:textId="332DAFC3" w:rsidR="00B90771" w:rsidRDefault="43A46BB0" w:rsidP="1F82A93F">
      <w:pPr>
        <w:rPr>
          <w:rFonts w:ascii="Arial" w:eastAsia="Arial" w:hAnsi="Arial" w:cs="Arial"/>
          <w:color w:val="000000" w:themeColor="text1"/>
          <w:sz w:val="28"/>
          <w:szCs w:val="28"/>
        </w:rPr>
      </w:pPr>
      <w:r w:rsidRPr="1F82A93F">
        <w:rPr>
          <w:rFonts w:ascii="Arial" w:eastAsia="Arial" w:hAnsi="Arial" w:cs="Arial"/>
          <w:color w:val="000000" w:themeColor="text1"/>
          <w:sz w:val="28"/>
          <w:szCs w:val="28"/>
        </w:rPr>
        <w:t>Module: Developing Culinary Skills BMGM5002</w:t>
      </w:r>
    </w:p>
    <w:p w14:paraId="6063EFDE" w14:textId="229E045C" w:rsidR="00B90771" w:rsidRDefault="43A46BB0" w:rsidP="1F82A93F">
      <w:pPr>
        <w:rPr>
          <w:rFonts w:ascii="Arial" w:eastAsia="Arial" w:hAnsi="Arial" w:cs="Arial"/>
          <w:color w:val="000000" w:themeColor="text1"/>
          <w:sz w:val="28"/>
          <w:szCs w:val="28"/>
        </w:rPr>
      </w:pPr>
      <w:r w:rsidRPr="1F82A93F">
        <w:rPr>
          <w:rFonts w:ascii="Arial" w:eastAsia="Arial" w:hAnsi="Arial" w:cs="Arial"/>
          <w:color w:val="000000" w:themeColor="text1"/>
          <w:sz w:val="28"/>
          <w:szCs w:val="28"/>
        </w:rPr>
        <w:t>Lecturer: Antoinette Milne</w:t>
      </w:r>
    </w:p>
    <w:p w14:paraId="4E30B736" w14:textId="0F80A180" w:rsidR="00B90771" w:rsidRDefault="00B90771" w:rsidP="1F82A93F">
      <w:pPr>
        <w:rPr>
          <w:rFonts w:ascii="Arial" w:eastAsia="Arial" w:hAnsi="Arial" w:cs="Arial"/>
          <w:b/>
          <w:bCs/>
          <w:sz w:val="24"/>
          <w:szCs w:val="24"/>
        </w:rPr>
      </w:pPr>
    </w:p>
    <w:p w14:paraId="56C2855B" w14:textId="30A18323" w:rsidR="00B90771" w:rsidRDefault="00B90771" w:rsidP="1F82A93F">
      <w:pPr>
        <w:rPr>
          <w:rFonts w:ascii="Arial" w:eastAsia="Arial" w:hAnsi="Arial" w:cs="Arial"/>
          <w:b/>
          <w:bCs/>
          <w:sz w:val="24"/>
          <w:szCs w:val="24"/>
        </w:rPr>
      </w:pPr>
    </w:p>
    <w:p w14:paraId="2AFA6BFC" w14:textId="5AAF3E19" w:rsidR="00B90771" w:rsidRDefault="00B90771" w:rsidP="1F82A93F">
      <w:pPr>
        <w:rPr>
          <w:rFonts w:ascii="Arial" w:eastAsia="Arial" w:hAnsi="Arial" w:cs="Arial"/>
          <w:b/>
          <w:bCs/>
          <w:sz w:val="24"/>
          <w:szCs w:val="24"/>
        </w:rPr>
      </w:pPr>
    </w:p>
    <w:p w14:paraId="6DD47B1D" w14:textId="3511B761" w:rsidR="00B90771" w:rsidRDefault="00B90771" w:rsidP="1F82A93F">
      <w:pPr>
        <w:rPr>
          <w:rFonts w:ascii="Arial" w:eastAsia="Arial" w:hAnsi="Arial" w:cs="Arial"/>
          <w:b/>
          <w:bCs/>
          <w:sz w:val="24"/>
          <w:szCs w:val="24"/>
        </w:rPr>
      </w:pPr>
    </w:p>
    <w:p w14:paraId="224B4695" w14:textId="7FFDBAFA" w:rsidR="00B90771" w:rsidRDefault="0FB6619F" w:rsidP="002A4DA4">
      <w:pPr>
        <w:spacing w:line="360" w:lineRule="auto"/>
        <w:jc w:val="both"/>
        <w:rPr>
          <w:rFonts w:ascii="Arial" w:eastAsia="Arial" w:hAnsi="Arial" w:cs="Arial"/>
          <w:sz w:val="24"/>
          <w:szCs w:val="24"/>
        </w:rPr>
      </w:pPr>
      <w:r w:rsidRPr="1F82A93F">
        <w:rPr>
          <w:rFonts w:ascii="Arial" w:eastAsia="Arial" w:hAnsi="Arial" w:cs="Arial"/>
          <w:b/>
          <w:bCs/>
          <w:sz w:val="24"/>
          <w:szCs w:val="24"/>
        </w:rPr>
        <w:lastRenderedPageBreak/>
        <w:t>Introduction:</w:t>
      </w:r>
      <w:r w:rsidR="775305F4" w:rsidRPr="1F82A93F">
        <w:rPr>
          <w:rFonts w:ascii="Arial" w:eastAsia="Arial" w:hAnsi="Arial" w:cs="Arial"/>
          <w:b/>
          <w:bCs/>
          <w:color w:val="0D0D0D" w:themeColor="text1" w:themeTint="F2"/>
          <w:sz w:val="24"/>
          <w:szCs w:val="24"/>
        </w:rPr>
        <w:t xml:space="preserve"> Embracing Growth Through Practical Endeavours</w:t>
      </w:r>
    </w:p>
    <w:p w14:paraId="55AB9889" w14:textId="340EBCE9" w:rsidR="00B90771" w:rsidRDefault="7532358E"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The hands-on experience gained during my placement has been invaluable, particularly through exposure to Michelin-starred restaurants, where I've witnessed firsthand the meticulous standards applied to beautifully plated dishes, contributing significantly to my learning and growth. Restaurants awarded a Michelin Star are recognised for their exceptional culinary offerings, assessed based on five key criteria: ingredient quality, flavour balance, culinary technique mastery, the chef's culinary expression and personality, and consistent performance across the menu and over time (Michelin Guide, 2022).</w:t>
      </w:r>
    </w:p>
    <w:p w14:paraId="78BF513E" w14:textId="5E4EB435" w:rsidR="00B90771" w:rsidRDefault="7532358E"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During my placement, I've been deeply impacted by the profound influence of hands-on learning, shaping my journey significantly. Each experience, whether navigating through challenging situations or celebrating accomplishments, has been pivotal in both my personal and professional growth. Reflecting on this journey, I've come to realize the transformative nature of hands-on learning in guiding my path. Furthermore, a placement provides individuals with a valuable opportunity to test a job and company firsthand, allowing them to assess alignment with their career aspirations, values, and work environment preferences before making lasting commitments (University of Manchester).</w:t>
      </w:r>
    </w:p>
    <w:p w14:paraId="61FBC58A" w14:textId="37B78B30" w:rsidR="00B90771" w:rsidRDefault="7532358E"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In the culinary industry, training encompasses not only teaching students how to complete tasks but also helping them develop the graduate capabilities required for contemporary work (Fleming et al., 2021). Additionally, certain skills are considered transferable, applicable across various industries and workplace cultures, further enhancing the value of my experience and skill set.</w:t>
      </w:r>
    </w:p>
    <w:p w14:paraId="2A3541E2" w14:textId="41AA28F2" w:rsidR="00B90771" w:rsidRDefault="0FB6619F" w:rsidP="002A4DA4">
      <w:pPr>
        <w:spacing w:line="360" w:lineRule="auto"/>
        <w:jc w:val="both"/>
        <w:rPr>
          <w:rFonts w:ascii="Arial" w:eastAsia="Arial" w:hAnsi="Arial" w:cs="Arial"/>
          <w:b/>
          <w:bCs/>
          <w:color w:val="0D0D0D" w:themeColor="text1" w:themeTint="F2"/>
          <w:sz w:val="24"/>
          <w:szCs w:val="24"/>
        </w:rPr>
      </w:pPr>
      <w:r w:rsidRPr="1F82A93F">
        <w:rPr>
          <w:rFonts w:ascii="Arial" w:eastAsia="Arial" w:hAnsi="Arial" w:cs="Arial"/>
          <w:b/>
          <w:bCs/>
          <w:color w:val="0D0D0D" w:themeColor="text1" w:themeTint="F2"/>
          <w:sz w:val="24"/>
          <w:szCs w:val="24"/>
        </w:rPr>
        <w:t>Element 1: Supply and Stock Management</w:t>
      </w:r>
    </w:p>
    <w:p w14:paraId="1B1D669F" w14:textId="144F1AAE" w:rsidR="00B90771" w:rsidRDefault="7A3B6085" w:rsidP="002A4DA4">
      <w:pPr>
        <w:shd w:val="clear" w:color="auto" w:fill="FFFFFF" w:themeFill="background1"/>
        <w:spacing w:line="360" w:lineRule="auto"/>
        <w:jc w:val="both"/>
        <w:rPr>
          <w:rFonts w:ascii="Arial" w:eastAsia="Arial" w:hAnsi="Arial" w:cs="Arial"/>
          <w:sz w:val="24"/>
          <w:szCs w:val="24"/>
        </w:rPr>
      </w:pPr>
      <w:r w:rsidRPr="1F82A93F">
        <w:rPr>
          <w:rFonts w:ascii="Arial" w:eastAsia="Arial" w:hAnsi="Arial" w:cs="Arial"/>
          <w:color w:val="0D0D0D" w:themeColor="text1" w:themeTint="F2"/>
          <w:sz w:val="24"/>
          <w:szCs w:val="24"/>
        </w:rPr>
        <w:t xml:space="preserve">In my experience as a Demi-Chef de </w:t>
      </w:r>
      <w:proofErr w:type="spellStart"/>
      <w:r w:rsidRPr="1F82A93F">
        <w:rPr>
          <w:rFonts w:ascii="Arial" w:eastAsia="Arial" w:hAnsi="Arial" w:cs="Arial"/>
          <w:color w:val="0D0D0D" w:themeColor="text1" w:themeTint="F2"/>
          <w:sz w:val="24"/>
          <w:szCs w:val="24"/>
        </w:rPr>
        <w:t>Partie</w:t>
      </w:r>
      <w:proofErr w:type="spellEnd"/>
      <w:r w:rsidRPr="1F82A93F">
        <w:rPr>
          <w:rFonts w:ascii="Arial" w:eastAsia="Arial" w:hAnsi="Arial" w:cs="Arial"/>
          <w:color w:val="0D0D0D" w:themeColor="text1" w:themeTint="F2"/>
          <w:sz w:val="24"/>
          <w:szCs w:val="24"/>
        </w:rPr>
        <w:t xml:space="preserve"> overseeing the back station, responsible for canapés and one of the starters, effective stock control has proven to be indispensable. As emphasi</w:t>
      </w:r>
      <w:r w:rsidR="46BAE12E" w:rsidRPr="1F82A93F">
        <w:rPr>
          <w:rFonts w:ascii="Arial" w:eastAsia="Arial" w:hAnsi="Arial" w:cs="Arial"/>
          <w:color w:val="0D0D0D" w:themeColor="text1" w:themeTint="F2"/>
          <w:sz w:val="24"/>
          <w:szCs w:val="24"/>
        </w:rPr>
        <w:t>s</w:t>
      </w:r>
      <w:r w:rsidRPr="1F82A93F">
        <w:rPr>
          <w:rFonts w:ascii="Arial" w:eastAsia="Arial" w:hAnsi="Arial" w:cs="Arial"/>
          <w:color w:val="0D0D0D" w:themeColor="text1" w:themeTint="F2"/>
          <w:sz w:val="24"/>
          <w:szCs w:val="24"/>
        </w:rPr>
        <w:t>ed by Deveshwar and Modi (2013), maintaining a balance in inventory levels is critical to efficient operations, with excessive stock leading to increased costs and insufficient stock resulting in production delays and lower sales.</w:t>
      </w:r>
      <w:r w:rsidR="5123A595" w:rsidRPr="1F82A93F">
        <w:rPr>
          <w:rFonts w:ascii="Arial" w:eastAsia="Arial" w:hAnsi="Arial" w:cs="Arial"/>
          <w:color w:val="0D0D0D" w:themeColor="text1" w:themeTint="F2"/>
          <w:sz w:val="24"/>
          <w:szCs w:val="24"/>
        </w:rPr>
        <w:t xml:space="preserve"> 'Inventory' encompasses the total list and quantity of goods or products available in stock for sale, including the components essential for facilitating sales</w:t>
      </w:r>
      <w:r w:rsidR="68B24821" w:rsidRPr="1F82A93F">
        <w:rPr>
          <w:rFonts w:ascii="Arial" w:eastAsia="Arial" w:hAnsi="Arial" w:cs="Arial"/>
          <w:color w:val="0D0D0D" w:themeColor="text1" w:themeTint="F2"/>
          <w:sz w:val="24"/>
          <w:szCs w:val="24"/>
        </w:rPr>
        <w:t xml:space="preserve"> (Aro-Gordon and Gupte, 2016)</w:t>
      </w:r>
      <w:r w:rsidR="5123A595" w:rsidRPr="1F82A93F">
        <w:rPr>
          <w:rFonts w:ascii="Arial" w:eastAsia="Arial" w:hAnsi="Arial" w:cs="Arial"/>
          <w:color w:val="0D0D0D" w:themeColor="text1" w:themeTint="F2"/>
          <w:sz w:val="24"/>
          <w:szCs w:val="24"/>
        </w:rPr>
        <w:t>.</w:t>
      </w:r>
    </w:p>
    <w:p w14:paraId="4138DB86" w14:textId="7D22F3C7" w:rsidR="00B90771" w:rsidRDefault="7A3B6085"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Drawing from Muller's insights (2019), I recogni</w:t>
      </w:r>
      <w:r w:rsidR="194026FF" w:rsidRPr="1F82A93F">
        <w:rPr>
          <w:rFonts w:ascii="Arial" w:eastAsia="Arial" w:hAnsi="Arial" w:cs="Arial"/>
          <w:color w:val="0D0D0D" w:themeColor="text1" w:themeTint="F2"/>
          <w:sz w:val="24"/>
          <w:szCs w:val="24"/>
        </w:rPr>
        <w:t>s</w:t>
      </w:r>
      <w:r w:rsidRPr="1F82A93F">
        <w:rPr>
          <w:rFonts w:ascii="Arial" w:eastAsia="Arial" w:hAnsi="Arial" w:cs="Arial"/>
          <w:color w:val="0D0D0D" w:themeColor="text1" w:themeTint="F2"/>
          <w:sz w:val="24"/>
          <w:szCs w:val="24"/>
        </w:rPr>
        <w:t>e the importance of having inventory readily available as a safeguard against unforeseen shifts in demand. While predicting exact needs can be challenging, especially in a dynamic culinary environment, meeting customer demands, and production deadlines remains imperative.</w:t>
      </w:r>
    </w:p>
    <w:p w14:paraId="5D2E4707" w14:textId="08B3EBF8" w:rsidR="00B90771" w:rsidRDefault="7A3B6085"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 xml:space="preserve">Accurately forecasting demand for canapés and starters throughout the week poses a notable challenge in my role. Despite having a set number of guests booked, unexpected arrivals or </w:t>
      </w:r>
      <w:r w:rsidRPr="1F82A93F">
        <w:rPr>
          <w:rFonts w:ascii="Arial" w:eastAsia="Arial" w:hAnsi="Arial" w:cs="Arial"/>
          <w:color w:val="0D0D0D" w:themeColor="text1" w:themeTint="F2"/>
          <w:sz w:val="24"/>
          <w:szCs w:val="24"/>
        </w:rPr>
        <w:lastRenderedPageBreak/>
        <w:t>cancellations can occur, necessitating adjustments to stock levels. This presents a dilemma, as cancellations may result in excess inventory, while unexpected guests may lead to shortages.</w:t>
      </w:r>
    </w:p>
    <w:p w14:paraId="145FABAC" w14:textId="2133EA4C" w:rsidR="00B90771" w:rsidRPr="002A4DA4" w:rsidRDefault="7A3B6085"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To address this challenge, I have adopted a proactive approach of preparing canapés and starters as closely as possible to the expected number of guests. This strategy minimi</w:t>
      </w:r>
      <w:r w:rsidR="2124A7D1" w:rsidRPr="1F82A93F">
        <w:rPr>
          <w:rFonts w:ascii="Arial" w:eastAsia="Arial" w:hAnsi="Arial" w:cs="Arial"/>
          <w:color w:val="0D0D0D" w:themeColor="text1" w:themeTint="F2"/>
          <w:sz w:val="24"/>
          <w:szCs w:val="24"/>
        </w:rPr>
        <w:t>s</w:t>
      </w:r>
      <w:r w:rsidRPr="1F82A93F">
        <w:rPr>
          <w:rFonts w:ascii="Arial" w:eastAsia="Arial" w:hAnsi="Arial" w:cs="Arial"/>
          <w:color w:val="0D0D0D" w:themeColor="text1" w:themeTint="F2"/>
          <w:sz w:val="24"/>
          <w:szCs w:val="24"/>
        </w:rPr>
        <w:t>es the risk of running out of food or having excess stock, even in the face of cancellations or additional guests. Additionally, observing customer behaviour within the supply chain has proven invaluable in minimising unexpected shifts in demand.</w:t>
      </w:r>
    </w:p>
    <w:p w14:paraId="5E5787A5" w14:textId="4A1758FD" w:rsidR="00B90771" w:rsidRDefault="5F2670B6" w:rsidP="002A4DA4">
      <w:pPr>
        <w:spacing w:line="360" w:lineRule="auto"/>
        <w:jc w:val="both"/>
        <w:rPr>
          <w:rFonts w:ascii="Arial" w:eastAsia="Arial" w:hAnsi="Arial" w:cs="Arial"/>
          <w:b/>
          <w:bCs/>
          <w:sz w:val="24"/>
          <w:szCs w:val="24"/>
        </w:rPr>
      </w:pPr>
      <w:r w:rsidRPr="1F82A93F">
        <w:rPr>
          <w:rFonts w:ascii="Arial" w:eastAsia="Arial" w:hAnsi="Arial" w:cs="Arial"/>
          <w:b/>
          <w:bCs/>
          <w:sz w:val="24"/>
          <w:szCs w:val="24"/>
        </w:rPr>
        <w:t>Element 2: Meat Cooking Skills</w:t>
      </w:r>
    </w:p>
    <w:p w14:paraId="764EEF7D" w14:textId="71CBE396" w:rsidR="5F2670B6" w:rsidRDefault="5F2670B6"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 xml:space="preserve">During my time at the Beach House in </w:t>
      </w:r>
      <w:proofErr w:type="spellStart"/>
      <w:r w:rsidRPr="1F82A93F">
        <w:rPr>
          <w:rFonts w:ascii="Arial" w:eastAsia="Arial" w:hAnsi="Arial" w:cs="Arial"/>
          <w:color w:val="0D0D0D" w:themeColor="text1" w:themeTint="F2"/>
          <w:sz w:val="24"/>
          <w:szCs w:val="24"/>
        </w:rPr>
        <w:t>Oxwich</w:t>
      </w:r>
      <w:proofErr w:type="spellEnd"/>
      <w:r w:rsidRPr="1F82A93F">
        <w:rPr>
          <w:rFonts w:ascii="Arial" w:eastAsia="Arial" w:hAnsi="Arial" w:cs="Arial"/>
          <w:color w:val="0D0D0D" w:themeColor="text1" w:themeTint="F2"/>
          <w:sz w:val="24"/>
          <w:szCs w:val="24"/>
        </w:rPr>
        <w:t>, I had the privilege of honing my skills in preparing lamb rib and loin, a culinary journey that amalgamated modern techniques with timeless traditions.</w:t>
      </w:r>
    </w:p>
    <w:p w14:paraId="11913684" w14:textId="06937E4C" w:rsidR="5F2670B6" w:rsidRDefault="5F2670B6" w:rsidP="002A4DA4">
      <w:pPr>
        <w:shd w:val="clear" w:color="auto" w:fill="FFFFFF" w:themeFill="background1"/>
        <w:spacing w:after="0" w:line="360" w:lineRule="auto"/>
        <w:ind w:left="-20" w:right="-20"/>
        <w:jc w:val="both"/>
        <w:rPr>
          <w:rFonts w:ascii="Arial" w:eastAsia="Arial" w:hAnsi="Arial" w:cs="Arial"/>
          <w:color w:val="000000" w:themeColor="text1"/>
          <w:sz w:val="24"/>
          <w:szCs w:val="24"/>
        </w:rPr>
      </w:pPr>
      <w:r w:rsidRPr="1F82A93F">
        <w:rPr>
          <w:rFonts w:ascii="Arial" w:eastAsia="Arial" w:hAnsi="Arial" w:cs="Arial"/>
          <w:color w:val="000000" w:themeColor="text1"/>
          <w:sz w:val="24"/>
          <w:szCs w:val="24"/>
        </w:rPr>
        <w:t xml:space="preserve">The process began with the precise art of sous vide cooking, a method I've grown to appreciate for its accuracy and its knack for enhancing the quality of ingredients. With the lamb securely sealed within vacuum-sealed pouches designed to withstand heat, we submerged it in a water bath set to a gentle 55 degrees Celsius, allowing it to bask for several hours. This sous vide approach, as detailed by Kathuria, Dhiman, and </w:t>
      </w:r>
      <w:proofErr w:type="spellStart"/>
      <w:r w:rsidRPr="1F82A93F">
        <w:rPr>
          <w:rFonts w:ascii="Arial" w:eastAsia="Arial" w:hAnsi="Arial" w:cs="Arial"/>
          <w:color w:val="000000" w:themeColor="text1"/>
          <w:sz w:val="24"/>
          <w:szCs w:val="24"/>
        </w:rPr>
        <w:t>Attri</w:t>
      </w:r>
      <w:proofErr w:type="spellEnd"/>
      <w:r w:rsidRPr="1F82A93F">
        <w:rPr>
          <w:rFonts w:ascii="Arial" w:eastAsia="Arial" w:hAnsi="Arial" w:cs="Arial"/>
          <w:color w:val="000000" w:themeColor="text1"/>
          <w:sz w:val="24"/>
          <w:szCs w:val="24"/>
        </w:rPr>
        <w:t xml:space="preserve"> (2022), preserves the lamb's cellular structure while amplifying its tenderness and succulence, traits I aimed to infuse into every mouthful.</w:t>
      </w:r>
    </w:p>
    <w:p w14:paraId="38242F96" w14:textId="53E045E2" w:rsidR="1F82A93F" w:rsidRDefault="1F82A93F" w:rsidP="002A4DA4">
      <w:pPr>
        <w:shd w:val="clear" w:color="auto" w:fill="FFFFFF" w:themeFill="background1"/>
        <w:spacing w:after="0" w:line="360" w:lineRule="auto"/>
        <w:ind w:left="-20" w:right="-20"/>
        <w:jc w:val="both"/>
        <w:rPr>
          <w:rFonts w:ascii="Arial" w:eastAsia="Arial" w:hAnsi="Arial" w:cs="Arial"/>
          <w:color w:val="000000" w:themeColor="text1"/>
          <w:sz w:val="24"/>
          <w:szCs w:val="24"/>
        </w:rPr>
      </w:pPr>
    </w:p>
    <w:p w14:paraId="6210B79D" w14:textId="730EFE05" w:rsidR="15475E46" w:rsidRDefault="15475E46" w:rsidP="002A4DA4">
      <w:pPr>
        <w:spacing w:line="360" w:lineRule="auto"/>
        <w:jc w:val="both"/>
        <w:rPr>
          <w:rFonts w:ascii="Arial" w:eastAsia="Arial" w:hAnsi="Arial" w:cs="Arial"/>
          <w:sz w:val="24"/>
          <w:szCs w:val="24"/>
        </w:rPr>
      </w:pPr>
      <w:r w:rsidRPr="1F82A93F">
        <w:rPr>
          <w:rFonts w:ascii="Arial" w:eastAsia="Arial" w:hAnsi="Arial" w:cs="Arial"/>
          <w:color w:val="0D0D0D" w:themeColor="text1" w:themeTint="F2"/>
          <w:sz w:val="24"/>
          <w:szCs w:val="24"/>
        </w:rPr>
        <w:t xml:space="preserve">Following its sous vide immersion, the lamb underwent a brief interlude in the Rational oven, a marvel of culinary technology lauded for its patented cooking intelligence. McSherry's insights (2023) into the Rational oven's prowess resonated with me as I witnessed firsthand its ability to uphold optimal temperatures, ensuring consistent cooking while minimising energy consumption—a testament to both its efficiency and environmental consciousness. </w:t>
      </w:r>
      <w:r w:rsidRPr="1F82A93F">
        <w:rPr>
          <w:rFonts w:ascii="Arial" w:eastAsia="Arial" w:hAnsi="Arial" w:cs="Arial"/>
          <w:sz w:val="24"/>
          <w:szCs w:val="24"/>
        </w:rPr>
        <w:t xml:space="preserve"> </w:t>
      </w:r>
    </w:p>
    <w:p w14:paraId="63E6DB30" w14:textId="24ECD5B4" w:rsidR="541E399D" w:rsidRDefault="541E399D"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But the real excitement came when we headed to the barbecue—an icon of basic cooking techniques combined with the allure of open flames. As I carefully laid the lamb over the crackling heat, I couldn't help but think about the lasting culinary tradition that barbecue represents, echoing thoughts shared by Deutsh and Elias (2014). The tempting sizzle and aroma enveloping the lamb vividly showcased the flavourful essence brought about by this straightforward cooking approach, marking a delightful conclusion to my culinary adventure.</w:t>
      </w:r>
      <w:r w:rsidR="220A04C7" w:rsidRPr="1F82A93F">
        <w:rPr>
          <w:rFonts w:ascii="Arial" w:eastAsia="Arial" w:hAnsi="Arial" w:cs="Arial"/>
          <w:color w:val="0D0D0D" w:themeColor="text1" w:themeTint="F2"/>
          <w:sz w:val="24"/>
          <w:szCs w:val="24"/>
        </w:rPr>
        <w:t xml:space="preserve"> </w:t>
      </w:r>
    </w:p>
    <w:p w14:paraId="2B80805F" w14:textId="1ECA68D2" w:rsidR="220A04C7" w:rsidRDefault="220A04C7" w:rsidP="002A4DA4">
      <w:pPr>
        <w:spacing w:line="360" w:lineRule="auto"/>
        <w:jc w:val="both"/>
        <w:rPr>
          <w:rFonts w:ascii="Arial" w:eastAsia="Arial" w:hAnsi="Arial" w:cs="Arial"/>
          <w:sz w:val="24"/>
          <w:szCs w:val="24"/>
        </w:rPr>
      </w:pPr>
      <w:r w:rsidRPr="1F82A93F">
        <w:rPr>
          <w:rFonts w:ascii="Arial" w:eastAsia="Arial" w:hAnsi="Arial" w:cs="Arial"/>
          <w:color w:val="0D0D0D" w:themeColor="text1" w:themeTint="F2"/>
          <w:sz w:val="24"/>
          <w:szCs w:val="24"/>
        </w:rPr>
        <w:t>To accurately measure the temperature of food, it's advised to use a clean probe, inserting it into the centre or thickest part of the food, as recommended by the food standard agency.</w:t>
      </w:r>
    </w:p>
    <w:p w14:paraId="469151D6" w14:textId="2FB10204" w:rsidR="6B0849B7" w:rsidRDefault="6B0849B7" w:rsidP="002A4DA4">
      <w:pPr>
        <w:spacing w:line="360" w:lineRule="auto"/>
        <w:jc w:val="both"/>
        <w:rPr>
          <w:rFonts w:ascii="Arial" w:eastAsia="Arial" w:hAnsi="Arial" w:cs="Arial"/>
          <w:b/>
          <w:bCs/>
          <w:color w:val="0D0D0D" w:themeColor="text1" w:themeTint="F2"/>
          <w:sz w:val="24"/>
          <w:szCs w:val="24"/>
        </w:rPr>
      </w:pPr>
      <w:r w:rsidRPr="1F82A93F">
        <w:rPr>
          <w:rFonts w:ascii="Arial" w:eastAsia="Arial" w:hAnsi="Arial" w:cs="Arial"/>
          <w:b/>
          <w:bCs/>
          <w:color w:val="0D0D0D" w:themeColor="text1" w:themeTint="F2"/>
          <w:sz w:val="24"/>
          <w:szCs w:val="24"/>
        </w:rPr>
        <w:t>Element 3: Preparation and Plating</w:t>
      </w:r>
    </w:p>
    <w:p w14:paraId="0157D3A0" w14:textId="5C93E469" w:rsidR="076193D7" w:rsidRDefault="076193D7" w:rsidP="002A4DA4">
      <w:pPr>
        <w:spacing w:line="360" w:lineRule="auto"/>
        <w:jc w:val="both"/>
        <w:rPr>
          <w:rFonts w:ascii="Arial" w:eastAsia="Arial" w:hAnsi="Arial" w:cs="Arial"/>
          <w:sz w:val="24"/>
          <w:szCs w:val="24"/>
        </w:rPr>
      </w:pPr>
      <w:r w:rsidRPr="1F82A93F">
        <w:rPr>
          <w:rFonts w:ascii="Arial" w:eastAsia="Arial" w:hAnsi="Arial" w:cs="Arial"/>
          <w:color w:val="0D0D0D" w:themeColor="text1" w:themeTint="F2"/>
          <w:sz w:val="24"/>
          <w:szCs w:val="24"/>
        </w:rPr>
        <w:t xml:space="preserve">In my role at the back station, which encompasses canapés and starters, meticulous mise </w:t>
      </w:r>
      <w:proofErr w:type="spellStart"/>
      <w:r w:rsidRPr="1F82A93F">
        <w:rPr>
          <w:rFonts w:ascii="Arial" w:eastAsia="Arial" w:hAnsi="Arial" w:cs="Arial"/>
          <w:color w:val="0D0D0D" w:themeColor="text1" w:themeTint="F2"/>
          <w:sz w:val="24"/>
          <w:szCs w:val="24"/>
        </w:rPr>
        <w:t>en</w:t>
      </w:r>
      <w:proofErr w:type="spellEnd"/>
      <w:r w:rsidRPr="1F82A93F">
        <w:rPr>
          <w:rFonts w:ascii="Arial" w:eastAsia="Arial" w:hAnsi="Arial" w:cs="Arial"/>
          <w:color w:val="0D0D0D" w:themeColor="text1" w:themeTint="F2"/>
          <w:sz w:val="24"/>
          <w:szCs w:val="24"/>
        </w:rPr>
        <w:t xml:space="preserve"> place is crucial. I diligently compile a list of ingredients the day before, ensuring that upon arrival the next </w:t>
      </w:r>
      <w:r w:rsidRPr="1F82A93F">
        <w:rPr>
          <w:rFonts w:ascii="Arial" w:eastAsia="Arial" w:hAnsi="Arial" w:cs="Arial"/>
          <w:color w:val="0D0D0D" w:themeColor="text1" w:themeTint="F2"/>
          <w:sz w:val="24"/>
          <w:szCs w:val="24"/>
        </w:rPr>
        <w:lastRenderedPageBreak/>
        <w:t>day, I am fully prepared to tackle tasks efficiently. By organising all necessary ingredients at my station beforehand, I optimise workflow and minimise time wastage from unnecessary movement.</w:t>
      </w:r>
    </w:p>
    <w:p w14:paraId="0F76A273" w14:textId="4B9E6D56" w:rsidR="7600FFB2" w:rsidRDefault="7600FFB2"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As highlighted by Schlegel et al. (2019), mise-</w:t>
      </w:r>
      <w:proofErr w:type="spellStart"/>
      <w:r w:rsidRPr="1F82A93F">
        <w:rPr>
          <w:rFonts w:ascii="Arial" w:eastAsia="Arial" w:hAnsi="Arial" w:cs="Arial"/>
          <w:color w:val="0D0D0D" w:themeColor="text1" w:themeTint="F2"/>
          <w:sz w:val="24"/>
          <w:szCs w:val="24"/>
        </w:rPr>
        <w:t>en</w:t>
      </w:r>
      <w:proofErr w:type="spellEnd"/>
      <w:r w:rsidRPr="1F82A93F">
        <w:rPr>
          <w:rFonts w:ascii="Arial" w:eastAsia="Arial" w:hAnsi="Arial" w:cs="Arial"/>
          <w:color w:val="0D0D0D" w:themeColor="text1" w:themeTint="F2"/>
          <w:sz w:val="24"/>
          <w:szCs w:val="24"/>
        </w:rPr>
        <w:t>-place signifies that everything needed for a task is readily available and that all necessary preparation has been completed in a timely manner. It involves not only arranging ingredients and equipment but also understanding and adhering to the systems and procedures in place within a culinary environment.</w:t>
      </w:r>
    </w:p>
    <w:p w14:paraId="37A97B7D" w14:textId="2C08774C" w:rsidR="7BF14775" w:rsidRDefault="7BF14775" w:rsidP="002A4DA4">
      <w:pPr>
        <w:spacing w:line="360" w:lineRule="auto"/>
        <w:jc w:val="both"/>
        <w:rPr>
          <w:rFonts w:ascii="Arial" w:eastAsia="Arial" w:hAnsi="Arial" w:cs="Arial"/>
          <w:sz w:val="24"/>
          <w:szCs w:val="24"/>
        </w:rPr>
      </w:pPr>
      <w:r w:rsidRPr="1F82A93F">
        <w:rPr>
          <w:rFonts w:ascii="Arial" w:eastAsia="Arial" w:hAnsi="Arial" w:cs="Arial"/>
          <w:color w:val="0D0D0D" w:themeColor="text1" w:themeTint="F2"/>
          <w:sz w:val="24"/>
          <w:szCs w:val="24"/>
        </w:rPr>
        <w:t xml:space="preserve">As a newcomer in a restaurant setting, I encountered challenges with time management during preparation. Initially, it was difficult to complete tasks on schedule, but over time, I improved. Chef Hywel provided support by </w:t>
      </w:r>
      <w:proofErr w:type="gramStart"/>
      <w:r w:rsidRPr="1F82A93F">
        <w:rPr>
          <w:rFonts w:ascii="Arial" w:eastAsia="Arial" w:hAnsi="Arial" w:cs="Arial"/>
          <w:color w:val="0D0D0D" w:themeColor="text1" w:themeTint="F2"/>
          <w:sz w:val="24"/>
          <w:szCs w:val="24"/>
        </w:rPr>
        <w:t>offering assistance</w:t>
      </w:r>
      <w:proofErr w:type="gramEnd"/>
      <w:r w:rsidRPr="1F82A93F">
        <w:rPr>
          <w:rFonts w:ascii="Arial" w:eastAsia="Arial" w:hAnsi="Arial" w:cs="Arial"/>
          <w:color w:val="0D0D0D" w:themeColor="text1" w:themeTint="F2"/>
          <w:sz w:val="24"/>
          <w:szCs w:val="24"/>
        </w:rPr>
        <w:t xml:space="preserve"> and encouraging me to continue practicing, reassuring me that time management skills would develop with experience. </w:t>
      </w:r>
    </w:p>
    <w:p w14:paraId="0CF94C5A" w14:textId="39FA3F9A" w:rsidR="2F802D98" w:rsidRDefault="2F802D98"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The foundation of artistic expression in gastronomy lies in food design. Chefs play a crucial role in crafting visually stunning plate presentations, expressing their emotions and creativity through their culinary creations</w:t>
      </w:r>
      <w:r w:rsidR="6A74B202" w:rsidRPr="1F82A93F">
        <w:rPr>
          <w:rFonts w:ascii="Arial" w:eastAsia="Arial" w:hAnsi="Arial" w:cs="Arial"/>
          <w:color w:val="0D0D0D" w:themeColor="text1" w:themeTint="F2"/>
          <w:sz w:val="24"/>
          <w:szCs w:val="24"/>
        </w:rPr>
        <w:t xml:space="preserve"> (</w:t>
      </w:r>
      <w:proofErr w:type="spellStart"/>
      <w:r w:rsidR="6A74B202" w:rsidRPr="1F82A93F">
        <w:rPr>
          <w:rFonts w:ascii="Arial" w:eastAsia="Arial" w:hAnsi="Arial" w:cs="Arial"/>
          <w:color w:val="0D0D0D" w:themeColor="text1" w:themeTint="F2"/>
          <w:sz w:val="24"/>
          <w:szCs w:val="24"/>
        </w:rPr>
        <w:t>Cifci</w:t>
      </w:r>
      <w:proofErr w:type="spellEnd"/>
      <w:r w:rsidR="6A74B202" w:rsidRPr="1F82A93F">
        <w:rPr>
          <w:rFonts w:ascii="Arial" w:eastAsia="Arial" w:hAnsi="Arial" w:cs="Arial"/>
          <w:color w:val="0D0D0D" w:themeColor="text1" w:themeTint="F2"/>
          <w:sz w:val="24"/>
          <w:szCs w:val="24"/>
        </w:rPr>
        <w:t xml:space="preserve"> et.al, 2023)</w:t>
      </w:r>
      <w:r w:rsidRPr="1F82A93F">
        <w:rPr>
          <w:rFonts w:ascii="Arial" w:eastAsia="Arial" w:hAnsi="Arial" w:cs="Arial"/>
          <w:color w:val="0D0D0D" w:themeColor="text1" w:themeTint="F2"/>
          <w:sz w:val="24"/>
          <w:szCs w:val="24"/>
        </w:rPr>
        <w:t>.</w:t>
      </w:r>
    </w:p>
    <w:p w14:paraId="137B4693" w14:textId="272C41A1" w:rsidR="02C6506D" w:rsidRDefault="02C6506D" w:rsidP="002A4DA4">
      <w:pPr>
        <w:spacing w:line="360" w:lineRule="auto"/>
        <w:jc w:val="both"/>
        <w:rPr>
          <w:rFonts w:ascii="Arial" w:eastAsia="Arial" w:hAnsi="Arial" w:cs="Arial"/>
          <w:sz w:val="24"/>
          <w:szCs w:val="24"/>
        </w:rPr>
      </w:pPr>
      <w:r w:rsidRPr="1F82A93F">
        <w:rPr>
          <w:rFonts w:ascii="Arial" w:eastAsia="Arial" w:hAnsi="Arial" w:cs="Arial"/>
          <w:color w:val="0D0D0D" w:themeColor="text1" w:themeTint="F2"/>
          <w:sz w:val="24"/>
          <w:szCs w:val="24"/>
        </w:rPr>
        <w:t>Chef Hywel highlighted one of my strengths is attention to detail, a quality paramount in plating dishes. The saying "We eat with our eyes first" emphasises the critical role of visual presentation in dining experiences. As my responsibility lies in presenting canapés and starters, I strive to ensure they are presented to the highest standard possible.</w:t>
      </w:r>
    </w:p>
    <w:p w14:paraId="4710930E" w14:textId="5FB271D9" w:rsidR="19909EBF" w:rsidRDefault="19909EBF" w:rsidP="002A4DA4">
      <w:pPr>
        <w:spacing w:line="360" w:lineRule="auto"/>
        <w:jc w:val="both"/>
        <w:rPr>
          <w:rFonts w:ascii="Arial" w:eastAsia="Arial" w:hAnsi="Arial" w:cs="Arial"/>
          <w:sz w:val="24"/>
          <w:szCs w:val="24"/>
        </w:rPr>
      </w:pPr>
      <w:r w:rsidRPr="1F82A93F">
        <w:rPr>
          <w:rFonts w:ascii="Arial" w:eastAsia="Arial" w:hAnsi="Arial" w:cs="Arial"/>
          <w:color w:val="0D0D0D" w:themeColor="text1" w:themeTint="F2"/>
          <w:sz w:val="24"/>
          <w:szCs w:val="24"/>
        </w:rPr>
        <w:t>Plating food on attractive dishes is essential, as it sets the stage for a memorable meal. From selecting the right plate to arranging colours and ingredients thoughtfully, presentation significantly impacts how a dish is perceived and enjoyed by diners</w:t>
      </w:r>
      <w:r w:rsidR="54852329" w:rsidRPr="1F82A93F">
        <w:rPr>
          <w:rFonts w:ascii="Arial" w:eastAsia="Arial" w:hAnsi="Arial" w:cs="Arial"/>
          <w:color w:val="0D0D0D" w:themeColor="text1" w:themeTint="F2"/>
          <w:sz w:val="24"/>
          <w:szCs w:val="24"/>
        </w:rPr>
        <w:t xml:space="preserve"> (</w:t>
      </w:r>
      <w:proofErr w:type="spellStart"/>
      <w:proofErr w:type="gramStart"/>
      <w:r w:rsidR="54852329" w:rsidRPr="1F82A93F">
        <w:rPr>
          <w:rFonts w:ascii="Arial" w:eastAsia="Arial" w:hAnsi="Arial" w:cs="Arial"/>
          <w:color w:val="0D0D0D" w:themeColor="text1" w:themeTint="F2"/>
          <w:sz w:val="24"/>
          <w:szCs w:val="24"/>
        </w:rPr>
        <w:t>Deroy,et</w:t>
      </w:r>
      <w:proofErr w:type="spellEnd"/>
      <w:proofErr w:type="gramEnd"/>
      <w:r w:rsidR="54852329" w:rsidRPr="1F82A93F">
        <w:rPr>
          <w:rFonts w:ascii="Arial" w:eastAsia="Arial" w:hAnsi="Arial" w:cs="Arial"/>
          <w:color w:val="0D0D0D" w:themeColor="text1" w:themeTint="F2"/>
          <w:sz w:val="24"/>
          <w:szCs w:val="24"/>
        </w:rPr>
        <w:t xml:space="preserve"> al, 2014)</w:t>
      </w:r>
      <w:r w:rsidRPr="1F82A93F">
        <w:rPr>
          <w:rFonts w:ascii="Arial" w:eastAsia="Arial" w:hAnsi="Arial" w:cs="Arial"/>
          <w:color w:val="0D0D0D" w:themeColor="text1" w:themeTint="F2"/>
          <w:sz w:val="24"/>
          <w:szCs w:val="24"/>
        </w:rPr>
        <w:t>.</w:t>
      </w:r>
    </w:p>
    <w:p w14:paraId="478A10CF" w14:textId="1A30FBC8" w:rsidR="19909EBF" w:rsidRDefault="19909EBF"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Here are</w:t>
      </w:r>
      <w:r w:rsidR="3C909F52" w:rsidRPr="1F82A93F">
        <w:rPr>
          <w:rFonts w:ascii="Arial" w:eastAsia="Arial" w:hAnsi="Arial" w:cs="Arial"/>
          <w:color w:val="0D0D0D" w:themeColor="text1" w:themeTint="F2"/>
          <w:sz w:val="24"/>
          <w:szCs w:val="24"/>
        </w:rPr>
        <w:t xml:space="preserve"> the</w:t>
      </w:r>
      <w:r w:rsidRPr="1F82A93F">
        <w:rPr>
          <w:rFonts w:ascii="Arial" w:eastAsia="Arial" w:hAnsi="Arial" w:cs="Arial"/>
          <w:color w:val="0D0D0D" w:themeColor="text1" w:themeTint="F2"/>
          <w:sz w:val="24"/>
          <w:szCs w:val="24"/>
        </w:rPr>
        <w:t xml:space="preserve"> examples of the dishes I prepare and plate:</w:t>
      </w:r>
    </w:p>
    <w:p w14:paraId="571DDB9B" w14:textId="4D82C373" w:rsidR="01108E8D" w:rsidRDefault="01108E8D" w:rsidP="002A4DA4">
      <w:pPr>
        <w:spacing w:line="360" w:lineRule="auto"/>
        <w:jc w:val="both"/>
        <w:rPr>
          <w:rFonts w:ascii="Arial" w:eastAsia="Arial" w:hAnsi="Arial" w:cs="Arial"/>
          <w:sz w:val="24"/>
          <w:szCs w:val="24"/>
        </w:rPr>
      </w:pPr>
      <w:r>
        <w:rPr>
          <w:noProof/>
        </w:rPr>
        <w:drawing>
          <wp:inline distT="0" distB="0" distL="0" distR="0" wp14:anchorId="049264D9" wp14:editId="567A7468">
            <wp:extent cx="1591450" cy="1347011"/>
            <wp:effectExtent l="0" t="0" r="0" b="0"/>
            <wp:docPr id="829789175" name="Picture 829789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1591450" cy="1347011"/>
                    </a:xfrm>
                    <a:prstGeom prst="rect">
                      <a:avLst/>
                    </a:prstGeom>
                  </pic:spPr>
                </pic:pic>
              </a:graphicData>
            </a:graphic>
          </wp:inline>
        </w:drawing>
      </w:r>
      <w:r>
        <w:rPr>
          <w:noProof/>
        </w:rPr>
        <w:drawing>
          <wp:inline distT="0" distB="0" distL="0" distR="0" wp14:anchorId="31B6D462" wp14:editId="0F8BC77E">
            <wp:extent cx="1518371" cy="1343372"/>
            <wp:effectExtent l="0" t="0" r="0" b="0"/>
            <wp:docPr id="1570459886" name="Picture 1570459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1518371" cy="1343372"/>
                    </a:xfrm>
                    <a:prstGeom prst="rect">
                      <a:avLst/>
                    </a:prstGeom>
                  </pic:spPr>
                </pic:pic>
              </a:graphicData>
            </a:graphic>
          </wp:inline>
        </w:drawing>
      </w:r>
      <w:r w:rsidR="29D9B40F">
        <w:rPr>
          <w:noProof/>
        </w:rPr>
        <w:drawing>
          <wp:inline distT="0" distB="0" distL="0" distR="0" wp14:anchorId="568B314B" wp14:editId="33CF184B">
            <wp:extent cx="1748314" cy="1349181"/>
            <wp:effectExtent l="0" t="0" r="0" b="0"/>
            <wp:docPr id="40515229" name="Picture 40515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48314" cy="1349181"/>
                    </a:xfrm>
                    <a:prstGeom prst="rect">
                      <a:avLst/>
                    </a:prstGeom>
                  </pic:spPr>
                </pic:pic>
              </a:graphicData>
            </a:graphic>
          </wp:inline>
        </w:drawing>
      </w:r>
    </w:p>
    <w:p w14:paraId="00970DFE" w14:textId="049AD67D" w:rsidR="29D9B40F" w:rsidRDefault="29D9B40F"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 xml:space="preserve">Photo credit: Beach house </w:t>
      </w:r>
      <w:proofErr w:type="spellStart"/>
      <w:r w:rsidRPr="1F82A93F">
        <w:rPr>
          <w:rFonts w:ascii="Arial" w:eastAsia="Arial" w:hAnsi="Arial" w:cs="Arial"/>
          <w:color w:val="0D0D0D" w:themeColor="text1" w:themeTint="F2"/>
          <w:sz w:val="24"/>
          <w:szCs w:val="24"/>
        </w:rPr>
        <w:t>Oxwich</w:t>
      </w:r>
      <w:proofErr w:type="spellEnd"/>
      <w:r w:rsidRPr="1F82A93F">
        <w:rPr>
          <w:rFonts w:ascii="Arial" w:eastAsia="Arial" w:hAnsi="Arial" w:cs="Arial"/>
          <w:color w:val="0D0D0D" w:themeColor="text1" w:themeTint="F2"/>
          <w:sz w:val="24"/>
          <w:szCs w:val="24"/>
        </w:rPr>
        <w:t xml:space="preserve"> (Instagram)</w:t>
      </w:r>
    </w:p>
    <w:p w14:paraId="5BA43477" w14:textId="4D8520EA" w:rsidR="2C223742" w:rsidRDefault="2C223742" w:rsidP="002A4DA4">
      <w:pPr>
        <w:spacing w:line="360" w:lineRule="auto"/>
        <w:jc w:val="both"/>
        <w:rPr>
          <w:rFonts w:ascii="Arial" w:eastAsia="Arial" w:hAnsi="Arial" w:cs="Arial"/>
          <w:b/>
          <w:bCs/>
          <w:color w:val="0D0D0D" w:themeColor="text1" w:themeTint="F2"/>
          <w:sz w:val="24"/>
          <w:szCs w:val="24"/>
        </w:rPr>
      </w:pPr>
      <w:r w:rsidRPr="1F82A93F">
        <w:rPr>
          <w:rFonts w:ascii="Arial" w:eastAsia="Arial" w:hAnsi="Arial" w:cs="Arial"/>
          <w:b/>
          <w:bCs/>
          <w:color w:val="0D0D0D" w:themeColor="text1" w:themeTint="F2"/>
          <w:sz w:val="24"/>
          <w:szCs w:val="24"/>
        </w:rPr>
        <w:t>Element 4: Reflections on Experience</w:t>
      </w:r>
    </w:p>
    <w:p w14:paraId="6403C1AC" w14:textId="2A003FDE" w:rsidR="347CC2F4" w:rsidRDefault="347CC2F4" w:rsidP="002A4DA4">
      <w:pPr>
        <w:shd w:val="clear" w:color="auto" w:fill="FFFFFF" w:themeFill="background1"/>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 xml:space="preserve">Through this enriching experience, I've ventured into the captivating world of food and wine, uncovering new concepts and practices that have deepened my understanding and appreciation for culinary delights. Exploring the basics of wine, from varietals to tasting techniques, has opened my eyes to the intricate relationship between food and wine, transforming both my personal and professional journey. As I delved into the art of food and wine pairing, I realised the importance of </w:t>
      </w:r>
      <w:r w:rsidRPr="1F82A93F">
        <w:rPr>
          <w:rFonts w:ascii="Arial" w:eastAsia="Arial" w:hAnsi="Arial" w:cs="Arial"/>
          <w:color w:val="0D0D0D" w:themeColor="text1" w:themeTint="F2"/>
          <w:sz w:val="24"/>
          <w:szCs w:val="24"/>
        </w:rPr>
        <w:lastRenderedPageBreak/>
        <w:t xml:space="preserve">considering the characteristics of a dish and how they interact with the </w:t>
      </w:r>
      <w:r w:rsidR="0A64E8FD" w:rsidRPr="1F82A93F">
        <w:rPr>
          <w:rFonts w:ascii="Arial" w:eastAsia="Arial" w:hAnsi="Arial" w:cs="Arial"/>
          <w:color w:val="0D0D0D" w:themeColor="text1" w:themeTint="F2"/>
          <w:sz w:val="24"/>
          <w:szCs w:val="24"/>
        </w:rPr>
        <w:t>f</w:t>
      </w:r>
      <w:r w:rsidRPr="1F82A93F">
        <w:rPr>
          <w:rFonts w:ascii="Arial" w:eastAsia="Arial" w:hAnsi="Arial" w:cs="Arial"/>
          <w:color w:val="0D0D0D" w:themeColor="text1" w:themeTint="F2"/>
          <w:sz w:val="24"/>
          <w:szCs w:val="24"/>
        </w:rPr>
        <w:t>lavo</w:t>
      </w:r>
      <w:r w:rsidR="2B531973" w:rsidRPr="1F82A93F">
        <w:rPr>
          <w:rFonts w:ascii="Arial" w:eastAsia="Arial" w:hAnsi="Arial" w:cs="Arial"/>
          <w:color w:val="0D0D0D" w:themeColor="text1" w:themeTint="F2"/>
          <w:sz w:val="24"/>
          <w:szCs w:val="24"/>
        </w:rPr>
        <w:t>u</w:t>
      </w:r>
      <w:r w:rsidRPr="1F82A93F">
        <w:rPr>
          <w:rFonts w:ascii="Arial" w:eastAsia="Arial" w:hAnsi="Arial" w:cs="Arial"/>
          <w:color w:val="0D0D0D" w:themeColor="text1" w:themeTint="F2"/>
          <w:sz w:val="24"/>
          <w:szCs w:val="24"/>
        </w:rPr>
        <w:t>rs of a wine (WSET Global, 2020). This newfound knowledge has inspired me to approach food and wine matching thoughtfully, whether considering the objectives of a gathering or the preferences of diners (Harrington, 2017).</w:t>
      </w:r>
    </w:p>
    <w:p w14:paraId="6E032AE7" w14:textId="355DC18B" w:rsidR="347CC2F4" w:rsidRDefault="347CC2F4" w:rsidP="002A4DA4">
      <w:pPr>
        <w:shd w:val="clear" w:color="auto" w:fill="FFFFFF" w:themeFill="background1"/>
        <w:spacing w:after="0"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Moreover, I've been inspired by the insights of top chefs who recognise the impact of diner interactions on the dining experience. Understanding that the sequence in which elements are sampled can significantly influence perceptions, I've gained a deeper appreciation for the artistry behind crafting memorable culinary experiences (Spence et. al., 2017). This realization has had the greatest impact on me, as it has reshaped my approach to food presentation and sequencing, emphasizing the importance of creating cohesive and engaging dining experiences. As I continue to explore and refine my understanding of food and wine pairing, I'm driven by a passion to create harmonious and memorable dining experiences that delight the senses and elevate the enjoyment of both food and wine.</w:t>
      </w:r>
    </w:p>
    <w:p w14:paraId="31558DCC" w14:textId="609565B0" w:rsidR="1F82A93F" w:rsidRDefault="1F82A93F" w:rsidP="002A4DA4">
      <w:pPr>
        <w:shd w:val="clear" w:color="auto" w:fill="FFFFFF" w:themeFill="background1"/>
        <w:spacing w:after="0" w:line="360" w:lineRule="auto"/>
        <w:jc w:val="both"/>
        <w:rPr>
          <w:rFonts w:ascii="Arial" w:eastAsia="Arial" w:hAnsi="Arial" w:cs="Arial"/>
          <w:b/>
          <w:bCs/>
          <w:color w:val="0D0D0D" w:themeColor="text1" w:themeTint="F2"/>
          <w:sz w:val="24"/>
          <w:szCs w:val="24"/>
        </w:rPr>
      </w:pPr>
    </w:p>
    <w:p w14:paraId="746AF406" w14:textId="62930C11" w:rsidR="7F92A976" w:rsidRDefault="7F92A976" w:rsidP="002A4DA4">
      <w:pPr>
        <w:shd w:val="clear" w:color="auto" w:fill="FFFFFF" w:themeFill="background1"/>
        <w:spacing w:after="0" w:line="360" w:lineRule="auto"/>
        <w:jc w:val="both"/>
        <w:rPr>
          <w:rFonts w:ascii="Arial" w:eastAsia="Arial" w:hAnsi="Arial" w:cs="Arial"/>
          <w:b/>
          <w:bCs/>
          <w:color w:val="0D0D0D" w:themeColor="text1" w:themeTint="F2"/>
          <w:sz w:val="24"/>
          <w:szCs w:val="24"/>
        </w:rPr>
      </w:pPr>
      <w:r w:rsidRPr="1F82A93F">
        <w:rPr>
          <w:rFonts w:ascii="Arial" w:eastAsia="Arial" w:hAnsi="Arial" w:cs="Arial"/>
          <w:b/>
          <w:bCs/>
          <w:color w:val="0D0D0D" w:themeColor="text1" w:themeTint="F2"/>
          <w:sz w:val="24"/>
          <w:szCs w:val="24"/>
        </w:rPr>
        <w:t>Element 5: Leading to the Future</w:t>
      </w:r>
    </w:p>
    <w:p w14:paraId="5E35DFC2" w14:textId="772BE546"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1DF3FB4C" w14:textId="6EEDBDED" w:rsidR="2B168CF4" w:rsidRDefault="2B168CF4" w:rsidP="002A4DA4">
      <w:pPr>
        <w:shd w:val="clear" w:color="auto" w:fill="FFFFFF" w:themeFill="background1"/>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 xml:space="preserve">During my placement, I assumed leadership of the back station alongside two other chefs, ensuring seamless service through effective task delegation and maintaining operational efficiency. As highlighted by Ulrich and Smallwood (2012), successful leadership extends beyond personal proficiency to nurturing future leaders within the team, a principle I applied in guiding and empowering my colleagues. </w:t>
      </w:r>
      <w:proofErr w:type="spellStart"/>
      <w:r w:rsidRPr="1F82A93F">
        <w:rPr>
          <w:rFonts w:ascii="Arial" w:eastAsia="Arial" w:hAnsi="Arial" w:cs="Arial"/>
          <w:color w:val="0D0D0D" w:themeColor="text1" w:themeTint="F2"/>
          <w:sz w:val="24"/>
          <w:szCs w:val="24"/>
        </w:rPr>
        <w:t>Platow</w:t>
      </w:r>
      <w:proofErr w:type="spellEnd"/>
      <w:r w:rsidRPr="1F82A93F">
        <w:rPr>
          <w:rFonts w:ascii="Arial" w:eastAsia="Arial" w:hAnsi="Arial" w:cs="Arial"/>
          <w:color w:val="0D0D0D" w:themeColor="text1" w:themeTint="F2"/>
          <w:sz w:val="24"/>
          <w:szCs w:val="24"/>
        </w:rPr>
        <w:t xml:space="preserve"> et al. (2015) underscore the importance of collective interactions in shaping leadership dynamics, emphasizing its significance in organisational contexts, which resonated with my experience of leading within a collaborative kitchen environment.</w:t>
      </w:r>
    </w:p>
    <w:p w14:paraId="3547768F" w14:textId="3F9AEEA3" w:rsidR="2B168CF4" w:rsidRDefault="2B168CF4"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Moreover, I recognize the pivotal role of innovative leadership in shaping the work environment and driving organizational success, as emphasized by Araque and Weiss (2018). Drawing from my placement experiences, I have gained insights into the importance of setting the tone, fostering a culture of excellence, and guiding the process to achieve collective goals. Looking ahead, I aspire to be both a cooperative team member and a guiding force in the culinary sphere, leveraging my experiences to develop the requisite abilities for leading teams effectively.</w:t>
      </w:r>
    </w:p>
    <w:p w14:paraId="7C1FC478" w14:textId="4EADB545" w:rsidR="2B168CF4" w:rsidRDefault="2B168CF4" w:rsidP="002A4DA4">
      <w:pPr>
        <w:shd w:val="clear" w:color="auto" w:fill="FFFFFF" w:themeFill="background1"/>
        <w:spacing w:after="0"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To achieve these aspirations, I am committed to continuous learning, practice, and exposure to diverse culinary experiences, as Araque and Weiss (2018) suggest. Whether through formal education, culinary workshops, travel, or hands-on experience in professional kitchens, I am dedicated to expanding my culinary knowledge and honing my professional and interpersonal skills to navigate future challenges and establish my own café or restaurant successfully.</w:t>
      </w:r>
    </w:p>
    <w:p w14:paraId="72009500" w14:textId="2EA58C65"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6EE54D51" w14:textId="77777777" w:rsidR="00046974" w:rsidRDefault="00046974" w:rsidP="002A4DA4">
      <w:pPr>
        <w:shd w:val="clear" w:color="auto" w:fill="FFFFFF" w:themeFill="background1"/>
        <w:spacing w:after="0" w:line="360" w:lineRule="auto"/>
        <w:jc w:val="both"/>
        <w:rPr>
          <w:rFonts w:ascii="Arial" w:eastAsia="Arial" w:hAnsi="Arial" w:cs="Arial"/>
          <w:b/>
          <w:bCs/>
          <w:color w:val="0D0D0D" w:themeColor="text1" w:themeTint="F2"/>
          <w:sz w:val="24"/>
          <w:szCs w:val="24"/>
        </w:rPr>
      </w:pPr>
    </w:p>
    <w:p w14:paraId="3CAD3286" w14:textId="60747625" w:rsidR="024950E2" w:rsidRDefault="024950E2" w:rsidP="002A4DA4">
      <w:pPr>
        <w:shd w:val="clear" w:color="auto" w:fill="FFFFFF" w:themeFill="background1"/>
        <w:spacing w:after="0" w:line="360" w:lineRule="auto"/>
        <w:jc w:val="both"/>
        <w:rPr>
          <w:rFonts w:ascii="Arial" w:eastAsia="Arial" w:hAnsi="Arial" w:cs="Arial"/>
          <w:b/>
          <w:bCs/>
          <w:color w:val="0D0D0D" w:themeColor="text1" w:themeTint="F2"/>
          <w:sz w:val="24"/>
          <w:szCs w:val="24"/>
        </w:rPr>
      </w:pPr>
      <w:r w:rsidRPr="1F82A93F">
        <w:rPr>
          <w:rFonts w:ascii="Arial" w:eastAsia="Arial" w:hAnsi="Arial" w:cs="Arial"/>
          <w:b/>
          <w:bCs/>
          <w:color w:val="0D0D0D" w:themeColor="text1" w:themeTint="F2"/>
          <w:sz w:val="24"/>
          <w:szCs w:val="24"/>
        </w:rPr>
        <w:lastRenderedPageBreak/>
        <w:t>Conclusion:</w:t>
      </w:r>
    </w:p>
    <w:p w14:paraId="7EDA97C0" w14:textId="06C1CB29" w:rsidR="1F82A93F" w:rsidRDefault="1F82A93F" w:rsidP="002A4DA4">
      <w:pPr>
        <w:shd w:val="clear" w:color="auto" w:fill="FFFFFF" w:themeFill="background1"/>
        <w:spacing w:after="0" w:line="360" w:lineRule="auto"/>
        <w:jc w:val="both"/>
        <w:rPr>
          <w:rFonts w:ascii="Arial" w:eastAsia="Arial" w:hAnsi="Arial" w:cs="Arial"/>
          <w:b/>
          <w:bCs/>
          <w:color w:val="0D0D0D" w:themeColor="text1" w:themeTint="F2"/>
          <w:sz w:val="24"/>
          <w:szCs w:val="24"/>
        </w:rPr>
      </w:pPr>
    </w:p>
    <w:p w14:paraId="3C0D42C5" w14:textId="30CEBA12" w:rsidR="61ED3F4D" w:rsidRDefault="61ED3F4D" w:rsidP="002A4DA4">
      <w:pPr>
        <w:shd w:val="clear" w:color="auto" w:fill="FFFFFF" w:themeFill="background1"/>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In conclusion, my placement experience has been transformative, providing invaluable insights and skills that have reshaped my approach to the culinary industry. Exposure to Michelin-starred restaurants revealed the meticulous standards applied to culinary offerings and the importance of exemplary service in delivering exceptional hospitality experiences. Delving into wine and food pairing basics broadened my culinary horizons, deepening appreciation for the intricate relationship between flavours.</w:t>
      </w:r>
    </w:p>
    <w:p w14:paraId="3D329B3D" w14:textId="5EAC2DA8" w:rsidR="61ED3F4D" w:rsidRDefault="61ED3F4D" w:rsidP="002A4DA4">
      <w:pPr>
        <w:spacing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Reflecting on my learning experiences, I acknowledge the significance of effective stock management, meat cooking skills, preparation and plating techniques, and leadership in the culinary field. These elements equipped me with essential capabilities for contemporary work and fostered a commitment to continuous learning and growth.</w:t>
      </w:r>
    </w:p>
    <w:p w14:paraId="2965D4E9" w14:textId="70938C75" w:rsidR="61ED3F4D" w:rsidRDefault="61ED3F4D" w:rsidP="002A4DA4">
      <w:pPr>
        <w:shd w:val="clear" w:color="auto" w:fill="FFFFFF" w:themeFill="background1"/>
        <w:spacing w:after="0" w:line="360" w:lineRule="auto"/>
        <w:jc w:val="both"/>
        <w:rPr>
          <w:rFonts w:ascii="Arial" w:eastAsia="Arial" w:hAnsi="Arial" w:cs="Arial"/>
          <w:color w:val="0D0D0D" w:themeColor="text1" w:themeTint="F2"/>
          <w:sz w:val="24"/>
          <w:szCs w:val="24"/>
        </w:rPr>
      </w:pPr>
      <w:r w:rsidRPr="1F82A93F">
        <w:rPr>
          <w:rFonts w:ascii="Arial" w:eastAsia="Arial" w:hAnsi="Arial" w:cs="Arial"/>
          <w:color w:val="0D0D0D" w:themeColor="text1" w:themeTint="F2"/>
          <w:sz w:val="24"/>
          <w:szCs w:val="24"/>
        </w:rPr>
        <w:t>Looking ahead, I aim to leverage my experiences to become a guiding force in the culinary sphere, fostering a culture of excellence and innovation. Dedicated to expanding culinary knowledge, honing skills, and establishing a successful café or restaurant, I draw from placement lessons to confidently navigate future challenges and contribute meaningfully to the industry.</w:t>
      </w:r>
    </w:p>
    <w:p w14:paraId="0B79CB5A" w14:textId="34A8DC61" w:rsidR="1F82A93F" w:rsidRDefault="1F82A93F" w:rsidP="002A4DA4">
      <w:pPr>
        <w:shd w:val="clear" w:color="auto" w:fill="FFFFFF" w:themeFill="background1"/>
        <w:spacing w:after="0" w:line="360" w:lineRule="auto"/>
        <w:jc w:val="both"/>
        <w:rPr>
          <w:rFonts w:ascii="Arial" w:eastAsia="Arial" w:hAnsi="Arial" w:cs="Arial"/>
          <w:b/>
          <w:bCs/>
          <w:color w:val="0D0D0D" w:themeColor="text1" w:themeTint="F2"/>
          <w:sz w:val="24"/>
          <w:szCs w:val="24"/>
        </w:rPr>
      </w:pPr>
    </w:p>
    <w:p w14:paraId="202CEDE5" w14:textId="147E5B0A"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044283CE" w14:textId="729E1D67"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63E486B9" w14:textId="669BCFC3"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53A6183A" w14:textId="206A7337"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5716AE64" w14:textId="670F48CB"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7E15F5C0" w14:textId="77777777" w:rsidR="00046974" w:rsidRDefault="00046974"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2CC5CFDF" w14:textId="77777777" w:rsidR="00046974" w:rsidRDefault="00046974"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79B86910" w14:textId="77777777" w:rsidR="00046974" w:rsidRDefault="00046974"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48AE37E4" w14:textId="77777777" w:rsidR="00046974" w:rsidRDefault="00046974"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2D4E3F45" w14:textId="77777777" w:rsidR="00046974" w:rsidRDefault="00046974"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39E57184" w14:textId="77777777" w:rsidR="00046974" w:rsidRDefault="00046974"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18F095B7" w14:textId="7A38782B"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20967D5D" w14:textId="7A06BA01"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0C887EF4" w14:textId="016754B6"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257D8AC2" w14:textId="1F030186"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1402E69B" w14:textId="6C5EE0DD"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6EB540D4" w14:textId="543B338E"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5CD03ED0" w14:textId="2F6B0D69"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27B89339" w14:textId="788DD1E1" w:rsidR="1F82A93F" w:rsidRDefault="1F82A93F" w:rsidP="002A4DA4">
      <w:pPr>
        <w:shd w:val="clear" w:color="auto" w:fill="FFFFFF" w:themeFill="background1"/>
        <w:spacing w:after="0" w:line="360" w:lineRule="auto"/>
        <w:jc w:val="both"/>
        <w:rPr>
          <w:rFonts w:ascii="Arial" w:eastAsia="Arial" w:hAnsi="Arial" w:cs="Arial"/>
          <w:color w:val="0D0D0D" w:themeColor="text1" w:themeTint="F2"/>
          <w:sz w:val="24"/>
          <w:szCs w:val="24"/>
        </w:rPr>
      </w:pPr>
    </w:p>
    <w:p w14:paraId="5E227550" w14:textId="284D50A3" w:rsidR="541E399D" w:rsidRDefault="541E399D" w:rsidP="1F82A93F">
      <w:pPr>
        <w:rPr>
          <w:rFonts w:ascii="Arial" w:eastAsia="Arial" w:hAnsi="Arial" w:cs="Arial"/>
          <w:b/>
          <w:bCs/>
          <w:color w:val="000000" w:themeColor="text1"/>
          <w:sz w:val="24"/>
          <w:szCs w:val="24"/>
        </w:rPr>
      </w:pPr>
      <w:r w:rsidRPr="1F82A93F">
        <w:rPr>
          <w:rFonts w:ascii="Arial" w:eastAsia="Arial" w:hAnsi="Arial" w:cs="Arial"/>
          <w:b/>
          <w:bCs/>
          <w:color w:val="000000" w:themeColor="text1"/>
          <w:sz w:val="24"/>
          <w:szCs w:val="24"/>
        </w:rPr>
        <w:lastRenderedPageBreak/>
        <w:t>References:</w:t>
      </w:r>
    </w:p>
    <w:p w14:paraId="47A1AA29" w14:textId="77777777"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Araque, J. C., &amp; Weiss, E. L. (2018</w:t>
      </w:r>
      <w:r w:rsidRPr="002A4DA4">
        <w:rPr>
          <w:rFonts w:ascii="Arial" w:eastAsia="Arial" w:hAnsi="Arial" w:cs="Arial"/>
          <w:i/>
          <w:iCs/>
          <w:color w:val="000000" w:themeColor="text1"/>
          <w:sz w:val="24"/>
          <w:szCs w:val="24"/>
        </w:rPr>
        <w:t>). Leadership with Impact: Preparing Health and Human Service Practitioners in the Age of Innovation and Diversity.</w:t>
      </w:r>
      <w:r w:rsidRPr="1F82A93F">
        <w:rPr>
          <w:rFonts w:ascii="Arial" w:eastAsia="Arial" w:hAnsi="Arial" w:cs="Arial"/>
          <w:color w:val="000000" w:themeColor="text1"/>
          <w:sz w:val="24"/>
          <w:szCs w:val="24"/>
        </w:rPr>
        <w:t xml:space="preserve"> Oxford University Press.</w:t>
      </w:r>
    </w:p>
    <w:p w14:paraId="2009CD53" w14:textId="6EAD5690"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 xml:space="preserve">Aro-Gordon, S. and Gupte, J., </w:t>
      </w:r>
      <w:r>
        <w:rPr>
          <w:rFonts w:ascii="Arial" w:eastAsia="Arial" w:hAnsi="Arial" w:cs="Arial"/>
          <w:color w:val="000000" w:themeColor="text1"/>
          <w:sz w:val="24"/>
          <w:szCs w:val="24"/>
        </w:rPr>
        <w:t>(</w:t>
      </w:r>
      <w:r w:rsidRPr="1F82A93F">
        <w:rPr>
          <w:rFonts w:ascii="Arial" w:eastAsia="Arial" w:hAnsi="Arial" w:cs="Arial"/>
          <w:color w:val="000000" w:themeColor="text1"/>
          <w:sz w:val="24"/>
          <w:szCs w:val="24"/>
        </w:rPr>
        <w:t>2016</w:t>
      </w:r>
      <w:r>
        <w:rPr>
          <w:rFonts w:ascii="Arial" w:eastAsia="Arial" w:hAnsi="Arial" w:cs="Arial"/>
          <w:color w:val="000000" w:themeColor="text1"/>
          <w:sz w:val="24"/>
          <w:szCs w:val="24"/>
        </w:rPr>
        <w:t>)</w:t>
      </w:r>
      <w:r w:rsidRPr="1F82A93F">
        <w:rPr>
          <w:rFonts w:ascii="Arial" w:eastAsia="Arial" w:hAnsi="Arial" w:cs="Arial"/>
          <w:color w:val="000000" w:themeColor="text1"/>
          <w:sz w:val="24"/>
          <w:szCs w:val="24"/>
        </w:rPr>
        <w:t xml:space="preserve">. Review of modern inventory management techniques. </w:t>
      </w:r>
      <w:r w:rsidRPr="1F82A93F">
        <w:rPr>
          <w:rFonts w:ascii="Arial" w:eastAsia="Arial" w:hAnsi="Arial" w:cs="Arial"/>
          <w:i/>
          <w:iCs/>
          <w:color w:val="000000" w:themeColor="text1"/>
          <w:sz w:val="24"/>
          <w:szCs w:val="24"/>
        </w:rPr>
        <w:t>Global Journal of Business &amp; Management</w:t>
      </w:r>
      <w:r w:rsidRPr="1F82A93F">
        <w:rPr>
          <w:rFonts w:ascii="Arial" w:eastAsia="Arial" w:hAnsi="Arial" w:cs="Arial"/>
          <w:color w:val="000000" w:themeColor="text1"/>
          <w:sz w:val="24"/>
          <w:szCs w:val="24"/>
        </w:rPr>
        <w:t xml:space="preserve">, </w:t>
      </w:r>
      <w:r w:rsidRPr="1F82A93F">
        <w:rPr>
          <w:rFonts w:ascii="Arial" w:eastAsia="Arial" w:hAnsi="Arial" w:cs="Arial"/>
          <w:i/>
          <w:iCs/>
          <w:color w:val="000000" w:themeColor="text1"/>
          <w:sz w:val="24"/>
          <w:szCs w:val="24"/>
        </w:rPr>
        <w:t>1</w:t>
      </w:r>
      <w:r w:rsidRPr="1F82A93F">
        <w:rPr>
          <w:rFonts w:ascii="Arial" w:eastAsia="Arial" w:hAnsi="Arial" w:cs="Arial"/>
          <w:color w:val="000000" w:themeColor="text1"/>
          <w:sz w:val="24"/>
          <w:szCs w:val="24"/>
        </w:rPr>
        <w:t>(2), pp.1-22.</w:t>
      </w:r>
    </w:p>
    <w:p w14:paraId="3316A83E" w14:textId="41B370F7"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Beach House, (</w:t>
      </w:r>
      <w:proofErr w:type="spellStart"/>
      <w:r w:rsidRPr="1F82A93F">
        <w:rPr>
          <w:rFonts w:ascii="Arial" w:eastAsia="Arial" w:hAnsi="Arial" w:cs="Arial"/>
          <w:color w:val="000000" w:themeColor="text1"/>
          <w:sz w:val="24"/>
          <w:szCs w:val="24"/>
        </w:rPr>
        <w:t>n.d</w:t>
      </w:r>
      <w:proofErr w:type="spellEnd"/>
      <w:r w:rsidRPr="1F82A93F">
        <w:rPr>
          <w:rFonts w:ascii="Arial" w:eastAsia="Arial" w:hAnsi="Arial" w:cs="Arial"/>
          <w:color w:val="000000" w:themeColor="text1"/>
          <w:sz w:val="24"/>
          <w:szCs w:val="24"/>
        </w:rPr>
        <w:t xml:space="preserve">). </w:t>
      </w:r>
      <w:r w:rsidRPr="002A4DA4">
        <w:rPr>
          <w:rFonts w:ascii="Arial" w:eastAsia="Arial" w:hAnsi="Arial" w:cs="Arial"/>
          <w:i/>
          <w:iCs/>
          <w:color w:val="000000" w:themeColor="text1"/>
          <w:sz w:val="24"/>
          <w:szCs w:val="24"/>
        </w:rPr>
        <w:t xml:space="preserve">Beach House </w:t>
      </w:r>
      <w:proofErr w:type="spellStart"/>
      <w:r w:rsidRPr="002A4DA4">
        <w:rPr>
          <w:rFonts w:ascii="Arial" w:eastAsia="Arial" w:hAnsi="Arial" w:cs="Arial"/>
          <w:i/>
          <w:iCs/>
          <w:color w:val="000000" w:themeColor="text1"/>
          <w:sz w:val="24"/>
          <w:szCs w:val="24"/>
        </w:rPr>
        <w:t>Oxwich</w:t>
      </w:r>
      <w:proofErr w:type="spellEnd"/>
      <w:r>
        <w:rPr>
          <w:rFonts w:ascii="Arial" w:eastAsia="Arial" w:hAnsi="Arial" w:cs="Arial"/>
          <w:color w:val="000000" w:themeColor="text1"/>
          <w:sz w:val="24"/>
          <w:szCs w:val="24"/>
        </w:rPr>
        <w:t xml:space="preserve">. </w:t>
      </w:r>
      <w:r w:rsidRPr="1F82A93F">
        <w:rPr>
          <w:rFonts w:ascii="Arial" w:eastAsia="Arial" w:hAnsi="Arial" w:cs="Arial"/>
          <w:color w:val="000000" w:themeColor="text1"/>
          <w:sz w:val="24"/>
          <w:szCs w:val="24"/>
        </w:rPr>
        <w:t xml:space="preserve">Available at: </w:t>
      </w:r>
      <w:hyperlink r:id="rId8">
        <w:r w:rsidRPr="1F82A93F">
          <w:rPr>
            <w:rStyle w:val="Hyperlink"/>
            <w:rFonts w:ascii="Arial" w:eastAsia="Arial" w:hAnsi="Arial" w:cs="Arial"/>
            <w:color w:val="000000" w:themeColor="text1"/>
            <w:sz w:val="24"/>
            <w:szCs w:val="24"/>
          </w:rPr>
          <w:t>https://www.instagram.com/beachouseoxwich/</w:t>
        </w:r>
      </w:hyperlink>
      <w:r w:rsidRPr="1F82A93F">
        <w:rPr>
          <w:rFonts w:ascii="Arial" w:eastAsia="Arial" w:hAnsi="Arial" w:cs="Arial"/>
          <w:color w:val="000000" w:themeColor="text1"/>
          <w:sz w:val="24"/>
          <w:szCs w:val="24"/>
        </w:rPr>
        <w:t xml:space="preserve"> (Accessed: 20 February 2024)</w:t>
      </w:r>
    </w:p>
    <w:p w14:paraId="07412A1E" w14:textId="77777777"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 xml:space="preserve">Bejerholm, C., &amp; Aaslyng, M. D. (2004). The influence of cooking technique and core temperature on results of a sensory analysis of pork—depending on the raw meat quality. </w:t>
      </w:r>
      <w:r w:rsidRPr="1F82A93F">
        <w:rPr>
          <w:rFonts w:ascii="Arial" w:eastAsia="Arial" w:hAnsi="Arial" w:cs="Arial"/>
          <w:i/>
          <w:iCs/>
          <w:color w:val="000000" w:themeColor="text1"/>
          <w:sz w:val="24"/>
          <w:szCs w:val="24"/>
        </w:rPr>
        <w:t>Food Quality and Preference</w:t>
      </w:r>
      <w:r w:rsidRPr="1F82A93F">
        <w:rPr>
          <w:rFonts w:ascii="Arial" w:eastAsia="Arial" w:hAnsi="Arial" w:cs="Arial"/>
          <w:color w:val="000000" w:themeColor="text1"/>
          <w:sz w:val="24"/>
          <w:szCs w:val="24"/>
        </w:rPr>
        <w:t xml:space="preserve">, </w:t>
      </w:r>
      <w:r w:rsidRPr="1F82A93F">
        <w:rPr>
          <w:rFonts w:ascii="Arial" w:eastAsia="Arial" w:hAnsi="Arial" w:cs="Arial"/>
          <w:i/>
          <w:iCs/>
          <w:color w:val="000000" w:themeColor="text1"/>
          <w:sz w:val="24"/>
          <w:szCs w:val="24"/>
        </w:rPr>
        <w:t>15</w:t>
      </w:r>
      <w:r w:rsidRPr="1F82A93F">
        <w:rPr>
          <w:rFonts w:ascii="Arial" w:eastAsia="Arial" w:hAnsi="Arial" w:cs="Arial"/>
          <w:color w:val="000000" w:themeColor="text1"/>
          <w:sz w:val="24"/>
          <w:szCs w:val="24"/>
        </w:rPr>
        <w:t xml:space="preserve">(1), 19-30. </w:t>
      </w:r>
      <w:hyperlink r:id="rId9">
        <w:r w:rsidRPr="1F82A93F">
          <w:rPr>
            <w:rStyle w:val="Hyperlink"/>
            <w:rFonts w:ascii="Arial" w:eastAsia="Arial" w:hAnsi="Arial" w:cs="Arial"/>
            <w:color w:val="000000" w:themeColor="text1"/>
            <w:sz w:val="24"/>
            <w:szCs w:val="24"/>
          </w:rPr>
          <w:t>https://doi.org/10.1016/S0950-3293(03)00018-1</w:t>
        </w:r>
      </w:hyperlink>
      <w:r w:rsidRPr="1F82A93F">
        <w:rPr>
          <w:rFonts w:ascii="Arial" w:eastAsia="Arial" w:hAnsi="Arial" w:cs="Arial"/>
          <w:color w:val="000000" w:themeColor="text1"/>
          <w:sz w:val="24"/>
          <w:szCs w:val="24"/>
        </w:rPr>
        <w:t xml:space="preserve"> (Accessed: 25 February 2024)</w:t>
      </w:r>
    </w:p>
    <w:p w14:paraId="3A9971C4" w14:textId="558B9F25" w:rsidR="002A4DA4" w:rsidRDefault="002A4DA4" w:rsidP="1F82A93F">
      <w:pPr>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rPr>
        <w:t>Cifci</w:t>
      </w:r>
      <w:proofErr w:type="spellEnd"/>
      <w:r>
        <w:rPr>
          <w:rFonts w:ascii="Arial" w:eastAsia="Arial" w:hAnsi="Arial" w:cs="Arial"/>
          <w:color w:val="000000" w:themeColor="text1"/>
          <w:sz w:val="24"/>
          <w:szCs w:val="24"/>
        </w:rPr>
        <w:t>, H.,</w:t>
      </w:r>
      <w:r w:rsidRPr="1F82A93F">
        <w:rPr>
          <w:rFonts w:ascii="Arial" w:eastAsia="Arial" w:hAnsi="Arial" w:cs="Arial"/>
          <w:color w:val="000000" w:themeColor="text1"/>
          <w:sz w:val="24"/>
          <w:szCs w:val="24"/>
        </w:rPr>
        <w:t xml:space="preserve"> Gok</w:t>
      </w:r>
      <w:r>
        <w:rPr>
          <w:rFonts w:ascii="Arial" w:eastAsia="Arial" w:hAnsi="Arial" w:cs="Arial"/>
          <w:color w:val="000000" w:themeColor="text1"/>
          <w:sz w:val="24"/>
          <w:szCs w:val="24"/>
        </w:rPr>
        <w:t>, I.,</w:t>
      </w:r>
      <w:r w:rsidRPr="1F82A93F">
        <w:rPr>
          <w:rFonts w:ascii="Arial" w:eastAsia="Arial" w:hAnsi="Arial" w:cs="Arial"/>
          <w:color w:val="000000" w:themeColor="text1"/>
          <w:sz w:val="24"/>
          <w:szCs w:val="24"/>
        </w:rPr>
        <w:t xml:space="preserve"> </w:t>
      </w:r>
      <w:proofErr w:type="spellStart"/>
      <w:r w:rsidRPr="1F82A93F">
        <w:rPr>
          <w:rFonts w:ascii="Arial" w:eastAsia="Arial" w:hAnsi="Arial" w:cs="Arial"/>
          <w:color w:val="000000" w:themeColor="text1"/>
          <w:sz w:val="24"/>
          <w:szCs w:val="24"/>
        </w:rPr>
        <w:t>Atsiz</w:t>
      </w:r>
      <w:proofErr w:type="spellEnd"/>
      <w:r>
        <w:rPr>
          <w:rFonts w:ascii="Arial" w:eastAsia="Arial" w:hAnsi="Arial" w:cs="Arial"/>
          <w:color w:val="000000" w:themeColor="text1"/>
          <w:sz w:val="24"/>
          <w:szCs w:val="24"/>
        </w:rPr>
        <w:t>, O.,</w:t>
      </w:r>
      <w:r w:rsidRPr="1F82A93F">
        <w:rPr>
          <w:rFonts w:ascii="Arial" w:eastAsia="Arial" w:hAnsi="Arial" w:cs="Arial"/>
          <w:color w:val="000000" w:themeColor="text1"/>
          <w:sz w:val="24"/>
          <w:szCs w:val="24"/>
        </w:rPr>
        <w:t xml:space="preserve"> </w:t>
      </w:r>
      <w:proofErr w:type="gramStart"/>
      <w:r w:rsidRPr="1F82A93F">
        <w:rPr>
          <w:rFonts w:ascii="Arial" w:eastAsia="Arial" w:hAnsi="Arial" w:cs="Arial"/>
          <w:color w:val="000000" w:themeColor="text1"/>
          <w:sz w:val="24"/>
          <w:szCs w:val="24"/>
        </w:rPr>
        <w:t xml:space="preserve">&amp;  </w:t>
      </w:r>
      <w:proofErr w:type="spellStart"/>
      <w:r w:rsidRPr="1F82A93F">
        <w:rPr>
          <w:rFonts w:ascii="Arial" w:eastAsia="Arial" w:hAnsi="Arial" w:cs="Arial"/>
          <w:color w:val="000000" w:themeColor="text1"/>
          <w:sz w:val="24"/>
          <w:szCs w:val="24"/>
        </w:rPr>
        <w:t>Cifci</w:t>
      </w:r>
      <w:proofErr w:type="spellEnd"/>
      <w:proofErr w:type="gramEnd"/>
      <w:r>
        <w:rPr>
          <w:rFonts w:ascii="Arial" w:eastAsia="Arial" w:hAnsi="Arial" w:cs="Arial"/>
          <w:color w:val="000000" w:themeColor="text1"/>
          <w:sz w:val="24"/>
          <w:szCs w:val="24"/>
        </w:rPr>
        <w:t>, I.,</w:t>
      </w:r>
      <w:r w:rsidRPr="1F82A93F">
        <w:rPr>
          <w:rFonts w:ascii="Arial" w:eastAsia="Arial" w:hAnsi="Arial" w:cs="Arial"/>
          <w:color w:val="000000" w:themeColor="text1"/>
          <w:sz w:val="24"/>
          <w:szCs w:val="24"/>
        </w:rPr>
        <w:t xml:space="preserve"> (2023</w:t>
      </w:r>
      <w:r>
        <w:rPr>
          <w:rFonts w:ascii="Arial" w:eastAsia="Arial" w:hAnsi="Arial" w:cs="Arial"/>
          <w:color w:val="000000" w:themeColor="text1"/>
          <w:sz w:val="24"/>
          <w:szCs w:val="24"/>
        </w:rPr>
        <w:t>.</w:t>
      </w:r>
      <w:r w:rsidRPr="1F82A93F">
        <w:rPr>
          <w:rFonts w:ascii="Arial" w:eastAsia="Arial" w:hAnsi="Arial" w:cs="Arial"/>
          <w:color w:val="000000" w:themeColor="text1"/>
          <w:sz w:val="24"/>
          <w:szCs w:val="24"/>
        </w:rPr>
        <w:t xml:space="preserve">) Insights into the Art of Plating in Gastronomy: A Content Analysis of Master Chefs’ Perspectives, </w:t>
      </w:r>
      <w:r w:rsidRPr="002A4DA4">
        <w:rPr>
          <w:rFonts w:ascii="Arial" w:eastAsia="Arial" w:hAnsi="Arial" w:cs="Arial"/>
          <w:i/>
          <w:iCs/>
          <w:color w:val="000000" w:themeColor="text1"/>
          <w:sz w:val="24"/>
          <w:szCs w:val="24"/>
        </w:rPr>
        <w:t xml:space="preserve">Journal of Culinary Science &amp; Technology, 21:2, 238-263, </w:t>
      </w:r>
      <w:r w:rsidRPr="1F82A93F">
        <w:rPr>
          <w:rFonts w:ascii="Arial" w:eastAsia="Arial" w:hAnsi="Arial" w:cs="Arial"/>
          <w:color w:val="000000" w:themeColor="text1"/>
          <w:sz w:val="24"/>
          <w:szCs w:val="24"/>
        </w:rPr>
        <w:t xml:space="preserve"> Available at: </w:t>
      </w:r>
      <w:hyperlink r:id="rId10">
        <w:r w:rsidRPr="1F82A93F">
          <w:rPr>
            <w:rStyle w:val="Hyperlink"/>
            <w:rFonts w:ascii="Arial" w:eastAsia="Arial" w:hAnsi="Arial" w:cs="Arial"/>
            <w:color w:val="000000" w:themeColor="text1"/>
            <w:sz w:val="24"/>
            <w:szCs w:val="24"/>
            <w:u w:val="none"/>
          </w:rPr>
          <w:t>https://doi-org.ezproxy.uwtsd.ac.uk/10.1080/15428052.2021.1929634</w:t>
        </w:r>
      </w:hyperlink>
      <w:r w:rsidRPr="1F82A93F">
        <w:rPr>
          <w:rFonts w:ascii="Arial" w:eastAsia="Arial" w:hAnsi="Arial" w:cs="Arial"/>
          <w:color w:val="000000" w:themeColor="text1"/>
          <w:sz w:val="24"/>
          <w:szCs w:val="24"/>
        </w:rPr>
        <w:t xml:space="preserve"> (Accessed: 25 February 2024)</w:t>
      </w:r>
    </w:p>
    <w:p w14:paraId="69F98156" w14:textId="204BF2F9" w:rsidR="002A4DA4" w:rsidRPr="002A4DA4" w:rsidRDefault="002A4DA4" w:rsidP="1F82A93F">
      <w:pPr>
        <w:spacing w:after="0"/>
        <w:ind w:right="-20"/>
        <w:rPr>
          <w:rFonts w:ascii="Arial" w:eastAsia="Arial" w:hAnsi="Arial" w:cs="Arial"/>
          <w:color w:val="000000" w:themeColor="text1"/>
          <w:sz w:val="24"/>
          <w:szCs w:val="24"/>
          <w:u w:val="single"/>
        </w:rPr>
      </w:pPr>
      <w:r w:rsidRPr="1F82A93F">
        <w:rPr>
          <w:rFonts w:ascii="Arial" w:eastAsia="Arial" w:hAnsi="Arial" w:cs="Arial"/>
          <w:color w:val="000000" w:themeColor="text1"/>
          <w:sz w:val="24"/>
          <w:szCs w:val="24"/>
        </w:rPr>
        <w:t xml:space="preserve">Dean, B.A., Sykes, C. How Students Learn on Placement: Transitioning Placement Practices in Work-Integrated Learning. </w:t>
      </w:r>
      <w:r w:rsidRPr="1F82A93F">
        <w:rPr>
          <w:rFonts w:ascii="Arial" w:eastAsia="Arial" w:hAnsi="Arial" w:cs="Arial"/>
          <w:i/>
          <w:iCs/>
          <w:color w:val="000000" w:themeColor="text1"/>
          <w:sz w:val="24"/>
          <w:szCs w:val="24"/>
        </w:rPr>
        <w:t>Vocations and Learning</w:t>
      </w:r>
      <w:r w:rsidRPr="1F82A93F">
        <w:rPr>
          <w:rFonts w:ascii="Arial" w:eastAsia="Arial" w:hAnsi="Arial" w:cs="Arial"/>
          <w:color w:val="000000" w:themeColor="text1"/>
          <w:sz w:val="24"/>
          <w:szCs w:val="24"/>
        </w:rPr>
        <w:t xml:space="preserve"> </w:t>
      </w:r>
      <w:r w:rsidRPr="1F82A93F">
        <w:rPr>
          <w:rFonts w:ascii="Arial" w:eastAsia="Arial" w:hAnsi="Arial" w:cs="Arial"/>
          <w:b/>
          <w:bCs/>
          <w:color w:val="000000" w:themeColor="text1"/>
          <w:sz w:val="24"/>
          <w:szCs w:val="24"/>
        </w:rPr>
        <w:t>14</w:t>
      </w:r>
      <w:r w:rsidRPr="1F82A93F">
        <w:rPr>
          <w:rFonts w:ascii="Arial" w:eastAsia="Arial" w:hAnsi="Arial" w:cs="Arial"/>
          <w:color w:val="000000" w:themeColor="text1"/>
          <w:sz w:val="24"/>
          <w:szCs w:val="24"/>
        </w:rPr>
        <w:t xml:space="preserve">, 147–164 (2021). Available at: </w:t>
      </w:r>
      <w:hyperlink r:id="rId11">
        <w:r w:rsidRPr="1F82A93F">
          <w:rPr>
            <w:rStyle w:val="Hyperlink"/>
            <w:rFonts w:ascii="Arial" w:eastAsia="Arial" w:hAnsi="Arial" w:cs="Arial"/>
            <w:color w:val="000000" w:themeColor="text1"/>
            <w:sz w:val="24"/>
            <w:szCs w:val="24"/>
          </w:rPr>
          <w:t>https://doi.org/10.1007/s12186-020-09257-x</w:t>
        </w:r>
      </w:hyperlink>
      <w:r w:rsidRPr="1F82A93F">
        <w:rPr>
          <w:rFonts w:ascii="Arial" w:eastAsia="Arial" w:hAnsi="Arial" w:cs="Arial"/>
          <w:color w:val="000000" w:themeColor="text1"/>
          <w:sz w:val="24"/>
          <w:szCs w:val="24"/>
        </w:rPr>
        <w:t xml:space="preserve"> (Accessed: 23 February 2024)</w:t>
      </w:r>
    </w:p>
    <w:p w14:paraId="04BA7388" w14:textId="77777777" w:rsidR="002A4DA4" w:rsidRDefault="002A4DA4" w:rsidP="1F82A93F">
      <w:pPr>
        <w:spacing w:after="0"/>
        <w:ind w:right="-20"/>
        <w:rPr>
          <w:rFonts w:ascii="Arial" w:eastAsia="Arial" w:hAnsi="Arial" w:cs="Arial"/>
          <w:color w:val="000000" w:themeColor="text1"/>
          <w:sz w:val="24"/>
          <w:szCs w:val="24"/>
        </w:rPr>
      </w:pPr>
    </w:p>
    <w:p w14:paraId="23E3A22D" w14:textId="71E20FD0"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Deroy, O., Michel, C., Piqueras-</w:t>
      </w:r>
      <w:proofErr w:type="spellStart"/>
      <w:r w:rsidRPr="1F82A93F">
        <w:rPr>
          <w:rFonts w:ascii="Arial" w:eastAsia="Arial" w:hAnsi="Arial" w:cs="Arial"/>
          <w:color w:val="000000" w:themeColor="text1"/>
          <w:sz w:val="24"/>
          <w:szCs w:val="24"/>
        </w:rPr>
        <w:t>Fiszman</w:t>
      </w:r>
      <w:proofErr w:type="spellEnd"/>
      <w:r w:rsidRPr="1F82A93F">
        <w:rPr>
          <w:rFonts w:ascii="Arial" w:eastAsia="Arial" w:hAnsi="Arial" w:cs="Arial"/>
          <w:color w:val="000000" w:themeColor="text1"/>
          <w:sz w:val="24"/>
          <w:szCs w:val="24"/>
        </w:rPr>
        <w:t>, B.</w:t>
      </w:r>
      <w:r>
        <w:rPr>
          <w:rFonts w:ascii="Arial" w:eastAsia="Arial" w:hAnsi="Arial" w:cs="Arial"/>
          <w:color w:val="000000" w:themeColor="text1"/>
          <w:sz w:val="24"/>
          <w:szCs w:val="24"/>
        </w:rPr>
        <w:t xml:space="preserve"> (2014)</w:t>
      </w:r>
      <w:r w:rsidRPr="1F82A93F">
        <w:rPr>
          <w:rFonts w:ascii="Arial" w:eastAsia="Arial" w:hAnsi="Arial" w:cs="Arial"/>
          <w:i/>
          <w:iCs/>
          <w:color w:val="000000" w:themeColor="text1"/>
          <w:sz w:val="24"/>
          <w:szCs w:val="24"/>
        </w:rPr>
        <w:t>.</w:t>
      </w:r>
      <w:r w:rsidRPr="1F82A93F">
        <w:rPr>
          <w:rFonts w:ascii="Arial" w:eastAsia="Arial" w:hAnsi="Arial" w:cs="Arial"/>
          <w:color w:val="000000" w:themeColor="text1"/>
          <w:sz w:val="24"/>
          <w:szCs w:val="24"/>
        </w:rPr>
        <w:t xml:space="preserve"> The plating manifesto (I): from decoration to creation. </w:t>
      </w:r>
      <w:r w:rsidRPr="1F82A93F">
        <w:rPr>
          <w:rFonts w:ascii="Arial" w:eastAsia="Arial" w:hAnsi="Arial" w:cs="Arial"/>
          <w:i/>
          <w:iCs/>
          <w:color w:val="000000" w:themeColor="text1"/>
          <w:sz w:val="24"/>
          <w:szCs w:val="24"/>
        </w:rPr>
        <w:t>Flavour</w:t>
      </w:r>
      <w:r w:rsidRPr="1F82A93F">
        <w:rPr>
          <w:rFonts w:ascii="Arial" w:eastAsia="Arial" w:hAnsi="Arial" w:cs="Arial"/>
          <w:color w:val="000000" w:themeColor="text1"/>
          <w:sz w:val="24"/>
          <w:szCs w:val="24"/>
        </w:rPr>
        <w:t xml:space="preserve"> </w:t>
      </w:r>
      <w:r w:rsidRPr="1F82A93F">
        <w:rPr>
          <w:rFonts w:ascii="Arial" w:eastAsia="Arial" w:hAnsi="Arial" w:cs="Arial"/>
          <w:b/>
          <w:bCs/>
          <w:color w:val="000000" w:themeColor="text1"/>
          <w:sz w:val="24"/>
          <w:szCs w:val="24"/>
        </w:rPr>
        <w:t>3</w:t>
      </w:r>
      <w:r w:rsidRPr="1F82A93F">
        <w:rPr>
          <w:rFonts w:ascii="Arial" w:eastAsia="Arial" w:hAnsi="Arial" w:cs="Arial"/>
          <w:color w:val="000000" w:themeColor="text1"/>
          <w:sz w:val="24"/>
          <w:szCs w:val="24"/>
        </w:rPr>
        <w:t>, 6 (2014). Available at: https://doi.org/10.1186/2044-7248-3-6 (Accessed: 19 February 2024)</w:t>
      </w:r>
    </w:p>
    <w:p w14:paraId="6ED15B55" w14:textId="091197FD"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 xml:space="preserve">Deveshwar, A. and Dhawal, M., </w:t>
      </w:r>
      <w:r>
        <w:rPr>
          <w:rFonts w:ascii="Arial" w:eastAsia="Arial" w:hAnsi="Arial" w:cs="Arial"/>
          <w:color w:val="000000" w:themeColor="text1"/>
          <w:sz w:val="24"/>
          <w:szCs w:val="24"/>
        </w:rPr>
        <w:t>(</w:t>
      </w:r>
      <w:r w:rsidRPr="1F82A93F">
        <w:rPr>
          <w:rFonts w:ascii="Arial" w:eastAsia="Arial" w:hAnsi="Arial" w:cs="Arial"/>
          <w:color w:val="000000" w:themeColor="text1"/>
          <w:sz w:val="24"/>
          <w:szCs w:val="24"/>
        </w:rPr>
        <w:t>2013</w:t>
      </w:r>
      <w:r>
        <w:rPr>
          <w:rFonts w:ascii="Arial" w:eastAsia="Arial" w:hAnsi="Arial" w:cs="Arial"/>
          <w:color w:val="000000" w:themeColor="text1"/>
          <w:sz w:val="24"/>
          <w:szCs w:val="24"/>
        </w:rPr>
        <w:t>)</w:t>
      </w:r>
      <w:r w:rsidRPr="1F82A93F">
        <w:rPr>
          <w:rFonts w:ascii="Arial" w:eastAsia="Arial" w:hAnsi="Arial" w:cs="Arial"/>
          <w:color w:val="000000" w:themeColor="text1"/>
          <w:sz w:val="24"/>
          <w:szCs w:val="24"/>
        </w:rPr>
        <w:t xml:space="preserve">. Inventory management delivering profits through stock management. </w:t>
      </w:r>
      <w:r w:rsidRPr="1F82A93F">
        <w:rPr>
          <w:rFonts w:ascii="Arial" w:eastAsia="Arial" w:hAnsi="Arial" w:cs="Arial"/>
          <w:i/>
          <w:iCs/>
          <w:color w:val="000000" w:themeColor="text1"/>
          <w:sz w:val="24"/>
          <w:szCs w:val="24"/>
        </w:rPr>
        <w:t>World Trade Centre, Dubai: Ram University of Science and Technology</w:t>
      </w:r>
      <w:r w:rsidRPr="1F82A93F">
        <w:rPr>
          <w:rFonts w:ascii="Arial" w:eastAsia="Arial" w:hAnsi="Arial" w:cs="Arial"/>
          <w:color w:val="000000" w:themeColor="text1"/>
          <w:sz w:val="24"/>
          <w:szCs w:val="24"/>
        </w:rPr>
        <w:t>.</w:t>
      </w:r>
    </w:p>
    <w:p w14:paraId="1CE42EFD" w14:textId="77777777" w:rsidR="002A4DA4" w:rsidRDefault="002A4DA4" w:rsidP="1F82A93F">
      <w:pPr>
        <w:shd w:val="clear" w:color="auto" w:fill="FFFFFF" w:themeFill="background1"/>
        <w:spacing w:after="0"/>
        <w:ind w:left="-20" w:right="-20"/>
        <w:rPr>
          <w:rFonts w:ascii="Arial" w:eastAsia="Arial" w:hAnsi="Arial" w:cs="Arial"/>
          <w:color w:val="000000" w:themeColor="text1"/>
          <w:sz w:val="24"/>
          <w:szCs w:val="24"/>
        </w:rPr>
      </w:pPr>
    </w:p>
    <w:p w14:paraId="61649643" w14:textId="475D7DB3" w:rsidR="002A4DA4" w:rsidRDefault="002A4DA4" w:rsidP="002A4DA4">
      <w:pPr>
        <w:shd w:val="clear" w:color="auto" w:fill="FFFFFF" w:themeFill="background1"/>
        <w:ind w:right="-20"/>
        <w:rPr>
          <w:rFonts w:ascii="Arial" w:eastAsia="Arial" w:hAnsi="Arial" w:cs="Arial"/>
          <w:color w:val="000000" w:themeColor="text1"/>
          <w:sz w:val="24"/>
          <w:szCs w:val="24"/>
        </w:rPr>
      </w:pPr>
      <w:r w:rsidRPr="1F82A93F">
        <w:rPr>
          <w:rFonts w:ascii="Arial" w:eastAsia="Arial" w:hAnsi="Arial" w:cs="Arial"/>
          <w:color w:val="000000" w:themeColor="text1"/>
          <w:sz w:val="24"/>
          <w:szCs w:val="24"/>
        </w:rPr>
        <w:t>Fleming,</w:t>
      </w:r>
      <w:r>
        <w:rPr>
          <w:rFonts w:ascii="Arial" w:eastAsia="Arial" w:hAnsi="Arial" w:cs="Arial"/>
          <w:color w:val="000000" w:themeColor="text1"/>
          <w:sz w:val="24"/>
          <w:szCs w:val="24"/>
        </w:rPr>
        <w:t xml:space="preserve"> J.,</w:t>
      </w:r>
      <w:r w:rsidRPr="1F82A93F">
        <w:rPr>
          <w:rFonts w:ascii="Arial" w:eastAsia="Arial" w:hAnsi="Arial" w:cs="Arial"/>
          <w:color w:val="000000" w:themeColor="text1"/>
          <w:sz w:val="24"/>
          <w:szCs w:val="24"/>
        </w:rPr>
        <w:t xml:space="preserve"> Rowe</w:t>
      </w:r>
      <w:r>
        <w:rPr>
          <w:rFonts w:ascii="Arial" w:eastAsia="Arial" w:hAnsi="Arial" w:cs="Arial"/>
          <w:color w:val="000000" w:themeColor="text1"/>
          <w:sz w:val="24"/>
          <w:szCs w:val="24"/>
        </w:rPr>
        <w:t xml:space="preserve"> A.,</w:t>
      </w:r>
      <w:r w:rsidRPr="1F82A93F">
        <w:rPr>
          <w:rFonts w:ascii="Arial" w:eastAsia="Arial" w:hAnsi="Arial" w:cs="Arial"/>
          <w:color w:val="000000" w:themeColor="text1"/>
          <w:sz w:val="24"/>
          <w:szCs w:val="24"/>
        </w:rPr>
        <w:t xml:space="preserve"> &amp; Jackson</w:t>
      </w:r>
      <w:r>
        <w:rPr>
          <w:rFonts w:ascii="Arial" w:eastAsia="Arial" w:hAnsi="Arial" w:cs="Arial"/>
          <w:color w:val="000000" w:themeColor="text1"/>
          <w:sz w:val="24"/>
          <w:szCs w:val="24"/>
        </w:rPr>
        <w:t>, D.,</w:t>
      </w:r>
      <w:r w:rsidRPr="1F82A93F">
        <w:rPr>
          <w:rFonts w:ascii="Arial" w:eastAsia="Arial" w:hAnsi="Arial" w:cs="Arial"/>
          <w:color w:val="000000" w:themeColor="text1"/>
          <w:sz w:val="24"/>
          <w:szCs w:val="24"/>
        </w:rPr>
        <w:t xml:space="preserve"> (2021) Employers as educators: the role of work placement supervisors in facilitating the transfer of skills and knowledge, </w:t>
      </w:r>
      <w:r w:rsidRPr="002A4DA4">
        <w:rPr>
          <w:rFonts w:ascii="Arial" w:eastAsia="Arial" w:hAnsi="Arial" w:cs="Arial"/>
          <w:i/>
          <w:iCs/>
          <w:color w:val="000000" w:themeColor="text1"/>
          <w:sz w:val="24"/>
          <w:szCs w:val="24"/>
        </w:rPr>
        <w:t xml:space="preserve">Journal of Education and Work, 34:5-6, 705-721. </w:t>
      </w:r>
      <w:r w:rsidRPr="1F82A93F">
        <w:rPr>
          <w:rFonts w:ascii="Arial" w:eastAsia="Arial" w:hAnsi="Arial" w:cs="Arial"/>
          <w:color w:val="000000" w:themeColor="text1"/>
          <w:sz w:val="24"/>
          <w:szCs w:val="24"/>
        </w:rPr>
        <w:t xml:space="preserve">Available at: </w:t>
      </w:r>
      <w:hyperlink r:id="rId12">
        <w:r w:rsidRPr="1F82A93F">
          <w:rPr>
            <w:rStyle w:val="Hyperlink"/>
            <w:rFonts w:ascii="Arial" w:eastAsia="Arial" w:hAnsi="Arial" w:cs="Arial"/>
            <w:color w:val="000000" w:themeColor="text1"/>
            <w:sz w:val="24"/>
            <w:szCs w:val="24"/>
            <w:u w:val="none"/>
          </w:rPr>
          <w:t>https://doi.org/10.1080/13639080.2021.1969343</w:t>
        </w:r>
      </w:hyperlink>
      <w:r w:rsidRPr="1F82A93F">
        <w:rPr>
          <w:rFonts w:ascii="Arial" w:eastAsia="Arial" w:hAnsi="Arial" w:cs="Arial"/>
          <w:color w:val="000000" w:themeColor="text1"/>
          <w:sz w:val="24"/>
          <w:szCs w:val="24"/>
        </w:rPr>
        <w:t xml:space="preserve"> (Accessed: 23 February 2024)</w:t>
      </w:r>
    </w:p>
    <w:p w14:paraId="6114433E" w14:textId="77777777" w:rsidR="002A4DA4" w:rsidRDefault="002A4DA4" w:rsidP="002A4DA4">
      <w:pPr>
        <w:shd w:val="clear" w:color="auto" w:fill="FFFFFF" w:themeFill="background1"/>
        <w:spacing w:after="0"/>
        <w:ind w:right="-20"/>
        <w:rPr>
          <w:rFonts w:ascii="Arial" w:eastAsia="Arial" w:hAnsi="Arial" w:cs="Arial"/>
          <w:color w:val="000000" w:themeColor="text1"/>
          <w:sz w:val="24"/>
          <w:szCs w:val="24"/>
        </w:rPr>
      </w:pPr>
    </w:p>
    <w:p w14:paraId="70A9B48D" w14:textId="3C493F75" w:rsidR="002A4DA4" w:rsidRDefault="002A4DA4" w:rsidP="1F82A93F">
      <w:pPr>
        <w:shd w:val="clear" w:color="auto" w:fill="FFFFFF" w:themeFill="background1"/>
        <w:spacing w:after="0"/>
        <w:ind w:left="-20" w:right="-20"/>
        <w:rPr>
          <w:rFonts w:ascii="Arial" w:eastAsia="Arial" w:hAnsi="Arial" w:cs="Arial"/>
          <w:color w:val="000000" w:themeColor="text1"/>
          <w:sz w:val="24"/>
          <w:szCs w:val="24"/>
        </w:rPr>
      </w:pPr>
      <w:r w:rsidRPr="1F82A93F">
        <w:rPr>
          <w:rFonts w:ascii="Arial" w:eastAsia="Arial" w:hAnsi="Arial" w:cs="Arial"/>
          <w:color w:val="000000" w:themeColor="text1"/>
          <w:sz w:val="24"/>
          <w:szCs w:val="24"/>
        </w:rPr>
        <w:t xml:space="preserve">Fletcher, N. (2021). </w:t>
      </w:r>
      <w:r w:rsidRPr="1F82A93F">
        <w:rPr>
          <w:rFonts w:ascii="Arial" w:eastAsia="Arial" w:hAnsi="Arial" w:cs="Arial"/>
          <w:i/>
          <w:iCs/>
          <w:color w:val="000000" w:themeColor="text1"/>
          <w:sz w:val="24"/>
          <w:szCs w:val="24"/>
        </w:rPr>
        <w:t xml:space="preserve">The Meat Cookbook: Know the Cuts, Master the Skills, </w:t>
      </w:r>
      <w:proofErr w:type="gramStart"/>
      <w:r w:rsidRPr="1F82A93F">
        <w:rPr>
          <w:rFonts w:ascii="Arial" w:eastAsia="Arial" w:hAnsi="Arial" w:cs="Arial"/>
          <w:i/>
          <w:iCs/>
          <w:color w:val="000000" w:themeColor="text1"/>
          <w:sz w:val="24"/>
          <w:szCs w:val="24"/>
        </w:rPr>
        <w:t>Over</w:t>
      </w:r>
      <w:proofErr w:type="gramEnd"/>
      <w:r w:rsidRPr="1F82A93F">
        <w:rPr>
          <w:rFonts w:ascii="Arial" w:eastAsia="Arial" w:hAnsi="Arial" w:cs="Arial"/>
          <w:i/>
          <w:iCs/>
          <w:color w:val="000000" w:themeColor="text1"/>
          <w:sz w:val="24"/>
          <w:szCs w:val="24"/>
        </w:rPr>
        <w:t xml:space="preserve"> 250 Recipes</w:t>
      </w:r>
      <w:r w:rsidRPr="1F82A93F">
        <w:rPr>
          <w:rFonts w:ascii="Arial" w:eastAsia="Arial" w:hAnsi="Arial" w:cs="Arial"/>
          <w:color w:val="000000" w:themeColor="text1"/>
          <w:sz w:val="24"/>
          <w:szCs w:val="24"/>
        </w:rPr>
        <w:t>. Dorling Kindersley Limited.</w:t>
      </w:r>
    </w:p>
    <w:p w14:paraId="44425DB2" w14:textId="77777777" w:rsidR="002A4DA4" w:rsidRDefault="002A4DA4" w:rsidP="1F82A93F">
      <w:pPr>
        <w:shd w:val="clear" w:color="auto" w:fill="FFFFFF" w:themeFill="background1"/>
        <w:spacing w:after="0"/>
        <w:ind w:left="-20" w:right="-20"/>
        <w:rPr>
          <w:rFonts w:ascii="Arial" w:eastAsia="Arial" w:hAnsi="Arial" w:cs="Arial"/>
          <w:color w:val="000000" w:themeColor="text1"/>
          <w:sz w:val="24"/>
          <w:szCs w:val="24"/>
        </w:rPr>
      </w:pPr>
    </w:p>
    <w:p w14:paraId="39807BFC" w14:textId="30E5835B"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 xml:space="preserve">Food Standard agency, </w:t>
      </w:r>
      <w:r>
        <w:rPr>
          <w:rFonts w:ascii="Arial" w:eastAsia="Arial" w:hAnsi="Arial" w:cs="Arial"/>
          <w:color w:val="000000" w:themeColor="text1"/>
          <w:sz w:val="24"/>
          <w:szCs w:val="24"/>
        </w:rPr>
        <w:t>(</w:t>
      </w:r>
      <w:r w:rsidRPr="1F82A93F">
        <w:rPr>
          <w:rFonts w:ascii="Arial" w:eastAsia="Arial" w:hAnsi="Arial" w:cs="Arial"/>
          <w:color w:val="000000" w:themeColor="text1"/>
          <w:sz w:val="24"/>
          <w:szCs w:val="24"/>
        </w:rPr>
        <w:t>n.d.</w:t>
      </w:r>
      <w:r>
        <w:rPr>
          <w:rFonts w:ascii="Arial" w:eastAsia="Arial" w:hAnsi="Arial" w:cs="Arial"/>
          <w:color w:val="000000" w:themeColor="text1"/>
          <w:sz w:val="24"/>
          <w:szCs w:val="24"/>
        </w:rPr>
        <w:t>).</w:t>
      </w:r>
      <w:r w:rsidRPr="1F82A93F">
        <w:rPr>
          <w:rFonts w:ascii="Arial" w:eastAsia="Arial" w:hAnsi="Arial" w:cs="Arial"/>
          <w:color w:val="000000" w:themeColor="text1"/>
          <w:sz w:val="24"/>
          <w:szCs w:val="24"/>
        </w:rPr>
        <w:t xml:space="preserve"> </w:t>
      </w:r>
      <w:r w:rsidRPr="1F82A93F">
        <w:rPr>
          <w:rFonts w:ascii="Arial" w:eastAsia="Arial" w:hAnsi="Arial" w:cs="Arial"/>
          <w:i/>
          <w:iCs/>
          <w:color w:val="000000" w:themeColor="text1"/>
          <w:sz w:val="24"/>
          <w:szCs w:val="24"/>
        </w:rPr>
        <w:t>Safe Method: Probe it.</w:t>
      </w:r>
      <w:r w:rsidRPr="1F82A93F">
        <w:rPr>
          <w:rFonts w:ascii="Arial" w:eastAsia="Arial" w:hAnsi="Arial" w:cs="Arial"/>
          <w:color w:val="000000" w:themeColor="text1"/>
          <w:sz w:val="24"/>
          <w:szCs w:val="24"/>
        </w:rPr>
        <w:t xml:space="preserve"> Available at: </w:t>
      </w:r>
      <w:hyperlink r:id="rId13">
        <w:r w:rsidRPr="1F82A93F">
          <w:rPr>
            <w:rStyle w:val="Hyperlink"/>
            <w:rFonts w:ascii="Arial" w:eastAsia="Arial" w:hAnsi="Arial" w:cs="Arial"/>
            <w:color w:val="000000" w:themeColor="text1"/>
            <w:sz w:val="24"/>
            <w:szCs w:val="24"/>
          </w:rPr>
          <w:t>https://www.food.gov.uk/sites/default/files/media/document/prove-it.pdf</w:t>
        </w:r>
      </w:hyperlink>
      <w:r w:rsidRPr="1F82A93F">
        <w:rPr>
          <w:rFonts w:ascii="Arial" w:eastAsia="Arial" w:hAnsi="Arial" w:cs="Arial"/>
          <w:color w:val="000000" w:themeColor="text1"/>
          <w:sz w:val="24"/>
          <w:szCs w:val="24"/>
        </w:rPr>
        <w:t xml:space="preserve"> (Accessed: 25 February 2024)</w:t>
      </w:r>
    </w:p>
    <w:p w14:paraId="112148A5" w14:textId="72D9AA7A"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 xml:space="preserve">Harrington, R.J., </w:t>
      </w:r>
      <w:r>
        <w:rPr>
          <w:rFonts w:ascii="Arial" w:eastAsia="Arial" w:hAnsi="Arial" w:cs="Arial"/>
          <w:color w:val="000000" w:themeColor="text1"/>
          <w:sz w:val="24"/>
          <w:szCs w:val="24"/>
        </w:rPr>
        <w:t>(</w:t>
      </w:r>
      <w:r w:rsidRPr="1F82A93F">
        <w:rPr>
          <w:rFonts w:ascii="Arial" w:eastAsia="Arial" w:hAnsi="Arial" w:cs="Arial"/>
          <w:color w:val="000000" w:themeColor="text1"/>
          <w:sz w:val="24"/>
          <w:szCs w:val="24"/>
        </w:rPr>
        <w:t>2007</w:t>
      </w:r>
      <w:r>
        <w:rPr>
          <w:rFonts w:ascii="Arial" w:eastAsia="Arial" w:hAnsi="Arial" w:cs="Arial"/>
          <w:color w:val="000000" w:themeColor="text1"/>
          <w:sz w:val="24"/>
          <w:szCs w:val="24"/>
        </w:rPr>
        <w:t>)</w:t>
      </w:r>
      <w:r w:rsidRPr="1F82A93F">
        <w:rPr>
          <w:rFonts w:ascii="Arial" w:eastAsia="Arial" w:hAnsi="Arial" w:cs="Arial"/>
          <w:color w:val="000000" w:themeColor="text1"/>
          <w:sz w:val="24"/>
          <w:szCs w:val="24"/>
        </w:rPr>
        <w:t xml:space="preserve">. </w:t>
      </w:r>
      <w:r w:rsidRPr="1F82A93F">
        <w:rPr>
          <w:rFonts w:ascii="Arial" w:eastAsia="Arial" w:hAnsi="Arial" w:cs="Arial"/>
          <w:i/>
          <w:iCs/>
          <w:color w:val="000000" w:themeColor="text1"/>
          <w:sz w:val="24"/>
          <w:szCs w:val="24"/>
        </w:rPr>
        <w:t>Food and wine pairing: A sensory experience</w:t>
      </w:r>
      <w:r w:rsidRPr="1F82A93F">
        <w:rPr>
          <w:rFonts w:ascii="Arial" w:eastAsia="Arial" w:hAnsi="Arial" w:cs="Arial"/>
          <w:color w:val="000000" w:themeColor="text1"/>
          <w:sz w:val="24"/>
          <w:szCs w:val="24"/>
        </w:rPr>
        <w:t>. John Wiley &amp; Sons.</w:t>
      </w:r>
    </w:p>
    <w:p w14:paraId="24326766" w14:textId="68AC09CD" w:rsidR="002A4DA4" w:rsidRDefault="002A4DA4" w:rsidP="1F82A93F">
      <w:pPr>
        <w:rPr>
          <w:rFonts w:ascii="Arial" w:eastAsia="Arial" w:hAnsi="Arial" w:cs="Arial"/>
          <w:color w:val="000000" w:themeColor="text1"/>
          <w:sz w:val="24"/>
          <w:szCs w:val="24"/>
        </w:rPr>
      </w:pPr>
    </w:p>
    <w:p w14:paraId="17994F56" w14:textId="77777777" w:rsidR="002A4DA4" w:rsidRDefault="002A4DA4" w:rsidP="1F82A93F">
      <w:pPr>
        <w:ind w:left="-20" w:right="-20"/>
        <w:rPr>
          <w:rFonts w:ascii="Arial" w:eastAsia="Arial" w:hAnsi="Arial" w:cs="Arial"/>
          <w:color w:val="000000" w:themeColor="text1"/>
          <w:sz w:val="24"/>
          <w:szCs w:val="24"/>
        </w:rPr>
      </w:pPr>
      <w:r w:rsidRPr="1F82A93F">
        <w:rPr>
          <w:rFonts w:ascii="Arial" w:eastAsia="Arial" w:hAnsi="Arial" w:cs="Arial"/>
          <w:color w:val="000000" w:themeColor="text1"/>
          <w:sz w:val="24"/>
          <w:szCs w:val="24"/>
        </w:rPr>
        <w:t xml:space="preserve">Kathuria, D., Dhiman, A.K. and </w:t>
      </w:r>
      <w:proofErr w:type="spellStart"/>
      <w:r w:rsidRPr="1F82A93F">
        <w:rPr>
          <w:rFonts w:ascii="Arial" w:eastAsia="Arial" w:hAnsi="Arial" w:cs="Arial"/>
          <w:color w:val="000000" w:themeColor="text1"/>
          <w:sz w:val="24"/>
          <w:szCs w:val="24"/>
        </w:rPr>
        <w:t>Attri</w:t>
      </w:r>
      <w:proofErr w:type="spellEnd"/>
      <w:r w:rsidRPr="1F82A93F">
        <w:rPr>
          <w:rFonts w:ascii="Arial" w:eastAsia="Arial" w:hAnsi="Arial" w:cs="Arial"/>
          <w:color w:val="000000" w:themeColor="text1"/>
          <w:sz w:val="24"/>
          <w:szCs w:val="24"/>
        </w:rPr>
        <w:t xml:space="preserve">, S., 2022. Sous vide, a culinary technique for improving quality of food products: A review. </w:t>
      </w:r>
      <w:r w:rsidRPr="1F82A93F">
        <w:rPr>
          <w:rFonts w:ascii="Arial" w:eastAsia="Arial" w:hAnsi="Arial" w:cs="Arial"/>
          <w:i/>
          <w:iCs/>
          <w:color w:val="000000" w:themeColor="text1"/>
          <w:sz w:val="24"/>
          <w:szCs w:val="24"/>
        </w:rPr>
        <w:t>Trends in Food Science &amp; Technology</w:t>
      </w:r>
      <w:r w:rsidRPr="1F82A93F">
        <w:rPr>
          <w:rFonts w:ascii="Arial" w:eastAsia="Arial" w:hAnsi="Arial" w:cs="Arial"/>
          <w:color w:val="000000" w:themeColor="text1"/>
          <w:sz w:val="24"/>
          <w:szCs w:val="24"/>
        </w:rPr>
        <w:t xml:space="preserve">, </w:t>
      </w:r>
      <w:r w:rsidRPr="1F82A93F">
        <w:rPr>
          <w:rFonts w:ascii="Arial" w:eastAsia="Arial" w:hAnsi="Arial" w:cs="Arial"/>
          <w:i/>
          <w:iCs/>
          <w:color w:val="000000" w:themeColor="text1"/>
          <w:sz w:val="24"/>
          <w:szCs w:val="24"/>
        </w:rPr>
        <w:t>119</w:t>
      </w:r>
      <w:r w:rsidRPr="1F82A93F">
        <w:rPr>
          <w:rFonts w:ascii="Arial" w:eastAsia="Arial" w:hAnsi="Arial" w:cs="Arial"/>
          <w:color w:val="000000" w:themeColor="text1"/>
          <w:sz w:val="24"/>
          <w:szCs w:val="24"/>
        </w:rPr>
        <w:t>, pp.57-68.</w:t>
      </w:r>
    </w:p>
    <w:p w14:paraId="6F856630" w14:textId="77777777"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 xml:space="preserve">McSherry E, 2023. </w:t>
      </w:r>
      <w:r w:rsidRPr="1F82A93F">
        <w:rPr>
          <w:rFonts w:ascii="Arial" w:eastAsia="Arial" w:hAnsi="Arial" w:cs="Arial"/>
          <w:i/>
          <w:iCs/>
          <w:color w:val="000000" w:themeColor="text1"/>
          <w:sz w:val="24"/>
          <w:szCs w:val="24"/>
        </w:rPr>
        <w:t xml:space="preserve">Why are Rational oven so </w:t>
      </w:r>
      <w:proofErr w:type="gramStart"/>
      <w:r w:rsidRPr="1F82A93F">
        <w:rPr>
          <w:rFonts w:ascii="Arial" w:eastAsia="Arial" w:hAnsi="Arial" w:cs="Arial"/>
          <w:i/>
          <w:iCs/>
          <w:color w:val="000000" w:themeColor="text1"/>
          <w:sz w:val="24"/>
          <w:szCs w:val="24"/>
        </w:rPr>
        <w:t>good?.</w:t>
      </w:r>
      <w:proofErr w:type="gramEnd"/>
      <w:r w:rsidRPr="1F82A93F">
        <w:rPr>
          <w:rFonts w:ascii="Arial" w:eastAsia="Arial" w:hAnsi="Arial" w:cs="Arial"/>
          <w:color w:val="000000" w:themeColor="text1"/>
          <w:sz w:val="24"/>
          <w:szCs w:val="24"/>
        </w:rPr>
        <w:t xml:space="preserve"> Available at: </w:t>
      </w:r>
      <w:hyperlink r:id="rId14" w:anchor=":~:text=The%20RATIONAL%20patented%20cooking%20intelligence%20ensures%20items%20cook,produce%20your%20desired%20results%2C%20which%20reduces%20energy%20consumption">
        <w:r w:rsidRPr="1F82A93F">
          <w:rPr>
            <w:rStyle w:val="Hyperlink"/>
            <w:rFonts w:ascii="Arial" w:eastAsia="Arial" w:hAnsi="Arial" w:cs="Arial"/>
            <w:color w:val="000000" w:themeColor="text1"/>
            <w:sz w:val="24"/>
            <w:szCs w:val="24"/>
          </w:rPr>
          <w:t>https://combioven.org/why-are-rational-ovens-so-good/#:~:text=The%20RATIONAL%20patented%20cooking%20intelligence%20ensures%20items</w:t>
        </w:r>
        <w:r w:rsidRPr="1F82A93F">
          <w:rPr>
            <w:rStyle w:val="Hyperlink"/>
            <w:rFonts w:ascii="Arial" w:eastAsia="Arial" w:hAnsi="Arial" w:cs="Arial"/>
            <w:color w:val="000000" w:themeColor="text1"/>
            <w:sz w:val="24"/>
            <w:szCs w:val="24"/>
          </w:rPr>
          <w:lastRenderedPageBreak/>
          <w:t>%20cook,produce%20your%20desired%20results%2C%20which%20reduces%20energy%20consumption</w:t>
        </w:r>
      </w:hyperlink>
      <w:r w:rsidRPr="1F82A93F">
        <w:rPr>
          <w:rFonts w:ascii="Arial" w:eastAsia="Arial" w:hAnsi="Arial" w:cs="Arial"/>
          <w:color w:val="000000" w:themeColor="text1"/>
          <w:sz w:val="24"/>
          <w:szCs w:val="24"/>
        </w:rPr>
        <w:t>. (Accessed: 19 February 2024)</w:t>
      </w:r>
    </w:p>
    <w:p w14:paraId="6BAE385F" w14:textId="7F976C12"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Michelin Guide, 2020.</w:t>
      </w:r>
      <w:r w:rsidRPr="1F82A93F">
        <w:rPr>
          <w:rFonts w:ascii="Arial" w:eastAsia="Arial" w:hAnsi="Arial" w:cs="Arial"/>
          <w:i/>
          <w:iCs/>
          <w:color w:val="000000" w:themeColor="text1"/>
          <w:sz w:val="24"/>
          <w:szCs w:val="24"/>
        </w:rPr>
        <w:t xml:space="preserve">What is a Michelin </w:t>
      </w:r>
      <w:proofErr w:type="gramStart"/>
      <w:r w:rsidRPr="1F82A93F">
        <w:rPr>
          <w:rFonts w:ascii="Arial" w:eastAsia="Arial" w:hAnsi="Arial" w:cs="Arial"/>
          <w:i/>
          <w:iCs/>
          <w:color w:val="000000" w:themeColor="text1"/>
          <w:sz w:val="24"/>
          <w:szCs w:val="24"/>
        </w:rPr>
        <w:t>Star?.</w:t>
      </w:r>
      <w:proofErr w:type="gramEnd"/>
      <w:r w:rsidRPr="1F82A93F">
        <w:rPr>
          <w:rFonts w:ascii="Arial" w:eastAsia="Arial" w:hAnsi="Arial" w:cs="Arial"/>
          <w:i/>
          <w:iCs/>
          <w:color w:val="000000" w:themeColor="text1"/>
          <w:sz w:val="24"/>
          <w:szCs w:val="24"/>
        </w:rPr>
        <w:t xml:space="preserve"> Available at: </w:t>
      </w:r>
      <w:r w:rsidRPr="1F82A93F">
        <w:rPr>
          <w:rFonts w:ascii="Arial" w:eastAsia="Arial" w:hAnsi="Arial" w:cs="Arial"/>
          <w:color w:val="000000" w:themeColor="text1"/>
          <w:sz w:val="24"/>
          <w:szCs w:val="24"/>
        </w:rPr>
        <w:t xml:space="preserve"> </w:t>
      </w:r>
      <w:hyperlink r:id="rId15">
        <w:r w:rsidRPr="1F82A93F">
          <w:rPr>
            <w:rStyle w:val="Hyperlink"/>
            <w:rFonts w:ascii="Arial" w:eastAsia="Arial" w:hAnsi="Arial" w:cs="Arial"/>
            <w:color w:val="000000" w:themeColor="text1"/>
            <w:sz w:val="24"/>
            <w:szCs w:val="24"/>
          </w:rPr>
          <w:t>https://guide.michelin.com/gb/en/article/features/what-is-a-michelin-star</w:t>
        </w:r>
      </w:hyperlink>
      <w:r w:rsidRPr="1F82A93F">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(Accessed: 19 February 2024).</w:t>
      </w:r>
    </w:p>
    <w:p w14:paraId="15B574F3" w14:textId="77777777"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 xml:space="preserve">Muller, M., 2019. </w:t>
      </w:r>
      <w:r w:rsidRPr="1F82A93F">
        <w:rPr>
          <w:rFonts w:ascii="Arial" w:eastAsia="Arial" w:hAnsi="Arial" w:cs="Arial"/>
          <w:i/>
          <w:iCs/>
          <w:color w:val="000000" w:themeColor="text1"/>
          <w:sz w:val="24"/>
          <w:szCs w:val="24"/>
        </w:rPr>
        <w:t>Essentials of inventory management</w:t>
      </w:r>
      <w:r w:rsidRPr="1F82A93F">
        <w:rPr>
          <w:rFonts w:ascii="Arial" w:eastAsia="Arial" w:hAnsi="Arial" w:cs="Arial"/>
          <w:color w:val="000000" w:themeColor="text1"/>
          <w:sz w:val="24"/>
          <w:szCs w:val="24"/>
        </w:rPr>
        <w:t>. HarperCollins Leadership.</w:t>
      </w:r>
    </w:p>
    <w:p w14:paraId="6D54390F" w14:textId="77777777" w:rsidR="002A4DA4" w:rsidRDefault="002A4DA4" w:rsidP="1F82A93F">
      <w:pPr>
        <w:rPr>
          <w:rFonts w:ascii="Arial" w:eastAsia="Arial" w:hAnsi="Arial" w:cs="Arial"/>
          <w:color w:val="000000" w:themeColor="text1"/>
          <w:sz w:val="24"/>
          <w:szCs w:val="24"/>
        </w:rPr>
      </w:pPr>
      <w:proofErr w:type="spellStart"/>
      <w:r w:rsidRPr="1F82A93F">
        <w:rPr>
          <w:rFonts w:ascii="Arial" w:eastAsia="Arial" w:hAnsi="Arial" w:cs="Arial"/>
          <w:color w:val="000000" w:themeColor="text1"/>
          <w:sz w:val="24"/>
          <w:szCs w:val="24"/>
        </w:rPr>
        <w:t>Platow</w:t>
      </w:r>
      <w:proofErr w:type="spellEnd"/>
      <w:r w:rsidRPr="1F82A93F">
        <w:rPr>
          <w:rFonts w:ascii="Arial" w:eastAsia="Arial" w:hAnsi="Arial" w:cs="Arial"/>
          <w:color w:val="000000" w:themeColor="text1"/>
          <w:sz w:val="24"/>
          <w:szCs w:val="24"/>
        </w:rPr>
        <w:t xml:space="preserve">, M.J., Haslam, S.A., Reicher, S.D. and Steffens, N.K., 2015. There is no leadership if no-one follows: Why leadership is necessarily a group process. </w:t>
      </w:r>
      <w:r w:rsidRPr="1F82A93F">
        <w:rPr>
          <w:rFonts w:ascii="Arial" w:eastAsia="Arial" w:hAnsi="Arial" w:cs="Arial"/>
          <w:i/>
          <w:iCs/>
          <w:color w:val="000000" w:themeColor="text1"/>
          <w:sz w:val="24"/>
          <w:szCs w:val="24"/>
        </w:rPr>
        <w:t>International Coaching Psychology Review</w:t>
      </w:r>
      <w:r w:rsidRPr="1F82A93F">
        <w:rPr>
          <w:rFonts w:ascii="Arial" w:eastAsia="Arial" w:hAnsi="Arial" w:cs="Arial"/>
          <w:color w:val="000000" w:themeColor="text1"/>
          <w:sz w:val="24"/>
          <w:szCs w:val="24"/>
        </w:rPr>
        <w:t xml:space="preserve">, </w:t>
      </w:r>
      <w:r w:rsidRPr="1F82A93F">
        <w:rPr>
          <w:rFonts w:ascii="Arial" w:eastAsia="Arial" w:hAnsi="Arial" w:cs="Arial"/>
          <w:i/>
          <w:iCs/>
          <w:color w:val="000000" w:themeColor="text1"/>
          <w:sz w:val="24"/>
          <w:szCs w:val="24"/>
        </w:rPr>
        <w:t>10</w:t>
      </w:r>
      <w:r w:rsidRPr="1F82A93F">
        <w:rPr>
          <w:rFonts w:ascii="Arial" w:eastAsia="Arial" w:hAnsi="Arial" w:cs="Arial"/>
          <w:color w:val="000000" w:themeColor="text1"/>
          <w:sz w:val="24"/>
          <w:szCs w:val="24"/>
        </w:rPr>
        <w:t>(1), pp.20-37.</w:t>
      </w:r>
    </w:p>
    <w:p w14:paraId="531DE9C9" w14:textId="77777777"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 xml:space="preserve">Ruiz, J., </w:t>
      </w:r>
      <w:proofErr w:type="spellStart"/>
      <w:r w:rsidRPr="1F82A93F">
        <w:rPr>
          <w:rFonts w:ascii="Arial" w:eastAsia="Arial" w:hAnsi="Arial" w:cs="Arial"/>
          <w:color w:val="000000" w:themeColor="text1"/>
          <w:sz w:val="24"/>
          <w:szCs w:val="24"/>
        </w:rPr>
        <w:t>Calvarro</w:t>
      </w:r>
      <w:proofErr w:type="spellEnd"/>
      <w:r w:rsidRPr="1F82A93F">
        <w:rPr>
          <w:rFonts w:ascii="Arial" w:eastAsia="Arial" w:hAnsi="Arial" w:cs="Arial"/>
          <w:color w:val="000000" w:themeColor="text1"/>
          <w:sz w:val="24"/>
          <w:szCs w:val="24"/>
        </w:rPr>
        <w:t xml:space="preserve">, J., Sánchez del Pulgar, J., &amp; Roldán, M. (2013). Science and Technology for New Culinary Techniques. </w:t>
      </w:r>
      <w:r w:rsidRPr="1F82A93F">
        <w:rPr>
          <w:rFonts w:ascii="Arial" w:eastAsia="Arial" w:hAnsi="Arial" w:cs="Arial"/>
          <w:i/>
          <w:iCs/>
          <w:color w:val="000000" w:themeColor="text1"/>
          <w:sz w:val="24"/>
          <w:szCs w:val="24"/>
        </w:rPr>
        <w:t>Journal of Culinary Science &amp; Technology</w:t>
      </w:r>
      <w:r w:rsidRPr="1F82A93F">
        <w:rPr>
          <w:rFonts w:ascii="Arial" w:eastAsia="Arial" w:hAnsi="Arial" w:cs="Arial"/>
          <w:color w:val="000000" w:themeColor="text1"/>
          <w:sz w:val="24"/>
          <w:szCs w:val="24"/>
        </w:rPr>
        <w:t xml:space="preserve">, </w:t>
      </w:r>
      <w:r w:rsidRPr="1F82A93F">
        <w:rPr>
          <w:rFonts w:ascii="Arial" w:eastAsia="Arial" w:hAnsi="Arial" w:cs="Arial"/>
          <w:i/>
          <w:iCs/>
          <w:color w:val="000000" w:themeColor="text1"/>
          <w:sz w:val="24"/>
          <w:szCs w:val="24"/>
        </w:rPr>
        <w:t>11</w:t>
      </w:r>
      <w:r w:rsidRPr="1F82A93F">
        <w:rPr>
          <w:rFonts w:ascii="Arial" w:eastAsia="Arial" w:hAnsi="Arial" w:cs="Arial"/>
          <w:color w:val="000000" w:themeColor="text1"/>
          <w:sz w:val="24"/>
          <w:szCs w:val="24"/>
        </w:rPr>
        <w:t xml:space="preserve">(1), 66-79. </w:t>
      </w:r>
      <w:hyperlink r:id="rId16">
        <w:r w:rsidRPr="1F82A93F">
          <w:rPr>
            <w:rStyle w:val="Hyperlink"/>
            <w:rFonts w:ascii="Arial" w:eastAsia="Arial" w:hAnsi="Arial" w:cs="Arial"/>
            <w:color w:val="000000" w:themeColor="text1"/>
            <w:sz w:val="24"/>
            <w:szCs w:val="24"/>
          </w:rPr>
          <w:t>https://doi.org/10.1080/15428052.2013.755422</w:t>
        </w:r>
      </w:hyperlink>
      <w:r w:rsidRPr="1F82A93F">
        <w:rPr>
          <w:rFonts w:ascii="Arial" w:eastAsia="Arial" w:hAnsi="Arial" w:cs="Arial"/>
          <w:color w:val="000000" w:themeColor="text1"/>
          <w:sz w:val="24"/>
          <w:szCs w:val="24"/>
        </w:rPr>
        <w:t xml:space="preserve"> (Accessed: 24 February 2024)</w:t>
      </w:r>
    </w:p>
    <w:p w14:paraId="3D9EAF3E" w14:textId="77777777" w:rsidR="002A4DA4" w:rsidRPr="002A4DA4" w:rsidRDefault="002A4DA4" w:rsidP="1F82A93F">
      <w:pPr>
        <w:rPr>
          <w:rFonts w:ascii="Arial" w:eastAsia="Arial" w:hAnsi="Arial" w:cs="Arial"/>
          <w:i/>
          <w:iCs/>
          <w:color w:val="000000" w:themeColor="text1"/>
          <w:sz w:val="24"/>
          <w:szCs w:val="24"/>
        </w:rPr>
      </w:pPr>
      <w:r w:rsidRPr="1F82A93F">
        <w:rPr>
          <w:rFonts w:ascii="Arial" w:eastAsia="Arial" w:hAnsi="Arial" w:cs="Arial"/>
          <w:color w:val="000000" w:themeColor="text1"/>
          <w:sz w:val="24"/>
          <w:szCs w:val="24"/>
        </w:rPr>
        <w:t>Schlegel, C., Flower, K., Youssef, J., Kaeser, B. and Kneebone, R., 2019</w:t>
      </w:r>
      <w:r w:rsidRPr="002A4DA4">
        <w:rPr>
          <w:rFonts w:ascii="Arial" w:eastAsia="Arial" w:hAnsi="Arial" w:cs="Arial"/>
          <w:i/>
          <w:iCs/>
          <w:color w:val="000000" w:themeColor="text1"/>
          <w:sz w:val="24"/>
          <w:szCs w:val="24"/>
        </w:rPr>
        <w:t>. Mise-</w:t>
      </w:r>
      <w:proofErr w:type="spellStart"/>
      <w:r w:rsidRPr="002A4DA4">
        <w:rPr>
          <w:rFonts w:ascii="Arial" w:eastAsia="Arial" w:hAnsi="Arial" w:cs="Arial"/>
          <w:i/>
          <w:iCs/>
          <w:color w:val="000000" w:themeColor="text1"/>
          <w:sz w:val="24"/>
          <w:szCs w:val="24"/>
        </w:rPr>
        <w:t>en</w:t>
      </w:r>
      <w:proofErr w:type="spellEnd"/>
      <w:r w:rsidRPr="002A4DA4">
        <w:rPr>
          <w:rFonts w:ascii="Arial" w:eastAsia="Arial" w:hAnsi="Arial" w:cs="Arial"/>
          <w:i/>
          <w:iCs/>
          <w:color w:val="000000" w:themeColor="text1"/>
          <w:sz w:val="24"/>
          <w:szCs w:val="24"/>
        </w:rPr>
        <w:t>-place: Learning across disciplines.</w:t>
      </w:r>
    </w:p>
    <w:p w14:paraId="0BB5B498" w14:textId="1235553E" w:rsidR="002A4DA4" w:rsidRDefault="002A4DA4" w:rsidP="1F82A93F">
      <w:pPr>
        <w:pStyle w:val="Heading2"/>
        <w:shd w:val="clear" w:color="auto" w:fill="FFFFFF" w:themeFill="background1"/>
        <w:spacing w:before="0" w:after="225"/>
        <w:rPr>
          <w:rFonts w:ascii="Arial" w:eastAsia="Arial" w:hAnsi="Arial" w:cs="Arial"/>
          <w:color w:val="000000" w:themeColor="text1"/>
          <w:sz w:val="24"/>
          <w:szCs w:val="24"/>
        </w:rPr>
      </w:pPr>
      <w:r w:rsidRPr="1F82A93F">
        <w:rPr>
          <w:rFonts w:ascii="Arial" w:eastAsia="Arial" w:hAnsi="Arial" w:cs="Arial"/>
          <w:color w:val="000000" w:themeColor="text1"/>
          <w:sz w:val="24"/>
          <w:szCs w:val="24"/>
        </w:rPr>
        <w:t>The University of Manchester.</w:t>
      </w:r>
      <w:r>
        <w:rPr>
          <w:rFonts w:ascii="Arial" w:eastAsia="Arial" w:hAnsi="Arial" w:cs="Arial"/>
          <w:color w:val="000000" w:themeColor="text1"/>
          <w:sz w:val="24"/>
          <w:szCs w:val="24"/>
        </w:rPr>
        <w:t xml:space="preserve"> (</w:t>
      </w:r>
      <w:proofErr w:type="spellStart"/>
      <w:r>
        <w:rPr>
          <w:rFonts w:ascii="Arial" w:eastAsia="Arial" w:hAnsi="Arial" w:cs="Arial"/>
          <w:color w:val="000000" w:themeColor="text1"/>
          <w:sz w:val="24"/>
          <w:szCs w:val="24"/>
        </w:rPr>
        <w:t>n.d</w:t>
      </w:r>
      <w:proofErr w:type="spellEnd"/>
      <w:r>
        <w:rPr>
          <w:rFonts w:ascii="Arial" w:eastAsia="Arial" w:hAnsi="Arial" w:cs="Arial"/>
          <w:color w:val="000000" w:themeColor="text1"/>
          <w:sz w:val="24"/>
          <w:szCs w:val="24"/>
        </w:rPr>
        <w:t>).</w:t>
      </w:r>
      <w:r w:rsidRPr="1F82A93F">
        <w:rPr>
          <w:rFonts w:ascii="Arial" w:eastAsia="Arial" w:hAnsi="Arial" w:cs="Arial"/>
          <w:color w:val="000000" w:themeColor="text1"/>
          <w:sz w:val="24"/>
          <w:szCs w:val="24"/>
        </w:rPr>
        <w:t xml:space="preserve"> </w:t>
      </w:r>
      <w:r w:rsidRPr="1F82A93F">
        <w:rPr>
          <w:rFonts w:ascii="Arial" w:eastAsia="Arial" w:hAnsi="Arial" w:cs="Arial"/>
          <w:i/>
          <w:iCs/>
          <w:color w:val="000000" w:themeColor="text1"/>
          <w:sz w:val="24"/>
          <w:szCs w:val="24"/>
        </w:rPr>
        <w:t xml:space="preserve">What are the benefits of completing a </w:t>
      </w:r>
      <w:proofErr w:type="gramStart"/>
      <w:r w:rsidRPr="1F82A93F">
        <w:rPr>
          <w:rFonts w:ascii="Arial" w:eastAsia="Arial" w:hAnsi="Arial" w:cs="Arial"/>
          <w:i/>
          <w:iCs/>
          <w:color w:val="000000" w:themeColor="text1"/>
          <w:sz w:val="24"/>
          <w:szCs w:val="24"/>
        </w:rPr>
        <w:t>Placement?.</w:t>
      </w:r>
      <w:proofErr w:type="gramEnd"/>
      <w:r w:rsidRPr="1F82A93F">
        <w:rPr>
          <w:rFonts w:ascii="Arial" w:eastAsia="Arial" w:hAnsi="Arial" w:cs="Arial"/>
          <w:i/>
          <w:iCs/>
          <w:color w:val="000000" w:themeColor="text1"/>
          <w:sz w:val="24"/>
          <w:szCs w:val="24"/>
        </w:rPr>
        <w:t xml:space="preserve"> </w:t>
      </w:r>
      <w:r w:rsidRPr="1F82A93F">
        <w:rPr>
          <w:rFonts w:ascii="Arial" w:eastAsia="Arial" w:hAnsi="Arial" w:cs="Arial"/>
          <w:color w:val="000000" w:themeColor="text1"/>
          <w:sz w:val="24"/>
          <w:szCs w:val="24"/>
        </w:rPr>
        <w:t xml:space="preserve">Available at: </w:t>
      </w:r>
      <w:hyperlink r:id="rId17" w:anchor=":~:text=What%20are%20the%20benefits%20of%20completing,which%20is%20attractive%20to%20graduate%20employers.&amp;text=What%20are%20the%20benefits,attractive%20to%20graduate%20employers.&amp;text=the%20benefits%20of%20completing,which%20is%20attractive%20to">
        <w:r w:rsidRPr="1F82A93F">
          <w:rPr>
            <w:rStyle w:val="Hyperlink"/>
            <w:rFonts w:ascii="Arial" w:eastAsia="Arial" w:hAnsi="Arial" w:cs="Arial"/>
            <w:color w:val="000000" w:themeColor="text1"/>
            <w:sz w:val="24"/>
            <w:szCs w:val="24"/>
          </w:rPr>
          <w:t>https://www.careers.manchester.ac.uk/findjobs/placement/benefits/#:~:text=What%20are%20the%20benefits%20of%20completing,which%20is%20attractive%20to%20graduate%20employers.&amp;text=What%20are%20the%20benefits,attractive%20to%20graduate%20employers.&amp;text=the%20benefits%20of%20completing,which%20is%20attractive%20to</w:t>
        </w:r>
      </w:hyperlink>
      <w:r w:rsidRPr="1F82A93F">
        <w:rPr>
          <w:rFonts w:ascii="Arial" w:eastAsia="Arial" w:hAnsi="Arial" w:cs="Arial"/>
          <w:color w:val="000000" w:themeColor="text1"/>
          <w:sz w:val="24"/>
          <w:szCs w:val="24"/>
        </w:rPr>
        <w:t xml:space="preserve"> (Accessed: 19 February 2024)</w:t>
      </w:r>
    </w:p>
    <w:p w14:paraId="54DDE13E" w14:textId="77777777" w:rsidR="002A4DA4" w:rsidRDefault="002A4DA4" w:rsidP="1F82A93F">
      <w:pPr>
        <w:rPr>
          <w:rFonts w:ascii="Arial" w:eastAsia="Arial" w:hAnsi="Arial" w:cs="Arial"/>
          <w:color w:val="000000" w:themeColor="text1"/>
          <w:sz w:val="24"/>
          <w:szCs w:val="24"/>
        </w:rPr>
      </w:pPr>
      <w:hyperlink r:id="rId18">
        <w:r w:rsidRPr="1F82A93F">
          <w:rPr>
            <w:rStyle w:val="Hyperlink"/>
            <w:rFonts w:ascii="Arial" w:eastAsia="Arial" w:hAnsi="Arial" w:cs="Arial"/>
            <w:color w:val="000000" w:themeColor="text1"/>
            <w:sz w:val="24"/>
            <w:szCs w:val="24"/>
            <w:u w:val="none"/>
          </w:rPr>
          <w:t>Ulrich, D.</w:t>
        </w:r>
      </w:hyperlink>
      <w:r w:rsidRPr="1F82A93F">
        <w:rPr>
          <w:rFonts w:ascii="Arial" w:eastAsia="Arial" w:hAnsi="Arial" w:cs="Arial"/>
          <w:color w:val="000000" w:themeColor="text1"/>
          <w:sz w:val="24"/>
          <w:szCs w:val="24"/>
        </w:rPr>
        <w:t xml:space="preserve"> and </w:t>
      </w:r>
      <w:hyperlink r:id="rId19">
        <w:r w:rsidRPr="1F82A93F">
          <w:rPr>
            <w:rStyle w:val="Hyperlink"/>
            <w:rFonts w:ascii="Arial" w:eastAsia="Arial" w:hAnsi="Arial" w:cs="Arial"/>
            <w:color w:val="000000" w:themeColor="text1"/>
            <w:sz w:val="24"/>
            <w:szCs w:val="24"/>
          </w:rPr>
          <w:t>Smallwood, N.</w:t>
        </w:r>
      </w:hyperlink>
      <w:r w:rsidRPr="1F82A93F">
        <w:rPr>
          <w:rFonts w:ascii="Arial" w:eastAsia="Arial" w:hAnsi="Arial" w:cs="Arial"/>
          <w:color w:val="000000" w:themeColor="text1"/>
          <w:sz w:val="24"/>
          <w:szCs w:val="24"/>
        </w:rPr>
        <w:t xml:space="preserve"> (2012), "What is Leadership?", </w:t>
      </w:r>
      <w:hyperlink r:id="rId20">
        <w:r w:rsidRPr="1F82A93F">
          <w:rPr>
            <w:rStyle w:val="Hyperlink"/>
            <w:rFonts w:ascii="Arial" w:eastAsia="Arial" w:hAnsi="Arial" w:cs="Arial"/>
            <w:color w:val="000000" w:themeColor="text1"/>
            <w:sz w:val="24"/>
            <w:szCs w:val="24"/>
          </w:rPr>
          <w:t>Mobley, W.H.</w:t>
        </w:r>
      </w:hyperlink>
      <w:r w:rsidRPr="1F82A93F">
        <w:rPr>
          <w:rFonts w:ascii="Arial" w:eastAsia="Arial" w:hAnsi="Arial" w:cs="Arial"/>
          <w:color w:val="000000" w:themeColor="text1"/>
          <w:sz w:val="24"/>
          <w:szCs w:val="24"/>
        </w:rPr>
        <w:t xml:space="preserve">, </w:t>
      </w:r>
      <w:hyperlink r:id="rId21">
        <w:r w:rsidRPr="1F82A93F">
          <w:rPr>
            <w:rStyle w:val="Hyperlink"/>
            <w:rFonts w:ascii="Arial" w:eastAsia="Arial" w:hAnsi="Arial" w:cs="Arial"/>
            <w:color w:val="000000" w:themeColor="text1"/>
            <w:sz w:val="24"/>
            <w:szCs w:val="24"/>
          </w:rPr>
          <w:t>Wang, Y.</w:t>
        </w:r>
      </w:hyperlink>
      <w:r w:rsidRPr="1F82A93F">
        <w:rPr>
          <w:rFonts w:ascii="Arial" w:eastAsia="Arial" w:hAnsi="Arial" w:cs="Arial"/>
          <w:color w:val="000000" w:themeColor="text1"/>
          <w:sz w:val="24"/>
          <w:szCs w:val="24"/>
        </w:rPr>
        <w:t xml:space="preserve"> and </w:t>
      </w:r>
      <w:hyperlink r:id="rId22">
        <w:r w:rsidRPr="1F82A93F">
          <w:rPr>
            <w:rStyle w:val="Hyperlink"/>
            <w:rFonts w:ascii="Arial" w:eastAsia="Arial" w:hAnsi="Arial" w:cs="Arial"/>
            <w:color w:val="000000" w:themeColor="text1"/>
            <w:sz w:val="24"/>
            <w:szCs w:val="24"/>
          </w:rPr>
          <w:t>Li, M.</w:t>
        </w:r>
      </w:hyperlink>
      <w:r w:rsidRPr="1F82A93F">
        <w:rPr>
          <w:rFonts w:ascii="Arial" w:eastAsia="Arial" w:hAnsi="Arial" w:cs="Arial"/>
          <w:color w:val="000000" w:themeColor="text1"/>
          <w:sz w:val="24"/>
          <w:szCs w:val="24"/>
        </w:rPr>
        <w:t xml:space="preserve"> (Ed.) </w:t>
      </w:r>
      <w:r w:rsidRPr="1F82A93F">
        <w:rPr>
          <w:rFonts w:ascii="Arial" w:eastAsia="Arial" w:hAnsi="Arial" w:cs="Arial"/>
          <w:i/>
          <w:iCs/>
          <w:color w:val="000000" w:themeColor="text1"/>
          <w:sz w:val="24"/>
          <w:szCs w:val="24"/>
        </w:rPr>
        <w:t>Advances in Global Leadership</w:t>
      </w:r>
      <w:r w:rsidRPr="1F82A93F">
        <w:rPr>
          <w:rFonts w:ascii="Arial" w:eastAsia="Arial" w:hAnsi="Arial" w:cs="Arial"/>
          <w:color w:val="000000" w:themeColor="text1"/>
          <w:sz w:val="24"/>
          <w:szCs w:val="24"/>
        </w:rPr>
        <w:t xml:space="preserve"> (</w:t>
      </w:r>
      <w:r w:rsidRPr="1F82A93F">
        <w:rPr>
          <w:rFonts w:ascii="Arial" w:eastAsia="Arial" w:hAnsi="Arial" w:cs="Arial"/>
          <w:i/>
          <w:iCs/>
          <w:color w:val="000000" w:themeColor="text1"/>
          <w:sz w:val="24"/>
          <w:szCs w:val="24"/>
        </w:rPr>
        <w:t>Advances in Global Leadership, Vol. 7</w:t>
      </w:r>
      <w:r w:rsidRPr="1F82A93F">
        <w:rPr>
          <w:rFonts w:ascii="Arial" w:eastAsia="Arial" w:hAnsi="Arial" w:cs="Arial"/>
          <w:color w:val="000000" w:themeColor="text1"/>
          <w:sz w:val="24"/>
          <w:szCs w:val="24"/>
        </w:rPr>
        <w:t xml:space="preserve">), Emerald Group Publishing Limited, Leeds, pp. 9-36. Available at: </w:t>
      </w:r>
      <w:hyperlink r:id="rId23">
        <w:r w:rsidRPr="1F82A93F">
          <w:rPr>
            <w:rStyle w:val="Hyperlink"/>
            <w:rFonts w:ascii="Arial" w:eastAsia="Arial" w:hAnsi="Arial" w:cs="Arial"/>
            <w:color w:val="000000" w:themeColor="text1"/>
            <w:sz w:val="24"/>
            <w:szCs w:val="24"/>
            <w:u w:val="none"/>
          </w:rPr>
          <w:t>https://doi.org/10.1108/S1535-1203(2012)0000007005</w:t>
        </w:r>
      </w:hyperlink>
      <w:r w:rsidRPr="1F82A93F">
        <w:rPr>
          <w:rFonts w:ascii="Arial" w:eastAsia="Arial" w:hAnsi="Arial" w:cs="Arial"/>
          <w:color w:val="000000" w:themeColor="text1"/>
          <w:sz w:val="24"/>
          <w:szCs w:val="24"/>
        </w:rPr>
        <w:t xml:space="preserve"> (Accessed: 19 February 2024)</w:t>
      </w:r>
    </w:p>
    <w:p w14:paraId="5F16DFF0" w14:textId="3D2EB4A9" w:rsidR="002A4DA4" w:rsidRDefault="002A4DA4" w:rsidP="1F82A93F">
      <w:pPr>
        <w:rPr>
          <w:rFonts w:ascii="Arial" w:eastAsia="Arial" w:hAnsi="Arial" w:cs="Arial"/>
          <w:color w:val="000000" w:themeColor="text1"/>
          <w:sz w:val="24"/>
          <w:szCs w:val="24"/>
        </w:rPr>
      </w:pPr>
      <w:r w:rsidRPr="1F82A93F">
        <w:rPr>
          <w:rFonts w:ascii="Arial" w:eastAsia="Arial" w:hAnsi="Arial" w:cs="Arial"/>
          <w:color w:val="000000" w:themeColor="text1"/>
          <w:sz w:val="24"/>
          <w:szCs w:val="24"/>
        </w:rPr>
        <w:t>Wine Folly, (</w:t>
      </w:r>
      <w:proofErr w:type="spellStart"/>
      <w:proofErr w:type="gramStart"/>
      <w:r w:rsidRPr="1F82A93F">
        <w:rPr>
          <w:rFonts w:ascii="Arial" w:eastAsia="Arial" w:hAnsi="Arial" w:cs="Arial"/>
          <w:color w:val="000000" w:themeColor="text1"/>
          <w:sz w:val="24"/>
          <w:szCs w:val="24"/>
        </w:rPr>
        <w:t>n,d</w:t>
      </w:r>
      <w:proofErr w:type="spellEnd"/>
      <w:proofErr w:type="gramEnd"/>
      <w:r w:rsidRPr="1F82A93F">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w:t>
      </w:r>
      <w:r w:rsidRPr="002A4DA4">
        <w:rPr>
          <w:rFonts w:ascii="Arial" w:eastAsia="Arial" w:hAnsi="Arial" w:cs="Arial"/>
          <w:i/>
          <w:iCs/>
          <w:color w:val="000000" w:themeColor="text1"/>
          <w:sz w:val="24"/>
          <w:szCs w:val="24"/>
        </w:rPr>
        <w:t>Food and Wine Pairing Basics.</w:t>
      </w:r>
      <w:r w:rsidRPr="1F82A93F">
        <w:rPr>
          <w:rFonts w:ascii="Arial" w:eastAsia="Arial" w:hAnsi="Arial" w:cs="Arial"/>
          <w:color w:val="000000" w:themeColor="text1"/>
          <w:sz w:val="24"/>
          <w:szCs w:val="24"/>
        </w:rPr>
        <w:t xml:space="preserve"> </w:t>
      </w:r>
      <w:hyperlink r:id="rId24">
        <w:r w:rsidRPr="1F82A93F">
          <w:rPr>
            <w:rStyle w:val="Hyperlink"/>
            <w:rFonts w:ascii="Arial" w:eastAsia="Arial" w:hAnsi="Arial" w:cs="Arial"/>
            <w:color w:val="000000" w:themeColor="text1"/>
            <w:sz w:val="24"/>
            <w:szCs w:val="24"/>
          </w:rPr>
          <w:t>https://winefolly.com/wine-pairing/getting-started-with-food-and-wine-pairing/</w:t>
        </w:r>
      </w:hyperlink>
      <w:r w:rsidRPr="1F82A93F">
        <w:rPr>
          <w:rFonts w:ascii="Arial" w:eastAsia="Arial" w:hAnsi="Arial" w:cs="Arial"/>
          <w:color w:val="000000" w:themeColor="text1"/>
          <w:sz w:val="24"/>
          <w:szCs w:val="24"/>
        </w:rPr>
        <w:t xml:space="preserve"> (Accessed: 24 February 2024)</w:t>
      </w:r>
    </w:p>
    <w:p w14:paraId="0B99E0EB" w14:textId="2337C9CD" w:rsidR="002A4DA4" w:rsidRDefault="002A4DA4" w:rsidP="1F82A93F">
      <w:pPr>
        <w:pStyle w:val="Heading1"/>
        <w:shd w:val="clear" w:color="auto" w:fill="FFFFFF" w:themeFill="background1"/>
        <w:spacing w:before="0"/>
        <w:rPr>
          <w:rFonts w:ascii="Arial" w:eastAsia="Arial" w:hAnsi="Arial" w:cs="Arial"/>
          <w:b/>
          <w:bCs/>
          <w:color w:val="276193"/>
          <w:sz w:val="24"/>
          <w:szCs w:val="24"/>
        </w:rPr>
      </w:pPr>
      <w:r w:rsidRPr="1F82A93F">
        <w:rPr>
          <w:rFonts w:ascii="Arial" w:eastAsia="Arial" w:hAnsi="Arial" w:cs="Arial"/>
          <w:color w:val="000000" w:themeColor="text1"/>
          <w:sz w:val="24"/>
          <w:szCs w:val="24"/>
        </w:rPr>
        <w:t>WSET Global, 2020</w:t>
      </w:r>
      <w:r w:rsidRPr="1F82A93F">
        <w:rPr>
          <w:rFonts w:ascii="Arial" w:eastAsia="Arial" w:hAnsi="Arial" w:cs="Arial"/>
          <w:b/>
          <w:bCs/>
          <w:color w:val="276193"/>
          <w:sz w:val="24"/>
          <w:szCs w:val="24"/>
        </w:rPr>
        <w:t xml:space="preserve"> </w:t>
      </w:r>
      <w:r w:rsidRPr="1F82A93F">
        <w:rPr>
          <w:rFonts w:ascii="Arial" w:eastAsia="Arial" w:hAnsi="Arial" w:cs="Arial"/>
          <w:i/>
          <w:iCs/>
          <w:color w:val="000000" w:themeColor="text1"/>
          <w:sz w:val="24"/>
          <w:szCs w:val="24"/>
        </w:rPr>
        <w:t>Winter wine and food matching</w:t>
      </w:r>
      <w:r>
        <w:rPr>
          <w:rFonts w:ascii="Arial" w:eastAsia="Arial" w:hAnsi="Arial" w:cs="Arial"/>
          <w:i/>
          <w:iCs/>
          <w:color w:val="000000" w:themeColor="text1"/>
          <w:sz w:val="24"/>
          <w:szCs w:val="24"/>
        </w:rPr>
        <w:t xml:space="preserve">. Available at: </w:t>
      </w:r>
      <w:hyperlink r:id="rId25" w:history="1">
        <w:r w:rsidRPr="00842BD6">
          <w:rPr>
            <w:rStyle w:val="Hyperlink"/>
            <w:rFonts w:ascii="Arial" w:eastAsia="Arial" w:hAnsi="Arial" w:cs="Arial"/>
            <w:sz w:val="24"/>
            <w:szCs w:val="24"/>
          </w:rPr>
          <w:t>https://www.wsetglobal.com/knowledge-centre/blog/2020/december/21/winter-wine-and-food-matching/</w:t>
        </w:r>
      </w:hyperlink>
      <w:r w:rsidRPr="1F82A93F">
        <w:rPr>
          <w:rFonts w:ascii="Arial" w:eastAsia="Arial" w:hAnsi="Arial" w:cs="Arial"/>
          <w:color w:val="000000" w:themeColor="text1"/>
          <w:sz w:val="24"/>
          <w:szCs w:val="24"/>
        </w:rPr>
        <w:t xml:space="preserve"> (Accessed: 24 February 2024)</w:t>
      </w:r>
      <w:r>
        <w:rPr>
          <w:rFonts w:ascii="Arial" w:eastAsia="Arial" w:hAnsi="Arial" w:cs="Arial"/>
          <w:color w:val="000000" w:themeColor="text1"/>
          <w:sz w:val="24"/>
          <w:szCs w:val="24"/>
        </w:rPr>
        <w:t>.</w:t>
      </w:r>
    </w:p>
    <w:p w14:paraId="3E20483F" w14:textId="4DD06392" w:rsidR="1F82A93F" w:rsidRDefault="1F82A93F" w:rsidP="1F82A93F">
      <w:pPr>
        <w:rPr>
          <w:rFonts w:ascii="Arial" w:eastAsia="Arial" w:hAnsi="Arial" w:cs="Arial"/>
          <w:b/>
          <w:bCs/>
          <w:sz w:val="24"/>
          <w:szCs w:val="24"/>
        </w:rPr>
      </w:pPr>
    </w:p>
    <w:sectPr w:rsidR="1F82A93F">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CAC2E"/>
    <w:multiLevelType w:val="hybridMultilevel"/>
    <w:tmpl w:val="A2368C5E"/>
    <w:lvl w:ilvl="0" w:tplc="6AD615F8">
      <w:start w:val="1"/>
      <w:numFmt w:val="bullet"/>
      <w:lvlText w:val=""/>
      <w:lvlJc w:val="left"/>
      <w:pPr>
        <w:ind w:left="720" w:hanging="360"/>
      </w:pPr>
      <w:rPr>
        <w:rFonts w:ascii="Symbol" w:hAnsi="Symbol" w:hint="default"/>
      </w:rPr>
    </w:lvl>
    <w:lvl w:ilvl="1" w:tplc="13C84D18">
      <w:start w:val="1"/>
      <w:numFmt w:val="bullet"/>
      <w:lvlText w:val="o"/>
      <w:lvlJc w:val="left"/>
      <w:pPr>
        <w:ind w:left="1440" w:hanging="360"/>
      </w:pPr>
      <w:rPr>
        <w:rFonts w:ascii="Courier New" w:hAnsi="Courier New" w:hint="default"/>
      </w:rPr>
    </w:lvl>
    <w:lvl w:ilvl="2" w:tplc="12A20D18">
      <w:start w:val="1"/>
      <w:numFmt w:val="bullet"/>
      <w:lvlText w:val=""/>
      <w:lvlJc w:val="left"/>
      <w:pPr>
        <w:ind w:left="2160" w:hanging="360"/>
      </w:pPr>
      <w:rPr>
        <w:rFonts w:ascii="Wingdings" w:hAnsi="Wingdings" w:hint="default"/>
      </w:rPr>
    </w:lvl>
    <w:lvl w:ilvl="3" w:tplc="C886715A">
      <w:start w:val="1"/>
      <w:numFmt w:val="bullet"/>
      <w:lvlText w:val=""/>
      <w:lvlJc w:val="left"/>
      <w:pPr>
        <w:ind w:left="2880" w:hanging="360"/>
      </w:pPr>
      <w:rPr>
        <w:rFonts w:ascii="Symbol" w:hAnsi="Symbol" w:hint="default"/>
      </w:rPr>
    </w:lvl>
    <w:lvl w:ilvl="4" w:tplc="253E0CE8">
      <w:start w:val="1"/>
      <w:numFmt w:val="bullet"/>
      <w:lvlText w:val="o"/>
      <w:lvlJc w:val="left"/>
      <w:pPr>
        <w:ind w:left="3600" w:hanging="360"/>
      </w:pPr>
      <w:rPr>
        <w:rFonts w:ascii="Courier New" w:hAnsi="Courier New" w:hint="default"/>
      </w:rPr>
    </w:lvl>
    <w:lvl w:ilvl="5" w:tplc="9F40FD82">
      <w:start w:val="1"/>
      <w:numFmt w:val="bullet"/>
      <w:lvlText w:val=""/>
      <w:lvlJc w:val="left"/>
      <w:pPr>
        <w:ind w:left="4320" w:hanging="360"/>
      </w:pPr>
      <w:rPr>
        <w:rFonts w:ascii="Wingdings" w:hAnsi="Wingdings" w:hint="default"/>
      </w:rPr>
    </w:lvl>
    <w:lvl w:ilvl="6" w:tplc="112897F4">
      <w:start w:val="1"/>
      <w:numFmt w:val="bullet"/>
      <w:lvlText w:val=""/>
      <w:lvlJc w:val="left"/>
      <w:pPr>
        <w:ind w:left="5040" w:hanging="360"/>
      </w:pPr>
      <w:rPr>
        <w:rFonts w:ascii="Symbol" w:hAnsi="Symbol" w:hint="default"/>
      </w:rPr>
    </w:lvl>
    <w:lvl w:ilvl="7" w:tplc="1500E47E">
      <w:start w:val="1"/>
      <w:numFmt w:val="bullet"/>
      <w:lvlText w:val="o"/>
      <w:lvlJc w:val="left"/>
      <w:pPr>
        <w:ind w:left="5760" w:hanging="360"/>
      </w:pPr>
      <w:rPr>
        <w:rFonts w:ascii="Courier New" w:hAnsi="Courier New" w:hint="default"/>
      </w:rPr>
    </w:lvl>
    <w:lvl w:ilvl="8" w:tplc="51BAB992">
      <w:start w:val="1"/>
      <w:numFmt w:val="bullet"/>
      <w:lvlText w:val=""/>
      <w:lvlJc w:val="left"/>
      <w:pPr>
        <w:ind w:left="6480" w:hanging="360"/>
      </w:pPr>
      <w:rPr>
        <w:rFonts w:ascii="Wingdings" w:hAnsi="Wingdings" w:hint="default"/>
      </w:rPr>
    </w:lvl>
  </w:abstractNum>
  <w:abstractNum w:abstractNumId="1" w15:restartNumberingAfterBreak="0">
    <w:nsid w:val="61A84E7E"/>
    <w:multiLevelType w:val="hybridMultilevel"/>
    <w:tmpl w:val="9EEC59EC"/>
    <w:lvl w:ilvl="0" w:tplc="05EA3A0A">
      <w:start w:val="1"/>
      <w:numFmt w:val="bullet"/>
      <w:lvlText w:val=""/>
      <w:lvlJc w:val="left"/>
      <w:pPr>
        <w:ind w:left="720" w:hanging="360"/>
      </w:pPr>
      <w:rPr>
        <w:rFonts w:ascii="Symbol" w:hAnsi="Symbol" w:hint="default"/>
      </w:rPr>
    </w:lvl>
    <w:lvl w:ilvl="1" w:tplc="06A41A34">
      <w:start w:val="1"/>
      <w:numFmt w:val="bullet"/>
      <w:lvlText w:val="o"/>
      <w:lvlJc w:val="left"/>
      <w:pPr>
        <w:ind w:left="1440" w:hanging="360"/>
      </w:pPr>
      <w:rPr>
        <w:rFonts w:ascii="Courier New" w:hAnsi="Courier New" w:hint="default"/>
      </w:rPr>
    </w:lvl>
    <w:lvl w:ilvl="2" w:tplc="C65C48C0">
      <w:start w:val="1"/>
      <w:numFmt w:val="bullet"/>
      <w:lvlText w:val=""/>
      <w:lvlJc w:val="left"/>
      <w:pPr>
        <w:ind w:left="2160" w:hanging="360"/>
      </w:pPr>
      <w:rPr>
        <w:rFonts w:ascii="Wingdings" w:hAnsi="Wingdings" w:hint="default"/>
      </w:rPr>
    </w:lvl>
    <w:lvl w:ilvl="3" w:tplc="3B36D23C">
      <w:start w:val="1"/>
      <w:numFmt w:val="bullet"/>
      <w:lvlText w:val=""/>
      <w:lvlJc w:val="left"/>
      <w:pPr>
        <w:ind w:left="2880" w:hanging="360"/>
      </w:pPr>
      <w:rPr>
        <w:rFonts w:ascii="Symbol" w:hAnsi="Symbol" w:hint="default"/>
      </w:rPr>
    </w:lvl>
    <w:lvl w:ilvl="4" w:tplc="F318A29E">
      <w:start w:val="1"/>
      <w:numFmt w:val="bullet"/>
      <w:lvlText w:val="o"/>
      <w:lvlJc w:val="left"/>
      <w:pPr>
        <w:ind w:left="3600" w:hanging="360"/>
      </w:pPr>
      <w:rPr>
        <w:rFonts w:ascii="Courier New" w:hAnsi="Courier New" w:hint="default"/>
      </w:rPr>
    </w:lvl>
    <w:lvl w:ilvl="5" w:tplc="F07EC0F6">
      <w:start w:val="1"/>
      <w:numFmt w:val="bullet"/>
      <w:lvlText w:val=""/>
      <w:lvlJc w:val="left"/>
      <w:pPr>
        <w:ind w:left="4320" w:hanging="360"/>
      </w:pPr>
      <w:rPr>
        <w:rFonts w:ascii="Wingdings" w:hAnsi="Wingdings" w:hint="default"/>
      </w:rPr>
    </w:lvl>
    <w:lvl w:ilvl="6" w:tplc="1230FB36">
      <w:start w:val="1"/>
      <w:numFmt w:val="bullet"/>
      <w:lvlText w:val=""/>
      <w:lvlJc w:val="left"/>
      <w:pPr>
        <w:ind w:left="5040" w:hanging="360"/>
      </w:pPr>
      <w:rPr>
        <w:rFonts w:ascii="Symbol" w:hAnsi="Symbol" w:hint="default"/>
      </w:rPr>
    </w:lvl>
    <w:lvl w:ilvl="7" w:tplc="D1789588">
      <w:start w:val="1"/>
      <w:numFmt w:val="bullet"/>
      <w:lvlText w:val="o"/>
      <w:lvlJc w:val="left"/>
      <w:pPr>
        <w:ind w:left="5760" w:hanging="360"/>
      </w:pPr>
      <w:rPr>
        <w:rFonts w:ascii="Courier New" w:hAnsi="Courier New" w:hint="default"/>
      </w:rPr>
    </w:lvl>
    <w:lvl w:ilvl="8" w:tplc="0C546AC8">
      <w:start w:val="1"/>
      <w:numFmt w:val="bullet"/>
      <w:lvlText w:val=""/>
      <w:lvlJc w:val="left"/>
      <w:pPr>
        <w:ind w:left="6480" w:hanging="360"/>
      </w:pPr>
      <w:rPr>
        <w:rFonts w:ascii="Wingdings" w:hAnsi="Wingdings" w:hint="default"/>
      </w:rPr>
    </w:lvl>
  </w:abstractNum>
  <w:num w:numId="1" w16cid:durableId="1723946893">
    <w:abstractNumId w:val="1"/>
  </w:num>
  <w:num w:numId="2" w16cid:durableId="1053625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3B3633"/>
    <w:rsid w:val="00046974"/>
    <w:rsid w:val="001F511A"/>
    <w:rsid w:val="002A4DA4"/>
    <w:rsid w:val="00B90771"/>
    <w:rsid w:val="01108E8D"/>
    <w:rsid w:val="011379C5"/>
    <w:rsid w:val="013B3633"/>
    <w:rsid w:val="01534D3F"/>
    <w:rsid w:val="02388C4F"/>
    <w:rsid w:val="024950E2"/>
    <w:rsid w:val="02C6506D"/>
    <w:rsid w:val="02EF1DA0"/>
    <w:rsid w:val="03C39521"/>
    <w:rsid w:val="03D45CB0"/>
    <w:rsid w:val="044C6A3A"/>
    <w:rsid w:val="04512EB2"/>
    <w:rsid w:val="04DF7C80"/>
    <w:rsid w:val="0527F8C9"/>
    <w:rsid w:val="05B9A887"/>
    <w:rsid w:val="05C63AA7"/>
    <w:rsid w:val="072065F2"/>
    <w:rsid w:val="076193D7"/>
    <w:rsid w:val="079C2E19"/>
    <w:rsid w:val="08ACFBED"/>
    <w:rsid w:val="09191B1C"/>
    <w:rsid w:val="09ADD65D"/>
    <w:rsid w:val="0A64E8FD"/>
    <w:rsid w:val="0B931E41"/>
    <w:rsid w:val="0BC64638"/>
    <w:rsid w:val="0C47B0A7"/>
    <w:rsid w:val="0C506D62"/>
    <w:rsid w:val="0C6D07A8"/>
    <w:rsid w:val="0E951CA5"/>
    <w:rsid w:val="0F90ED58"/>
    <w:rsid w:val="0FB6619F"/>
    <w:rsid w:val="10490736"/>
    <w:rsid w:val="11488125"/>
    <w:rsid w:val="13631F57"/>
    <w:rsid w:val="13856C70"/>
    <w:rsid w:val="14252CFE"/>
    <w:rsid w:val="14CA0489"/>
    <w:rsid w:val="15475E46"/>
    <w:rsid w:val="165023E2"/>
    <w:rsid w:val="16AE45A0"/>
    <w:rsid w:val="16D9F36F"/>
    <w:rsid w:val="17EBF443"/>
    <w:rsid w:val="184A1601"/>
    <w:rsid w:val="194026FF"/>
    <w:rsid w:val="19909EBF"/>
    <w:rsid w:val="1A2179D5"/>
    <w:rsid w:val="1A7022BC"/>
    <w:rsid w:val="1B239505"/>
    <w:rsid w:val="1BF06A0D"/>
    <w:rsid w:val="1D089FB5"/>
    <w:rsid w:val="1EA47016"/>
    <w:rsid w:val="1F058E7E"/>
    <w:rsid w:val="1F1C98B2"/>
    <w:rsid w:val="1F82A93F"/>
    <w:rsid w:val="204EFE56"/>
    <w:rsid w:val="20656331"/>
    <w:rsid w:val="2124A7D1"/>
    <w:rsid w:val="21423E51"/>
    <w:rsid w:val="21EACEB7"/>
    <w:rsid w:val="220A04C7"/>
    <w:rsid w:val="237B3CA7"/>
    <w:rsid w:val="239E53A6"/>
    <w:rsid w:val="24457703"/>
    <w:rsid w:val="2473C353"/>
    <w:rsid w:val="24A3BFFF"/>
    <w:rsid w:val="25226F79"/>
    <w:rsid w:val="2538F902"/>
    <w:rsid w:val="26D4A4B5"/>
    <w:rsid w:val="26F8BAE3"/>
    <w:rsid w:val="27AD470D"/>
    <w:rsid w:val="28682751"/>
    <w:rsid w:val="28709B2B"/>
    <w:rsid w:val="29773122"/>
    <w:rsid w:val="29D9B40F"/>
    <w:rsid w:val="2AE4E7CF"/>
    <w:rsid w:val="2B168CF4"/>
    <w:rsid w:val="2B531973"/>
    <w:rsid w:val="2C223742"/>
    <w:rsid w:val="2D1A950F"/>
    <w:rsid w:val="2DB023C6"/>
    <w:rsid w:val="2E0E4584"/>
    <w:rsid w:val="2F802D98"/>
    <w:rsid w:val="2FB547EF"/>
    <w:rsid w:val="2FEB9C18"/>
    <w:rsid w:val="30589E05"/>
    <w:rsid w:val="313035B0"/>
    <w:rsid w:val="31544931"/>
    <w:rsid w:val="318179B9"/>
    <w:rsid w:val="31F46E66"/>
    <w:rsid w:val="3371E849"/>
    <w:rsid w:val="33D795C2"/>
    <w:rsid w:val="33E269E6"/>
    <w:rsid w:val="33EDB070"/>
    <w:rsid w:val="3414111A"/>
    <w:rsid w:val="347CC2F4"/>
    <w:rsid w:val="348BE9F3"/>
    <w:rsid w:val="34E0E266"/>
    <w:rsid w:val="352C5E9F"/>
    <w:rsid w:val="3606A9BE"/>
    <w:rsid w:val="367CB2C7"/>
    <w:rsid w:val="37650F86"/>
    <w:rsid w:val="3916C407"/>
    <w:rsid w:val="39736341"/>
    <w:rsid w:val="3A6C1395"/>
    <w:rsid w:val="3AA6CC99"/>
    <w:rsid w:val="3B02F91F"/>
    <w:rsid w:val="3C909F52"/>
    <w:rsid w:val="3EF02F13"/>
    <w:rsid w:val="3F3F84B8"/>
    <w:rsid w:val="3F74333C"/>
    <w:rsid w:val="40318C10"/>
    <w:rsid w:val="406B8BEC"/>
    <w:rsid w:val="4081DB87"/>
    <w:rsid w:val="41AB8C80"/>
    <w:rsid w:val="42B60018"/>
    <w:rsid w:val="42D88884"/>
    <w:rsid w:val="430E0B04"/>
    <w:rsid w:val="432FFF65"/>
    <w:rsid w:val="4380B6CB"/>
    <w:rsid w:val="43A46BB0"/>
    <w:rsid w:val="43AE5017"/>
    <w:rsid w:val="4460F738"/>
    <w:rsid w:val="449049A3"/>
    <w:rsid w:val="46BAE12E"/>
    <w:rsid w:val="48903594"/>
    <w:rsid w:val="48D23FBF"/>
    <w:rsid w:val="49906E6E"/>
    <w:rsid w:val="49D8C865"/>
    <w:rsid w:val="49F945D5"/>
    <w:rsid w:val="4AE39A69"/>
    <w:rsid w:val="4B11ECD9"/>
    <w:rsid w:val="4B2E0E40"/>
    <w:rsid w:val="4BDC38E4"/>
    <w:rsid w:val="4BFE6E64"/>
    <w:rsid w:val="4DA40AA8"/>
    <w:rsid w:val="4E82281F"/>
    <w:rsid w:val="4F54D3D6"/>
    <w:rsid w:val="4FCB90E4"/>
    <w:rsid w:val="4FEE864A"/>
    <w:rsid w:val="5123A595"/>
    <w:rsid w:val="519E0E7A"/>
    <w:rsid w:val="52AE6D16"/>
    <w:rsid w:val="52CB07B0"/>
    <w:rsid w:val="532776BF"/>
    <w:rsid w:val="541E399D"/>
    <w:rsid w:val="54852329"/>
    <w:rsid w:val="54B8DD8B"/>
    <w:rsid w:val="560BB22A"/>
    <w:rsid w:val="565DC7CE"/>
    <w:rsid w:val="56BEDEE4"/>
    <w:rsid w:val="56ED1281"/>
    <w:rsid w:val="58B071F3"/>
    <w:rsid w:val="59D53C0A"/>
    <w:rsid w:val="5A6E0AE8"/>
    <w:rsid w:val="5B2B79E7"/>
    <w:rsid w:val="5C85D496"/>
    <w:rsid w:val="5CC74A48"/>
    <w:rsid w:val="5CE09B05"/>
    <w:rsid w:val="5CE7EFF1"/>
    <w:rsid w:val="5F2670B6"/>
    <w:rsid w:val="5F31EAF6"/>
    <w:rsid w:val="603450E4"/>
    <w:rsid w:val="60DD6C4A"/>
    <w:rsid w:val="61ED3F4D"/>
    <w:rsid w:val="62497CD7"/>
    <w:rsid w:val="62582C15"/>
    <w:rsid w:val="62CFE3DF"/>
    <w:rsid w:val="631B274D"/>
    <w:rsid w:val="631EA763"/>
    <w:rsid w:val="636B8CFF"/>
    <w:rsid w:val="63A19C02"/>
    <w:rsid w:val="63B01C16"/>
    <w:rsid w:val="65B2B5CD"/>
    <w:rsid w:val="662CB6DC"/>
    <w:rsid w:val="665B28DD"/>
    <w:rsid w:val="668F4380"/>
    <w:rsid w:val="66973FF2"/>
    <w:rsid w:val="67902419"/>
    <w:rsid w:val="67F6F93E"/>
    <w:rsid w:val="68246952"/>
    <w:rsid w:val="68B24821"/>
    <w:rsid w:val="695419AC"/>
    <w:rsid w:val="69F536AE"/>
    <w:rsid w:val="6A3DFBD5"/>
    <w:rsid w:val="6A74B202"/>
    <w:rsid w:val="6B0849B7"/>
    <w:rsid w:val="6B8F1DBB"/>
    <w:rsid w:val="6D7F7C9B"/>
    <w:rsid w:val="6E59A8A2"/>
    <w:rsid w:val="6EA1701D"/>
    <w:rsid w:val="6EC8A7D1"/>
    <w:rsid w:val="6F67CFEC"/>
    <w:rsid w:val="6F73B511"/>
    <w:rsid w:val="6F8181BC"/>
    <w:rsid w:val="70323A6B"/>
    <w:rsid w:val="703D407E"/>
    <w:rsid w:val="70F56874"/>
    <w:rsid w:val="70FD73B2"/>
    <w:rsid w:val="7132B652"/>
    <w:rsid w:val="7252EDBE"/>
    <w:rsid w:val="73EEBE1F"/>
    <w:rsid w:val="7447EFD5"/>
    <w:rsid w:val="7491B03E"/>
    <w:rsid w:val="7532358E"/>
    <w:rsid w:val="7600FFB2"/>
    <w:rsid w:val="76EF3FDD"/>
    <w:rsid w:val="775305F4"/>
    <w:rsid w:val="77AC98B1"/>
    <w:rsid w:val="781C5B98"/>
    <w:rsid w:val="788CA708"/>
    <w:rsid w:val="79B82BF9"/>
    <w:rsid w:val="7A3B6085"/>
    <w:rsid w:val="7BF14775"/>
    <w:rsid w:val="7C415854"/>
    <w:rsid w:val="7D1C4166"/>
    <w:rsid w:val="7D641F0C"/>
    <w:rsid w:val="7D72C610"/>
    <w:rsid w:val="7DAEDE90"/>
    <w:rsid w:val="7DDD28B5"/>
    <w:rsid w:val="7E3CB1B4"/>
    <w:rsid w:val="7EFFEF6D"/>
    <w:rsid w:val="7F77A963"/>
    <w:rsid w:val="7F8B19E1"/>
    <w:rsid w:val="7F92A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DE37A"/>
  <w15:chartTrackingRefBased/>
  <w15:docId w15:val="{C0712999-B3C7-43B9-919A-0766E45EE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2A4D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agram.com/beachouseoxwich/" TargetMode="External"/><Relationship Id="rId13" Type="http://schemas.openxmlformats.org/officeDocument/2006/relationships/hyperlink" Target="https://www.food.gov.uk/sites/default/files/media/document/prove-it.pdf" TargetMode="External"/><Relationship Id="rId18" Type="http://schemas.openxmlformats.org/officeDocument/2006/relationships/hyperlink" Target="https://www.emerald.com/insight/search?q=Dave%20Ulrich"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merald.com/insight/search?q=Ying%20Wang" TargetMode="External"/><Relationship Id="rId7" Type="http://schemas.openxmlformats.org/officeDocument/2006/relationships/image" Target="media/image3.png"/><Relationship Id="rId12" Type="http://schemas.openxmlformats.org/officeDocument/2006/relationships/hyperlink" Target="https://doi.org/10.1080/13639080.2021.1969343" TargetMode="External"/><Relationship Id="rId17" Type="http://schemas.openxmlformats.org/officeDocument/2006/relationships/hyperlink" Target="https://www.careers.manchester.ac.uk/findjobs/placement/benefits/" TargetMode="External"/><Relationship Id="rId25" Type="http://schemas.openxmlformats.org/officeDocument/2006/relationships/hyperlink" Target="https://www.wsetglobal.com/knowledge-centre/blog/2020/december/21/winter-wine-and-food-matching/" TargetMode="External"/><Relationship Id="rId2" Type="http://schemas.openxmlformats.org/officeDocument/2006/relationships/styles" Target="styles.xml"/><Relationship Id="rId16" Type="http://schemas.openxmlformats.org/officeDocument/2006/relationships/hyperlink" Target="https://doi.org/10.1080/15428052.2013.755422" TargetMode="External"/><Relationship Id="rId20" Type="http://schemas.openxmlformats.org/officeDocument/2006/relationships/hyperlink" Target="https://www.emerald.com/insight/search?q=William%20H.%20Mobley"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07/s12186-020-09257-x" TargetMode="External"/><Relationship Id="rId24" Type="http://schemas.openxmlformats.org/officeDocument/2006/relationships/hyperlink" Target="https://winefolly.com/wine-pairing/getting-started-with-food-and-wine-pairing/" TargetMode="External"/><Relationship Id="rId5" Type="http://schemas.openxmlformats.org/officeDocument/2006/relationships/image" Target="media/image1.png"/><Relationship Id="rId15" Type="http://schemas.openxmlformats.org/officeDocument/2006/relationships/hyperlink" Target="https://guide.michelin.com/gb/en/article/features/what-is-a-michelin-star" TargetMode="External"/><Relationship Id="rId23" Type="http://schemas.openxmlformats.org/officeDocument/2006/relationships/hyperlink" Target="https://doi.org/10.1108/S1535-1203(2012)0000007005" TargetMode="External"/><Relationship Id="rId10" Type="http://schemas.openxmlformats.org/officeDocument/2006/relationships/hyperlink" Target="https://doi-org.ezproxy.uwtsd.ac.uk/10.1080/15428052.2021.1929634" TargetMode="External"/><Relationship Id="rId19" Type="http://schemas.openxmlformats.org/officeDocument/2006/relationships/hyperlink" Target="https://www.emerald.com/insight/search?q=Norm%20Smallwood" TargetMode="External"/><Relationship Id="rId4" Type="http://schemas.openxmlformats.org/officeDocument/2006/relationships/webSettings" Target="webSettings.xml"/><Relationship Id="rId9" Type="http://schemas.openxmlformats.org/officeDocument/2006/relationships/hyperlink" Target="https://doi.org/10.1016/S0950-3293(03)00018-1" TargetMode="External"/><Relationship Id="rId14" Type="http://schemas.openxmlformats.org/officeDocument/2006/relationships/hyperlink" Target="https://combioven.org/why-are-rational-ovens-so-good/" TargetMode="External"/><Relationship Id="rId22" Type="http://schemas.openxmlformats.org/officeDocument/2006/relationships/hyperlink" Target="https://www.emerald.com/insight/search?q=Ming%20Li"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2832</Words>
  <Characters>16144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 Pascual (2229176)</dc:creator>
  <cp:keywords/>
  <dc:description/>
  <cp:lastModifiedBy>Jef Pascual (2229176)</cp:lastModifiedBy>
  <cp:revision>2</cp:revision>
  <dcterms:created xsi:type="dcterms:W3CDTF">2024-03-01T22:58:00Z</dcterms:created>
  <dcterms:modified xsi:type="dcterms:W3CDTF">2024-03-01T22:58:00Z</dcterms:modified>
</cp:coreProperties>
</file>