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6911E2" w14:textId="25E3034A" w:rsidR="00DC63DE" w:rsidRDefault="00DC63DE">
      <w:r>
        <w:t>Ai acknowledgement.</w:t>
      </w:r>
    </w:p>
    <w:p w14:paraId="2303FDAB" w14:textId="458934D8" w:rsidR="00DC63DE" w:rsidRDefault="00DC63DE">
      <w:r>
        <w:t xml:space="preserve">I acknowledge the use of Grammarly </w:t>
      </w:r>
      <w:hyperlink r:id="rId5" w:history="1">
        <w:r w:rsidRPr="001A7E4E">
          <w:rPr>
            <w:rStyle w:val="Hyperlink"/>
          </w:rPr>
          <w:t>https://www.grammarly.com/</w:t>
        </w:r>
      </w:hyperlink>
      <w:r>
        <w:t xml:space="preserve"> 4</w:t>
      </w:r>
      <w:r w:rsidRPr="00DC63DE">
        <w:rPr>
          <w:vertAlign w:val="superscript"/>
        </w:rPr>
        <w:t>th</w:t>
      </w:r>
      <w:r>
        <w:t xml:space="preserve"> of November 2025 to check my work and grammar.</w:t>
      </w:r>
    </w:p>
    <w:p w14:paraId="620D87B2" w14:textId="77777777" w:rsidR="00147711" w:rsidRDefault="00147711"/>
    <w:p w14:paraId="0B503505" w14:textId="77777777" w:rsidR="00147711" w:rsidRDefault="00147711"/>
    <w:p w14:paraId="1010CAFA" w14:textId="77777777" w:rsidR="00147711" w:rsidRDefault="00147711"/>
    <w:p w14:paraId="26B0135A" w14:textId="77777777" w:rsidR="00147711" w:rsidRDefault="00147711"/>
    <w:p w14:paraId="660D55D7" w14:textId="77777777" w:rsidR="00147711" w:rsidRDefault="00147711"/>
    <w:p w14:paraId="0EE478DD" w14:textId="6DFD7932" w:rsidR="00147711" w:rsidRDefault="00147711">
      <w:r>
        <w:br w:type="page"/>
      </w:r>
    </w:p>
    <w:p w14:paraId="6B9C58EE" w14:textId="77777777" w:rsidR="008F01F2" w:rsidRPr="00657A78" w:rsidRDefault="008F01F2" w:rsidP="008F01F2">
      <w:pPr>
        <w:rPr>
          <w:sz w:val="22"/>
          <w:szCs w:val="22"/>
        </w:rPr>
      </w:pPr>
      <w:r w:rsidRPr="00657A78">
        <w:rPr>
          <w:sz w:val="22"/>
          <w:szCs w:val="22"/>
        </w:rPr>
        <w:lastRenderedPageBreak/>
        <w:t>How does music make you feel</w:t>
      </w:r>
    </w:p>
    <w:p w14:paraId="680C9028" w14:textId="77777777" w:rsidR="008F01F2" w:rsidRPr="00657A78" w:rsidRDefault="008F01F2" w:rsidP="008F01F2">
      <w:pPr>
        <w:rPr>
          <w:sz w:val="22"/>
          <w:szCs w:val="22"/>
        </w:rPr>
      </w:pPr>
      <w:r w:rsidRPr="00657A78">
        <w:rPr>
          <w:sz w:val="22"/>
          <w:szCs w:val="22"/>
        </w:rPr>
        <w:t>Steffan Gill</w:t>
      </w:r>
    </w:p>
    <w:p w14:paraId="450330EA" w14:textId="77777777" w:rsidR="008F01F2" w:rsidRPr="00657A78" w:rsidRDefault="008F01F2" w:rsidP="008F01F2">
      <w:pPr>
        <w:rPr>
          <w:sz w:val="22"/>
          <w:szCs w:val="22"/>
        </w:rPr>
      </w:pPr>
      <w:r w:rsidRPr="00657A78">
        <w:rPr>
          <w:sz w:val="22"/>
          <w:szCs w:val="22"/>
        </w:rPr>
        <w:t>ECPS4018 Study Skills for Psychology</w:t>
      </w:r>
    </w:p>
    <w:p w14:paraId="26784771" w14:textId="77777777" w:rsidR="008F01F2" w:rsidRPr="00657A78" w:rsidRDefault="008F01F2" w:rsidP="008F01F2">
      <w:pPr>
        <w:rPr>
          <w:sz w:val="22"/>
          <w:szCs w:val="22"/>
        </w:rPr>
      </w:pPr>
      <w:r w:rsidRPr="00657A78">
        <w:rPr>
          <w:sz w:val="22"/>
          <w:szCs w:val="22"/>
        </w:rPr>
        <w:t>Stuart Jones</w:t>
      </w:r>
    </w:p>
    <w:p w14:paraId="6F5989FF" w14:textId="77777777" w:rsidR="008F01F2" w:rsidRDefault="008F01F2" w:rsidP="008F01F2">
      <w:pPr>
        <w:rPr>
          <w:sz w:val="22"/>
          <w:szCs w:val="22"/>
        </w:rPr>
      </w:pPr>
      <w:r w:rsidRPr="00657A78">
        <w:rPr>
          <w:sz w:val="22"/>
          <w:szCs w:val="22"/>
        </w:rPr>
        <w:t>22</w:t>
      </w:r>
      <w:r w:rsidRPr="00657A78">
        <w:rPr>
          <w:sz w:val="22"/>
          <w:szCs w:val="22"/>
          <w:vertAlign w:val="superscript"/>
        </w:rPr>
        <w:t>nd</w:t>
      </w:r>
      <w:r w:rsidRPr="00657A78">
        <w:rPr>
          <w:sz w:val="22"/>
          <w:szCs w:val="22"/>
        </w:rPr>
        <w:t xml:space="preserve"> Of October 2025</w:t>
      </w:r>
    </w:p>
    <w:p w14:paraId="590FF492" w14:textId="77777777" w:rsidR="008F01F2" w:rsidRDefault="008F01F2" w:rsidP="008F01F2">
      <w:pPr>
        <w:rPr>
          <w:sz w:val="22"/>
          <w:szCs w:val="22"/>
        </w:rPr>
      </w:pPr>
    </w:p>
    <w:p w14:paraId="54266552" w14:textId="77777777" w:rsidR="008F01F2" w:rsidRDefault="008F01F2" w:rsidP="008F01F2">
      <w:pPr>
        <w:rPr>
          <w:sz w:val="22"/>
          <w:szCs w:val="22"/>
        </w:rPr>
      </w:pPr>
      <w:r>
        <w:rPr>
          <w:sz w:val="22"/>
          <w:szCs w:val="22"/>
        </w:rPr>
        <w:t xml:space="preserve">The article “How Does Music Make You Feel?” published in 2022 by Zoe Nendick provides valuable insight into the psychological connection between listening to or even just hearing background music and our emotions. This article </w:t>
      </w:r>
      <w:r>
        <w:rPr>
          <w:kern w:val="0"/>
          <w:sz w:val="22"/>
          <w:szCs w:val="22"/>
          <w14:ligatures w14:val="none"/>
        </w:rPr>
        <w:t>shares a personal experience with music, as well as academic research on the connection between music psychology and its impact</w:t>
      </w:r>
      <w:r>
        <w:rPr>
          <w:sz w:val="22"/>
          <w:szCs w:val="22"/>
        </w:rPr>
        <w:t xml:space="preserve"> on our feelings.</w:t>
      </w:r>
    </w:p>
    <w:p w14:paraId="6009E449" w14:textId="77777777" w:rsidR="008F01F2" w:rsidRDefault="008F01F2" w:rsidP="008F01F2">
      <w:pPr>
        <w:rPr>
          <w:rFonts w:ascii="Karla" w:hAnsi="Karla"/>
          <w:color w:val="06020F"/>
          <w:spacing w:val="-5"/>
          <w:sz w:val="22"/>
          <w:szCs w:val="22"/>
        </w:rPr>
      </w:pPr>
      <w:r>
        <w:rPr>
          <w:sz w:val="22"/>
          <w:szCs w:val="22"/>
        </w:rPr>
        <w:t xml:space="preserve">      Throughout this article, we can see </w:t>
      </w:r>
      <w:proofErr w:type="spellStart"/>
      <w:r>
        <w:rPr>
          <w:sz w:val="22"/>
          <w:szCs w:val="22"/>
        </w:rPr>
        <w:t>Nendick</w:t>
      </w:r>
      <w:proofErr w:type="spellEnd"/>
      <w:r>
        <w:rPr>
          <w:sz w:val="22"/>
          <w:szCs w:val="22"/>
        </w:rPr>
        <w:t xml:space="preserve"> give a beneficial and reliable source of knowledge about her background in music. While </w:t>
      </w:r>
      <w:proofErr w:type="spellStart"/>
      <w:r>
        <w:rPr>
          <w:sz w:val="22"/>
          <w:szCs w:val="22"/>
        </w:rPr>
        <w:t>Nendick</w:t>
      </w:r>
      <w:proofErr w:type="spellEnd"/>
      <w:r>
        <w:rPr>
          <w:sz w:val="22"/>
          <w:szCs w:val="22"/>
        </w:rPr>
        <w:t xml:space="preserve"> studied the connection between music and our emotions and how a song can play a big role in our day-to-day life, she then went on to focus on the BRECVEMA work, which was developed by Justin and colleagues (Justin &amp; Vastafjall,2008), which then gives us a clear insight into how music affects our emotions. “</w:t>
      </w:r>
      <w:r w:rsidRPr="00B37D8A">
        <w:rPr>
          <w:rFonts w:ascii="Karla" w:hAnsi="Karla"/>
          <w:color w:val="06020F"/>
          <w:spacing w:val="-5"/>
          <w:sz w:val="22"/>
          <w:szCs w:val="22"/>
        </w:rPr>
        <w:t>Most of us will have memories attached to some songs, perhaps of a specific event or period of time, or about a person or place</w:t>
      </w:r>
      <w:r>
        <w:rPr>
          <w:rFonts w:ascii="Karla" w:hAnsi="Karla"/>
          <w:color w:val="06020F"/>
          <w:spacing w:val="-5"/>
          <w:sz w:val="22"/>
          <w:szCs w:val="22"/>
        </w:rPr>
        <w:t xml:space="preserve">” </w:t>
      </w:r>
      <w:proofErr w:type="spellStart"/>
      <w:r>
        <w:rPr>
          <w:rFonts w:ascii="Karla" w:hAnsi="Karla"/>
          <w:color w:val="06020F"/>
          <w:spacing w:val="-5"/>
          <w:sz w:val="22"/>
          <w:szCs w:val="22"/>
        </w:rPr>
        <w:t>Nendick</w:t>
      </w:r>
      <w:proofErr w:type="spellEnd"/>
      <w:r>
        <w:rPr>
          <w:rFonts w:ascii="Karla" w:hAnsi="Karla"/>
          <w:color w:val="06020F"/>
          <w:spacing w:val="-5"/>
          <w:sz w:val="22"/>
          <w:szCs w:val="22"/>
        </w:rPr>
        <w:t xml:space="preserve"> clearly illustrates here that we are all psychologically connected to music in one way or another, as we all react to music differently. Therefore, it makes everyone have different feelings towards music.</w:t>
      </w:r>
    </w:p>
    <w:p w14:paraId="7687BB21" w14:textId="77777777" w:rsidR="008F01F2" w:rsidRDefault="008F01F2" w:rsidP="008F01F2">
      <w:pPr>
        <w:rPr>
          <w:rFonts w:ascii="Karla" w:hAnsi="Karla"/>
          <w:color w:val="06020F"/>
          <w:spacing w:val="-5"/>
          <w:sz w:val="22"/>
          <w:szCs w:val="22"/>
        </w:rPr>
      </w:pPr>
      <w:r>
        <w:rPr>
          <w:rFonts w:ascii="Karla" w:hAnsi="Karla"/>
          <w:color w:val="06020F"/>
          <w:spacing w:val="-5"/>
          <w:sz w:val="22"/>
          <w:szCs w:val="22"/>
        </w:rPr>
        <w:t xml:space="preserve">      Throughout the article, we can see </w:t>
      </w:r>
      <w:proofErr w:type="spellStart"/>
      <w:r>
        <w:rPr>
          <w:rFonts w:ascii="Karla" w:hAnsi="Karla"/>
          <w:color w:val="06020F"/>
          <w:spacing w:val="-5"/>
          <w:sz w:val="22"/>
          <w:szCs w:val="22"/>
        </w:rPr>
        <w:t>Nendick</w:t>
      </w:r>
      <w:proofErr w:type="spellEnd"/>
      <w:r>
        <w:rPr>
          <w:rFonts w:ascii="Karla" w:hAnsi="Karla"/>
          <w:color w:val="06020F"/>
          <w:spacing w:val="-5"/>
          <w:sz w:val="22"/>
          <w:szCs w:val="22"/>
        </w:rPr>
        <w:t xml:space="preserve"> highlight that some people may also feel nostalgia from music, as we know that we all hear some music every day in the background, so many people can link music with a personal memory of their own (</w:t>
      </w:r>
      <w:proofErr w:type="spellStart"/>
      <w:r>
        <w:rPr>
          <w:rFonts w:ascii="Karla" w:hAnsi="Karla"/>
          <w:color w:val="06020F"/>
          <w:spacing w:val="-5"/>
          <w:sz w:val="22"/>
          <w:szCs w:val="22"/>
        </w:rPr>
        <w:t>Egermann</w:t>
      </w:r>
      <w:proofErr w:type="spellEnd"/>
      <w:r>
        <w:rPr>
          <w:rFonts w:ascii="Karla" w:hAnsi="Karla"/>
          <w:color w:val="06020F"/>
          <w:spacing w:val="-5"/>
          <w:sz w:val="22"/>
          <w:szCs w:val="22"/>
        </w:rPr>
        <w:t xml:space="preserve">, 2011). While reviewing the article, we can see </w:t>
      </w:r>
      <w:proofErr w:type="spellStart"/>
      <w:r>
        <w:rPr>
          <w:rFonts w:ascii="Karla" w:hAnsi="Karla"/>
          <w:color w:val="06020F"/>
          <w:spacing w:val="-5"/>
          <w:sz w:val="22"/>
          <w:szCs w:val="22"/>
        </w:rPr>
        <w:t>Nendick</w:t>
      </w:r>
      <w:proofErr w:type="spellEnd"/>
      <w:r>
        <w:rPr>
          <w:rFonts w:ascii="Karla" w:hAnsi="Karla"/>
          <w:color w:val="06020F"/>
          <w:spacing w:val="-5"/>
          <w:sz w:val="22"/>
          <w:szCs w:val="22"/>
        </w:rPr>
        <w:t xml:space="preserve"> connect theoretical research to everyday life, mainly in music therapy. </w:t>
      </w:r>
      <w:proofErr w:type="spellStart"/>
      <w:r>
        <w:rPr>
          <w:rFonts w:ascii="Karla" w:hAnsi="Karla"/>
          <w:color w:val="06020F"/>
          <w:spacing w:val="-5"/>
          <w:sz w:val="22"/>
          <w:szCs w:val="22"/>
        </w:rPr>
        <w:t>Nendick</w:t>
      </w:r>
      <w:proofErr w:type="spellEnd"/>
      <w:r>
        <w:rPr>
          <w:rFonts w:ascii="Karla" w:hAnsi="Karla"/>
          <w:color w:val="06020F"/>
          <w:spacing w:val="-5"/>
          <w:sz w:val="22"/>
          <w:szCs w:val="22"/>
        </w:rPr>
        <w:t xml:space="preserve"> also highlights that as our generations evolve, so do our music streaming platforms. </w:t>
      </w:r>
      <w:proofErr w:type="spellStart"/>
      <w:r>
        <w:rPr>
          <w:rFonts w:ascii="Karla" w:hAnsi="Karla"/>
          <w:color w:val="06020F"/>
          <w:spacing w:val="-5"/>
          <w:sz w:val="22"/>
          <w:szCs w:val="22"/>
        </w:rPr>
        <w:t>Nendick</w:t>
      </w:r>
      <w:proofErr w:type="spellEnd"/>
      <w:r>
        <w:rPr>
          <w:rFonts w:ascii="Karla" w:hAnsi="Karla"/>
          <w:color w:val="06020F"/>
          <w:spacing w:val="-5"/>
          <w:sz w:val="22"/>
          <w:szCs w:val="22"/>
        </w:rPr>
        <w:t xml:space="preserve"> (2022) notes that “the songs we listen to can be chosen for us”, which then gives us a clear picture that all genres of music have an impact on how we feel, as there is such a wide range of genres to choose from.</w:t>
      </w:r>
    </w:p>
    <w:p w14:paraId="5022CF6F" w14:textId="77777777" w:rsidR="008F01F2" w:rsidRDefault="008F01F2" w:rsidP="008F01F2">
      <w:pPr>
        <w:rPr>
          <w:rFonts w:ascii="Karla" w:hAnsi="Karla"/>
          <w:color w:val="06020F"/>
          <w:spacing w:val="-5"/>
          <w:sz w:val="22"/>
          <w:szCs w:val="22"/>
        </w:rPr>
      </w:pPr>
      <w:r>
        <w:rPr>
          <w:rFonts w:ascii="Karla" w:hAnsi="Karla"/>
          <w:color w:val="06020F"/>
          <w:spacing w:val="-5"/>
          <w:sz w:val="22"/>
          <w:szCs w:val="22"/>
        </w:rPr>
        <w:t xml:space="preserve">      Many people see music as joyful, comforting and relaxing, but it can also play a massive role in illnesses such as Alzheimer's, as it can help individuals with their recall skills (Fraile et al., 2019). Music also plays a big role with patients who have recently undergone surgery, as it can be seen as comforting and relaxing for them while recovering (Finn and Fancourt, 2018</w:t>
      </w:r>
      <w:proofErr w:type="gramStart"/>
      <w:r>
        <w:rPr>
          <w:rFonts w:ascii="Karla" w:hAnsi="Karla"/>
          <w:color w:val="06020F"/>
          <w:spacing w:val="-5"/>
          <w:sz w:val="22"/>
          <w:szCs w:val="22"/>
        </w:rPr>
        <w:t>)..</w:t>
      </w:r>
      <w:proofErr w:type="gramEnd"/>
    </w:p>
    <w:p w14:paraId="627CA51F" w14:textId="77777777" w:rsidR="008F01F2" w:rsidRDefault="008F01F2" w:rsidP="008F01F2">
      <w:pPr>
        <w:rPr>
          <w:rFonts w:ascii="Karla" w:hAnsi="Karla"/>
          <w:color w:val="06020F"/>
          <w:spacing w:val="-5"/>
          <w:sz w:val="22"/>
          <w:szCs w:val="22"/>
        </w:rPr>
      </w:pPr>
      <w:r>
        <w:rPr>
          <w:rFonts w:ascii="Karla" w:hAnsi="Karla"/>
          <w:color w:val="06020F"/>
          <w:spacing w:val="-5"/>
          <w:sz w:val="22"/>
          <w:szCs w:val="22"/>
        </w:rPr>
        <w:t xml:space="preserve">       </w:t>
      </w:r>
      <w:proofErr w:type="spellStart"/>
      <w:r>
        <w:rPr>
          <w:rFonts w:ascii="Karla" w:hAnsi="Karla"/>
          <w:color w:val="06020F"/>
          <w:spacing w:val="-5"/>
          <w:sz w:val="22"/>
          <w:szCs w:val="22"/>
        </w:rPr>
        <w:t>Nendick</w:t>
      </w:r>
      <w:proofErr w:type="spellEnd"/>
      <w:r>
        <w:rPr>
          <w:rFonts w:ascii="Karla" w:hAnsi="Karla"/>
          <w:color w:val="06020F"/>
          <w:spacing w:val="-5"/>
          <w:sz w:val="22"/>
          <w:szCs w:val="22"/>
        </w:rPr>
        <w:t xml:space="preserve"> concludes that we all respond differently to music depending on our background, culture, but also what we surround ourselves with and who we surround ourselves with. </w:t>
      </w:r>
      <w:proofErr w:type="spellStart"/>
      <w:r>
        <w:rPr>
          <w:rFonts w:ascii="Karla" w:hAnsi="Karla"/>
          <w:color w:val="06020F"/>
          <w:spacing w:val="-5"/>
          <w:sz w:val="22"/>
          <w:szCs w:val="22"/>
        </w:rPr>
        <w:t>Nendicks</w:t>
      </w:r>
      <w:proofErr w:type="spellEnd"/>
      <w:r>
        <w:rPr>
          <w:rFonts w:ascii="Karla" w:hAnsi="Karla"/>
          <w:color w:val="06020F"/>
          <w:spacing w:val="-5"/>
          <w:sz w:val="22"/>
          <w:szCs w:val="22"/>
        </w:rPr>
        <w:t xml:space="preserve"> work also encourages readers to take a look at how music can shape the way you feel and how it impacts your own personal emotions.</w:t>
      </w:r>
    </w:p>
    <w:p w14:paraId="62D78142" w14:textId="77777777" w:rsidR="008F01F2" w:rsidRDefault="008F01F2" w:rsidP="008F01F2">
      <w:pPr>
        <w:rPr>
          <w:rFonts w:ascii="Karla" w:hAnsi="Karla"/>
          <w:color w:val="06020F"/>
          <w:spacing w:val="-5"/>
          <w:sz w:val="22"/>
          <w:szCs w:val="22"/>
        </w:rPr>
      </w:pPr>
    </w:p>
    <w:p w14:paraId="0086A981" w14:textId="77777777" w:rsidR="008F01F2" w:rsidRPr="00657A78" w:rsidRDefault="008F01F2" w:rsidP="008F01F2">
      <w:pPr>
        <w:rPr>
          <w:sz w:val="22"/>
          <w:szCs w:val="22"/>
        </w:rPr>
      </w:pPr>
      <w:proofErr w:type="spellStart"/>
      <w:r>
        <w:rPr>
          <w:sz w:val="22"/>
          <w:szCs w:val="22"/>
        </w:rPr>
        <w:t>Nendick</w:t>
      </w:r>
      <w:proofErr w:type="spellEnd"/>
      <w:r>
        <w:rPr>
          <w:sz w:val="22"/>
          <w:szCs w:val="22"/>
        </w:rPr>
        <w:t xml:space="preserve">, Z. (2022, September 12). How does music make you feel? The psychologist. </w:t>
      </w:r>
      <w:hyperlink r:id="rId6" w:history="1">
        <w:r w:rsidRPr="001A7E4E">
          <w:rPr>
            <w:rStyle w:val="Hyperlink"/>
            <w:sz w:val="22"/>
            <w:szCs w:val="22"/>
          </w:rPr>
          <w:t>https://www.bps.org.uk/psychologist/how-does-music-make-you-feel</w:t>
        </w:r>
      </w:hyperlink>
      <w:r>
        <w:rPr>
          <w:sz w:val="22"/>
          <w:szCs w:val="22"/>
        </w:rPr>
        <w:t xml:space="preserve"> </w:t>
      </w:r>
    </w:p>
    <w:p w14:paraId="49217C40" w14:textId="77777777" w:rsidR="008F01F2" w:rsidRDefault="008F01F2" w:rsidP="008F01F2"/>
    <w:p w14:paraId="136A7E3D" w14:textId="77777777" w:rsidR="008F01F2" w:rsidRDefault="008F01F2" w:rsidP="008F01F2">
      <w:pPr>
        <w:spacing w:before="240" w:after="240"/>
      </w:pPr>
      <w:r w:rsidRPr="4CB398CE">
        <w:rPr>
          <w:rFonts w:ascii="Helvetica" w:eastAsia="Helvetica" w:hAnsi="Helvetica" w:cs="Helvetica"/>
          <w:color w:val="000000" w:themeColor="text1"/>
        </w:rPr>
        <w:lastRenderedPageBreak/>
        <w:t>Reference List E-Portfolio Task.</w:t>
      </w:r>
    </w:p>
    <w:p w14:paraId="7779A068" w14:textId="77777777" w:rsidR="008F01F2" w:rsidRDefault="008F01F2" w:rsidP="008F01F2">
      <w:pPr>
        <w:rPr>
          <w:rFonts w:ascii="Calibri" w:eastAsia="Calibri" w:hAnsi="Calibri" w:cs="Calibri"/>
          <w:sz w:val="22"/>
          <w:szCs w:val="22"/>
          <w:lang w:val="en-US"/>
        </w:rPr>
      </w:pPr>
      <w:r w:rsidRPr="4CB398CE">
        <w:rPr>
          <w:rFonts w:ascii="Calibri" w:eastAsia="Calibri" w:hAnsi="Calibri" w:cs="Calibri"/>
          <w:sz w:val="22"/>
          <w:szCs w:val="22"/>
          <w:lang w:val="en-US"/>
        </w:rPr>
        <w:t>Department for Environment, Food and Rural Affairs. (2020). UK climate change risk assessment 2020. U</w:t>
      </w:r>
      <w:r>
        <w:rPr>
          <w:rFonts w:ascii="Calibri" w:eastAsia="Calibri" w:hAnsi="Calibri" w:cs="Calibri"/>
          <w:sz w:val="22"/>
          <w:szCs w:val="22"/>
          <w:lang w:val="en-US"/>
        </w:rPr>
        <w:t>K</w:t>
      </w:r>
      <w:r w:rsidRPr="4CB398CE">
        <w:rPr>
          <w:rFonts w:ascii="Calibri" w:eastAsia="Calibri" w:hAnsi="Calibri" w:cs="Calibri"/>
          <w:sz w:val="22"/>
          <w:szCs w:val="22"/>
          <w:lang w:val="en-US"/>
        </w:rPr>
        <w:t xml:space="preserve"> government. </w:t>
      </w:r>
      <w:hyperlink r:id="rId7">
        <w:r w:rsidRPr="4CB398CE">
          <w:rPr>
            <w:rStyle w:val="Hyperlink"/>
            <w:rFonts w:ascii="Calibri" w:eastAsia="Calibri" w:hAnsi="Calibri" w:cs="Calibri"/>
            <w:sz w:val="22"/>
            <w:szCs w:val="22"/>
            <w:lang w:val="en-US"/>
          </w:rPr>
          <w:t>https://www.gov.uk/government/publicactions/ukclimate-change-risk</w:t>
        </w:r>
      </w:hyperlink>
    </w:p>
    <w:p w14:paraId="100BA31B" w14:textId="77777777" w:rsidR="008F01F2" w:rsidRDefault="008F01F2" w:rsidP="008F01F2">
      <w:pPr>
        <w:rPr>
          <w:rFonts w:ascii="Calibri" w:eastAsia="Calibri" w:hAnsi="Calibri" w:cs="Calibri"/>
          <w:sz w:val="22"/>
          <w:szCs w:val="22"/>
        </w:rPr>
      </w:pPr>
      <w:r w:rsidRPr="4CB398CE">
        <w:rPr>
          <w:rFonts w:ascii="Calibri" w:eastAsia="Calibri" w:hAnsi="Calibri" w:cs="Calibri"/>
          <w:color w:val="FF0000"/>
          <w:sz w:val="22"/>
          <w:szCs w:val="22"/>
        </w:rPr>
        <w:t xml:space="preserve"> </w:t>
      </w:r>
      <w:r w:rsidRPr="4CB398CE">
        <w:rPr>
          <w:rFonts w:ascii="Calibri" w:eastAsia="Calibri" w:hAnsi="Calibri" w:cs="Calibri"/>
          <w:sz w:val="22"/>
          <w:szCs w:val="22"/>
        </w:rPr>
        <w:t>Davis, E.R., &amp; Clarke, M. J. (2022). Modern marketing strategies. Business Books Publishing.</w:t>
      </w:r>
    </w:p>
    <w:p w14:paraId="297CF6E3" w14:textId="77777777" w:rsidR="008F01F2" w:rsidRDefault="008F01F2" w:rsidP="008F01F2">
      <w:pPr>
        <w:rPr>
          <w:rFonts w:ascii="Calibri" w:eastAsia="Calibri" w:hAnsi="Calibri" w:cs="Calibri"/>
          <w:sz w:val="22"/>
          <w:szCs w:val="22"/>
        </w:rPr>
      </w:pPr>
      <w:r w:rsidRPr="4CB398CE">
        <w:rPr>
          <w:rFonts w:ascii="Calibri" w:eastAsia="Calibri" w:hAnsi="Calibri" w:cs="Calibri"/>
          <w:sz w:val="22"/>
          <w:szCs w:val="22"/>
        </w:rPr>
        <w:t xml:space="preserve">Garcia, M. T. (2022, March 5). Climate change impacts on coastal cities. The Global Times. </w:t>
      </w:r>
      <w:hyperlink r:id="rId8">
        <w:r w:rsidRPr="4CB398CE">
          <w:rPr>
            <w:rStyle w:val="Hyperlink"/>
            <w:rFonts w:ascii="Calibri" w:eastAsia="Calibri" w:hAnsi="Calibri" w:cs="Calibri"/>
            <w:sz w:val="22"/>
            <w:szCs w:val="22"/>
          </w:rPr>
          <w:t>https://globaltimes.com/climate/coastal-impact</w:t>
        </w:r>
      </w:hyperlink>
    </w:p>
    <w:p w14:paraId="3A181F28" w14:textId="77777777" w:rsidR="008F01F2" w:rsidRDefault="008F01F2" w:rsidP="008F01F2">
      <w:pPr>
        <w:rPr>
          <w:rFonts w:ascii="Calibri" w:eastAsia="Calibri" w:hAnsi="Calibri" w:cs="Calibri"/>
          <w:sz w:val="22"/>
          <w:szCs w:val="22"/>
        </w:rPr>
      </w:pPr>
      <w:r w:rsidRPr="4CB398CE">
        <w:rPr>
          <w:rFonts w:ascii="Calibri" w:eastAsia="Calibri" w:hAnsi="Calibri" w:cs="Calibri"/>
          <w:sz w:val="22"/>
          <w:szCs w:val="22"/>
        </w:rPr>
        <w:t xml:space="preserve"> Kim, S.H., Patel, R., &amp; Wilson, J. D. (2021). Virtual reality in education: A meta-analysis. Educational Technology </w:t>
      </w:r>
      <w:proofErr w:type="spellStart"/>
      <w:r w:rsidRPr="4CB398CE">
        <w:rPr>
          <w:rFonts w:ascii="Calibri" w:eastAsia="Calibri" w:hAnsi="Calibri" w:cs="Calibri"/>
          <w:sz w:val="22"/>
          <w:szCs w:val="22"/>
        </w:rPr>
        <w:t>Reasearch</w:t>
      </w:r>
      <w:proofErr w:type="spellEnd"/>
      <w:r w:rsidRPr="4CB398CE">
        <w:rPr>
          <w:rFonts w:ascii="Calibri" w:eastAsia="Calibri" w:hAnsi="Calibri" w:cs="Calibri"/>
          <w:sz w:val="22"/>
          <w:szCs w:val="22"/>
        </w:rPr>
        <w:t xml:space="preserve"> and Development, 69(2), 1105-1123 </w:t>
      </w:r>
      <w:hyperlink r:id="rId9">
        <w:r w:rsidRPr="4CB398CE">
          <w:rPr>
            <w:rStyle w:val="Hyperlink"/>
            <w:rFonts w:ascii="Calibri" w:eastAsia="Calibri" w:hAnsi="Calibri" w:cs="Calibri"/>
            <w:sz w:val="22"/>
            <w:szCs w:val="22"/>
          </w:rPr>
          <w:t>https://doi.org/10.1007/s11423-02009834-7</w:t>
        </w:r>
      </w:hyperlink>
    </w:p>
    <w:p w14:paraId="4A702051" w14:textId="77777777" w:rsidR="008F01F2" w:rsidRDefault="008F01F2" w:rsidP="008F01F2">
      <w:pPr>
        <w:rPr>
          <w:rFonts w:ascii="Calibri" w:eastAsia="Calibri" w:hAnsi="Calibri" w:cs="Calibri"/>
          <w:sz w:val="22"/>
          <w:szCs w:val="22"/>
        </w:rPr>
      </w:pPr>
      <w:r w:rsidRPr="4CB398CE">
        <w:rPr>
          <w:rFonts w:ascii="Calibri" w:eastAsia="Calibri" w:hAnsi="Calibri" w:cs="Calibri"/>
          <w:color w:val="FF0000"/>
          <w:sz w:val="22"/>
          <w:szCs w:val="22"/>
        </w:rPr>
        <w:t xml:space="preserve"> </w:t>
      </w:r>
      <w:r w:rsidRPr="4CB398CE">
        <w:rPr>
          <w:rFonts w:ascii="Calibri" w:eastAsia="Calibri" w:hAnsi="Calibri" w:cs="Calibri"/>
          <w:sz w:val="22"/>
          <w:szCs w:val="22"/>
        </w:rPr>
        <w:t>Lee, A. M. (2020). Cognitive development in early childhood. In P. Brown &amp; L. Green (Eds.), child development theories (pp. 45-67). Springer.</w:t>
      </w:r>
    </w:p>
    <w:p w14:paraId="4A9494A6" w14:textId="77777777" w:rsidR="008F01F2" w:rsidRDefault="008F01F2" w:rsidP="008F01F2">
      <w:pPr>
        <w:rPr>
          <w:rFonts w:ascii="Calibri" w:eastAsia="Calibri" w:hAnsi="Calibri" w:cs="Calibri"/>
          <w:sz w:val="22"/>
          <w:szCs w:val="22"/>
        </w:rPr>
      </w:pPr>
      <w:r w:rsidRPr="4CB398CE">
        <w:rPr>
          <w:rFonts w:ascii="Calibri" w:eastAsia="Calibri" w:hAnsi="Calibri" w:cs="Calibri"/>
          <w:color w:val="FF0000"/>
          <w:sz w:val="22"/>
          <w:szCs w:val="22"/>
        </w:rPr>
        <w:t xml:space="preserve"> </w:t>
      </w:r>
      <w:r w:rsidRPr="4CB398CE">
        <w:rPr>
          <w:rFonts w:ascii="Calibri" w:eastAsia="Calibri" w:hAnsi="Calibri" w:cs="Calibri"/>
          <w:sz w:val="22"/>
          <w:szCs w:val="22"/>
        </w:rPr>
        <w:t>Martinez, S. L. (2022, October 14). Advances in renewable energy storage. [Conference presentation]. International Symposium on Sustainable Energy, Berlin, Germany.</w:t>
      </w:r>
    </w:p>
    <w:p w14:paraId="41177A3F" w14:textId="77777777" w:rsidR="008F01F2" w:rsidRDefault="008F01F2" w:rsidP="008F01F2">
      <w:pPr>
        <w:rPr>
          <w:rFonts w:ascii="Calibri" w:eastAsia="Calibri" w:hAnsi="Calibri" w:cs="Calibri"/>
          <w:sz w:val="22"/>
          <w:szCs w:val="22"/>
        </w:rPr>
      </w:pPr>
      <w:r w:rsidRPr="4CB398CE">
        <w:rPr>
          <w:rFonts w:ascii="Calibri" w:eastAsia="Calibri" w:hAnsi="Calibri" w:cs="Calibri"/>
          <w:sz w:val="22"/>
          <w:szCs w:val="22"/>
        </w:rPr>
        <w:t>Morgan, D. S. (2021). Machine learning applications in healthcare diagnostics (Publication No. 12345678) [Doctoral dissertation, University of Edinburgh]. ProQuest Dissertations &amp; Theses Global</w:t>
      </w:r>
    </w:p>
    <w:p w14:paraId="3CB9A9D7" w14:textId="77777777" w:rsidR="008F01F2" w:rsidRDefault="008F01F2" w:rsidP="008F01F2">
      <w:pPr>
        <w:rPr>
          <w:rFonts w:ascii="Calibri" w:eastAsia="Calibri" w:hAnsi="Calibri" w:cs="Calibri"/>
          <w:sz w:val="22"/>
          <w:szCs w:val="22"/>
        </w:rPr>
      </w:pPr>
      <w:r w:rsidRPr="4CB398CE">
        <w:rPr>
          <w:rFonts w:ascii="Calibri" w:eastAsia="Calibri" w:hAnsi="Calibri" w:cs="Calibri"/>
          <w:color w:val="FF0000"/>
          <w:sz w:val="22"/>
          <w:szCs w:val="22"/>
        </w:rPr>
        <w:t xml:space="preserve"> </w:t>
      </w:r>
      <w:r w:rsidRPr="4CB398CE">
        <w:rPr>
          <w:rFonts w:ascii="Calibri" w:eastAsia="Calibri" w:hAnsi="Calibri" w:cs="Calibri"/>
          <w:sz w:val="22"/>
          <w:szCs w:val="22"/>
        </w:rPr>
        <w:t>Nguyen, H. P. (2018). Blockchain technology in finance. In R. Singh &amp; A. Cohen (eds), Innovations in financial technology (pp. 122-139). Wiley Online Library.</w:t>
      </w:r>
    </w:p>
    <w:p w14:paraId="39B5669C" w14:textId="77777777" w:rsidR="008F01F2" w:rsidRDefault="008F01F2" w:rsidP="008F01F2">
      <w:pPr>
        <w:rPr>
          <w:rFonts w:ascii="Calibri" w:eastAsia="Calibri" w:hAnsi="Calibri" w:cs="Calibri"/>
          <w:sz w:val="22"/>
          <w:szCs w:val="22"/>
          <w:lang w:val="en-US"/>
        </w:rPr>
      </w:pPr>
      <w:r w:rsidRPr="4CB398CE">
        <w:rPr>
          <w:rFonts w:ascii="Calibri" w:eastAsia="Calibri" w:hAnsi="Calibri" w:cs="Calibri"/>
          <w:color w:val="FF0000"/>
          <w:sz w:val="22"/>
          <w:szCs w:val="22"/>
          <w:lang w:val="en-US"/>
        </w:rPr>
        <w:t xml:space="preserve"> </w:t>
      </w:r>
      <w:r w:rsidRPr="4CB398CE">
        <w:rPr>
          <w:rFonts w:ascii="Calibri" w:eastAsia="Calibri" w:hAnsi="Calibri" w:cs="Calibri"/>
          <w:sz w:val="22"/>
          <w:szCs w:val="22"/>
          <w:lang w:val="en-US"/>
        </w:rPr>
        <w:t>Nguyen, L. T., O’Connell, M. A</w:t>
      </w:r>
      <w:r>
        <w:rPr>
          <w:rFonts w:ascii="Calibri" w:eastAsia="Calibri" w:hAnsi="Calibri" w:cs="Calibri"/>
          <w:sz w:val="22"/>
          <w:szCs w:val="22"/>
          <w:lang w:val="en-US"/>
        </w:rPr>
        <w:t>.,</w:t>
      </w:r>
      <w:r w:rsidRPr="4CB398CE">
        <w:rPr>
          <w:rFonts w:ascii="Calibri" w:eastAsia="Calibri" w:hAnsi="Calibri" w:cs="Calibri"/>
          <w:sz w:val="22"/>
          <w:szCs w:val="22"/>
          <w:lang w:val="en-US"/>
        </w:rPr>
        <w:t xml:space="preserve"> Li, S. J.</w:t>
      </w:r>
      <w:r>
        <w:rPr>
          <w:rFonts w:ascii="Calibri" w:eastAsia="Calibri" w:hAnsi="Calibri" w:cs="Calibri"/>
          <w:sz w:val="22"/>
          <w:szCs w:val="22"/>
          <w:lang w:val="en-US"/>
        </w:rPr>
        <w:t>,</w:t>
      </w:r>
      <w:r w:rsidRPr="4CB398CE">
        <w:rPr>
          <w:rFonts w:ascii="Calibri" w:eastAsia="Calibri" w:hAnsi="Calibri" w:cs="Calibri"/>
          <w:sz w:val="22"/>
          <w:szCs w:val="22"/>
          <w:lang w:val="en-US"/>
        </w:rPr>
        <w:t xml:space="preserve"> Rivera, P. M., Adams, F. R., Chen, H. Y., Bailey, T. K., Jones, A. R., Walker, C. L., &amp; Ahmed, S. E. (2022). Cognitive flexibility and executive function in early adulthood. Journal of Experimental Psychology: General, 151(4), 789-805. </w:t>
      </w:r>
      <w:hyperlink r:id="rId10">
        <w:r w:rsidRPr="4CB398CE">
          <w:rPr>
            <w:rStyle w:val="Hyperlink"/>
            <w:rFonts w:ascii="Calibri" w:eastAsia="Calibri" w:hAnsi="Calibri" w:cs="Calibri"/>
            <w:sz w:val="22"/>
            <w:szCs w:val="22"/>
            <w:lang w:val="en-US"/>
          </w:rPr>
          <w:t>https://doi.org/10.1037/xge0001223</w:t>
        </w:r>
      </w:hyperlink>
    </w:p>
    <w:p w14:paraId="7F2E4FC7" w14:textId="77777777" w:rsidR="008F01F2" w:rsidRDefault="008F01F2" w:rsidP="008F01F2">
      <w:pPr>
        <w:rPr>
          <w:rFonts w:ascii="Calibri" w:eastAsia="Calibri" w:hAnsi="Calibri" w:cs="Calibri"/>
          <w:sz w:val="22"/>
          <w:szCs w:val="22"/>
        </w:rPr>
      </w:pPr>
      <w:r w:rsidRPr="4CB398CE">
        <w:rPr>
          <w:rFonts w:ascii="Calibri" w:eastAsia="Calibri" w:hAnsi="Calibri" w:cs="Calibri"/>
          <w:sz w:val="22"/>
          <w:szCs w:val="22"/>
        </w:rPr>
        <w:t>NHS Greater London Trust. (2022). Annual patient satisfaction survey report. London, UK.</w:t>
      </w:r>
    </w:p>
    <w:p w14:paraId="2EB76EB8" w14:textId="77777777" w:rsidR="008F01F2" w:rsidRDefault="008F01F2" w:rsidP="008F01F2">
      <w:pPr>
        <w:rPr>
          <w:rFonts w:ascii="Calibri" w:eastAsia="Calibri" w:hAnsi="Calibri" w:cs="Calibri"/>
          <w:sz w:val="22"/>
          <w:szCs w:val="22"/>
        </w:rPr>
      </w:pPr>
      <w:r w:rsidRPr="4CB398CE">
        <w:rPr>
          <w:rFonts w:ascii="Calibri" w:eastAsia="Calibri" w:hAnsi="Calibri" w:cs="Calibri"/>
          <w:color w:val="FF0000"/>
          <w:sz w:val="22"/>
          <w:szCs w:val="22"/>
        </w:rPr>
        <w:t xml:space="preserve"> </w:t>
      </w:r>
      <w:r w:rsidRPr="4CB398CE">
        <w:rPr>
          <w:rFonts w:ascii="Calibri" w:eastAsia="Calibri" w:hAnsi="Calibri" w:cs="Calibri"/>
          <w:sz w:val="22"/>
          <w:szCs w:val="22"/>
        </w:rPr>
        <w:t>Patel, S. R. (2020). The rise of digital therapy. The Psychologist, 33(6), 48-53.</w:t>
      </w:r>
    </w:p>
    <w:p w14:paraId="4E1F5233" w14:textId="77777777" w:rsidR="008F01F2" w:rsidRDefault="008F01F2" w:rsidP="008F01F2">
      <w:pPr>
        <w:rPr>
          <w:rFonts w:ascii="Calibri" w:eastAsia="Calibri" w:hAnsi="Calibri" w:cs="Calibri"/>
          <w:sz w:val="22"/>
          <w:szCs w:val="22"/>
        </w:rPr>
      </w:pPr>
      <w:r w:rsidRPr="4CB398CE">
        <w:rPr>
          <w:rFonts w:ascii="Calibri" w:eastAsia="Calibri" w:hAnsi="Calibri" w:cs="Calibri"/>
          <w:sz w:val="22"/>
          <w:szCs w:val="22"/>
        </w:rPr>
        <w:t xml:space="preserve"> Reynolds, K M. (2023). How mindfulness improves productivity. Mindful Living. </w:t>
      </w:r>
      <w:hyperlink r:id="rId11">
        <w:r w:rsidRPr="4CB398CE">
          <w:rPr>
            <w:rStyle w:val="Hyperlink"/>
            <w:rFonts w:ascii="Calibri" w:eastAsia="Calibri" w:hAnsi="Calibri" w:cs="Calibri"/>
            <w:sz w:val="22"/>
            <w:szCs w:val="22"/>
          </w:rPr>
          <w:t>https://mindfulliving.com/how-mindfulnessimproves-productivity</w:t>
        </w:r>
      </w:hyperlink>
    </w:p>
    <w:p w14:paraId="22A141B3" w14:textId="77777777" w:rsidR="008F01F2" w:rsidRDefault="008F01F2" w:rsidP="008F01F2">
      <w:pPr>
        <w:rPr>
          <w:rFonts w:ascii="Calibri" w:eastAsia="Calibri" w:hAnsi="Calibri" w:cs="Calibri"/>
          <w:sz w:val="22"/>
          <w:szCs w:val="22"/>
        </w:rPr>
      </w:pPr>
      <w:r w:rsidRPr="4CB398CE">
        <w:rPr>
          <w:rFonts w:ascii="Calibri" w:eastAsia="Calibri" w:hAnsi="Calibri" w:cs="Calibri"/>
          <w:color w:val="FF0000"/>
          <w:sz w:val="22"/>
          <w:szCs w:val="22"/>
        </w:rPr>
        <w:t xml:space="preserve"> </w:t>
      </w:r>
      <w:r w:rsidRPr="4CB398CE">
        <w:rPr>
          <w:rFonts w:ascii="Calibri" w:eastAsia="Calibri" w:hAnsi="Calibri" w:cs="Calibri"/>
          <w:sz w:val="22"/>
          <w:szCs w:val="22"/>
        </w:rPr>
        <w:t>Smith, J. A. (2019). Understanding Psychology. (3</w:t>
      </w:r>
      <w:r w:rsidRPr="4CB398CE">
        <w:rPr>
          <w:rFonts w:ascii="Calibri" w:eastAsia="Calibri" w:hAnsi="Calibri" w:cs="Calibri"/>
          <w:sz w:val="22"/>
          <w:szCs w:val="22"/>
          <w:vertAlign w:val="superscript"/>
        </w:rPr>
        <w:t>rd</w:t>
      </w:r>
      <w:r w:rsidRPr="4CB398CE">
        <w:rPr>
          <w:rFonts w:ascii="Calibri" w:eastAsia="Calibri" w:hAnsi="Calibri" w:cs="Calibri"/>
          <w:sz w:val="22"/>
          <w:szCs w:val="22"/>
        </w:rPr>
        <w:t xml:space="preserve"> ed). Academic Press.</w:t>
      </w:r>
    </w:p>
    <w:p w14:paraId="1F623B55" w14:textId="77777777" w:rsidR="008F01F2" w:rsidRDefault="008F01F2" w:rsidP="008F01F2">
      <w:pPr>
        <w:rPr>
          <w:rFonts w:ascii="Calibri" w:eastAsia="Calibri" w:hAnsi="Calibri" w:cs="Calibri"/>
          <w:sz w:val="22"/>
          <w:szCs w:val="22"/>
        </w:rPr>
      </w:pPr>
      <w:r w:rsidRPr="4CB398CE">
        <w:rPr>
          <w:rFonts w:ascii="Calibri" w:eastAsia="Calibri" w:hAnsi="Calibri" w:cs="Calibri"/>
          <w:color w:val="FF0000"/>
          <w:sz w:val="22"/>
          <w:szCs w:val="22"/>
        </w:rPr>
        <w:t xml:space="preserve"> </w:t>
      </w:r>
      <w:r w:rsidRPr="4CB398CE">
        <w:rPr>
          <w:rFonts w:ascii="Calibri" w:eastAsia="Calibri" w:hAnsi="Calibri" w:cs="Calibri"/>
          <w:sz w:val="22"/>
          <w:szCs w:val="22"/>
        </w:rPr>
        <w:t xml:space="preserve">Thompson, R. E. (2018). Social media effects on adolescent mental health. Journal of Adolescent Health, 62(4), 410-417 </w:t>
      </w:r>
      <w:hyperlink r:id="rId12">
        <w:r w:rsidRPr="4CB398CE">
          <w:rPr>
            <w:rStyle w:val="Hyperlink"/>
            <w:rFonts w:ascii="Calibri" w:eastAsia="Calibri" w:hAnsi="Calibri" w:cs="Calibri"/>
            <w:sz w:val="22"/>
            <w:szCs w:val="22"/>
          </w:rPr>
          <w:t>https://doi.org/10.1016/j.jadoheath.2017.11.290</w:t>
        </w:r>
      </w:hyperlink>
    </w:p>
    <w:p w14:paraId="168AF46A" w14:textId="77777777" w:rsidR="008F01F2" w:rsidRDefault="008F01F2" w:rsidP="008F01F2">
      <w:pPr>
        <w:rPr>
          <w:rFonts w:ascii="Calibri" w:eastAsia="Calibri" w:hAnsi="Calibri" w:cs="Calibri"/>
          <w:sz w:val="22"/>
          <w:szCs w:val="22"/>
        </w:rPr>
      </w:pPr>
      <w:r w:rsidRPr="4CB398CE">
        <w:rPr>
          <w:rFonts w:ascii="Calibri" w:eastAsia="Calibri" w:hAnsi="Calibri" w:cs="Calibri"/>
          <w:color w:val="FF0000"/>
          <w:sz w:val="22"/>
          <w:szCs w:val="22"/>
        </w:rPr>
        <w:t xml:space="preserve"> </w:t>
      </w:r>
      <w:r w:rsidRPr="4CB398CE">
        <w:rPr>
          <w:rFonts w:ascii="Calibri" w:eastAsia="Calibri" w:hAnsi="Calibri" w:cs="Calibri"/>
          <w:sz w:val="22"/>
          <w:szCs w:val="22"/>
        </w:rPr>
        <w:t xml:space="preserve">University of Oxford. (2022). Referencing and citation guide. </w:t>
      </w:r>
      <w:hyperlink r:id="rId13">
        <w:r w:rsidRPr="4CB398CE">
          <w:rPr>
            <w:rStyle w:val="Hyperlink"/>
            <w:rFonts w:ascii="Calibri" w:eastAsia="Calibri" w:hAnsi="Calibri" w:cs="Calibri"/>
            <w:sz w:val="22"/>
            <w:szCs w:val="22"/>
          </w:rPr>
          <w:t>https://www.ox.ac.uk/students/academic/referencing</w:t>
        </w:r>
      </w:hyperlink>
    </w:p>
    <w:p w14:paraId="6BCF3363" w14:textId="77777777" w:rsidR="008F01F2" w:rsidRDefault="008F01F2" w:rsidP="008F01F2">
      <w:pPr>
        <w:rPr>
          <w:rFonts w:ascii="Calibri" w:eastAsia="Calibri" w:hAnsi="Calibri" w:cs="Calibri"/>
          <w:sz w:val="22"/>
          <w:szCs w:val="22"/>
        </w:rPr>
      </w:pPr>
      <w:r w:rsidRPr="4CB398CE">
        <w:rPr>
          <w:rFonts w:ascii="Calibri" w:eastAsia="Calibri" w:hAnsi="Calibri" w:cs="Calibri"/>
          <w:color w:val="FF0000"/>
          <w:sz w:val="22"/>
          <w:szCs w:val="22"/>
        </w:rPr>
        <w:t xml:space="preserve"> </w:t>
      </w:r>
      <w:r w:rsidRPr="4CB398CE">
        <w:rPr>
          <w:rFonts w:ascii="Calibri" w:eastAsia="Calibri" w:hAnsi="Calibri" w:cs="Calibri"/>
          <w:sz w:val="22"/>
          <w:szCs w:val="22"/>
        </w:rPr>
        <w:t xml:space="preserve">U.S. Department of Education. (2017). National education technology plan 2017 (Report No. ED-ICT-17-01) </w:t>
      </w:r>
      <w:hyperlink r:id="rId14">
        <w:r w:rsidRPr="4CB398CE">
          <w:rPr>
            <w:rStyle w:val="Hyperlink"/>
            <w:rFonts w:ascii="Calibri" w:eastAsia="Calibri" w:hAnsi="Calibri" w:cs="Calibri"/>
            <w:sz w:val="22"/>
            <w:szCs w:val="22"/>
          </w:rPr>
          <w:t>https://tech.ed.gov/netp</w:t>
        </w:r>
      </w:hyperlink>
    </w:p>
    <w:p w14:paraId="06F3559A" w14:textId="77777777" w:rsidR="008F01F2" w:rsidRDefault="008F01F2" w:rsidP="008F01F2">
      <w:pPr>
        <w:rPr>
          <w:rFonts w:ascii="Calibri" w:eastAsia="Calibri" w:hAnsi="Calibri" w:cs="Calibri"/>
          <w:sz w:val="22"/>
          <w:szCs w:val="22"/>
        </w:rPr>
      </w:pPr>
      <w:r w:rsidRPr="4CB398CE">
        <w:rPr>
          <w:rFonts w:ascii="Calibri" w:eastAsia="Calibri" w:hAnsi="Calibri" w:cs="Calibri"/>
          <w:sz w:val="22"/>
          <w:szCs w:val="22"/>
        </w:rPr>
        <w:t xml:space="preserve"> Williams, J. L. (2020). Exploring sustainable urban development (Doctoral dissertation, University of California). </w:t>
      </w:r>
      <w:hyperlink r:id="rId15">
        <w:r w:rsidRPr="4CB398CE">
          <w:rPr>
            <w:rStyle w:val="Hyperlink"/>
            <w:rFonts w:ascii="Calibri" w:eastAsia="Calibri" w:hAnsi="Calibri" w:cs="Calibri"/>
            <w:sz w:val="22"/>
            <w:szCs w:val="22"/>
          </w:rPr>
          <w:t>https://escholarship.org/uc/item/7gp4v2cd</w:t>
        </w:r>
      </w:hyperlink>
    </w:p>
    <w:p w14:paraId="4027B95B" w14:textId="77777777" w:rsidR="008F01F2" w:rsidRDefault="008F01F2" w:rsidP="008F01F2">
      <w:pPr>
        <w:rPr>
          <w:rFonts w:ascii="Calibri" w:eastAsia="Calibri" w:hAnsi="Calibri" w:cs="Calibri"/>
          <w:sz w:val="22"/>
          <w:szCs w:val="22"/>
        </w:rPr>
      </w:pPr>
      <w:r w:rsidRPr="4CB398CE">
        <w:rPr>
          <w:rFonts w:ascii="Calibri" w:eastAsia="Calibri" w:hAnsi="Calibri" w:cs="Calibri"/>
          <w:color w:val="FF0000"/>
          <w:sz w:val="22"/>
          <w:szCs w:val="22"/>
        </w:rPr>
        <w:t xml:space="preserve"> </w:t>
      </w:r>
      <w:r w:rsidRPr="4CB398CE">
        <w:rPr>
          <w:rFonts w:ascii="Calibri" w:eastAsia="Calibri" w:hAnsi="Calibri" w:cs="Calibri"/>
          <w:sz w:val="22"/>
          <w:szCs w:val="22"/>
        </w:rPr>
        <w:t>World Health Organization. (2023). Mental health and COVID-</w:t>
      </w:r>
      <w:proofErr w:type="gramStart"/>
      <w:r w:rsidRPr="4CB398CE">
        <w:rPr>
          <w:rFonts w:ascii="Calibri" w:eastAsia="Calibri" w:hAnsi="Calibri" w:cs="Calibri"/>
          <w:sz w:val="22"/>
          <w:szCs w:val="22"/>
        </w:rPr>
        <w:t>19 .</w:t>
      </w:r>
      <w:proofErr w:type="gramEnd"/>
      <w:r>
        <w:fldChar w:fldCharType="begin"/>
      </w:r>
      <w:r>
        <w:instrText>HYPERLINK "https://www.who.int/mental_health/covid-19" \h</w:instrText>
      </w:r>
      <w:r>
        <w:fldChar w:fldCharType="separate"/>
      </w:r>
      <w:r w:rsidRPr="4CB398CE">
        <w:rPr>
          <w:rStyle w:val="Hyperlink"/>
          <w:rFonts w:ascii="Calibri" w:eastAsia="Calibri" w:hAnsi="Calibri" w:cs="Calibri"/>
          <w:sz w:val="22"/>
          <w:szCs w:val="22"/>
        </w:rPr>
        <w:t>https://www.who.int/mental_health/covid-19</w:t>
      </w:r>
      <w:r>
        <w:fldChar w:fldCharType="end"/>
      </w:r>
    </w:p>
    <w:p w14:paraId="4EFEABAE" w14:textId="77777777" w:rsidR="008F01F2" w:rsidRDefault="008F01F2" w:rsidP="008F01F2">
      <w:pPr>
        <w:rPr>
          <w:rFonts w:ascii="Calibri" w:eastAsia="Calibri" w:hAnsi="Calibri" w:cs="Calibri"/>
          <w:sz w:val="22"/>
          <w:szCs w:val="22"/>
        </w:rPr>
      </w:pPr>
      <w:r w:rsidRPr="4CB398CE">
        <w:rPr>
          <w:rFonts w:ascii="Calibri" w:eastAsia="Calibri" w:hAnsi="Calibri" w:cs="Calibri"/>
          <w:sz w:val="22"/>
          <w:szCs w:val="22"/>
        </w:rPr>
        <w:lastRenderedPageBreak/>
        <w:t xml:space="preserve"> Zhao, L. (2019). Enhancing user experience in mobile apps. In Proceedings of the International Conference on Human-Computer Interaction (pp.102-110). ACM Press. </w:t>
      </w:r>
      <w:hyperlink r:id="rId16">
        <w:r w:rsidRPr="4CB398CE">
          <w:rPr>
            <w:rStyle w:val="Hyperlink"/>
            <w:rFonts w:ascii="Calibri" w:eastAsia="Calibri" w:hAnsi="Calibri" w:cs="Calibri"/>
            <w:sz w:val="22"/>
            <w:szCs w:val="22"/>
          </w:rPr>
          <w:t>https://doi.org/10.1145/3313831.3376310</w:t>
        </w:r>
      </w:hyperlink>
    </w:p>
    <w:p w14:paraId="301F54DF" w14:textId="77777777" w:rsidR="00147711" w:rsidRDefault="00147711"/>
    <w:p w14:paraId="317141D9" w14:textId="77777777" w:rsidR="008F01F2" w:rsidRDefault="008F01F2"/>
    <w:p w14:paraId="2000FAE4" w14:textId="77777777" w:rsidR="008F01F2" w:rsidRDefault="008F01F2"/>
    <w:p w14:paraId="4F2A34DA" w14:textId="77777777" w:rsidR="008F01F2" w:rsidRDefault="008F01F2"/>
    <w:p w14:paraId="5AE1B8A9" w14:textId="77777777" w:rsidR="008F01F2" w:rsidRDefault="008F01F2"/>
    <w:p w14:paraId="6E73B545" w14:textId="77777777" w:rsidR="008F01F2" w:rsidRDefault="008F01F2"/>
    <w:p w14:paraId="1A96D993" w14:textId="77777777" w:rsidR="008F01F2" w:rsidRDefault="008F01F2"/>
    <w:p w14:paraId="44F09232" w14:textId="77777777" w:rsidR="008F01F2" w:rsidRDefault="008F01F2"/>
    <w:p w14:paraId="1E509304" w14:textId="77777777" w:rsidR="008F01F2" w:rsidRDefault="008F01F2"/>
    <w:p w14:paraId="614809EA" w14:textId="77777777" w:rsidR="008F01F2" w:rsidRDefault="008F01F2"/>
    <w:p w14:paraId="5FC1C6C9" w14:textId="77777777" w:rsidR="008F01F2" w:rsidRDefault="008F01F2"/>
    <w:p w14:paraId="57224718" w14:textId="77777777" w:rsidR="008F01F2" w:rsidRDefault="008F01F2"/>
    <w:p w14:paraId="166A19F0" w14:textId="77777777" w:rsidR="008F01F2" w:rsidRDefault="008F01F2"/>
    <w:p w14:paraId="4B064097" w14:textId="77777777" w:rsidR="008F01F2" w:rsidRDefault="008F01F2"/>
    <w:p w14:paraId="03292F7E" w14:textId="77777777" w:rsidR="008F01F2" w:rsidRDefault="008F01F2"/>
    <w:p w14:paraId="18018496" w14:textId="77777777" w:rsidR="008F01F2" w:rsidRDefault="008F01F2"/>
    <w:p w14:paraId="22D05E54" w14:textId="77777777" w:rsidR="008F01F2" w:rsidRDefault="008F01F2"/>
    <w:p w14:paraId="04B62CBB" w14:textId="77777777" w:rsidR="008F01F2" w:rsidRDefault="008F01F2"/>
    <w:p w14:paraId="07784AA0" w14:textId="77777777" w:rsidR="008F01F2" w:rsidRDefault="008F01F2"/>
    <w:p w14:paraId="4BB4730E" w14:textId="77777777" w:rsidR="008F01F2" w:rsidRDefault="008F01F2"/>
    <w:p w14:paraId="203ED254" w14:textId="77777777" w:rsidR="008F01F2" w:rsidRDefault="008F01F2"/>
    <w:p w14:paraId="18863B8E" w14:textId="77777777" w:rsidR="008F01F2" w:rsidRDefault="008F01F2"/>
    <w:p w14:paraId="633D86BB" w14:textId="77777777" w:rsidR="008F01F2" w:rsidRDefault="008F01F2"/>
    <w:p w14:paraId="5DBB1B2F" w14:textId="77777777" w:rsidR="008F01F2" w:rsidRDefault="008F01F2"/>
    <w:p w14:paraId="46551B74" w14:textId="77777777" w:rsidR="008F01F2" w:rsidRDefault="008F01F2"/>
    <w:p w14:paraId="25AE057A" w14:textId="77777777" w:rsidR="008F01F2" w:rsidRDefault="008F01F2"/>
    <w:p w14:paraId="5C151C58" w14:textId="77777777" w:rsidR="008F01F2" w:rsidRDefault="008F01F2"/>
    <w:p w14:paraId="50CA58FB" w14:textId="77777777" w:rsidR="00281D1D" w:rsidRPr="002F050E" w:rsidRDefault="00281D1D" w:rsidP="00281D1D">
      <w:pPr>
        <w:spacing w:after="100" w:afterAutospacing="1" w:line="240" w:lineRule="auto"/>
        <w:rPr>
          <w:rFonts w:ascii="Segoe UI" w:eastAsia="Times New Roman" w:hAnsi="Segoe UI" w:cs="Segoe UI"/>
          <w:color w:val="1D2125"/>
          <w:kern w:val="0"/>
          <w:sz w:val="23"/>
          <w:szCs w:val="23"/>
          <w:u w:val="single"/>
          <w:lang w:eastAsia="en-GB"/>
          <w14:ligatures w14:val="none"/>
        </w:rPr>
      </w:pPr>
      <w:r w:rsidRPr="0020725E">
        <w:rPr>
          <w:rFonts w:ascii="Segoe UI" w:eastAsia="Times New Roman" w:hAnsi="Segoe UI" w:cs="Segoe UI"/>
          <w:color w:val="1D2125"/>
          <w:kern w:val="0"/>
          <w:sz w:val="23"/>
          <w:szCs w:val="23"/>
          <w:u w:val="single"/>
          <w:lang w:eastAsia="en-GB"/>
          <w14:ligatures w14:val="none"/>
        </w:rPr>
        <w:t>How trait theories of personality account for                    Tuesday 4</w:t>
      </w:r>
      <w:r w:rsidRPr="0020725E">
        <w:rPr>
          <w:rFonts w:ascii="Segoe UI" w:eastAsia="Times New Roman" w:hAnsi="Segoe UI" w:cs="Segoe UI"/>
          <w:color w:val="1D2125"/>
          <w:kern w:val="0"/>
          <w:sz w:val="23"/>
          <w:szCs w:val="23"/>
          <w:u w:val="single"/>
          <w:vertAlign w:val="superscript"/>
          <w:lang w:eastAsia="en-GB"/>
          <w14:ligatures w14:val="none"/>
        </w:rPr>
        <w:t>th</w:t>
      </w:r>
      <w:r w:rsidRPr="0020725E">
        <w:rPr>
          <w:rFonts w:ascii="Segoe UI" w:eastAsia="Times New Roman" w:hAnsi="Segoe UI" w:cs="Segoe UI"/>
          <w:color w:val="1D2125"/>
          <w:kern w:val="0"/>
          <w:sz w:val="23"/>
          <w:szCs w:val="23"/>
          <w:u w:val="single"/>
          <w:lang w:eastAsia="en-GB"/>
          <w14:ligatures w14:val="none"/>
        </w:rPr>
        <w:t xml:space="preserve"> of November</w:t>
      </w:r>
      <w:r>
        <w:rPr>
          <w:rFonts w:ascii="Segoe UI" w:eastAsia="Times New Roman" w:hAnsi="Segoe UI" w:cs="Segoe UI"/>
          <w:color w:val="1D2125"/>
          <w:kern w:val="0"/>
          <w:sz w:val="23"/>
          <w:szCs w:val="23"/>
          <w:u w:val="single"/>
          <w:lang w:eastAsia="en-GB"/>
          <w14:ligatures w14:val="none"/>
        </w:rPr>
        <w:t xml:space="preserve"> </w:t>
      </w:r>
      <w:r w:rsidRPr="0020725E">
        <w:rPr>
          <w:rFonts w:ascii="Segoe UI" w:eastAsia="Times New Roman" w:hAnsi="Segoe UI" w:cs="Segoe UI"/>
          <w:color w:val="1D2125"/>
          <w:kern w:val="0"/>
          <w:sz w:val="23"/>
          <w:szCs w:val="23"/>
          <w:u w:val="single"/>
          <w:lang w:eastAsia="en-GB"/>
          <w14:ligatures w14:val="none"/>
        </w:rPr>
        <w:t>2025 individual differences in behaviour</w:t>
      </w:r>
    </w:p>
    <w:p w14:paraId="7DC4644E" w14:textId="77777777" w:rsidR="00281D1D" w:rsidRDefault="00281D1D" w:rsidP="00281D1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Introduction</w:t>
      </w:r>
    </w:p>
    <w:p w14:paraId="7248FD58" w14:textId="77777777" w:rsidR="00281D1D" w:rsidRDefault="00281D1D" w:rsidP="00281D1D">
      <w:pPr>
        <w:pStyle w:val="ListParagraph"/>
        <w:numPr>
          <w:ilvl w:val="0"/>
          <w:numId w:val="1"/>
        </w:num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Introduce different theories and the main theories for the essay as seen below.</w:t>
      </w:r>
    </w:p>
    <w:p w14:paraId="752C004B" w14:textId="77777777" w:rsidR="00281D1D" w:rsidRDefault="00281D1D" w:rsidP="00281D1D">
      <w:pPr>
        <w:pStyle w:val="ListParagraph"/>
        <w:numPr>
          <w:ilvl w:val="0"/>
          <w:numId w:val="1"/>
        </w:num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This essay outline will give us a structure on how trait theories of personality account for individual differences in behaviour. Briefly introduce the different points.</w:t>
      </w:r>
    </w:p>
    <w:p w14:paraId="341429AB" w14:textId="77777777" w:rsidR="00281D1D" w:rsidRDefault="00281D1D" w:rsidP="00281D1D">
      <w:pPr>
        <w:pStyle w:val="ListParagraph"/>
        <w:numPr>
          <w:ilvl w:val="0"/>
          <w:numId w:val="1"/>
        </w:num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1 paragraph discussing: Latent State – Trait theory (Steyer, Schmitt &amp; Eid, 1999), Cultural intelligence and personality: Differential effects of </w:t>
      </w:r>
      <w:proofErr w:type="spellStart"/>
      <w:r>
        <w:rPr>
          <w:rFonts w:ascii="Times New Roman" w:eastAsia="Times New Roman" w:hAnsi="Times New Roman" w:cs="Times New Roman"/>
          <w:kern w:val="0"/>
          <w:lang w:eastAsia="en-GB"/>
          <w14:ligatures w14:val="none"/>
        </w:rPr>
        <w:t>Plasticy</w:t>
      </w:r>
      <w:proofErr w:type="spellEnd"/>
      <w:r>
        <w:rPr>
          <w:rFonts w:ascii="Times New Roman" w:eastAsia="Times New Roman" w:hAnsi="Times New Roman" w:cs="Times New Roman"/>
          <w:kern w:val="0"/>
          <w:lang w:eastAsia="en-GB"/>
          <w14:ligatures w14:val="none"/>
        </w:rPr>
        <w:t xml:space="preserve"> and Stability Meta–Traits </w:t>
      </w:r>
      <w:proofErr w:type="gramStart"/>
      <w:r>
        <w:rPr>
          <w:rFonts w:ascii="Times New Roman" w:eastAsia="Times New Roman" w:hAnsi="Times New Roman" w:cs="Times New Roman"/>
          <w:kern w:val="0"/>
          <w:lang w:eastAsia="en-GB"/>
          <w14:ligatures w14:val="none"/>
        </w:rPr>
        <w:t xml:space="preserve">( </w:t>
      </w:r>
      <w:proofErr w:type="spellStart"/>
      <w:r>
        <w:rPr>
          <w:rFonts w:ascii="Times New Roman" w:eastAsia="Times New Roman" w:hAnsi="Times New Roman" w:cs="Times New Roman"/>
          <w:kern w:val="0"/>
          <w:lang w:eastAsia="en-GB"/>
          <w14:ligatures w14:val="none"/>
        </w:rPr>
        <w:t>Rockstuhl</w:t>
      </w:r>
      <w:proofErr w:type="spellEnd"/>
      <w:proofErr w:type="gramEnd"/>
      <w:r>
        <w:rPr>
          <w:rFonts w:ascii="Times New Roman" w:eastAsia="Times New Roman" w:hAnsi="Times New Roman" w:cs="Times New Roman"/>
          <w:kern w:val="0"/>
          <w:lang w:eastAsia="en-GB"/>
          <w14:ligatures w14:val="none"/>
        </w:rPr>
        <w:t xml:space="preserve"> et al., 2024), Getting from states to traits: Whole trait theory’s explanatory and developmental engine (Fleeson, W., &amp; </w:t>
      </w:r>
      <w:proofErr w:type="spellStart"/>
      <w:r>
        <w:rPr>
          <w:rFonts w:ascii="Times New Roman" w:eastAsia="Times New Roman" w:hAnsi="Times New Roman" w:cs="Times New Roman"/>
          <w:kern w:val="0"/>
          <w:lang w:eastAsia="en-GB"/>
          <w14:ligatures w14:val="none"/>
        </w:rPr>
        <w:t>Jayawickreme</w:t>
      </w:r>
      <w:proofErr w:type="spellEnd"/>
      <w:r>
        <w:rPr>
          <w:rFonts w:ascii="Times New Roman" w:eastAsia="Times New Roman" w:hAnsi="Times New Roman" w:cs="Times New Roman"/>
          <w:kern w:val="0"/>
          <w:lang w:eastAsia="en-GB"/>
          <w14:ligatures w14:val="none"/>
        </w:rPr>
        <w:t>, E., 2025)</w:t>
      </w:r>
    </w:p>
    <w:p w14:paraId="048F58AC" w14:textId="77777777" w:rsidR="00281D1D" w:rsidRPr="008907D6" w:rsidRDefault="00281D1D" w:rsidP="00281D1D">
      <w:pPr>
        <w:pStyle w:val="ListParagraph"/>
        <w:spacing w:after="0" w:line="240" w:lineRule="auto"/>
        <w:rPr>
          <w:rFonts w:ascii="Times New Roman" w:eastAsia="Times New Roman" w:hAnsi="Times New Roman" w:cs="Times New Roman"/>
          <w:kern w:val="0"/>
          <w:lang w:eastAsia="en-GB"/>
          <w14:ligatures w14:val="none"/>
        </w:rPr>
      </w:pPr>
    </w:p>
    <w:p w14:paraId="0A495FE8" w14:textId="77777777" w:rsidR="00281D1D" w:rsidRDefault="00281D1D" w:rsidP="00281D1D">
      <w:r>
        <w:t>Main Body</w:t>
      </w:r>
    </w:p>
    <w:p w14:paraId="3BF0FB35" w14:textId="77777777" w:rsidR="00281D1D" w:rsidRDefault="00281D1D" w:rsidP="00281D1D">
      <w:r>
        <w:t xml:space="preserve">In the main body, I will be focusing on the question and giving different theories to give a clear view on the different theories, but also to show how different theories can build a clear and good essay, as by using different theories, I can then build a clear essay and the main body will then give the reader a clear indication on my answer. I would weigh up different theories in order to give a clear view and show a good understanding of the question. In the main body, I will also focus on both sides of the theory. Is it clear enough to answer the question? Does it also give a completely different viewpoint to another </w:t>
      </w:r>
      <w:proofErr w:type="gramStart"/>
      <w:r>
        <w:t>theory?.</w:t>
      </w:r>
      <w:proofErr w:type="gramEnd"/>
      <w:r>
        <w:t xml:space="preserve"> As seen below, this is how I would lay out my main body, as each point is a different theory with brief notes of what the theory discusses and how it links to the question</w:t>
      </w:r>
    </w:p>
    <w:p w14:paraId="26E1F560" w14:textId="77777777" w:rsidR="00281D1D" w:rsidRDefault="00281D1D" w:rsidP="00281D1D">
      <w:pPr>
        <w:pStyle w:val="ListParagraph"/>
        <w:numPr>
          <w:ilvl w:val="0"/>
          <w:numId w:val="2"/>
        </w:numPr>
      </w:pPr>
      <w:r>
        <w:t>P1 – Latent State- Trait theory (Steyer, Schmitt &amp; Eid, 1999) – Extremely useful, gives us a clear picture that an individual’s behaviour and their actions can depend on their state = Nobody is the same, therefore everyone can react differently to certain situations. Here is my first theory, where I will discuss the pros and cons, and how effective it is</w:t>
      </w:r>
    </w:p>
    <w:p w14:paraId="458F248A" w14:textId="77777777" w:rsidR="00281D1D" w:rsidRDefault="00281D1D" w:rsidP="00281D1D">
      <w:pPr>
        <w:pStyle w:val="ListParagraph"/>
        <w:numPr>
          <w:ilvl w:val="0"/>
          <w:numId w:val="2"/>
        </w:numPr>
      </w:pPr>
      <w:r>
        <w:t xml:space="preserve">P2 – Cultural intelligence and personality: Differential effects of </w:t>
      </w:r>
      <w:proofErr w:type="spellStart"/>
      <w:r>
        <w:t>Plasticy</w:t>
      </w:r>
      <w:proofErr w:type="spellEnd"/>
      <w:r>
        <w:t xml:space="preserve"> and Stability Meta-Traits (</w:t>
      </w:r>
      <w:proofErr w:type="spellStart"/>
      <w:r>
        <w:t>Rockstuhl</w:t>
      </w:r>
      <w:proofErr w:type="spellEnd"/>
      <w:r>
        <w:t xml:space="preserve"> et al., 2024) – Gives a clear insight into how trait differences can influence people in a certain culture. = people in that culture feel the need to copy and follow the trait differences. Here is my second theory, and again I’ll discuss the positives and negatives, but ill also compare it to the first point</w:t>
      </w:r>
    </w:p>
    <w:p w14:paraId="1F79929C" w14:textId="77777777" w:rsidR="00281D1D" w:rsidRDefault="00281D1D" w:rsidP="00281D1D">
      <w:pPr>
        <w:pStyle w:val="ListParagraph"/>
        <w:numPr>
          <w:ilvl w:val="0"/>
          <w:numId w:val="2"/>
        </w:numPr>
      </w:pPr>
      <w:r>
        <w:t xml:space="preserve">P3 – Getting from states to traits: Whole trait theory’s explanatory and developmental engine </w:t>
      </w:r>
      <w:proofErr w:type="gramStart"/>
      <w:r>
        <w:t>( Fleeson</w:t>
      </w:r>
      <w:proofErr w:type="gramEnd"/>
      <w:r>
        <w:t xml:space="preserve">, W., &amp; </w:t>
      </w:r>
      <w:proofErr w:type="spellStart"/>
      <w:r>
        <w:t>Jayawickreme</w:t>
      </w:r>
      <w:proofErr w:type="spellEnd"/>
      <w:r>
        <w:t>, E., 2025) – extremely useful theory as it’s up to date as we can see it was created in 2025, also gives us a great insight in to that people personality traits can slowly change overtime depending on the environment they are in so therefore their behaviour will change</w:t>
      </w:r>
    </w:p>
    <w:p w14:paraId="15FA214C" w14:textId="77777777" w:rsidR="00281D1D" w:rsidRDefault="00281D1D" w:rsidP="00281D1D">
      <w:r>
        <w:t>Conclusion</w:t>
      </w:r>
    </w:p>
    <w:p w14:paraId="37DC240C" w14:textId="77777777" w:rsidR="00281D1D" w:rsidRDefault="00281D1D" w:rsidP="00281D1D">
      <w:pPr>
        <w:pStyle w:val="ListParagraph"/>
        <w:numPr>
          <w:ilvl w:val="0"/>
          <w:numId w:val="3"/>
        </w:numPr>
      </w:pPr>
      <w:r>
        <w:lastRenderedPageBreak/>
        <w:t>Here is where I’d come to my conclusion – After discussing the different theories, we can see that many people behave in different ways due to a cultural influence, for example, their background and lifestyle. I’d make sure my conclusion is clear and the reader has a clear view of how I’ve answered the question.</w:t>
      </w:r>
    </w:p>
    <w:p w14:paraId="135FA61F" w14:textId="77777777" w:rsidR="00281D1D" w:rsidRDefault="00281D1D" w:rsidP="00281D1D"/>
    <w:p w14:paraId="5774AADB" w14:textId="77777777" w:rsidR="00281D1D" w:rsidRDefault="00281D1D" w:rsidP="00281D1D">
      <w:pPr>
        <w:pStyle w:val="ListParagraph"/>
      </w:pPr>
      <w:r>
        <w:t xml:space="preserve">Reference list </w:t>
      </w:r>
    </w:p>
    <w:p w14:paraId="31CB8B38" w14:textId="77777777" w:rsidR="00281D1D" w:rsidRDefault="00281D1D" w:rsidP="00281D1D">
      <w:pPr>
        <w:pStyle w:val="ListParagraph"/>
      </w:pPr>
      <w:r>
        <w:t xml:space="preserve">Fleeson, W., &amp; </w:t>
      </w:r>
      <w:proofErr w:type="spellStart"/>
      <w:r>
        <w:t>Jayawickreme</w:t>
      </w:r>
      <w:proofErr w:type="spellEnd"/>
      <w:r>
        <w:t xml:space="preserve">, E. (2025). Getting from states to traits: whole trait theory’s explanatory and developmental engine. European Journal of Personality. </w:t>
      </w:r>
      <w:hyperlink r:id="rId17" w:history="1">
        <w:r w:rsidRPr="001A7E4E">
          <w:rPr>
            <w:rStyle w:val="Hyperlink"/>
          </w:rPr>
          <w:t>https://doi.org/10.1177/08902070251366709</w:t>
        </w:r>
      </w:hyperlink>
    </w:p>
    <w:p w14:paraId="68A8C041" w14:textId="77777777" w:rsidR="00281D1D" w:rsidRDefault="00281D1D" w:rsidP="00281D1D">
      <w:pPr>
        <w:pStyle w:val="ListParagraph"/>
      </w:pPr>
    </w:p>
    <w:p w14:paraId="2CE46072" w14:textId="77777777" w:rsidR="00281D1D" w:rsidRDefault="00281D1D" w:rsidP="00281D1D">
      <w:pPr>
        <w:pStyle w:val="ListParagraph"/>
      </w:pPr>
      <w:r>
        <w:t xml:space="preserve">Rockstuhl, T., Ng, K. Y., Ang, S., </w:t>
      </w:r>
      <w:proofErr w:type="spellStart"/>
      <w:r>
        <w:t>Tuncdogan</w:t>
      </w:r>
      <w:proofErr w:type="spellEnd"/>
      <w:r>
        <w:t xml:space="preserve">, A., Acar, O. A., </w:t>
      </w:r>
      <w:proofErr w:type="spellStart"/>
      <w:r>
        <w:t>Volberda</w:t>
      </w:r>
      <w:proofErr w:type="spellEnd"/>
      <w:r>
        <w:t xml:space="preserve">, H. W., &amp; de Ruyter, K. (2024). Cultural intelligence and personality: Differential effects of plasticity and stability meta-traits. In the oxford handbook of individual differences in organizational contexts. Oxford University Press. </w:t>
      </w:r>
      <w:hyperlink r:id="rId18" w:history="1">
        <w:r w:rsidRPr="001A7E4E">
          <w:rPr>
            <w:rStyle w:val="Hyperlink"/>
          </w:rPr>
          <w:t>https://doi.org/10.1093/oxfordhb/9780192897114.013.2</w:t>
        </w:r>
      </w:hyperlink>
    </w:p>
    <w:p w14:paraId="5054BF4B" w14:textId="77777777" w:rsidR="00281D1D" w:rsidRDefault="00281D1D" w:rsidP="00281D1D">
      <w:pPr>
        <w:pStyle w:val="ListParagraph"/>
      </w:pPr>
    </w:p>
    <w:p w14:paraId="5E3B7DD4" w14:textId="77777777" w:rsidR="00281D1D" w:rsidRDefault="00281D1D" w:rsidP="00281D1D">
      <w:pPr>
        <w:pStyle w:val="ListParagraph"/>
      </w:pPr>
      <w:r>
        <w:t xml:space="preserve">Steyer, R., Schmitt, M., &amp; Eid, M. (1999). Latent- site – trait theory and research in personality and individual differences. European Journal of Personality, 13 (5), 389-408. </w:t>
      </w:r>
      <w:hyperlink r:id="rId19" w:history="1">
        <w:r w:rsidRPr="001A7E4E">
          <w:rPr>
            <w:rStyle w:val="Hyperlink"/>
          </w:rPr>
          <w:t>https://doi.org/10.1002/(SICI)1099-0984(199909/10)13:5</w:t>
        </w:r>
      </w:hyperlink>
    </w:p>
    <w:p w14:paraId="2B572933" w14:textId="77777777" w:rsidR="00281D1D" w:rsidRDefault="00281D1D" w:rsidP="00281D1D">
      <w:pPr>
        <w:pStyle w:val="ListParagraph"/>
      </w:pPr>
    </w:p>
    <w:p w14:paraId="49D454AE" w14:textId="77777777" w:rsidR="00281D1D" w:rsidRDefault="00281D1D" w:rsidP="00281D1D">
      <w:pPr>
        <w:pStyle w:val="ListParagraph"/>
      </w:pPr>
    </w:p>
    <w:p w14:paraId="71C1782A" w14:textId="77777777" w:rsidR="00281D1D" w:rsidRDefault="00281D1D" w:rsidP="00281D1D">
      <w:pPr>
        <w:pStyle w:val="ListParagraph"/>
      </w:pPr>
      <w:r>
        <w:rPr>
          <w:noProof/>
        </w:rPr>
        <w:drawing>
          <wp:inline distT="0" distB="0" distL="0" distR="0" wp14:anchorId="32523BFD" wp14:editId="17D42B42">
            <wp:extent cx="2813778" cy="1349828"/>
            <wp:effectExtent l="0" t="0" r="0" b="0"/>
            <wp:docPr id="1618283361"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83361" name="Picture 2"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96773" cy="1389642"/>
                    </a:xfrm>
                    <a:prstGeom prst="rect">
                      <a:avLst/>
                    </a:prstGeom>
                  </pic:spPr>
                </pic:pic>
              </a:graphicData>
            </a:graphic>
          </wp:inline>
        </w:drawing>
      </w:r>
      <w:r>
        <w:rPr>
          <w:noProof/>
        </w:rPr>
        <w:drawing>
          <wp:inline distT="0" distB="0" distL="0" distR="0" wp14:anchorId="418C4E5B" wp14:editId="3EA6C88F">
            <wp:extent cx="2816866" cy="1886857"/>
            <wp:effectExtent l="0" t="0" r="2540" b="5715"/>
            <wp:docPr id="853803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80359" name="Picture 1"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68850" cy="1921678"/>
                    </a:xfrm>
                    <a:prstGeom prst="rect">
                      <a:avLst/>
                    </a:prstGeom>
                  </pic:spPr>
                </pic:pic>
              </a:graphicData>
            </a:graphic>
          </wp:inline>
        </w:drawing>
      </w:r>
    </w:p>
    <w:p w14:paraId="262BE51C" w14:textId="77777777" w:rsidR="00281D1D" w:rsidRDefault="00281D1D" w:rsidP="00281D1D">
      <w:pPr>
        <w:pStyle w:val="ListParagraph"/>
      </w:pPr>
    </w:p>
    <w:p w14:paraId="7D0134C4" w14:textId="77777777" w:rsidR="00281D1D" w:rsidRDefault="00281D1D" w:rsidP="00281D1D">
      <w:pPr>
        <w:pStyle w:val="ListParagraph"/>
      </w:pPr>
      <w:r>
        <w:t xml:space="preserve">Above are the screenshots of the information I used from the search library. I would determine that the sources were appropriate to use by using CRAAP, as this allows </w:t>
      </w:r>
      <w:r>
        <w:lastRenderedPageBreak/>
        <w:t>me to see how the info would be appropriate to the topic I will be discussing, shows me the source of the info, how reliable the info is and why the info exists.</w:t>
      </w:r>
    </w:p>
    <w:p w14:paraId="531EFA3A" w14:textId="77777777" w:rsidR="008F01F2" w:rsidRDefault="008F01F2"/>
    <w:sectPr w:rsidR="008F01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Karla">
    <w:panose1 w:val="00000000000000000000"/>
    <w:charset w:val="4D"/>
    <w:family w:val="auto"/>
    <w:pitch w:val="variable"/>
    <w:sig w:usb0="A00000EF" w:usb1="4000205B" w:usb2="00000000" w:usb3="00000000" w:csb0="00000093"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841876"/>
    <w:multiLevelType w:val="hybridMultilevel"/>
    <w:tmpl w:val="2B1AD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94026B"/>
    <w:multiLevelType w:val="hybridMultilevel"/>
    <w:tmpl w:val="E84AF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F70185"/>
    <w:multiLevelType w:val="hybridMultilevel"/>
    <w:tmpl w:val="172E9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0738038">
    <w:abstractNumId w:val="2"/>
  </w:num>
  <w:num w:numId="2" w16cid:durableId="1178229586">
    <w:abstractNumId w:val="0"/>
  </w:num>
  <w:num w:numId="3" w16cid:durableId="6859124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3DE"/>
    <w:rsid w:val="00147711"/>
    <w:rsid w:val="00281D1D"/>
    <w:rsid w:val="004C2F8E"/>
    <w:rsid w:val="006B03FA"/>
    <w:rsid w:val="008341C8"/>
    <w:rsid w:val="0085704E"/>
    <w:rsid w:val="008F01F2"/>
    <w:rsid w:val="00B261B4"/>
    <w:rsid w:val="00DC63DE"/>
    <w:rsid w:val="00F21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A5D2F0"/>
  <w15:chartTrackingRefBased/>
  <w15:docId w15:val="{049297FC-8780-114A-86F8-A42752BB7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3D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C63D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C63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C63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C63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C63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3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3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3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3D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C63D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C63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C63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C63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C63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3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3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3DE"/>
    <w:rPr>
      <w:rFonts w:eastAsiaTheme="majorEastAsia" w:cstheme="majorBidi"/>
      <w:color w:val="272727" w:themeColor="text1" w:themeTint="D8"/>
    </w:rPr>
  </w:style>
  <w:style w:type="paragraph" w:styleId="Title">
    <w:name w:val="Title"/>
    <w:basedOn w:val="Normal"/>
    <w:next w:val="Normal"/>
    <w:link w:val="TitleChar"/>
    <w:uiPriority w:val="10"/>
    <w:qFormat/>
    <w:rsid w:val="00DC63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3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3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3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3DE"/>
    <w:pPr>
      <w:spacing w:before="160"/>
      <w:jc w:val="center"/>
    </w:pPr>
    <w:rPr>
      <w:i/>
      <w:iCs/>
      <w:color w:val="404040" w:themeColor="text1" w:themeTint="BF"/>
    </w:rPr>
  </w:style>
  <w:style w:type="character" w:customStyle="1" w:styleId="QuoteChar">
    <w:name w:val="Quote Char"/>
    <w:basedOn w:val="DefaultParagraphFont"/>
    <w:link w:val="Quote"/>
    <w:uiPriority w:val="29"/>
    <w:rsid w:val="00DC63DE"/>
    <w:rPr>
      <w:i/>
      <w:iCs/>
      <w:color w:val="404040" w:themeColor="text1" w:themeTint="BF"/>
    </w:rPr>
  </w:style>
  <w:style w:type="paragraph" w:styleId="ListParagraph">
    <w:name w:val="List Paragraph"/>
    <w:basedOn w:val="Normal"/>
    <w:uiPriority w:val="34"/>
    <w:qFormat/>
    <w:rsid w:val="00DC63DE"/>
    <w:pPr>
      <w:ind w:left="720"/>
      <w:contextualSpacing/>
    </w:pPr>
  </w:style>
  <w:style w:type="character" w:styleId="IntenseEmphasis">
    <w:name w:val="Intense Emphasis"/>
    <w:basedOn w:val="DefaultParagraphFont"/>
    <w:uiPriority w:val="21"/>
    <w:qFormat/>
    <w:rsid w:val="00DC63DE"/>
    <w:rPr>
      <w:i/>
      <w:iCs/>
      <w:color w:val="2F5496" w:themeColor="accent1" w:themeShade="BF"/>
    </w:rPr>
  </w:style>
  <w:style w:type="paragraph" w:styleId="IntenseQuote">
    <w:name w:val="Intense Quote"/>
    <w:basedOn w:val="Normal"/>
    <w:next w:val="Normal"/>
    <w:link w:val="IntenseQuoteChar"/>
    <w:uiPriority w:val="30"/>
    <w:qFormat/>
    <w:rsid w:val="00DC63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C63DE"/>
    <w:rPr>
      <w:i/>
      <w:iCs/>
      <w:color w:val="2F5496" w:themeColor="accent1" w:themeShade="BF"/>
    </w:rPr>
  </w:style>
  <w:style w:type="character" w:styleId="IntenseReference">
    <w:name w:val="Intense Reference"/>
    <w:basedOn w:val="DefaultParagraphFont"/>
    <w:uiPriority w:val="32"/>
    <w:qFormat/>
    <w:rsid w:val="00DC63DE"/>
    <w:rPr>
      <w:b/>
      <w:bCs/>
      <w:smallCaps/>
      <w:color w:val="2F5496" w:themeColor="accent1" w:themeShade="BF"/>
      <w:spacing w:val="5"/>
    </w:rPr>
  </w:style>
  <w:style w:type="character" w:styleId="Hyperlink">
    <w:name w:val="Hyperlink"/>
    <w:basedOn w:val="DefaultParagraphFont"/>
    <w:uiPriority w:val="99"/>
    <w:unhideWhenUsed/>
    <w:rsid w:val="00DC63DE"/>
    <w:rPr>
      <w:color w:val="0563C1" w:themeColor="hyperlink"/>
      <w:u w:val="single"/>
    </w:rPr>
  </w:style>
  <w:style w:type="character" w:styleId="UnresolvedMention">
    <w:name w:val="Unresolved Mention"/>
    <w:basedOn w:val="DefaultParagraphFont"/>
    <w:uiPriority w:val="99"/>
    <w:semiHidden/>
    <w:unhideWhenUsed/>
    <w:rsid w:val="00DC63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times.com/climate/coastal-impact" TargetMode="External"/><Relationship Id="rId13" Type="http://schemas.openxmlformats.org/officeDocument/2006/relationships/hyperlink" Target="https://www.ox.ac.uk/students/academic/referencing" TargetMode="External"/><Relationship Id="rId18" Type="http://schemas.openxmlformats.org/officeDocument/2006/relationships/hyperlink" Target="https://doi.org/10.1093/oxfordhb/9780192897114.013.2" TargetMode="External"/><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yperlink" Target="https://www.gov.uk/government/publicactions/ukclimate-change-risk" TargetMode="External"/><Relationship Id="rId12" Type="http://schemas.openxmlformats.org/officeDocument/2006/relationships/hyperlink" Target="https://doi.org/10.1016/j.jadoheath.2017.11.290" TargetMode="External"/><Relationship Id="rId17" Type="http://schemas.openxmlformats.org/officeDocument/2006/relationships/hyperlink" Target="https://doi.org/10.1177/08902070251366709" TargetMode="External"/><Relationship Id="rId2" Type="http://schemas.openxmlformats.org/officeDocument/2006/relationships/styles" Target="styles.xml"/><Relationship Id="rId16" Type="http://schemas.openxmlformats.org/officeDocument/2006/relationships/hyperlink" Target="https://doi.org/10.1145/3313831.3376310" TargetMode="External"/><Relationship Id="rId2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hyperlink" Target="https://www.bps.org.uk/psychologist/how-does-music-make-you-feel" TargetMode="External"/><Relationship Id="rId11" Type="http://schemas.openxmlformats.org/officeDocument/2006/relationships/hyperlink" Target="https://mindfulliving.com/how-mindfulnessimproves-productivity" TargetMode="External"/><Relationship Id="rId5" Type="http://schemas.openxmlformats.org/officeDocument/2006/relationships/hyperlink" Target="https://www.grammarly.com/" TargetMode="External"/><Relationship Id="rId15" Type="http://schemas.openxmlformats.org/officeDocument/2006/relationships/hyperlink" Target="https://escholarship.org/uc/item/7gp4v2cd" TargetMode="External"/><Relationship Id="rId23" Type="http://schemas.openxmlformats.org/officeDocument/2006/relationships/theme" Target="theme/theme1.xml"/><Relationship Id="rId10" Type="http://schemas.openxmlformats.org/officeDocument/2006/relationships/hyperlink" Target="https://doi.org/10.1037/xge0001223" TargetMode="External"/><Relationship Id="rId19" Type="http://schemas.openxmlformats.org/officeDocument/2006/relationships/hyperlink" Target="https://doi.org/10.1002/(SICI)1099-0984(199909/10)13:5" TargetMode="External"/><Relationship Id="rId4" Type="http://schemas.openxmlformats.org/officeDocument/2006/relationships/webSettings" Target="webSettings.xml"/><Relationship Id="rId9" Type="http://schemas.openxmlformats.org/officeDocument/2006/relationships/hyperlink" Target="https://doi.org/10.1007/s11423-02009834-7" TargetMode="External"/><Relationship Id="rId14" Type="http://schemas.openxmlformats.org/officeDocument/2006/relationships/hyperlink" Target="https://tech.ed.gov/netp"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7</Pages>
  <Words>1659</Words>
  <Characters>9460</Characters>
  <Application>Microsoft Office Word</Application>
  <DocSecurity>0</DocSecurity>
  <Lines>78</Lines>
  <Paragraphs>22</Paragraphs>
  <ScaleCrop>false</ScaleCrop>
  <Company/>
  <LinksUpToDate>false</LinksUpToDate>
  <CharactersWithSpaces>11097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Gill (2514857)</dc:creator>
  <cp:keywords/>
  <dc:description/>
  <cp:lastModifiedBy>Steffan Gill (2514857)</cp:lastModifiedBy>
  <cp:revision>9</cp:revision>
  <dcterms:created xsi:type="dcterms:W3CDTF">2025-11-04T18:23:00Z</dcterms:created>
  <dcterms:modified xsi:type="dcterms:W3CDTF">2025-11-04T19:04:00Z</dcterms:modified>
</cp:coreProperties>
</file>