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CEEFC" w14:textId="316B1452" w:rsidR="00053855" w:rsidRDefault="5E105B65" w:rsidP="005062A3">
      <w:pPr>
        <w:spacing w:line="480" w:lineRule="auto"/>
      </w:pPr>
      <w:r>
        <w:t xml:space="preserve">Corentine Byrd </w:t>
      </w:r>
    </w:p>
    <w:p w14:paraId="054221A4" w14:textId="0188D53F" w:rsidR="00053855" w:rsidRDefault="169C3235" w:rsidP="005062A3">
      <w:pPr>
        <w:spacing w:line="480" w:lineRule="auto"/>
      </w:pPr>
      <w:r>
        <w:t>HPHI4011</w:t>
      </w:r>
    </w:p>
    <w:p w14:paraId="5E5787A5" w14:textId="3032B240" w:rsidR="00053855" w:rsidRDefault="24EA9433" w:rsidP="005062A3">
      <w:pPr>
        <w:spacing w:line="480" w:lineRule="auto"/>
      </w:pPr>
      <w:r>
        <w:t>Evaluating the 1805 Haitian constitution as a primary source</w:t>
      </w:r>
      <w:r w:rsidR="00000000">
        <w:br/>
      </w:r>
      <w:r w:rsidR="00000000">
        <w:br/>
      </w:r>
      <w:r w:rsidR="42F58A0E">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2D94732" w14:textId="0455B5B0" w:rsidR="64827DD3" w:rsidRDefault="64827DD3" w:rsidP="005062A3">
      <w:pPr>
        <w:spacing w:line="480" w:lineRule="auto"/>
      </w:pPr>
    </w:p>
    <w:p w14:paraId="30BACC90" w14:textId="54FC9A43" w:rsidR="64827DD3" w:rsidRDefault="64827DD3" w:rsidP="005062A3">
      <w:pPr>
        <w:spacing w:line="480" w:lineRule="auto"/>
      </w:pPr>
    </w:p>
    <w:p w14:paraId="6E450DAD" w14:textId="075287C5" w:rsidR="64827DD3" w:rsidRDefault="64827DD3" w:rsidP="005062A3">
      <w:pPr>
        <w:spacing w:line="480" w:lineRule="auto"/>
      </w:pPr>
    </w:p>
    <w:p w14:paraId="321A1870" w14:textId="48B415A4" w:rsidR="64827DD3" w:rsidRDefault="64827DD3" w:rsidP="005062A3">
      <w:pPr>
        <w:spacing w:line="480" w:lineRule="auto"/>
      </w:pPr>
    </w:p>
    <w:p w14:paraId="40699057" w14:textId="28077481" w:rsidR="64827DD3" w:rsidRDefault="64827DD3" w:rsidP="005062A3">
      <w:pPr>
        <w:spacing w:line="480" w:lineRule="auto"/>
      </w:pPr>
    </w:p>
    <w:p w14:paraId="103149AA" w14:textId="1E3A6305" w:rsidR="64827DD3" w:rsidRDefault="64827DD3" w:rsidP="005062A3">
      <w:pPr>
        <w:spacing w:line="480" w:lineRule="auto"/>
      </w:pPr>
    </w:p>
    <w:p w14:paraId="7C4341DD" w14:textId="05265750" w:rsidR="64827DD3" w:rsidRDefault="64827DD3" w:rsidP="005062A3">
      <w:pPr>
        <w:spacing w:line="480" w:lineRule="auto"/>
      </w:pPr>
    </w:p>
    <w:p w14:paraId="6B39AB60" w14:textId="7223FBB3" w:rsidR="64827DD3" w:rsidRDefault="64827DD3" w:rsidP="005062A3">
      <w:pPr>
        <w:spacing w:line="480" w:lineRule="auto"/>
      </w:pPr>
    </w:p>
    <w:p w14:paraId="4E9B4209" w14:textId="4603DC4B" w:rsidR="64827DD3" w:rsidRDefault="64827DD3" w:rsidP="005062A3">
      <w:pPr>
        <w:spacing w:line="480" w:lineRule="auto"/>
      </w:pPr>
    </w:p>
    <w:p w14:paraId="667DB1BA" w14:textId="7EAF007B" w:rsidR="64827DD3" w:rsidRDefault="64827DD3" w:rsidP="005062A3">
      <w:pPr>
        <w:spacing w:line="480" w:lineRule="auto"/>
      </w:pPr>
    </w:p>
    <w:p w14:paraId="015079AF" w14:textId="77777777" w:rsidR="005062A3" w:rsidRDefault="005062A3" w:rsidP="005062A3">
      <w:pPr>
        <w:spacing w:line="480" w:lineRule="auto"/>
      </w:pPr>
    </w:p>
    <w:p w14:paraId="48AB0888" w14:textId="77777777" w:rsidR="005062A3" w:rsidRDefault="60BB2660" w:rsidP="005062A3">
      <w:pPr>
        <w:spacing w:line="480" w:lineRule="auto"/>
      </w:pPr>
      <w:r>
        <w:lastRenderedPageBreak/>
        <w:t xml:space="preserve">The 1805 constitution of Haiti was </w:t>
      </w:r>
      <w:r w:rsidR="31ABFEEB">
        <w:t>published in the New York Evening-Post in 1805</w:t>
      </w:r>
      <w:r w:rsidR="2E50AA86">
        <w:t xml:space="preserve"> following the</w:t>
      </w:r>
      <w:r w:rsidR="193707F3">
        <w:t xml:space="preserve"> end of active conflict against the French Empire in the Haitian revolutionary period (here defined as 1790-1805)</w:t>
      </w:r>
      <w:r w:rsidR="2E50AA86">
        <w:t xml:space="preserve"> </w:t>
      </w:r>
      <w:r w:rsidR="2E1093B3">
        <w:t xml:space="preserve">and serves as a continuation of the ideals of freedom following the </w:t>
      </w:r>
      <w:r w:rsidR="2E50AA86">
        <w:t>declaration of independence</w:t>
      </w:r>
      <w:r w:rsidR="5168499C">
        <w:t xml:space="preserve"> published the year prior</w:t>
      </w:r>
      <w:r w:rsidR="2E50AA86">
        <w:t>.</w:t>
      </w:r>
      <w:r w:rsidR="2112A878">
        <w:t xml:space="preserve"> It was </w:t>
      </w:r>
      <w:r w:rsidR="75BD820C">
        <w:t>primarily</w:t>
      </w:r>
      <w:r w:rsidR="2112A878">
        <w:t xml:space="preserve"> authored by Juste Chanlatte, then the secretary-general to Emperor Jean-Jacques Dessalines</w:t>
      </w:r>
      <w:r w:rsidR="14D90130">
        <w:t>, though it had signatures from many other notable figures of the revolutionary period. While it is on its surface a</w:t>
      </w:r>
      <w:r w:rsidR="704E2029">
        <w:t xml:space="preserve"> simple legal document establishing th</w:t>
      </w:r>
      <w:r w:rsidR="67117E6C">
        <w:t>e existence of a Haitian state</w:t>
      </w:r>
      <w:r w:rsidR="7752C780">
        <w:t xml:space="preserve">, it can be used to infer attitudes from the leading figures in newly independent Haiti, though its authorship in the service of Dessalines makes it difficult to ascertain what is </w:t>
      </w:r>
      <w:r w:rsidR="523ED46B">
        <w:t>the belief of the Haitian people and what is that of Dessalines. It is also a key document in understanding the racial politics of Haiti in 1805.</w:t>
      </w:r>
    </w:p>
    <w:p w14:paraId="202EA9C3" w14:textId="77777777" w:rsidR="005062A3" w:rsidRDefault="005062A3" w:rsidP="005062A3">
      <w:pPr>
        <w:spacing w:line="480" w:lineRule="auto"/>
      </w:pPr>
    </w:p>
    <w:p w14:paraId="0E249234" w14:textId="3F76B92F" w:rsidR="6A20AEC1" w:rsidRDefault="6A20AEC1" w:rsidP="005062A3">
      <w:pPr>
        <w:spacing w:line="480" w:lineRule="auto"/>
      </w:pPr>
      <w:r>
        <w:t xml:space="preserve">After a fifteen-year struggle for independence from the slave regime </w:t>
      </w:r>
      <w:r w:rsidR="49DDD797">
        <w:t xml:space="preserve">enforced upon the colony of Saint-Domingue by the </w:t>
      </w:r>
      <w:r w:rsidR="07E0C4D0">
        <w:t xml:space="preserve">French </w:t>
      </w:r>
      <w:r w:rsidR="66ADEFD9">
        <w:t>E</w:t>
      </w:r>
      <w:r w:rsidR="07E0C4D0">
        <w:t>mpire, Jean-Jacques Dessalines</w:t>
      </w:r>
      <w:r w:rsidR="386109AB">
        <w:t xml:space="preserve"> was declared</w:t>
      </w:r>
      <w:r w:rsidR="07E0C4D0">
        <w:t xml:space="preserve"> Emperor of Hait</w:t>
      </w:r>
      <w:r w:rsidR="0406B5A4">
        <w:t>i</w:t>
      </w:r>
      <w:r w:rsidR="19D0123C">
        <w:t xml:space="preserve"> in 1804</w:t>
      </w:r>
      <w:r w:rsidR="6F26CEAB">
        <w:t>. While he was the leader of the new nation, he was not the author of the constitution</w:t>
      </w:r>
      <w:r w:rsidR="27BA68C1">
        <w:t>, nor was he the sole person in power to authorise its publication</w:t>
      </w:r>
      <w:r w:rsidR="6F26CEAB">
        <w:t xml:space="preserve">. </w:t>
      </w:r>
      <w:r w:rsidR="236BE1D7">
        <w:t xml:space="preserve">Twenty-five names are listed as </w:t>
      </w:r>
      <w:r w:rsidR="05CF3BCD">
        <w:t>signatories</w:t>
      </w:r>
      <w:r w:rsidR="236BE1D7">
        <w:t>, all notable revolutionary leaders, including future leader</w:t>
      </w:r>
      <w:r w:rsidR="6A6FCB6C">
        <w:t>s</w:t>
      </w:r>
      <w:r w:rsidR="236BE1D7">
        <w:t xml:space="preserve"> of Haiti </w:t>
      </w:r>
      <w:r w:rsidR="0DD06642">
        <w:t>Alexandre Pétion</w:t>
      </w:r>
      <w:r w:rsidR="041A1966">
        <w:t xml:space="preserve"> and Henry Christophe</w:t>
      </w:r>
      <w:r w:rsidR="59D896C5">
        <w:t xml:space="preserve"> as well as many</w:t>
      </w:r>
      <w:r w:rsidR="236BE1D7">
        <w:t xml:space="preserve"> </w:t>
      </w:r>
      <w:r w:rsidR="1407FA70">
        <w:t>generals</w:t>
      </w:r>
      <w:r w:rsidR="6B20F8EC">
        <w:t>, including</w:t>
      </w:r>
      <w:r w:rsidR="15327B0D">
        <w:t xml:space="preserve"> Martial Besse, François Capois, Augustin Clerveaux,</w:t>
      </w:r>
      <w:r w:rsidR="1407FA70">
        <w:t xml:space="preserve"> Louis Gabart</w:t>
      </w:r>
      <w:r w:rsidR="227C5BB5">
        <w:t xml:space="preserve"> and</w:t>
      </w:r>
      <w:r w:rsidR="1407FA70">
        <w:t xml:space="preserve"> </w:t>
      </w:r>
      <w:r w:rsidR="5C1E207D">
        <w:t>Étienne Magny</w:t>
      </w:r>
      <w:r w:rsidR="257174FE">
        <w:t>.</w:t>
      </w:r>
      <w:r w:rsidRPr="64827DD3">
        <w:rPr>
          <w:rStyle w:val="FootnoteReference"/>
        </w:rPr>
        <w:footnoteReference w:id="1"/>
      </w:r>
      <w:r w:rsidR="6FB71578">
        <w:t xml:space="preserve"> To have every major political figure available listed as </w:t>
      </w:r>
      <w:r w:rsidR="1BDA8E48">
        <w:lastRenderedPageBreak/>
        <w:t>signatorie</w:t>
      </w:r>
      <w:r w:rsidR="4CCBD3F1">
        <w:t>s lends authenticity to th</w:t>
      </w:r>
      <w:r w:rsidR="54F09B1E">
        <w:t xml:space="preserve">e popularity of the movement, </w:t>
      </w:r>
      <w:r w:rsidR="3C49050F">
        <w:t xml:space="preserve">and their specific natures also indicate the diversity of the revolutionary period’s leaders. </w:t>
      </w:r>
      <w:r w:rsidR="7EB50563">
        <w:t xml:space="preserve">Alexandre Pétion, among other signatories listed, was a </w:t>
      </w:r>
      <w:r w:rsidR="7EB50563" w:rsidRPr="64827DD3">
        <w:rPr>
          <w:i/>
          <w:iCs/>
        </w:rPr>
        <w:t>gen de couleur</w:t>
      </w:r>
      <w:r w:rsidR="49551193" w:rsidRPr="64827DD3">
        <w:rPr>
          <w:i/>
          <w:iCs/>
        </w:rPr>
        <w:t xml:space="preserve"> libre</w:t>
      </w:r>
      <w:r w:rsidR="7EB50563" w:rsidRPr="64827DD3">
        <w:rPr>
          <w:i/>
          <w:iCs/>
        </w:rPr>
        <w:t xml:space="preserve"> </w:t>
      </w:r>
      <w:r w:rsidR="3C49050F">
        <w:t>(or free-</w:t>
      </w:r>
      <w:r w:rsidR="49FE6DBA">
        <w:t>coloured</w:t>
      </w:r>
      <w:r w:rsidR="3C49050F">
        <w:t>)</w:t>
      </w:r>
      <w:r w:rsidR="16D1A0EC">
        <w:t xml:space="preserve"> Haitian, a group which had historically </w:t>
      </w:r>
      <w:r w:rsidR="54815E18">
        <w:t>had access to</w:t>
      </w:r>
      <w:r w:rsidR="16D1A0EC">
        <w:t xml:space="preserve"> </w:t>
      </w:r>
      <w:r w:rsidR="2539F2C8">
        <w:t xml:space="preserve">higher positions of power </w:t>
      </w:r>
      <w:r w:rsidR="5571D8F8">
        <w:t>than black Haitians</w:t>
      </w:r>
      <w:r w:rsidR="74DA22CA">
        <w:t xml:space="preserve"> and had previously been unsympathetic to the enslaved people’s cause, with the early free-coloured revolution lead by</w:t>
      </w:r>
      <w:r w:rsidR="03F0FECE">
        <w:t xml:space="preserve"> </w:t>
      </w:r>
      <w:r w:rsidR="1A2BF591">
        <w:t xml:space="preserve">businessman </w:t>
      </w:r>
      <w:r w:rsidR="03F0FECE">
        <w:t>Vincent Ogé</w:t>
      </w:r>
      <w:r w:rsidR="4AE8B74C">
        <w:t xml:space="preserve"> and colonial militia officer Jean-Baptiste Chavanne</w:t>
      </w:r>
      <w:r w:rsidR="03F0FECE">
        <w:t xml:space="preserve"> </w:t>
      </w:r>
      <w:r w:rsidR="78FB3B81">
        <w:t>outright rejecting the involvement of the enslaved Haitians in their uprising, despite Chavanne encouraging this.</w:t>
      </w:r>
      <w:r w:rsidRPr="64827DD3">
        <w:rPr>
          <w:rStyle w:val="FootnoteReference"/>
        </w:rPr>
        <w:footnoteReference w:id="2"/>
      </w:r>
      <w:r w:rsidR="3C198A0A">
        <w:t xml:space="preserve"> That free-coloured men proliferated the highest ranks of the newly independent Haitian government can tell a modern reader that the line between free-coloured and black Haitians is less clear than was long believ</w:t>
      </w:r>
      <w:r w:rsidR="6AF5C70B">
        <w:t xml:space="preserve">ed to have been the case. It must be noted, however, that none of these signatories </w:t>
      </w:r>
      <w:r w:rsidR="6178DC2A">
        <w:t>are explicitly listed as having written the constitution, with Juste Chanlatte listed as the author</w:t>
      </w:r>
      <w:r w:rsidRPr="64827DD3">
        <w:rPr>
          <w:rStyle w:val="FootnoteReference"/>
        </w:rPr>
        <w:footnoteReference w:id="3"/>
      </w:r>
      <w:r w:rsidR="6178DC2A">
        <w:t>.</w:t>
      </w:r>
      <w:r w:rsidR="3A67905D">
        <w:t xml:space="preserve"> As Chanlatte served directly under Emperor Jean-Jacques Dessalines, it is unclear how much of the constitution may truly have been shaped by popular demand, and how much may have instead been influenced by the ideology and desires of Dessalines.</w:t>
      </w:r>
      <w:r w:rsidR="1CA51ACD">
        <w:t xml:space="preserve"> The translator of the constitution of Haiti found in 1805 is also </w:t>
      </w:r>
      <w:r w:rsidR="3333CC42">
        <w:t>unknown and</w:t>
      </w:r>
      <w:r w:rsidR="1CA51ACD">
        <w:t xml:space="preserve"> therefore may have an ideological bent influenced by the attitudes of the white readership in </w:t>
      </w:r>
      <w:r w:rsidR="16C40F69">
        <w:t>New York in 1805</w:t>
      </w:r>
      <w:r w:rsidR="120D4F2A">
        <w:t xml:space="preserve">. Slavery would not be </w:t>
      </w:r>
      <w:r w:rsidR="6B0C9EEF">
        <w:t xml:space="preserve">fully </w:t>
      </w:r>
      <w:r w:rsidR="120D4F2A">
        <w:t xml:space="preserve">abolished in New York until 1827, and therefore it must be considered that </w:t>
      </w:r>
      <w:r w:rsidR="120D4F2A">
        <w:lastRenderedPageBreak/>
        <w:t>any translation for this audience would be inherently against the independence of slaves for fear of the same happening to their own.</w:t>
      </w:r>
      <w:r w:rsidRPr="64827DD3">
        <w:rPr>
          <w:rStyle w:val="FootnoteReference"/>
        </w:rPr>
        <w:footnoteReference w:id="4"/>
      </w:r>
    </w:p>
    <w:p w14:paraId="5DF3DF20" w14:textId="6FC3C47C" w:rsidR="005062A3" w:rsidRDefault="70ECFDF7" w:rsidP="005062A3">
      <w:pPr>
        <w:spacing w:line="480" w:lineRule="auto"/>
      </w:pPr>
      <w:r>
        <w:t xml:space="preserve">There are several target audiences for the 1805 constitution of Haiti. </w:t>
      </w:r>
      <w:r w:rsidR="0E467709">
        <w:t>For one, i</w:t>
      </w:r>
      <w:r>
        <w:t xml:space="preserve">t is intended as a legal document to formalise and legitimise the independence and existence of a Haitian nation, </w:t>
      </w:r>
      <w:r w:rsidR="7CC2EB15">
        <w:t xml:space="preserve">with its leaders representing the voices of their people. Along with its signatories and authors, the opening of the constitution </w:t>
      </w:r>
      <w:r w:rsidR="215BB499">
        <w:t>as ‘the free spontaneous and invariable expression of our hearts, and the general will of our constituents’</w:t>
      </w:r>
      <w:r w:rsidRPr="64827DD3">
        <w:rPr>
          <w:rStyle w:val="FootnoteReference"/>
        </w:rPr>
        <w:footnoteReference w:id="5"/>
      </w:r>
      <w:r w:rsidR="215BB499">
        <w:t>. To clarify that the</w:t>
      </w:r>
      <w:r w:rsidR="6C7C8DEF">
        <w:t xml:space="preserve">y </w:t>
      </w:r>
      <w:r w:rsidR="000A8A90">
        <w:t>are acting upon the</w:t>
      </w:r>
      <w:r w:rsidR="215BB499">
        <w:t xml:space="preserve"> will of the people is </w:t>
      </w:r>
      <w:r w:rsidR="650F865F">
        <w:t>directed towards their Haitian constituents</w:t>
      </w:r>
      <w:r w:rsidR="3BA44718">
        <w:t xml:space="preserve"> and can be interpreted as an active repudiation of the non-representative, undemocratic ruling ideology of the French Empire.</w:t>
      </w:r>
      <w:r w:rsidR="67E47414">
        <w:t xml:space="preserve"> Almost immediately, it is stated that ‘slavery is forever abolished’, thus entirely prohibiting its return.</w:t>
      </w:r>
      <w:r w:rsidRPr="64827DD3">
        <w:rPr>
          <w:rStyle w:val="FootnoteReference"/>
        </w:rPr>
        <w:footnoteReference w:id="6"/>
      </w:r>
      <w:r w:rsidR="3BA44718">
        <w:t xml:space="preserve"> </w:t>
      </w:r>
      <w:r w:rsidR="3582A08D">
        <w:t>The constitution of Haiti is also targeted toward the imperial and colonial powers of Europe, repe</w:t>
      </w:r>
      <w:r w:rsidR="43D43D42">
        <w:t xml:space="preserve">atedly and explicitly restricting any </w:t>
      </w:r>
      <w:r w:rsidR="183D1580">
        <w:t>positions of power or permanent residency within</w:t>
      </w:r>
      <w:r w:rsidR="43D43D42">
        <w:t xml:space="preserve"> Haiti from </w:t>
      </w:r>
      <w:r w:rsidR="6610F117">
        <w:t>these colonial forces.</w:t>
      </w:r>
    </w:p>
    <w:p w14:paraId="7C9A75F6" w14:textId="0EA39400" w:rsidR="1FC66C52" w:rsidRDefault="1FC66C52" w:rsidP="005062A3">
      <w:pPr>
        <w:spacing w:line="480" w:lineRule="auto"/>
        <w:ind w:firstLine="720"/>
      </w:pPr>
      <w:r>
        <w:t>No whiteman of whatever nation he may be, shall put his foot on this territory</w:t>
      </w:r>
    </w:p>
    <w:p w14:paraId="1F2B7A48" w14:textId="74B895C3" w:rsidR="1FC66C52" w:rsidRDefault="1FC66C52" w:rsidP="005062A3">
      <w:pPr>
        <w:spacing w:line="480" w:lineRule="auto"/>
        <w:ind w:firstLine="720"/>
      </w:pPr>
      <w:r>
        <w:t>with the title of master or proprietor, neither shall he in future acquire any</w:t>
      </w:r>
    </w:p>
    <w:p w14:paraId="49767085" w14:textId="4455BE89" w:rsidR="64827DD3" w:rsidRDefault="1FC66C52" w:rsidP="005062A3">
      <w:pPr>
        <w:spacing w:line="480" w:lineRule="auto"/>
        <w:ind w:firstLine="720"/>
      </w:pPr>
      <w:r>
        <w:t>property therein.</w:t>
      </w:r>
      <w:r w:rsidRPr="64827DD3">
        <w:rPr>
          <w:rStyle w:val="FootnoteReference"/>
        </w:rPr>
        <w:footnoteReference w:id="7"/>
      </w:r>
    </w:p>
    <w:p w14:paraId="5CDA77EB" w14:textId="710DBB52" w:rsidR="36EECEB1" w:rsidRDefault="36EECEB1" w:rsidP="005062A3">
      <w:pPr>
        <w:spacing w:line="480" w:lineRule="auto"/>
      </w:pPr>
      <w:r>
        <w:lastRenderedPageBreak/>
        <w:t xml:space="preserve">It is important to note that this is a political designation, not a racial designation, despite the racialised language of explicitly referring to the Europeans as </w:t>
      </w:r>
      <w:r w:rsidR="18FD7490">
        <w:t xml:space="preserve">‘(whitemen) of whatever nation’. </w:t>
      </w:r>
      <w:r w:rsidR="3DAE280F">
        <w:t>The following articles of the constitution state:</w:t>
      </w:r>
    </w:p>
    <w:p w14:paraId="2C562B22" w14:textId="08643724" w:rsidR="0B864DAD" w:rsidRDefault="0B864DAD" w:rsidP="005062A3">
      <w:pPr>
        <w:spacing w:line="480" w:lineRule="auto"/>
        <w:ind w:firstLine="720"/>
      </w:pPr>
      <w:r>
        <w:t>The preceding article cannot in the smallest degree affect white woman who</w:t>
      </w:r>
    </w:p>
    <w:p w14:paraId="38E683F8" w14:textId="5711EF33" w:rsidR="0B864DAD" w:rsidRDefault="0B864DAD" w:rsidP="005062A3">
      <w:pPr>
        <w:spacing w:line="480" w:lineRule="auto"/>
        <w:ind w:firstLine="720"/>
      </w:pPr>
      <w:r>
        <w:t xml:space="preserve">have been naturalized </w:t>
      </w:r>
      <w:proofErr w:type="spellStart"/>
      <w:r>
        <w:t>Haytians</w:t>
      </w:r>
      <w:proofErr w:type="spellEnd"/>
      <w:r>
        <w:t xml:space="preserve"> by Government, nor does it extend to children</w:t>
      </w:r>
    </w:p>
    <w:p w14:paraId="36EB9557" w14:textId="788BA382" w:rsidR="0B864DAD" w:rsidRDefault="0B864DAD" w:rsidP="005062A3">
      <w:pPr>
        <w:spacing w:line="480" w:lineRule="auto"/>
        <w:ind w:firstLine="720"/>
      </w:pPr>
      <w:r>
        <w:t>already born, or that may be born of the said women. The Germans and</w:t>
      </w:r>
    </w:p>
    <w:p w14:paraId="4973DF95" w14:textId="760CB173" w:rsidR="0B864DAD" w:rsidRDefault="0B864DAD" w:rsidP="005062A3">
      <w:pPr>
        <w:spacing w:line="480" w:lineRule="auto"/>
        <w:ind w:firstLine="720"/>
      </w:pPr>
      <w:r>
        <w:t>Polanders naturalized by government are also comprized in the dispositions of</w:t>
      </w:r>
    </w:p>
    <w:p w14:paraId="0A1542F4" w14:textId="56D336B4" w:rsidR="0B864DAD" w:rsidRDefault="0B864DAD" w:rsidP="005062A3">
      <w:pPr>
        <w:spacing w:line="480" w:lineRule="auto"/>
        <w:ind w:firstLine="720"/>
      </w:pPr>
      <w:r>
        <w:t>the present article (.) All acception of colour among the children of one and the</w:t>
      </w:r>
    </w:p>
    <w:p w14:paraId="056E69FD" w14:textId="2061844E" w:rsidR="0B864DAD" w:rsidRDefault="0B864DAD" w:rsidP="005062A3">
      <w:pPr>
        <w:spacing w:line="480" w:lineRule="auto"/>
        <w:ind w:firstLine="720"/>
      </w:pPr>
      <w:r>
        <w:t>same family, of whom the chief magistrate is the father, being necessarily to</w:t>
      </w:r>
    </w:p>
    <w:p w14:paraId="7E2D3E1B" w14:textId="616E1A33" w:rsidR="0B864DAD" w:rsidRDefault="0B864DAD" w:rsidP="005062A3">
      <w:pPr>
        <w:spacing w:line="480" w:lineRule="auto"/>
        <w:ind w:firstLine="720"/>
      </w:pPr>
      <w:r>
        <w:t>cease, the Haytians shall hence forward be known only by the generic</w:t>
      </w:r>
    </w:p>
    <w:p w14:paraId="348D07B0" w14:textId="074DEA39" w:rsidR="64827DD3" w:rsidRDefault="0B864DAD" w:rsidP="005062A3">
      <w:pPr>
        <w:spacing w:line="480" w:lineRule="auto"/>
        <w:ind w:firstLine="720"/>
      </w:pPr>
      <w:r>
        <w:t>appellation of Blacks.</w:t>
      </w:r>
      <w:r w:rsidRPr="64827DD3">
        <w:rPr>
          <w:rStyle w:val="FootnoteReference"/>
        </w:rPr>
        <w:footnoteReference w:id="8"/>
      </w:r>
    </w:p>
    <w:p w14:paraId="76C42D9A" w14:textId="77777777" w:rsidR="005062A3" w:rsidRDefault="02DAC13E" w:rsidP="005062A3">
      <w:pPr>
        <w:spacing w:line="480" w:lineRule="auto"/>
      </w:pPr>
      <w:r>
        <w:t xml:space="preserve">Given it is established that some white women had been naturalised by the Haitian government, it is immediately clear that not all white people </w:t>
      </w:r>
      <w:bookmarkStart w:id="0" w:name="_Int_4NNiihQ0"/>
      <w:proofErr w:type="gramStart"/>
      <w:r>
        <w:t>are considered to be</w:t>
      </w:r>
      <w:bookmarkEnd w:id="0"/>
      <w:proofErr w:type="gramEnd"/>
      <w:r>
        <w:t xml:space="preserve"> within the ‘whitemen’ group banned from holding property or positions of power within Haiti. The naturalisat</w:t>
      </w:r>
      <w:r w:rsidR="51CD7C0B">
        <w:t xml:space="preserve">ion of German and Polish citizens in Haiti re-emphasises </w:t>
      </w:r>
      <w:bookmarkStart w:id="1" w:name="_Int_0R8kllcs"/>
      <w:proofErr w:type="gramStart"/>
      <w:r w:rsidR="51CD7C0B">
        <w:t>this, and</w:t>
      </w:r>
      <w:bookmarkEnd w:id="1"/>
      <w:proofErr w:type="gramEnd"/>
      <w:r w:rsidR="51CD7C0B">
        <w:t xml:space="preserve"> further clarifies the political nature of this distinction. No French </w:t>
      </w:r>
      <w:r w:rsidR="4F71970B">
        <w:t xml:space="preserve">nationals beyond what can be assumed to be some segment of the white women mentioned are allowed citizenship of Haiti, as opposed to the Germans and Polish, neither of whom had been directly involved in the governance of Haiti as their colonial </w:t>
      </w:r>
      <w:r w:rsidR="56373C66">
        <w:t>rulers. Beyond this political targeting toward outside Europeans, t</w:t>
      </w:r>
      <w:r w:rsidR="5B42F741">
        <w:t>he purpose of th</w:t>
      </w:r>
      <w:r w:rsidR="52A78AD5">
        <w:t xml:space="preserve">ese clauses is also present for all </w:t>
      </w:r>
      <w:r w:rsidR="52A78AD5">
        <w:lastRenderedPageBreak/>
        <w:t>Haitians who were previously colonial subjects.</w:t>
      </w:r>
      <w:r w:rsidR="5B42F741">
        <w:t xml:space="preserve"> By declaring all Haitian</w:t>
      </w:r>
      <w:r w:rsidR="54935B74">
        <w:t xml:space="preserve"> citizens</w:t>
      </w:r>
      <w:r w:rsidR="5B42F741">
        <w:t xml:space="preserve"> to be equal and of the same designation, the audience of Haitians </w:t>
      </w:r>
      <w:r w:rsidR="21124037">
        <w:t xml:space="preserve">understands </w:t>
      </w:r>
      <w:r w:rsidR="6084FA54">
        <w:t xml:space="preserve">they </w:t>
      </w:r>
      <w:r w:rsidR="1224BEED">
        <w:t xml:space="preserve">are protected from the inequities of the prior colonial system and that their government will fight against </w:t>
      </w:r>
      <w:r w:rsidR="64A645D6">
        <w:t>a return of European conquest, as well as being recognised as fully understood people</w:t>
      </w:r>
      <w:r w:rsidR="21E548B1">
        <w:t>, not as chattel</w:t>
      </w:r>
      <w:r w:rsidR="64A645D6">
        <w:t>.</w:t>
      </w:r>
      <w:r w:rsidR="03B9D1E0">
        <w:t xml:space="preserve"> </w:t>
      </w:r>
      <w:r w:rsidR="7A77140E">
        <w:t>There is also a uniquely Haitian element to the specificity of the ‘generic appellation of Blacks’.</w:t>
      </w:r>
      <w:r w:rsidR="7B6C2C19">
        <w:t xml:space="preserve"> Pre-revolutionary Haitian society allowed for no </w:t>
      </w:r>
      <w:r w:rsidR="1F72FC70">
        <w:t>upward</w:t>
      </w:r>
      <w:r w:rsidR="3457D47C">
        <w:t xml:space="preserve"> social</w:t>
      </w:r>
      <w:r w:rsidR="1F72FC70">
        <w:t xml:space="preserve"> mobility</w:t>
      </w:r>
      <w:r w:rsidR="34526C31">
        <w:t xml:space="preserve"> or freedom</w:t>
      </w:r>
      <w:r w:rsidR="1F72FC70">
        <w:t xml:space="preserve"> for</w:t>
      </w:r>
      <w:r w:rsidR="66F79803">
        <w:t xml:space="preserve"> the enslaved</w:t>
      </w:r>
      <w:r w:rsidR="1F72FC70">
        <w:t xml:space="preserve"> black Haitians, while </w:t>
      </w:r>
      <w:r w:rsidR="1F72FC70" w:rsidRPr="64827DD3">
        <w:rPr>
          <w:i/>
          <w:iCs/>
        </w:rPr>
        <w:t>gens de couleur</w:t>
      </w:r>
      <w:r w:rsidR="1F72FC70" w:rsidRPr="64827DD3">
        <w:t xml:space="preserve"> Haitians </w:t>
      </w:r>
      <w:r w:rsidR="3D2717DC" w:rsidRPr="64827DD3">
        <w:t>were able to live somewhat freely, own business, and leave the colony of Saint-Domingue to mainland France and return as they saw fit</w:t>
      </w:r>
      <w:r w:rsidR="468EAC05" w:rsidRPr="64827DD3">
        <w:t>;</w:t>
      </w:r>
      <w:r w:rsidR="73384696" w:rsidRPr="64827DD3">
        <w:t xml:space="preserve"> Vincent Ogé, mentioned prior as a free-coloured revolutionary leader</w:t>
      </w:r>
      <w:r w:rsidR="0DC22D30" w:rsidRPr="64827DD3">
        <w:t xml:space="preserve">, was able to gather support in Paris during the French </w:t>
      </w:r>
      <w:r w:rsidR="047D4AF6" w:rsidRPr="64827DD3">
        <w:t>R</w:t>
      </w:r>
      <w:r w:rsidR="0DC22D30" w:rsidRPr="64827DD3">
        <w:t>evolution as he was present there for unrelated reasons.</w:t>
      </w:r>
      <w:r w:rsidRPr="64827DD3">
        <w:rPr>
          <w:rStyle w:val="FootnoteReference"/>
        </w:rPr>
        <w:footnoteReference w:id="9"/>
      </w:r>
      <w:r w:rsidR="677F16D7" w:rsidRPr="64827DD3">
        <w:t xml:space="preserve"> To formally remove the designation of </w:t>
      </w:r>
      <w:bookmarkStart w:id="2" w:name="_Int_jC03LeGd"/>
      <w:r w:rsidR="677F16D7" w:rsidRPr="64827DD3">
        <w:t>free-coloured</w:t>
      </w:r>
      <w:bookmarkEnd w:id="2"/>
      <w:r w:rsidR="677F16D7" w:rsidRPr="64827DD3">
        <w:t xml:space="preserve"> entirely and replace it with black</w:t>
      </w:r>
      <w:r w:rsidR="29361094" w:rsidRPr="64827DD3">
        <w:t xml:space="preserve"> not only equalised all Haitians but rejected the formalised superiority of races legally mandated in Haitian society when it was ruled as the colony of Saint-Domingue</w:t>
      </w:r>
      <w:r w:rsidR="098FEDBD" w:rsidRPr="64827DD3">
        <w:t>.</w:t>
      </w:r>
      <w:r>
        <w:br/>
      </w:r>
    </w:p>
    <w:p w14:paraId="3665808F" w14:textId="195259DB" w:rsidR="02DAC13E" w:rsidRDefault="4191A644" w:rsidP="005062A3">
      <w:pPr>
        <w:spacing w:line="480" w:lineRule="auto"/>
      </w:pPr>
      <w:r w:rsidRPr="64827DD3">
        <w:t xml:space="preserve">The purpose of the 1805 constitution of Haiti can also be seen as formally putting the power of governance in Haiti entirely within the purview of the </w:t>
      </w:r>
      <w:r w:rsidR="417AA50E" w:rsidRPr="64827DD3">
        <w:t>e</w:t>
      </w:r>
      <w:r w:rsidRPr="64827DD3">
        <w:t xml:space="preserve">mperor. </w:t>
      </w:r>
      <w:r w:rsidR="5C17696A" w:rsidRPr="64827DD3">
        <w:t>It is declared</w:t>
      </w:r>
      <w:r w:rsidR="504BFC1B" w:rsidRPr="64827DD3">
        <w:t xml:space="preserve"> that</w:t>
      </w:r>
      <w:r w:rsidR="5C17696A" w:rsidRPr="64827DD3">
        <w:t>:</w:t>
      </w:r>
    </w:p>
    <w:p w14:paraId="767423B2" w14:textId="1E451D88" w:rsidR="5BCD8B79" w:rsidRDefault="5BCD8B79" w:rsidP="005062A3">
      <w:pPr>
        <w:spacing w:line="480" w:lineRule="auto"/>
        <w:ind w:left="720"/>
      </w:pPr>
      <w:r w:rsidRPr="64827DD3">
        <w:t xml:space="preserve">The people acknowledge for Emperor and Commander in Chief of the Army, Jacques Dessalines, the avenger and deliverer of his fellow citizens. The title of </w:t>
      </w:r>
      <w:r w:rsidRPr="64827DD3">
        <w:lastRenderedPageBreak/>
        <w:t>Majesty is conferred upon him</w:t>
      </w:r>
      <w:r w:rsidR="03972B29" w:rsidRPr="64827DD3">
        <w:t xml:space="preserve">, as well as upon his august spouse, the Empress (.) The person of the majesties is sacred and inviolable (...) </w:t>
      </w:r>
      <w:r w:rsidR="79F98CCF" w:rsidRPr="64827DD3">
        <w:t xml:space="preserve">The Emperor designates, in the manner he may judge expedient, the person who is to be his successor either before or after his death. (...) </w:t>
      </w:r>
      <w:r w:rsidR="224EE93C" w:rsidRPr="64827DD3">
        <w:t>Every successor deviating from the dispositions of the preceding article, or from the principles consecrated in the present constitution shall be considered and declared in a state of warfare against the society. In such a case, the counselors of state will assemble in order to pronounce his removal, and to chose one among themselves who shall be judged the most worthy of replacing him</w:t>
      </w:r>
      <w:r w:rsidR="475BF5FC" w:rsidRPr="64827DD3">
        <w:t xml:space="preserve"> (...)</w:t>
      </w:r>
      <w:r w:rsidR="0EB21428" w:rsidRPr="64827DD3">
        <w:t xml:space="preserve"> The Emperor makes seals and promulgates the laws; appoints and revokes at will, the Ministers, the General in Chief for the Army, the Counselors of State, the Generals and other agents of the Empire, the sea offices, the members of the local administrations, the Commissaries of Government near the Tribunals, the judges, and other public functionaries.</w:t>
      </w:r>
      <w:r w:rsidRPr="64827DD3">
        <w:rPr>
          <w:rStyle w:val="FootnoteReference"/>
        </w:rPr>
        <w:footnoteReference w:id="10"/>
      </w:r>
    </w:p>
    <w:p w14:paraId="2C01770F" w14:textId="4D60C69D" w:rsidR="565CA834" w:rsidRDefault="565CA834" w:rsidP="005062A3">
      <w:pPr>
        <w:spacing w:line="480" w:lineRule="auto"/>
      </w:pPr>
      <w:r w:rsidRPr="64827DD3">
        <w:t>While equality between races is enshrined in the constitution of Haiti, democracy is entirely absent. The emperor h</w:t>
      </w:r>
      <w:r w:rsidR="71D8D84B" w:rsidRPr="64827DD3">
        <w:t>as the sole right to appoint or dismiss all ministers, counsellors, generals, judges and any other figures in positions of power, a</w:t>
      </w:r>
      <w:r w:rsidR="2698C97B" w:rsidRPr="64827DD3">
        <w:t xml:space="preserve">nd </w:t>
      </w:r>
      <w:r w:rsidR="3ECAB821" w:rsidRPr="64827DD3">
        <w:t>has universal power over their own successors. Even if the emperor does not choose a successor, and this method fails, the next emperor would be selected from the counsellors which the emperor themself had previously selected.</w:t>
      </w:r>
      <w:r w:rsidR="3063FC4A" w:rsidRPr="64827DD3">
        <w:t xml:space="preserve"> As the emperor mentioned is Jean-Jacques Dessalines, it can be assumed that he desires complete power over the governance of Haiti, with every lesser position of power still filled </w:t>
      </w:r>
      <w:r w:rsidR="3063FC4A" w:rsidRPr="64827DD3">
        <w:lastRenderedPageBreak/>
        <w:t>indirectly by him, and he intends for his ideology to conti</w:t>
      </w:r>
      <w:r w:rsidR="742419DD" w:rsidRPr="64827DD3">
        <w:t xml:space="preserve">nue through his selected successors indefinitely. Despite this non-democratic system enshrined as law, Dessalines does not </w:t>
      </w:r>
      <w:r w:rsidR="11C29757" w:rsidRPr="64827DD3">
        <w:t>consider himself above the Haitians, being described as ‘the avenger and deliverer of his fellow citizens’.</w:t>
      </w:r>
      <w:r w:rsidRPr="64827DD3">
        <w:rPr>
          <w:rStyle w:val="FootnoteReference"/>
        </w:rPr>
        <w:footnoteReference w:id="11"/>
      </w:r>
      <w:r w:rsidR="1FF2ECA4" w:rsidRPr="64827DD3">
        <w:t xml:space="preserve"> A modern historian can learn from this that Dessalines was, though clearly dictatorial and uninterested in ceding power, either genuinely convinced that he was enacting the will of the Haitian people or wanted to legitimise his rule by claiming the </w:t>
      </w:r>
      <w:r w:rsidR="4ADE3671" w:rsidRPr="64827DD3">
        <w:t>support of his citizenry.</w:t>
      </w:r>
      <w:r w:rsidR="1288B8D8" w:rsidRPr="64827DD3">
        <w:t xml:space="preserve"> The former may be more likely, given this constitution was signed and ratified by many other Haitian revolutionary leaders and not solely Dessalines.</w:t>
      </w:r>
    </w:p>
    <w:p w14:paraId="77E7F942" w14:textId="77777777" w:rsidR="005062A3" w:rsidRDefault="005062A3" w:rsidP="005062A3">
      <w:pPr>
        <w:spacing w:line="480" w:lineRule="auto"/>
      </w:pPr>
    </w:p>
    <w:p w14:paraId="71D1BD19" w14:textId="59605969" w:rsidR="7E0AEE8E" w:rsidRDefault="7E0AEE8E" w:rsidP="005062A3">
      <w:pPr>
        <w:spacing w:line="480" w:lineRule="auto"/>
      </w:pPr>
      <w:r w:rsidRPr="64827DD3">
        <w:t>The 1805 constitution of Haiti can be interpreted as a literal legal document for the Haitian people, as a multifaceted response to the history of colonialism and slavery in Haiti and as a</w:t>
      </w:r>
      <w:r w:rsidR="41DF263B" w:rsidRPr="64827DD3">
        <w:t xml:space="preserve"> certificate of authenticity for the nation of Haiti and its leaders. While it is a remarkable source for the attitudes of the Haitian leadership immediately following the revolutionary period</w:t>
      </w:r>
      <w:r w:rsidR="1FDE9D5B" w:rsidRPr="64827DD3">
        <w:t>, it is unclear how much of it originates from the voices of the actual leaders, with its authorship being ascribed to Juste Chanlatte, who served Emperor Jean-Jacques Dessalines</w:t>
      </w:r>
      <w:r w:rsidR="0D5B39DC" w:rsidRPr="64827DD3">
        <w:t>, and the extent to which it accurately shows popular opinion, or even opinions within this ruling class beyond those of Dessalines, is debatable.</w:t>
      </w:r>
      <w:r w:rsidR="3108EBFC" w:rsidRPr="64827DD3">
        <w:t xml:space="preserve"> Dessalines is given functionally total control of the Haitian government at every level,</w:t>
      </w:r>
      <w:r w:rsidR="73FE371D" w:rsidRPr="64827DD3">
        <w:t xml:space="preserve"> with a non-hereditary appointment system for his successors nonetheless entirely being under the judgement of the emperor.</w:t>
      </w:r>
      <w:r w:rsidR="0D5B39DC" w:rsidRPr="64827DD3">
        <w:t xml:space="preserve"> </w:t>
      </w:r>
      <w:r w:rsidR="430E57E9" w:rsidRPr="64827DD3">
        <w:t xml:space="preserve">It is intended for several audiences, with a primary audience of Haitians, though some elements directly target foreign </w:t>
      </w:r>
      <w:r w:rsidR="430E57E9" w:rsidRPr="64827DD3">
        <w:lastRenderedPageBreak/>
        <w:t xml:space="preserve">readers and governments, and </w:t>
      </w:r>
      <w:r w:rsidR="22A2B194" w:rsidRPr="64827DD3">
        <w:t>others can be seen as subtextually directed towards these factions.</w:t>
      </w:r>
      <w:r w:rsidR="78793DC9" w:rsidRPr="64827DD3">
        <w:t xml:space="preserve"> It rejects colonialism, slavery and racism, explicitly prohibiting the enslavement of Haitians and entirely restricting access to Europeans, primarily the French, who were involved in oper</w:t>
      </w:r>
      <w:r w:rsidR="4E13461A" w:rsidRPr="64827DD3">
        <w:t xml:space="preserve">ating the colony of Saint-Domingue or profiting from the exploitation of its people and resources. Other Europeans who were uninvolved or on the side of the Haitians are granted citizenship, showing the clear intent for this to serve as a deterrent for </w:t>
      </w:r>
      <w:r w:rsidR="4FB4AB60" w:rsidRPr="64827DD3">
        <w:t>a reconquering and reintroduction of slavery, rather than an entirely race-based system of allowing citizenship or residence.</w:t>
      </w:r>
      <w:r w:rsidR="757517E6" w:rsidRPr="64827DD3">
        <w:t xml:space="preserve"> It is incredibly strong as a source of the ideological underpinnings of Jean-Jacques Dessalines and the methods by which a continued Haitian state was intended to be preserved, along with being a </w:t>
      </w:r>
      <w:r w:rsidR="701A0B3B" w:rsidRPr="64827DD3">
        <w:t>less</w:t>
      </w:r>
      <w:r w:rsidR="757517E6" w:rsidRPr="64827DD3">
        <w:t xml:space="preserve"> strong</w:t>
      </w:r>
      <w:r w:rsidR="42B8E608" w:rsidRPr="64827DD3">
        <w:t xml:space="preserve"> source of the beliefs of Haitian leaders Alexandre Pétion and </w:t>
      </w:r>
      <w:r w:rsidR="005062A3" w:rsidRPr="64827DD3">
        <w:t>Henry Christophe and</w:t>
      </w:r>
      <w:r w:rsidR="42B8E608" w:rsidRPr="64827DD3">
        <w:t xml:space="preserve"> shows the complexities of Haitian society immediately after the revolutionary period ended. However, </w:t>
      </w:r>
      <w:r w:rsidR="72027694" w:rsidRPr="64827DD3">
        <w:t xml:space="preserve">it comes from a translator with unknown </w:t>
      </w:r>
      <w:r w:rsidR="67172D4B" w:rsidRPr="64827DD3">
        <w:t>biases and</w:t>
      </w:r>
      <w:r w:rsidR="72027694" w:rsidRPr="64827DD3">
        <w:t xml:space="preserve"> is only representative of the legal truths intended for Haiti, with a narrow purview of what is prohibited and what is allowed within law</w:t>
      </w:r>
      <w:r w:rsidR="6BC95F7C" w:rsidRPr="64827DD3">
        <w:t xml:space="preserve"> and governance. Information about the revolutionary period can only be inferred, not found as statements, from the constitution. Nonetheless, I believe the 1805 constitution of Haiti is a strong primary source for understanding Haitian reactions to the end of French colonial rule and the int</w:t>
      </w:r>
      <w:r w:rsidR="346B3FA2" w:rsidRPr="64827DD3">
        <w:t>ent of Jean-Jacques Dessalines and other revolutionary leaders.</w:t>
      </w:r>
    </w:p>
    <w:p w14:paraId="246B7575" w14:textId="52A2A9D5" w:rsidR="64827DD3" w:rsidRDefault="64827DD3" w:rsidP="005062A3">
      <w:pPr>
        <w:spacing w:line="480" w:lineRule="auto"/>
      </w:pPr>
    </w:p>
    <w:p w14:paraId="02DD94DD" w14:textId="5012470A" w:rsidR="64827DD3" w:rsidRDefault="64827DD3" w:rsidP="005062A3">
      <w:pPr>
        <w:spacing w:line="480" w:lineRule="auto"/>
      </w:pPr>
    </w:p>
    <w:p w14:paraId="5F415727" w14:textId="42504E8E" w:rsidR="64827DD3" w:rsidRDefault="64827DD3" w:rsidP="005062A3">
      <w:pPr>
        <w:spacing w:line="480" w:lineRule="auto"/>
      </w:pPr>
    </w:p>
    <w:p w14:paraId="027E0E2F" w14:textId="77777777" w:rsidR="005062A3" w:rsidRDefault="005062A3" w:rsidP="005062A3">
      <w:pPr>
        <w:spacing w:line="480" w:lineRule="auto"/>
      </w:pPr>
    </w:p>
    <w:p w14:paraId="408C9D0D" w14:textId="39335CDB" w:rsidR="42F58A0E" w:rsidRDefault="42F58A0E" w:rsidP="005062A3">
      <w:pPr>
        <w:spacing w:line="480" w:lineRule="auto"/>
      </w:pPr>
      <w:r>
        <w:lastRenderedPageBreak/>
        <w:t>Bibliography</w:t>
      </w:r>
    </w:p>
    <w:p w14:paraId="6764B6F4" w14:textId="3D1E2436" w:rsidR="64827DD3" w:rsidRDefault="64827DD3" w:rsidP="005062A3">
      <w:pPr>
        <w:spacing w:line="480" w:lineRule="auto"/>
      </w:pPr>
    </w:p>
    <w:p w14:paraId="639694E4" w14:textId="0BD0BE42" w:rsidR="68A63F44" w:rsidRDefault="68A63F44" w:rsidP="005062A3">
      <w:pPr>
        <w:spacing w:line="480" w:lineRule="auto"/>
      </w:pPr>
      <w:r>
        <w:t xml:space="preserve">Chanlatte, Juste (trans. unknown), unknown headline (Constitution of Haiti, 1805), </w:t>
      </w:r>
      <w:r w:rsidRPr="64827DD3">
        <w:rPr>
          <w:i/>
          <w:iCs/>
        </w:rPr>
        <w:t>New York Evening-Post</w:t>
      </w:r>
      <w:r>
        <w:t xml:space="preserve">, 15 July 1805, p. 2. &lt;https://www.nyshistoricnewspapers.org/?a=d&amp;d=nep18050715-01.1.3&amp;e=-------en-20--1--txt-txIN----------&gt; [accessed 8 February 2026]   </w:t>
      </w:r>
      <w:r>
        <w:br/>
      </w:r>
      <w:r>
        <w:br/>
      </w:r>
      <w:r w:rsidR="0E09EA7A">
        <w:t xml:space="preserve">Dubois, Laurent, </w:t>
      </w:r>
      <w:r w:rsidR="0E09EA7A" w:rsidRPr="64827DD3">
        <w:rPr>
          <w:i/>
          <w:iCs/>
        </w:rPr>
        <w:t>Avengers of the New World: the story of the Haitian Revolution</w:t>
      </w:r>
      <w:r w:rsidR="0E09EA7A">
        <w:t xml:space="preserve"> (Cambridge: Harvard University Press, 2005) &lt;</w:t>
      </w:r>
      <w:r w:rsidR="0E09EA7A" w:rsidRPr="64827DD3">
        <w:rPr>
          <w:rFonts w:ascii="Aptos" w:eastAsia="Aptos" w:hAnsi="Aptos" w:cs="Aptos"/>
        </w:rPr>
        <w:t>https://hdl-handle-net.uwtsd.idm.oclc.org/2027/heb31944.0001.001</w:t>
      </w:r>
      <w:r w:rsidR="0E09EA7A">
        <w:t xml:space="preserve">&gt; [accessed 8 </w:t>
      </w:r>
      <w:r w:rsidR="005062A3">
        <w:t>February</w:t>
      </w:r>
      <w:r w:rsidR="0E09EA7A">
        <w:t xml:space="preserve"> 2026]</w:t>
      </w:r>
      <w:r>
        <w:br/>
      </w:r>
      <w:r>
        <w:br/>
      </w:r>
      <w:r w:rsidR="6BF864B7">
        <w:t xml:space="preserve">Garrigus, John D., ‘Vincent Ogé jeune (1757-91): Social Class and Free Colored Mobilization on the Eve of the Haitian Revolution’, </w:t>
      </w:r>
      <w:r w:rsidR="6BF864B7" w:rsidRPr="64827DD3">
        <w:rPr>
          <w:i/>
          <w:iCs/>
        </w:rPr>
        <w:t>The Americas</w:t>
      </w:r>
      <w:r w:rsidR="6BF864B7">
        <w:t>, 68.1 (2011) 33-62 &lt;https://www.jstor.org/stable/41239138&gt; [accessed 8 February 2026]</w:t>
      </w:r>
      <w:r>
        <w:br/>
      </w:r>
      <w:r>
        <w:br/>
      </w:r>
      <w:r w:rsidR="3142D445">
        <w:t xml:space="preserve">Geggus, David, </w:t>
      </w:r>
      <w:r w:rsidR="3142D445" w:rsidRPr="64827DD3">
        <w:rPr>
          <w:i/>
          <w:iCs/>
        </w:rPr>
        <w:t>Haitian revolutionary studies</w:t>
      </w:r>
      <w:r w:rsidR="3142D445">
        <w:t xml:space="preserve"> (Bloomington: Indiana University Press, 2002) &lt;https://hdl-handle-net.uwtsd.idm.oclc.org/2027/heb04575.0001.001&gt; [accessed </w:t>
      </w:r>
      <w:r w:rsidR="5A4E30E9">
        <w:t>8 February</w:t>
      </w:r>
      <w:r w:rsidR="3142D445">
        <w:t xml:space="preserve"> 2026]</w:t>
      </w:r>
      <w:r>
        <w:br/>
      </w:r>
      <w:r>
        <w:br/>
      </w:r>
      <w:r w:rsidR="07C50656">
        <w:t xml:space="preserve">Landy, Craig A., ‘When Did Slavery End in New York?’, </w:t>
      </w:r>
      <w:r w:rsidR="07C50656" w:rsidRPr="64827DD3">
        <w:rPr>
          <w:i/>
          <w:iCs/>
        </w:rPr>
        <w:t>Historical Society of the New York Courts</w:t>
      </w:r>
      <w:r w:rsidR="07C50656">
        <w:t xml:space="preserve">, 7 June 2017. &lt;https://history.nycourts.gov/when-did-slavery-end-in-new-york/&gt; [accessed 8 February 2026]  </w:t>
      </w:r>
    </w:p>
    <w:sectPr w:rsidR="68A63F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52FA2" w14:textId="77777777" w:rsidR="00BC0F41" w:rsidRDefault="00BC0F41">
      <w:pPr>
        <w:spacing w:after="0" w:line="240" w:lineRule="auto"/>
      </w:pPr>
      <w:r>
        <w:separator/>
      </w:r>
    </w:p>
  </w:endnote>
  <w:endnote w:type="continuationSeparator" w:id="0">
    <w:p w14:paraId="1E3F5335" w14:textId="77777777" w:rsidR="00BC0F41" w:rsidRDefault="00BC0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EE8BE" w14:textId="77777777" w:rsidR="00BC0F41" w:rsidRDefault="00BC0F41">
      <w:pPr>
        <w:spacing w:after="0" w:line="240" w:lineRule="auto"/>
      </w:pPr>
      <w:r>
        <w:separator/>
      </w:r>
    </w:p>
  </w:footnote>
  <w:footnote w:type="continuationSeparator" w:id="0">
    <w:p w14:paraId="44BF89E7" w14:textId="77777777" w:rsidR="00BC0F41" w:rsidRDefault="00BC0F41">
      <w:pPr>
        <w:spacing w:after="0" w:line="240" w:lineRule="auto"/>
      </w:pPr>
      <w:r>
        <w:continuationSeparator/>
      </w:r>
    </w:p>
  </w:footnote>
  <w:footnote w:id="1">
    <w:p w14:paraId="78B081CA" w14:textId="77E3143B" w:rsidR="64827DD3" w:rsidRDefault="64827DD3" w:rsidP="64827DD3">
      <w:pPr>
        <w:pStyle w:val="FootnoteText"/>
      </w:pPr>
      <w:r w:rsidRPr="64827DD3">
        <w:rPr>
          <w:rStyle w:val="FootnoteReference"/>
        </w:rPr>
        <w:footnoteRef/>
      </w:r>
      <w:r>
        <w:t xml:space="preserve"> </w:t>
      </w:r>
      <w:r w:rsidR="005062A3">
        <w:t xml:space="preserve">Juste Chanlatte (trans. unknown), unknown headline (Constitution of Haiti, 1805), </w:t>
      </w:r>
      <w:r w:rsidR="005062A3" w:rsidRPr="64827DD3">
        <w:rPr>
          <w:i/>
          <w:iCs/>
        </w:rPr>
        <w:t>New York Evening-Post</w:t>
      </w:r>
      <w:r w:rsidR="005062A3">
        <w:t>, 15 July 1805, p. 2 (</w:t>
      </w:r>
      <w:r w:rsidR="005062A3">
        <w:t>Introduction</w:t>
      </w:r>
      <w:r w:rsidR="005062A3">
        <w:t>). &lt;https://www.nyshistoricnewspapers.org/?a=d&amp;d=nep18050715-01.1.3&amp;e=-------en-20--1--txt-txIN----------&gt; [accessed 8 February 2026]</w:t>
      </w:r>
    </w:p>
  </w:footnote>
  <w:footnote w:id="2">
    <w:p w14:paraId="791D7F6A" w14:textId="141EEE24" w:rsidR="64827DD3" w:rsidRDefault="64827DD3" w:rsidP="64827DD3">
      <w:pPr>
        <w:pStyle w:val="FootnoteText"/>
      </w:pPr>
      <w:r w:rsidRPr="64827DD3">
        <w:rPr>
          <w:rStyle w:val="FootnoteReference"/>
        </w:rPr>
        <w:footnoteRef/>
      </w:r>
      <w:r>
        <w:t xml:space="preserve"> John D. Garrigus, ‘Vincent Ogé jeune (1757-91): Social Class and Free Colored Mobilization on the Eve of the Haitian Revolution’, </w:t>
      </w:r>
      <w:r w:rsidRPr="64827DD3">
        <w:rPr>
          <w:i/>
          <w:iCs/>
        </w:rPr>
        <w:t>The Americas</w:t>
      </w:r>
      <w:r>
        <w:t xml:space="preserve">, 68.1 (2011), 33-62 (p. 59). &lt;https://www.jstor.org/stable/41239138&gt; [accessed 18 January 2026]  </w:t>
      </w:r>
    </w:p>
  </w:footnote>
  <w:footnote w:id="3">
    <w:p w14:paraId="1D6B4A7E" w14:textId="4F17A4FA" w:rsidR="64827DD3" w:rsidRDefault="64827DD3" w:rsidP="64827DD3">
      <w:pPr>
        <w:pStyle w:val="FootnoteText"/>
      </w:pPr>
      <w:r w:rsidRPr="64827DD3">
        <w:rPr>
          <w:rStyle w:val="FootnoteReference"/>
        </w:rPr>
        <w:footnoteRef/>
      </w:r>
      <w:r>
        <w:t xml:space="preserve"> </w:t>
      </w:r>
      <w:r w:rsidR="005062A3">
        <w:t xml:space="preserve">Chanlatte, No headline (Constitution of Haiti), </w:t>
      </w:r>
      <w:r w:rsidR="005062A3" w:rsidRPr="64827DD3">
        <w:rPr>
          <w:i/>
          <w:iCs/>
        </w:rPr>
        <w:t xml:space="preserve">New York Evening-Post, </w:t>
      </w:r>
      <w:r w:rsidR="005062A3" w:rsidRPr="64827DD3">
        <w:t xml:space="preserve">15 July 1805, p. 2. </w:t>
      </w:r>
      <w:r w:rsidR="005062A3">
        <w:t>Signatures</w:t>
      </w:r>
      <w:r w:rsidR="005062A3" w:rsidRPr="64827DD3">
        <w:t>.</w:t>
      </w:r>
    </w:p>
  </w:footnote>
  <w:footnote w:id="4">
    <w:p w14:paraId="08DCD7BB" w14:textId="7C7685DA" w:rsidR="64827DD3" w:rsidRDefault="64827DD3" w:rsidP="64827DD3">
      <w:pPr>
        <w:pStyle w:val="FootnoteText"/>
      </w:pPr>
      <w:r w:rsidRPr="64827DD3">
        <w:rPr>
          <w:rStyle w:val="FootnoteReference"/>
        </w:rPr>
        <w:footnoteRef/>
      </w:r>
      <w:r>
        <w:t xml:space="preserve"> Craig A. Landy, ‘When Did Slavery End in New York?’, </w:t>
      </w:r>
      <w:r w:rsidRPr="64827DD3">
        <w:rPr>
          <w:i/>
          <w:iCs/>
        </w:rPr>
        <w:t xml:space="preserve">Historical Society of the New York Courts, </w:t>
      </w:r>
      <w:r w:rsidRPr="64827DD3">
        <w:t>7 June 2017. &lt;https://history.nycourts.gov/when-did-slavery-end-in-new-york/&gt; [accessed 8 February 2026]</w:t>
      </w:r>
    </w:p>
  </w:footnote>
  <w:footnote w:id="5">
    <w:p w14:paraId="03C98D81" w14:textId="267DC3D2" w:rsidR="64827DD3" w:rsidRDefault="64827DD3" w:rsidP="64827DD3">
      <w:pPr>
        <w:pStyle w:val="FootnoteText"/>
      </w:pPr>
      <w:r w:rsidRPr="64827DD3">
        <w:rPr>
          <w:rStyle w:val="FootnoteReference"/>
        </w:rPr>
        <w:footnoteRef/>
      </w:r>
      <w:r>
        <w:t xml:space="preserve"> </w:t>
      </w:r>
      <w:r w:rsidR="005062A3">
        <w:t xml:space="preserve">Chanlatte, No headline (Constitution of Haiti), </w:t>
      </w:r>
      <w:r w:rsidR="005062A3" w:rsidRPr="64827DD3">
        <w:rPr>
          <w:i/>
          <w:iCs/>
        </w:rPr>
        <w:t xml:space="preserve">New York Evening-Post, </w:t>
      </w:r>
      <w:r w:rsidR="005062A3" w:rsidRPr="64827DD3">
        <w:t xml:space="preserve">15 July 1805, p. 2. </w:t>
      </w:r>
      <w:r w:rsidR="005062A3">
        <w:t>Introduction</w:t>
      </w:r>
      <w:r w:rsidR="005062A3" w:rsidRPr="64827DD3">
        <w:t>.</w:t>
      </w:r>
    </w:p>
  </w:footnote>
  <w:footnote w:id="6">
    <w:p w14:paraId="4E092810" w14:textId="69AA7F6F" w:rsidR="64827DD3" w:rsidRDefault="64827DD3" w:rsidP="64827DD3">
      <w:pPr>
        <w:pStyle w:val="FootnoteText"/>
      </w:pPr>
      <w:r w:rsidRPr="64827DD3">
        <w:rPr>
          <w:rStyle w:val="FootnoteReference"/>
        </w:rPr>
        <w:footnoteRef/>
      </w:r>
      <w:r>
        <w:t xml:space="preserve"> ibid. Preliminary Declaration, article 2.</w:t>
      </w:r>
    </w:p>
  </w:footnote>
  <w:footnote w:id="7">
    <w:p w14:paraId="58CA43B4" w14:textId="61365348" w:rsidR="64827DD3" w:rsidRDefault="64827DD3" w:rsidP="64827DD3">
      <w:pPr>
        <w:pStyle w:val="FootnoteText"/>
      </w:pPr>
      <w:r w:rsidRPr="64827DD3">
        <w:rPr>
          <w:rStyle w:val="FootnoteReference"/>
        </w:rPr>
        <w:footnoteRef/>
      </w:r>
      <w:r>
        <w:t xml:space="preserve"> ibid. Preliminary Declaration, article 12.</w:t>
      </w:r>
    </w:p>
  </w:footnote>
  <w:footnote w:id="8">
    <w:p w14:paraId="465BD79A" w14:textId="2CD4C49A" w:rsidR="64827DD3" w:rsidRDefault="64827DD3" w:rsidP="64827DD3">
      <w:pPr>
        <w:pStyle w:val="FootnoteText"/>
      </w:pPr>
      <w:r w:rsidRPr="64827DD3">
        <w:rPr>
          <w:rStyle w:val="FootnoteReference"/>
        </w:rPr>
        <w:footnoteRef/>
      </w:r>
      <w:r>
        <w:t xml:space="preserve"> ibid. Preliminary Declaration, articles 13-14.</w:t>
      </w:r>
    </w:p>
  </w:footnote>
  <w:footnote w:id="9">
    <w:p w14:paraId="00B09D85" w14:textId="455A8FEA" w:rsidR="64827DD3" w:rsidRDefault="64827DD3" w:rsidP="64827DD3">
      <w:pPr>
        <w:pStyle w:val="FootnoteText"/>
      </w:pPr>
      <w:r w:rsidRPr="64827DD3">
        <w:rPr>
          <w:rStyle w:val="FootnoteReference"/>
        </w:rPr>
        <w:footnoteRef/>
      </w:r>
      <w:r>
        <w:t xml:space="preserve"> Garrigus, ‘Vincent Ogé jeune (1757-91): Social Class and Free Colored Mobilization on the Eve of the Haitian Revolution’, p. 48.</w:t>
      </w:r>
    </w:p>
  </w:footnote>
  <w:footnote w:id="10">
    <w:p w14:paraId="5466C4D8" w14:textId="37DC6930" w:rsidR="64827DD3" w:rsidRDefault="64827DD3" w:rsidP="64827DD3">
      <w:pPr>
        <w:pStyle w:val="FootnoteText"/>
      </w:pPr>
      <w:r w:rsidRPr="64827DD3">
        <w:rPr>
          <w:rStyle w:val="FootnoteReference"/>
        </w:rPr>
        <w:footnoteRef/>
      </w:r>
      <w:r>
        <w:t xml:space="preserve"> Chanlatte, No headline (Constitution of Haiti), </w:t>
      </w:r>
      <w:r w:rsidRPr="64827DD3">
        <w:rPr>
          <w:i/>
          <w:iCs/>
        </w:rPr>
        <w:t xml:space="preserve">New York Evening-Post, </w:t>
      </w:r>
      <w:r w:rsidRPr="64827DD3">
        <w:t>15 July 1805, p. 2. Of the Government, articles 20-30.</w:t>
      </w:r>
    </w:p>
  </w:footnote>
  <w:footnote w:id="11">
    <w:p w14:paraId="52040632" w14:textId="202AA4F0" w:rsidR="64827DD3" w:rsidRDefault="64827DD3" w:rsidP="64827DD3">
      <w:pPr>
        <w:pStyle w:val="FootnoteText"/>
      </w:pPr>
      <w:r w:rsidRPr="64827DD3">
        <w:rPr>
          <w:rStyle w:val="FootnoteReference"/>
        </w:rPr>
        <w:footnoteRef/>
      </w:r>
      <w:r>
        <w:t xml:space="preserve"> ibid. Of the Government, article 20.</w:t>
      </w:r>
    </w:p>
  </w:footnote>
</w:footnotes>
</file>

<file path=word/intelligence2.xml><?xml version="1.0" encoding="utf-8"?>
<int2:intelligence xmlns:int2="http://schemas.microsoft.com/office/intelligence/2020/intelligence" xmlns:oel="http://schemas.microsoft.com/office/2019/extlst">
  <int2:observations>
    <int2:textHash int2:hashCode="JfHLZtcdYiToOk" int2:id="CaRbBNx3">
      <int2:state int2:value="Rejected" int2:type="spell"/>
    </int2:textHash>
    <int2:textHash int2:hashCode="FiPiKGEL7YruM7" int2:id="rkNWVPS9">
      <int2:state int2:value="Rejected" int2:type="spell"/>
    </int2:textHash>
    <int2:textHash int2:hashCode="/P1ZZUIvtld4+7" int2:id="UtiwEVsX">
      <int2:state int2:value="Rejected" int2:type="spell"/>
    </int2:textHash>
    <int2:textHash int2:hashCode="fDHo56onm6VhoX" int2:id="SdTpuu93">
      <int2:state int2:value="Rejected" int2:type="spell"/>
    </int2:textHash>
    <int2:bookmark int2:bookmarkName="_Int_4NNiihQ0" int2:invalidationBookmarkName="" int2:hashCode="O8BbilJxOKu0h/" int2:id="n9n2iNIW">
      <int2:state int2:value="Rejected" int2:type="style"/>
    </int2:bookmark>
    <int2:bookmark int2:bookmarkName="_Int_jC03LeGd" int2:invalidationBookmarkName="" int2:hashCode="X87BORJSOFazwu" int2:id="5SF0LLiS">
      <int2:state int2:value="Rejected" int2:type="gram"/>
    </int2:bookmark>
    <int2:bookmark int2:bookmarkName="_Int_0R8kllcs" int2:invalidationBookmarkName="" int2:hashCode="Ghnu1rQrdjRM4p" int2:id="V73sa69i">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74328B"/>
    <w:rsid w:val="000235FA"/>
    <w:rsid w:val="00053855"/>
    <w:rsid w:val="000A8A90"/>
    <w:rsid w:val="005062A3"/>
    <w:rsid w:val="00BC0F41"/>
    <w:rsid w:val="00BEA8E1"/>
    <w:rsid w:val="02739808"/>
    <w:rsid w:val="02DAC13E"/>
    <w:rsid w:val="03270659"/>
    <w:rsid w:val="03972B29"/>
    <w:rsid w:val="03B9D1E0"/>
    <w:rsid w:val="03F0FECE"/>
    <w:rsid w:val="0406B5A4"/>
    <w:rsid w:val="041A1966"/>
    <w:rsid w:val="0478128F"/>
    <w:rsid w:val="047D4AF6"/>
    <w:rsid w:val="04A05678"/>
    <w:rsid w:val="04C9272B"/>
    <w:rsid w:val="04F92D3F"/>
    <w:rsid w:val="05CF3BCD"/>
    <w:rsid w:val="065F9DCF"/>
    <w:rsid w:val="07C50656"/>
    <w:rsid w:val="07E0C4D0"/>
    <w:rsid w:val="0847CAB8"/>
    <w:rsid w:val="093FE5BC"/>
    <w:rsid w:val="098FEDBD"/>
    <w:rsid w:val="09D18B22"/>
    <w:rsid w:val="0AEB9B13"/>
    <w:rsid w:val="0B864DAD"/>
    <w:rsid w:val="0CC9A1E4"/>
    <w:rsid w:val="0D5B39DC"/>
    <w:rsid w:val="0DC22D30"/>
    <w:rsid w:val="0DD06642"/>
    <w:rsid w:val="0E09EA7A"/>
    <w:rsid w:val="0E14CC6B"/>
    <w:rsid w:val="0E4339AA"/>
    <w:rsid w:val="0E467709"/>
    <w:rsid w:val="0E543CF7"/>
    <w:rsid w:val="0EB21428"/>
    <w:rsid w:val="0ED243D7"/>
    <w:rsid w:val="0F383CF6"/>
    <w:rsid w:val="0FCE1E4A"/>
    <w:rsid w:val="102052AD"/>
    <w:rsid w:val="1086977F"/>
    <w:rsid w:val="10F1761B"/>
    <w:rsid w:val="11572A95"/>
    <w:rsid w:val="11B0988F"/>
    <w:rsid w:val="11C29757"/>
    <w:rsid w:val="120D4F2A"/>
    <w:rsid w:val="1224BEED"/>
    <w:rsid w:val="1288B8D8"/>
    <w:rsid w:val="13DD9B88"/>
    <w:rsid w:val="13EF92C1"/>
    <w:rsid w:val="13EFF392"/>
    <w:rsid w:val="1407FA70"/>
    <w:rsid w:val="140E14FD"/>
    <w:rsid w:val="142D1694"/>
    <w:rsid w:val="1482F99A"/>
    <w:rsid w:val="14AB4D0C"/>
    <w:rsid w:val="14D90130"/>
    <w:rsid w:val="15327B0D"/>
    <w:rsid w:val="15F9CFCB"/>
    <w:rsid w:val="169C3235"/>
    <w:rsid w:val="16C40F69"/>
    <w:rsid w:val="16D1A0EC"/>
    <w:rsid w:val="17A4879A"/>
    <w:rsid w:val="17E6514B"/>
    <w:rsid w:val="183D1580"/>
    <w:rsid w:val="18BD06D8"/>
    <w:rsid w:val="18FD7490"/>
    <w:rsid w:val="193707F3"/>
    <w:rsid w:val="197A7BF1"/>
    <w:rsid w:val="19D0123C"/>
    <w:rsid w:val="19E72E8F"/>
    <w:rsid w:val="19E7B617"/>
    <w:rsid w:val="1A24648D"/>
    <w:rsid w:val="1A2BF591"/>
    <w:rsid w:val="1ABFBFFE"/>
    <w:rsid w:val="1B5F6E2D"/>
    <w:rsid w:val="1B79F032"/>
    <w:rsid w:val="1B948FF5"/>
    <w:rsid w:val="1BDA8E48"/>
    <w:rsid w:val="1CA51ACD"/>
    <w:rsid w:val="1CC9928D"/>
    <w:rsid w:val="1E1BC96C"/>
    <w:rsid w:val="1E384B53"/>
    <w:rsid w:val="1E5F6790"/>
    <w:rsid w:val="1E652871"/>
    <w:rsid w:val="1ED46244"/>
    <w:rsid w:val="1F72FC70"/>
    <w:rsid w:val="1FC66C52"/>
    <w:rsid w:val="1FDE9D5B"/>
    <w:rsid w:val="1FF2ECA4"/>
    <w:rsid w:val="20DB025B"/>
    <w:rsid w:val="21124037"/>
    <w:rsid w:val="2112A878"/>
    <w:rsid w:val="211F993E"/>
    <w:rsid w:val="215BB499"/>
    <w:rsid w:val="21BEDFCA"/>
    <w:rsid w:val="21DCAB7C"/>
    <w:rsid w:val="21E548B1"/>
    <w:rsid w:val="224EE93C"/>
    <w:rsid w:val="226263B3"/>
    <w:rsid w:val="227C5BB5"/>
    <w:rsid w:val="22A2B194"/>
    <w:rsid w:val="22D4819E"/>
    <w:rsid w:val="231EF7A3"/>
    <w:rsid w:val="236BE1D7"/>
    <w:rsid w:val="2398D6F2"/>
    <w:rsid w:val="23C09345"/>
    <w:rsid w:val="23CAF24C"/>
    <w:rsid w:val="23E0052C"/>
    <w:rsid w:val="24EA9433"/>
    <w:rsid w:val="2539F2C8"/>
    <w:rsid w:val="2570719F"/>
    <w:rsid w:val="257174FE"/>
    <w:rsid w:val="25B32768"/>
    <w:rsid w:val="2648D31B"/>
    <w:rsid w:val="2698C97B"/>
    <w:rsid w:val="27BA68C1"/>
    <w:rsid w:val="2816EDA7"/>
    <w:rsid w:val="2882FAB4"/>
    <w:rsid w:val="28AFF415"/>
    <w:rsid w:val="28E52508"/>
    <w:rsid w:val="2926D1BA"/>
    <w:rsid w:val="29361094"/>
    <w:rsid w:val="297A7F7C"/>
    <w:rsid w:val="2A1FC32F"/>
    <w:rsid w:val="2A64A218"/>
    <w:rsid w:val="2AAE92DD"/>
    <w:rsid w:val="2B3892C1"/>
    <w:rsid w:val="2B781D1C"/>
    <w:rsid w:val="2B86C170"/>
    <w:rsid w:val="2B88D71F"/>
    <w:rsid w:val="2BB6A582"/>
    <w:rsid w:val="2C8D0246"/>
    <w:rsid w:val="2E1093B3"/>
    <w:rsid w:val="2E50AA86"/>
    <w:rsid w:val="2E56BFD5"/>
    <w:rsid w:val="2E887BC9"/>
    <w:rsid w:val="2ECEC170"/>
    <w:rsid w:val="2ED64958"/>
    <w:rsid w:val="2FBD37DB"/>
    <w:rsid w:val="3063FC4A"/>
    <w:rsid w:val="30BC4CA3"/>
    <w:rsid w:val="30CF97C9"/>
    <w:rsid w:val="3108EBFC"/>
    <w:rsid w:val="313FA08F"/>
    <w:rsid w:val="3142D445"/>
    <w:rsid w:val="3173F7C3"/>
    <w:rsid w:val="31ABFEEB"/>
    <w:rsid w:val="32B6514E"/>
    <w:rsid w:val="3333CC42"/>
    <w:rsid w:val="33AFF8E2"/>
    <w:rsid w:val="34526C31"/>
    <w:rsid w:val="3457D47C"/>
    <w:rsid w:val="346B3FA2"/>
    <w:rsid w:val="348F701A"/>
    <w:rsid w:val="351A7EA0"/>
    <w:rsid w:val="3582A08D"/>
    <w:rsid w:val="35859413"/>
    <w:rsid w:val="35B546BD"/>
    <w:rsid w:val="35CE56DE"/>
    <w:rsid w:val="36EECEB1"/>
    <w:rsid w:val="375C52D2"/>
    <w:rsid w:val="386109AB"/>
    <w:rsid w:val="38951C80"/>
    <w:rsid w:val="38956A7B"/>
    <w:rsid w:val="38A5CFAA"/>
    <w:rsid w:val="3931A96D"/>
    <w:rsid w:val="39934397"/>
    <w:rsid w:val="3A31DD34"/>
    <w:rsid w:val="3A461295"/>
    <w:rsid w:val="3A67905D"/>
    <w:rsid w:val="3AD8975A"/>
    <w:rsid w:val="3BA44718"/>
    <w:rsid w:val="3BFF0DA4"/>
    <w:rsid w:val="3C198A0A"/>
    <w:rsid w:val="3C49050F"/>
    <w:rsid w:val="3C52BD26"/>
    <w:rsid w:val="3D0942E6"/>
    <w:rsid w:val="3D2717DC"/>
    <w:rsid w:val="3D532873"/>
    <w:rsid w:val="3DAE280F"/>
    <w:rsid w:val="3E33CDBA"/>
    <w:rsid w:val="3E98ABCA"/>
    <w:rsid w:val="3ECAB821"/>
    <w:rsid w:val="3EF374B8"/>
    <w:rsid w:val="3F9AF944"/>
    <w:rsid w:val="3FB124E9"/>
    <w:rsid w:val="4019BAF3"/>
    <w:rsid w:val="4027326F"/>
    <w:rsid w:val="407B10D5"/>
    <w:rsid w:val="40B335FA"/>
    <w:rsid w:val="41761325"/>
    <w:rsid w:val="417AA50E"/>
    <w:rsid w:val="4191A644"/>
    <w:rsid w:val="41DF263B"/>
    <w:rsid w:val="425BC647"/>
    <w:rsid w:val="42B8E608"/>
    <w:rsid w:val="42BEBBD8"/>
    <w:rsid w:val="42F58A0E"/>
    <w:rsid w:val="430205C9"/>
    <w:rsid w:val="430E57E9"/>
    <w:rsid w:val="43D43D42"/>
    <w:rsid w:val="45392616"/>
    <w:rsid w:val="468EAC05"/>
    <w:rsid w:val="46AAB238"/>
    <w:rsid w:val="46F0F422"/>
    <w:rsid w:val="475BF5FC"/>
    <w:rsid w:val="475D06E6"/>
    <w:rsid w:val="47DEE810"/>
    <w:rsid w:val="48865DA0"/>
    <w:rsid w:val="4888709E"/>
    <w:rsid w:val="49551193"/>
    <w:rsid w:val="49DDD797"/>
    <w:rsid w:val="49FE6DBA"/>
    <w:rsid w:val="4A0191E8"/>
    <w:rsid w:val="4A845FAD"/>
    <w:rsid w:val="4AAC4589"/>
    <w:rsid w:val="4AD571EC"/>
    <w:rsid w:val="4ADE3671"/>
    <w:rsid w:val="4AE8B74C"/>
    <w:rsid w:val="4C9CE8C2"/>
    <w:rsid w:val="4CCBD3F1"/>
    <w:rsid w:val="4D4F19EE"/>
    <w:rsid w:val="4D74328B"/>
    <w:rsid w:val="4E13461A"/>
    <w:rsid w:val="4E237F51"/>
    <w:rsid w:val="4F5408EE"/>
    <w:rsid w:val="4F67971B"/>
    <w:rsid w:val="4F71970B"/>
    <w:rsid w:val="4FB4AB60"/>
    <w:rsid w:val="504BFC1B"/>
    <w:rsid w:val="51025B7A"/>
    <w:rsid w:val="51264ACF"/>
    <w:rsid w:val="51403CB4"/>
    <w:rsid w:val="5168499C"/>
    <w:rsid w:val="51C6FCE8"/>
    <w:rsid w:val="51CD7C0B"/>
    <w:rsid w:val="520C7A6A"/>
    <w:rsid w:val="521C0EF2"/>
    <w:rsid w:val="523ED46B"/>
    <w:rsid w:val="5295A42E"/>
    <w:rsid w:val="52A78AD5"/>
    <w:rsid w:val="53419802"/>
    <w:rsid w:val="53468E2B"/>
    <w:rsid w:val="54815E18"/>
    <w:rsid w:val="54935B74"/>
    <w:rsid w:val="54F09B1E"/>
    <w:rsid w:val="5513A4C8"/>
    <w:rsid w:val="55344D63"/>
    <w:rsid w:val="555286F4"/>
    <w:rsid w:val="55568C27"/>
    <w:rsid w:val="5557ED09"/>
    <w:rsid w:val="556E1735"/>
    <w:rsid w:val="5571D8F8"/>
    <w:rsid w:val="55802E2E"/>
    <w:rsid w:val="56373C66"/>
    <w:rsid w:val="5658A110"/>
    <w:rsid w:val="565CA834"/>
    <w:rsid w:val="57B03761"/>
    <w:rsid w:val="57B0B9A3"/>
    <w:rsid w:val="58B483A2"/>
    <w:rsid w:val="59D896C5"/>
    <w:rsid w:val="5A4E30E9"/>
    <w:rsid w:val="5B42F741"/>
    <w:rsid w:val="5BCD8B79"/>
    <w:rsid w:val="5C17696A"/>
    <w:rsid w:val="5C1E207D"/>
    <w:rsid w:val="5DBCDCD8"/>
    <w:rsid w:val="5E105B65"/>
    <w:rsid w:val="5E825E82"/>
    <w:rsid w:val="5F9D04C5"/>
    <w:rsid w:val="5F9E375F"/>
    <w:rsid w:val="6019D6A6"/>
    <w:rsid w:val="601C12A1"/>
    <w:rsid w:val="606A0C88"/>
    <w:rsid w:val="6084FA54"/>
    <w:rsid w:val="60BB2660"/>
    <w:rsid w:val="6103E0D7"/>
    <w:rsid w:val="6157CD12"/>
    <w:rsid w:val="6178DC2A"/>
    <w:rsid w:val="617D70C1"/>
    <w:rsid w:val="62B99E0E"/>
    <w:rsid w:val="637B6E7B"/>
    <w:rsid w:val="64408B9D"/>
    <w:rsid w:val="64827DD3"/>
    <w:rsid w:val="64A645D6"/>
    <w:rsid w:val="64AC7F30"/>
    <w:rsid w:val="650F865F"/>
    <w:rsid w:val="6610F117"/>
    <w:rsid w:val="66ADEFD9"/>
    <w:rsid w:val="66F79803"/>
    <w:rsid w:val="67117E6C"/>
    <w:rsid w:val="67172D4B"/>
    <w:rsid w:val="67498A46"/>
    <w:rsid w:val="677F16D7"/>
    <w:rsid w:val="67E47414"/>
    <w:rsid w:val="68A63F44"/>
    <w:rsid w:val="69857F14"/>
    <w:rsid w:val="6A18BE33"/>
    <w:rsid w:val="6A20AEC1"/>
    <w:rsid w:val="6A6FCB6C"/>
    <w:rsid w:val="6AF5C70B"/>
    <w:rsid w:val="6B0C9EEF"/>
    <w:rsid w:val="6B20F8EC"/>
    <w:rsid w:val="6B36B630"/>
    <w:rsid w:val="6B5A3F88"/>
    <w:rsid w:val="6BB69079"/>
    <w:rsid w:val="6BC95F7C"/>
    <w:rsid w:val="6BF864B7"/>
    <w:rsid w:val="6C7C8DEF"/>
    <w:rsid w:val="6DCC25EA"/>
    <w:rsid w:val="6E358F8B"/>
    <w:rsid w:val="6EAD8462"/>
    <w:rsid w:val="6EFBD64C"/>
    <w:rsid w:val="6F26CEAB"/>
    <w:rsid w:val="6FA9CAF7"/>
    <w:rsid w:val="6FB71578"/>
    <w:rsid w:val="6FB78632"/>
    <w:rsid w:val="6FE1630D"/>
    <w:rsid w:val="6FE2D950"/>
    <w:rsid w:val="701A0B3B"/>
    <w:rsid w:val="702A36E6"/>
    <w:rsid w:val="704E2029"/>
    <w:rsid w:val="70C351CA"/>
    <w:rsid w:val="70C7819D"/>
    <w:rsid w:val="70ECFDF7"/>
    <w:rsid w:val="71D8D84B"/>
    <w:rsid w:val="72027694"/>
    <w:rsid w:val="723C7FF6"/>
    <w:rsid w:val="7244902C"/>
    <w:rsid w:val="73384696"/>
    <w:rsid w:val="73FE371D"/>
    <w:rsid w:val="742419DD"/>
    <w:rsid w:val="7435E827"/>
    <w:rsid w:val="749A833A"/>
    <w:rsid w:val="74C34B8C"/>
    <w:rsid w:val="74DA22CA"/>
    <w:rsid w:val="752C2F0E"/>
    <w:rsid w:val="757517E6"/>
    <w:rsid w:val="75BD820C"/>
    <w:rsid w:val="7691BA7E"/>
    <w:rsid w:val="76D827FB"/>
    <w:rsid w:val="772F7D5A"/>
    <w:rsid w:val="7752C780"/>
    <w:rsid w:val="7833DFC8"/>
    <w:rsid w:val="7837AD10"/>
    <w:rsid w:val="783CFD3A"/>
    <w:rsid w:val="786D24FD"/>
    <w:rsid w:val="78793DC9"/>
    <w:rsid w:val="78FB3B81"/>
    <w:rsid w:val="79F98CCF"/>
    <w:rsid w:val="7A6D2CFD"/>
    <w:rsid w:val="7A77140E"/>
    <w:rsid w:val="7B6C2C19"/>
    <w:rsid w:val="7B73EFDD"/>
    <w:rsid w:val="7CA02B6B"/>
    <w:rsid w:val="7CB7FEB6"/>
    <w:rsid w:val="7CC2EB15"/>
    <w:rsid w:val="7D5537E7"/>
    <w:rsid w:val="7E0AEE8E"/>
    <w:rsid w:val="7EB50563"/>
    <w:rsid w:val="7FCC8FFE"/>
    <w:rsid w:val="7FE5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4328B"/>
  <w15:chartTrackingRefBased/>
  <w15:docId w15:val="{480CD1A1-7FF8-4C2E-A05F-4978AA460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64827DD3"/>
    <w:pPr>
      <w:spacing w:after="0" w:line="240" w:lineRule="auto"/>
    </w:pPr>
    <w:rPr>
      <w:sz w:val="20"/>
      <w:szCs w:val="20"/>
    </w:rPr>
  </w:style>
  <w:style w:type="character" w:styleId="FootnoteReference">
    <w:name w:val="footnote reference"/>
    <w:basedOn w:val="DefaultParagraphFont"/>
    <w:uiPriority w:val="99"/>
    <w:semiHidden/>
    <w:unhideWhenUsed/>
    <w:rsid w:val="64827DD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2118</Words>
  <Characters>12076</Characters>
  <Application>Microsoft Office Word</Application>
  <DocSecurity>0</DocSecurity>
  <Lines>100</Lines>
  <Paragraphs>28</Paragraphs>
  <ScaleCrop>false</ScaleCrop>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Cori Hatfield</cp:lastModifiedBy>
  <cp:revision>4</cp:revision>
  <dcterms:created xsi:type="dcterms:W3CDTF">2026-02-08T15:15:00Z</dcterms:created>
  <dcterms:modified xsi:type="dcterms:W3CDTF">2026-02-08T23:11:00Z</dcterms:modified>
</cp:coreProperties>
</file>