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2371D0" wp14:paraId="2378EEF3" wp14:textId="6470BAA0">
      <w:pPr>
        <w:spacing w:before="240" w:beforeAutospacing="off" w:after="240" w:afterAutospacing="off"/>
        <w:rPr>
          <w:rFonts w:ascii="Arial" w:hAnsi="Arial" w:eastAsia="Arial" w:cs="Arial"/>
          <w:b w:val="0"/>
          <w:bCs w:val="0"/>
          <w:noProof w:val="0"/>
          <w:color w:val="000000" w:themeColor="text1" w:themeTint="FF" w:themeShade="FF"/>
          <w:lang w:val="en-GB"/>
        </w:rPr>
      </w:pPr>
      <w:r w:rsidRPr="192371D0" w:rsidR="2AECE8A2">
        <w:rPr>
          <w:rFonts w:ascii="Arial" w:hAnsi="Arial" w:eastAsia="Arial" w:cs="Arial"/>
          <w:b w:val="0"/>
          <w:bCs w:val="0"/>
          <w:noProof w:val="0"/>
          <w:color w:val="000000" w:themeColor="text1" w:themeTint="FF" w:themeShade="FF"/>
          <w:lang w:val="en-GB"/>
        </w:rPr>
        <w:t>Ellie morgan</w:t>
      </w:r>
    </w:p>
    <w:p xmlns:wp14="http://schemas.microsoft.com/office/word/2010/wordml" w:rsidP="192371D0" wp14:paraId="182F6923" wp14:textId="65266543">
      <w:pPr>
        <w:spacing w:before="240" w:beforeAutospacing="off" w:after="240" w:afterAutospacing="off"/>
        <w:rPr>
          <w:rFonts w:ascii="Arial" w:hAnsi="Arial" w:eastAsia="Arial" w:cs="Arial"/>
          <w:b w:val="0"/>
          <w:bCs w:val="0"/>
          <w:noProof w:val="0"/>
          <w:color w:val="000000" w:themeColor="text1" w:themeTint="FF" w:themeShade="FF"/>
          <w:lang w:val="en-GB"/>
        </w:rPr>
      </w:pPr>
      <w:r w:rsidRPr="192371D0" w:rsidR="2AECE8A2">
        <w:rPr>
          <w:rFonts w:ascii="Arial" w:hAnsi="Arial" w:eastAsia="Arial" w:cs="Arial"/>
          <w:b w:val="0"/>
          <w:bCs w:val="0"/>
          <w:noProof w:val="0"/>
          <w:color w:val="000000" w:themeColor="text1" w:themeTint="FF" w:themeShade="FF"/>
          <w:lang w:val="en-GB"/>
        </w:rPr>
        <w:t>2416694</w:t>
      </w:r>
    </w:p>
    <w:p xmlns:wp14="http://schemas.microsoft.com/office/word/2010/wordml" w:rsidP="192371D0" wp14:paraId="5DCEAFE9" wp14:textId="7E778061">
      <w:pPr>
        <w:spacing w:before="240" w:beforeAutospacing="off" w:after="240" w:afterAutospacing="off"/>
        <w:rPr>
          <w:rFonts w:ascii="Arial" w:hAnsi="Arial" w:eastAsia="Arial" w:cs="Arial"/>
          <w:b w:val="0"/>
          <w:bCs w:val="0"/>
          <w:noProof w:val="0"/>
          <w:color w:val="000000" w:themeColor="text1" w:themeTint="FF" w:themeShade="FF"/>
          <w:lang w:val="en-GB"/>
        </w:rPr>
      </w:pPr>
      <w:r w:rsidRPr="192371D0" w:rsidR="0293E5FB">
        <w:rPr>
          <w:rFonts w:ascii="Arial" w:hAnsi="Arial" w:eastAsia="Arial" w:cs="Arial"/>
          <w:b w:val="0"/>
          <w:bCs w:val="0"/>
          <w:noProof w:val="0"/>
          <w:color w:val="000000" w:themeColor="text1" w:themeTint="FF" w:themeShade="FF"/>
          <w:lang w:val="en-GB"/>
        </w:rPr>
        <w:t>BMGM5004 Placement: Developing Restaurant Management</w:t>
      </w:r>
    </w:p>
    <w:p xmlns:wp14="http://schemas.microsoft.com/office/word/2010/wordml" w:rsidP="192371D0" wp14:paraId="04B04ED3" wp14:textId="51E29D98">
      <w:pPr>
        <w:spacing w:before="240" w:beforeAutospacing="off" w:after="240" w:afterAutospacing="off"/>
        <w:rPr>
          <w:rFonts w:ascii="Arial" w:hAnsi="Arial" w:eastAsia="Arial" w:cs="Arial"/>
          <w:b w:val="0"/>
          <w:bCs w:val="0"/>
          <w:noProof w:val="0"/>
          <w:color w:val="000000" w:themeColor="text1" w:themeTint="FF" w:themeShade="FF"/>
          <w:lang w:val="en-GB"/>
        </w:rPr>
      </w:pPr>
      <w:r w:rsidRPr="192371D0" w:rsidR="7B594996">
        <w:rPr>
          <w:rFonts w:ascii="Arial" w:hAnsi="Arial" w:eastAsia="Arial" w:cs="Arial"/>
          <w:b w:val="0"/>
          <w:bCs w:val="0"/>
          <w:noProof w:val="0"/>
          <w:color w:val="000000" w:themeColor="text1" w:themeTint="FF" w:themeShade="FF"/>
          <w:lang w:val="en-GB"/>
        </w:rPr>
        <w:t xml:space="preserve">Antoninette </w:t>
      </w:r>
      <w:r w:rsidRPr="192371D0" w:rsidR="7B594996">
        <w:rPr>
          <w:rFonts w:ascii="Arial" w:hAnsi="Arial" w:eastAsia="Arial" w:cs="Arial"/>
          <w:b w:val="0"/>
          <w:bCs w:val="0"/>
          <w:noProof w:val="0"/>
          <w:color w:val="000000" w:themeColor="text1" w:themeTint="FF" w:themeShade="FF"/>
          <w:lang w:val="en-GB"/>
        </w:rPr>
        <w:t>Milne</w:t>
      </w:r>
      <w:r w:rsidRPr="192371D0" w:rsidR="7B594996">
        <w:rPr>
          <w:rFonts w:ascii="Arial" w:hAnsi="Arial" w:eastAsia="Arial" w:cs="Arial"/>
          <w:b w:val="0"/>
          <w:bCs w:val="0"/>
          <w:noProof w:val="0"/>
          <w:color w:val="000000" w:themeColor="text1" w:themeTint="FF" w:themeShade="FF"/>
          <w:lang w:val="en-GB"/>
        </w:rPr>
        <w:t xml:space="preserve"> </w:t>
      </w:r>
    </w:p>
    <w:p xmlns:wp14="http://schemas.microsoft.com/office/word/2010/wordml" w:rsidP="192371D0" wp14:paraId="52EAADD0" wp14:textId="6680AC03">
      <w:pPr>
        <w:rPr>
          <w:rFonts w:ascii="Aptos" w:hAnsi="Aptos" w:eastAsia="Aptos" w:cs="Aptos"/>
          <w:noProof w:val="0"/>
          <w:color w:val="000000" w:themeColor="text1" w:themeTint="FF" w:themeShade="FF"/>
          <w:sz w:val="24"/>
          <w:szCs w:val="24"/>
          <w:lang w:val="en-GB"/>
        </w:rPr>
      </w:pPr>
      <w:r w:rsidRPr="192371D0" w:rsidR="7B594996">
        <w:rPr>
          <w:rFonts w:ascii="Aptos" w:hAnsi="Aptos" w:eastAsia="Aptos" w:cs="Aptos"/>
          <w:noProof w:val="0"/>
          <w:color w:val="000000" w:themeColor="text1" w:themeTint="FF" w:themeShade="FF"/>
          <w:sz w:val="24"/>
          <w:szCs w:val="24"/>
          <w:lang w:val="en-GB"/>
        </w:rPr>
        <w:t>Used AI for research and structure: Asked Copilot” can you explain this assignment in a easy understanding”</w:t>
      </w:r>
    </w:p>
    <w:p xmlns:wp14="http://schemas.microsoft.com/office/word/2010/wordml" w:rsidP="192371D0" wp14:paraId="3B7E9DC2" wp14:textId="2B388003">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192371D0" w:rsidR="7B594996">
        <w:rPr>
          <w:rFonts w:ascii="Helvetica" w:hAnsi="Helvetica" w:eastAsia="Helvetica" w:cs="Helvetica"/>
          <w:noProof w:val="0"/>
          <w:color w:val="000000" w:themeColor="text1" w:themeTint="FF" w:themeShade="FF"/>
          <w:sz w:val="24"/>
          <w:szCs w:val="24"/>
          <w:lang w:val="en-GB"/>
        </w:rPr>
        <w:t>I confirm I have copies of my text and after the use of AI tools which I may be asked to provide in evidence.</w:t>
      </w:r>
    </w:p>
    <w:p xmlns:wp14="http://schemas.microsoft.com/office/word/2010/wordml" w:rsidP="192371D0" wp14:paraId="3B9C7285" wp14:textId="34BE995A">
      <w:pPr>
        <w:spacing w:before="240" w:beforeAutospacing="off" w:after="240" w:afterAutospacing="off"/>
        <w:rPr>
          <w:rFonts w:ascii="Arial" w:hAnsi="Arial" w:eastAsia="Arial" w:cs="Arial"/>
          <w:b w:val="1"/>
          <w:bCs w:val="1"/>
          <w:noProof w:val="0"/>
          <w:color w:val="000000" w:themeColor="text1" w:themeTint="FF" w:themeShade="FF"/>
          <w:lang w:val="en-GB"/>
        </w:rPr>
      </w:pPr>
    </w:p>
    <w:p xmlns:wp14="http://schemas.microsoft.com/office/word/2010/wordml" w:rsidP="192371D0" wp14:paraId="10AAD6E9" wp14:textId="69FF0799">
      <w:pPr>
        <w:spacing w:before="240" w:beforeAutospacing="off" w:after="240" w:afterAutospacing="off"/>
        <w:rPr>
          <w:rFonts w:ascii="Arial" w:hAnsi="Arial" w:eastAsia="Arial" w:cs="Arial"/>
          <w:b w:val="1"/>
          <w:bCs w:val="1"/>
          <w:noProof w:val="0"/>
          <w:color w:val="000000" w:themeColor="text1" w:themeTint="FF" w:themeShade="FF"/>
          <w:lang w:val="en-GB"/>
        </w:rPr>
      </w:pPr>
    </w:p>
    <w:p xmlns:wp14="http://schemas.microsoft.com/office/word/2010/wordml" w:rsidP="192371D0" wp14:paraId="3AE93BD3" wp14:textId="5788BD04">
      <w:pPr>
        <w:pStyle w:val="Normal"/>
        <w:rPr>
          <w:noProof w:val="0"/>
          <w:lang w:val="en-GB"/>
        </w:rPr>
      </w:pPr>
    </w:p>
    <w:p xmlns:wp14="http://schemas.microsoft.com/office/word/2010/wordml" w:rsidP="192371D0" wp14:paraId="189E0E7C" wp14:textId="7C44783E">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192371D0" wp14:paraId="44036DC6" wp14:textId="598003B8">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192371D0" wp14:paraId="232E1FA0" wp14:textId="2021A36D">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192371D0" wp14:paraId="7AABC5EE" wp14:textId="46528BBF">
      <w:pPr>
        <w:pStyle w:val="Heading2"/>
        <w:spacing w:before="299" w:beforeAutospacing="off" w:after="299" w:afterAutospacing="off"/>
        <w:rPr>
          <w:rFonts w:ascii="Helvetica Neue" w:hAnsi="Helvetica Neue" w:eastAsia="Helvetica Neue" w:cs="Helvetica Neue"/>
          <w:b w:val="1"/>
          <w:bCs w:val="1"/>
          <w:noProof w:val="0"/>
          <w:color w:val="000000" w:themeColor="text1" w:themeTint="FF" w:themeShade="FF"/>
          <w:sz w:val="36"/>
          <w:szCs w:val="36"/>
          <w:lang w:val="en-GB"/>
        </w:rPr>
      </w:pPr>
    </w:p>
    <w:p xmlns:wp14="http://schemas.microsoft.com/office/word/2010/wordml" w:rsidP="192371D0" wp14:paraId="185D3E40" wp14:textId="38E9A294">
      <w:pPr>
        <w:pStyle w:val="Normal"/>
        <w:rPr>
          <w:noProof w:val="0"/>
          <w:lang w:val="en-GB"/>
        </w:rPr>
      </w:pPr>
    </w:p>
    <w:p xmlns:wp14="http://schemas.microsoft.com/office/word/2010/wordml" w:rsidP="192371D0" wp14:paraId="21FC03A0" wp14:textId="4DA59B56">
      <w:pPr>
        <w:pStyle w:val="Normal"/>
        <w:rPr>
          <w:noProof w:val="0"/>
          <w:lang w:val="en-GB"/>
        </w:rPr>
      </w:pPr>
    </w:p>
    <w:p xmlns:wp14="http://schemas.microsoft.com/office/word/2010/wordml" w:rsidP="192371D0" wp14:paraId="7A537BF8" wp14:textId="16202F72">
      <w:pPr>
        <w:pStyle w:val="Normal"/>
        <w:rPr>
          <w:noProof w:val="0"/>
          <w:lang w:val="en-GB"/>
        </w:rPr>
      </w:pPr>
    </w:p>
    <w:p xmlns:wp14="http://schemas.microsoft.com/office/word/2010/wordml" w:rsidP="192371D0" wp14:paraId="37EC4342" wp14:textId="09C41AA9">
      <w:pPr>
        <w:pStyle w:val="Normal"/>
        <w:rPr>
          <w:noProof w:val="0"/>
          <w:lang w:val="en-GB"/>
        </w:rPr>
      </w:pPr>
    </w:p>
    <w:p xmlns:wp14="http://schemas.microsoft.com/office/word/2010/wordml" w:rsidP="192371D0" wp14:paraId="7AC17EFE" wp14:textId="2D473F4E">
      <w:pPr>
        <w:pStyle w:val="Normal"/>
        <w:rPr>
          <w:noProof w:val="0"/>
          <w:lang w:val="en-GB"/>
        </w:rPr>
      </w:pPr>
    </w:p>
    <w:p xmlns:wp14="http://schemas.microsoft.com/office/word/2010/wordml" w:rsidP="192371D0" wp14:paraId="2BD157CD" wp14:textId="3A782B0F">
      <w:pPr>
        <w:pStyle w:val="Normal"/>
        <w:rPr>
          <w:noProof w:val="0"/>
          <w:lang w:val="en-GB"/>
        </w:rPr>
      </w:pPr>
    </w:p>
    <w:p xmlns:wp14="http://schemas.microsoft.com/office/word/2010/wordml" w:rsidP="192371D0" wp14:paraId="7A601BC2" wp14:textId="43794F1D">
      <w:pPr>
        <w:pStyle w:val="Normal"/>
        <w:rPr>
          <w:noProof w:val="0"/>
          <w:lang w:val="en-GB"/>
        </w:rPr>
      </w:pPr>
    </w:p>
    <w:p xmlns:wp14="http://schemas.microsoft.com/office/word/2010/wordml" w:rsidP="192371D0" wp14:paraId="743EBEE0" wp14:textId="3977D79D">
      <w:pPr>
        <w:pStyle w:val="Normal"/>
        <w:rPr>
          <w:noProof w:val="0"/>
          <w:lang w:val="en-GB"/>
        </w:rPr>
      </w:pPr>
    </w:p>
    <w:p xmlns:wp14="http://schemas.microsoft.com/office/word/2010/wordml" w:rsidP="192371D0" wp14:paraId="228BA7A2" wp14:textId="7906B977">
      <w:pPr>
        <w:pStyle w:val="Normal"/>
        <w:rPr>
          <w:noProof w:val="0"/>
          <w:lang w:val="en-GB"/>
        </w:rPr>
      </w:pPr>
    </w:p>
    <w:p xmlns:wp14="http://schemas.microsoft.com/office/word/2010/wordml" w:rsidP="192371D0" wp14:paraId="102DB713" wp14:textId="24A51575">
      <w:pPr>
        <w:pStyle w:val="Normal"/>
        <w:rPr>
          <w:noProof w:val="0"/>
          <w:lang w:val="en-GB"/>
        </w:rPr>
      </w:pPr>
    </w:p>
    <w:p xmlns:wp14="http://schemas.microsoft.com/office/word/2010/wordml" w:rsidP="192371D0" wp14:paraId="3A4417CB" wp14:textId="41935653">
      <w:pPr>
        <w:pStyle w:val="Heading2"/>
        <w:spacing w:before="299" w:beforeAutospacing="off" w:after="299" w:afterAutospacing="off"/>
      </w:pPr>
      <w:r w:rsidRPr="192371D0" w:rsidR="105AC5A9">
        <w:rPr>
          <w:rFonts w:ascii="Helvetica Neue" w:hAnsi="Helvetica Neue" w:eastAsia="Helvetica Neue" w:cs="Helvetica Neue"/>
          <w:b w:val="1"/>
          <w:bCs w:val="1"/>
          <w:noProof w:val="0"/>
          <w:color w:val="000000" w:themeColor="text1" w:themeTint="FF" w:themeShade="FF"/>
          <w:sz w:val="36"/>
          <w:szCs w:val="36"/>
          <w:lang w:val="en-GB"/>
        </w:rPr>
        <w:t>I</w:t>
      </w:r>
      <w:r w:rsidRPr="192371D0" w:rsidR="3D91B794">
        <w:rPr>
          <w:rFonts w:ascii="Helvetica Neue" w:hAnsi="Helvetica Neue" w:eastAsia="Helvetica Neue" w:cs="Helvetica Neue"/>
          <w:b w:val="1"/>
          <w:bCs w:val="1"/>
          <w:noProof w:val="0"/>
          <w:color w:val="000000" w:themeColor="text1" w:themeTint="FF" w:themeShade="FF"/>
          <w:sz w:val="36"/>
          <w:szCs w:val="36"/>
          <w:lang w:val="en-GB"/>
        </w:rPr>
        <w:t>ntroduction</w:t>
      </w:r>
    </w:p>
    <w:p xmlns:wp14="http://schemas.microsoft.com/office/word/2010/wordml" w:rsidP="192371D0" wp14:paraId="61CFEF43" wp14:textId="17C1AEB8">
      <w:pPr>
        <w:pStyle w:val="Normal"/>
      </w:pPr>
      <w:r w:rsidRPr="192371D0" w:rsidR="105AC5A9">
        <w:rPr>
          <w:rFonts w:ascii="Aptos" w:hAnsi="Aptos" w:eastAsia="Aptos" w:cs="Aptos"/>
          <w:noProof w:val="0"/>
          <w:color w:val="000000" w:themeColor="text1" w:themeTint="FF" w:themeShade="FF"/>
          <w:sz w:val="24"/>
          <w:szCs w:val="24"/>
          <w:lang w:val="en-GB"/>
        </w:rPr>
        <w:t>Effective restaurant management requires a blend of leadership capability, operational knowledge, interpersonal skills, and the ability to make informed decisions under pressure. During my placement at The Gwbert Hotel and Flat Rock Restaurant, I developed a deeper understanding of how management and leadership theories translate into real hospitality practice. This report provides an analytical review of the knowledge and skills required to manage and lead a restaurant team successfully. It also includes self</w:t>
      </w:r>
      <w:r>
        <w:noBreakHyphen/>
      </w:r>
      <w:r w:rsidRPr="192371D0" w:rsidR="105AC5A9">
        <w:rPr>
          <w:rFonts w:ascii="Aptos" w:hAnsi="Aptos" w:eastAsia="Aptos" w:cs="Aptos"/>
          <w:noProof w:val="0"/>
          <w:color w:val="000000" w:themeColor="text1" w:themeTint="FF" w:themeShade="FF"/>
          <w:sz w:val="24"/>
          <w:szCs w:val="24"/>
          <w:lang w:val="en-GB"/>
        </w:rPr>
        <w:t>reflection on my development in areas such as self</w:t>
      </w:r>
      <w:r>
        <w:noBreakHyphen/>
      </w:r>
      <w:r w:rsidRPr="192371D0" w:rsidR="105AC5A9">
        <w:rPr>
          <w:rFonts w:ascii="Aptos" w:hAnsi="Aptos" w:eastAsia="Aptos" w:cs="Aptos"/>
          <w:noProof w:val="0"/>
          <w:color w:val="000000" w:themeColor="text1" w:themeTint="FF" w:themeShade="FF"/>
          <w:sz w:val="24"/>
          <w:szCs w:val="24"/>
          <w:lang w:val="en-GB"/>
        </w:rPr>
        <w:t>management, task management, initiative, communication, and application of knowledge, which are essential criteria for professional growth in hospitality. In addition, the report considers how theoretical models of</w:t>
      </w:r>
      <w:r w:rsidRPr="192371D0" w:rsidR="105AC5A9">
        <w:rPr>
          <w:rFonts w:ascii="Aptos" w:hAnsi="Aptos" w:eastAsia="Aptos" w:cs="Aptos"/>
          <w:b w:val="0"/>
          <w:bCs w:val="0"/>
          <w:noProof w:val="0"/>
          <w:color w:val="000000" w:themeColor="text1" w:themeTint="FF" w:themeShade="FF"/>
          <w:sz w:val="24"/>
          <w:szCs w:val="24"/>
          <w:lang w:val="en-GB"/>
        </w:rPr>
        <w:t xml:space="preserve"> </w:t>
      </w:r>
      <w:r w:rsidRPr="192371D0" w:rsidR="105AC5A9">
        <w:rPr>
          <w:rFonts w:ascii="Aptos" w:hAnsi="Aptos" w:eastAsia="Aptos" w:cs="Aptos"/>
          <w:b w:val="0"/>
          <w:bCs w:val="0"/>
          <w:noProof w:val="0"/>
          <w:color w:val="000000" w:themeColor="text1" w:themeTint="FF" w:themeShade="FF"/>
          <w:sz w:val="24"/>
          <w:szCs w:val="24"/>
          <w:lang w:val="en-GB"/>
        </w:rPr>
        <w:t>restaurant leadership</w:t>
      </w:r>
      <w:r w:rsidRPr="192371D0" w:rsidR="105AC5A9">
        <w:rPr>
          <w:rFonts w:ascii="Aptos" w:hAnsi="Aptos" w:eastAsia="Aptos" w:cs="Aptos"/>
          <w:b w:val="0"/>
          <w:bCs w:val="0"/>
          <w:noProof w:val="0"/>
          <w:color w:val="000000" w:themeColor="text1" w:themeTint="FF" w:themeShade="FF"/>
          <w:sz w:val="24"/>
          <w:szCs w:val="24"/>
          <w:lang w:val="en-GB"/>
        </w:rPr>
        <w:t xml:space="preserve"> a</w:t>
      </w:r>
      <w:r w:rsidRPr="192371D0" w:rsidR="105AC5A9">
        <w:rPr>
          <w:rFonts w:ascii="Aptos" w:hAnsi="Aptos" w:eastAsia="Aptos" w:cs="Aptos"/>
          <w:noProof w:val="0"/>
          <w:color w:val="000000" w:themeColor="text1" w:themeTint="FF" w:themeShade="FF"/>
          <w:sz w:val="24"/>
          <w:szCs w:val="24"/>
          <w:lang w:val="en-GB"/>
        </w:rPr>
        <w:t>nd operational management can be applied within a real working environment, highlighting the challenges and learning opportunities that emerged throughout my placement. By connecting academic principles with practical experience, the report aims to demonstrate how effective management contributes to service quality, team cohesion, and overall organisational performance within a busy hospitality setting.</w:t>
      </w:r>
    </w:p>
    <w:p xmlns:wp14="http://schemas.microsoft.com/office/word/2010/wordml" w:rsidP="192371D0" wp14:paraId="2EBE33A3" wp14:textId="43F4C1DF">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Management and Leadership in Restaurant Operations</w:t>
      </w:r>
    </w:p>
    <w:p xmlns:wp14="http://schemas.microsoft.com/office/word/2010/wordml" w:rsidP="192371D0" wp14:paraId="2D9B6588" wp14:textId="4F8C1CDC">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Understanding the distinction between management and leadership is essential in hospitality. Management focuses on planning, organising, and controlling operations (Drucker, 2007), while leadership emphasises motivating and influencing people (Northouse, 2022). In a restaurant environment, both functions are necessary because operations rely on structured processes as well as strong interpersonal relationships. During my placement, managers at Flat Rock Restaurant frequently shifted between managerial tasks—such as scheduling, stock control, and POS checks—and leadership behaviours, such as motivating staff during busy services. This aligns with Mintzberg’s (1973) argument that managers perform multiple roles simultaneously, including interpersonal, informational, and decisional roles.</w:t>
      </w:r>
    </w:p>
    <w:p xmlns:wp14="http://schemas.microsoft.com/office/word/2010/wordml" w:rsidP="192371D0" wp14:paraId="7A7F5530" wp14:textId="36E98B1D">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Different leadership styles influence team morale, service quality, and operational efficiency. Autocratic leadership, which involves centralised decision</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making, can be effective in fast</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 xml:space="preserve">paced environments where quick decisions are needed (Bass, 1990). I </w:t>
      </w:r>
      <w:r w:rsidRPr="192371D0" w:rsidR="0D5DF512">
        <w:rPr>
          <w:rFonts w:ascii="Helvetica Neue" w:hAnsi="Helvetica Neue" w:eastAsia="Helvetica Neue" w:cs="Helvetica Neue"/>
          <w:noProof w:val="0"/>
          <w:color w:val="000000" w:themeColor="text1" w:themeTint="FF" w:themeShade="FF"/>
          <w:sz w:val="24"/>
          <w:szCs w:val="24"/>
          <w:lang w:val="en-GB"/>
        </w:rPr>
        <w:t>observed</w:t>
      </w:r>
      <w:r w:rsidRPr="192371D0" w:rsidR="0D5DF512">
        <w:rPr>
          <w:rFonts w:ascii="Helvetica Neue" w:hAnsi="Helvetica Neue" w:eastAsia="Helvetica Neue" w:cs="Helvetica Neue"/>
          <w:noProof w:val="0"/>
          <w:color w:val="000000" w:themeColor="text1" w:themeTint="FF" w:themeShade="FF"/>
          <w:sz w:val="24"/>
          <w:szCs w:val="24"/>
          <w:lang w:val="en-GB"/>
        </w:rPr>
        <w:t xml:space="preserve"> this during peak dinner service when supervisors made rapid decisions about table allocations or menu substitutions. While this style provides clear direction, it can reduce staff autonomy and motivation. Democratic leadership encourages participation and shared </w:t>
      </w:r>
      <w:r w:rsidRPr="192371D0" w:rsidR="09755703">
        <w:rPr>
          <w:rFonts w:ascii="Helvetica Neue" w:hAnsi="Helvetica Neue" w:eastAsia="Helvetica Neue" w:cs="Helvetica Neue"/>
          <w:noProof w:val="0"/>
          <w:color w:val="000000" w:themeColor="text1" w:themeTint="FF" w:themeShade="FF"/>
          <w:sz w:val="24"/>
          <w:szCs w:val="24"/>
          <w:lang w:val="en-GB"/>
        </w:rPr>
        <w:t>decision-making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(Lewin et al., 1939). At Flat Rock, this style appeared during </w:t>
      </w:r>
      <w:r w:rsidRPr="192371D0" w:rsidR="06C9D90D">
        <w:rPr>
          <w:rFonts w:ascii="Helvetica Neue" w:hAnsi="Helvetica Neue" w:eastAsia="Helvetica Neue" w:cs="Helvetica Neue"/>
          <w:noProof w:val="0"/>
          <w:color w:val="000000" w:themeColor="text1" w:themeTint="FF" w:themeShade="FF"/>
          <w:sz w:val="24"/>
          <w:szCs w:val="24"/>
          <w:lang w:val="en-GB"/>
        </w:rPr>
        <w:t>preservice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briefings where staff were invited to share concerns or suggestions. Although democratic leadership builds trust and engagement, it can slow decision processes. Transformational leadership focuses on inspiring and motivating employees to exceed expectations (Burns, 1978; Bass, 1999). I experienced this when managers encouraged me to take initiative, learn wine knowledge, and develop confidence with guests. This style enhances motivation and personal development but requires consistent emotional energy from leaders. Transactional leadership relies on rewards and corrective actions (Bass, 1985). This was </w:t>
      </w:r>
      <w:r w:rsidRPr="192371D0" w:rsidR="0D5DF512">
        <w:rPr>
          <w:rFonts w:ascii="Helvetica Neue" w:hAnsi="Helvetica Neue" w:eastAsia="Helvetica Neue" w:cs="Helvetica Neue"/>
          <w:noProof w:val="0"/>
          <w:color w:val="000000" w:themeColor="text1" w:themeTint="FF" w:themeShade="FF"/>
          <w:sz w:val="24"/>
          <w:szCs w:val="24"/>
          <w:lang w:val="en-GB"/>
        </w:rPr>
        <w:t>evident</w:t>
      </w:r>
      <w:r w:rsidRPr="192371D0" w:rsidR="0D5DF512">
        <w:rPr>
          <w:rFonts w:ascii="Helvetica Neue" w:hAnsi="Helvetica Neue" w:eastAsia="Helvetica Neue" w:cs="Helvetica Neue"/>
          <w:noProof w:val="0"/>
          <w:color w:val="000000" w:themeColor="text1" w:themeTint="FF" w:themeShade="FF"/>
          <w:sz w:val="24"/>
          <w:szCs w:val="24"/>
          <w:lang w:val="en-GB"/>
        </w:rPr>
        <w:t xml:space="preserve"> in performance feedback, such as praise for upselling or reminders about service standards. While transactional leadership provides clear expectations, it can feel impersonal if overused. Research suggests that a blended approach is most effective because restaurant environments shift rapidly (Worsfold, 2019). My experience supports this, as managers adapted their style depending on the situation, </w:t>
      </w:r>
      <w:r w:rsidRPr="192371D0" w:rsidR="0D5DF512">
        <w:rPr>
          <w:rFonts w:ascii="Helvetica Neue" w:hAnsi="Helvetica Neue" w:eastAsia="Helvetica Neue" w:cs="Helvetica Neue"/>
          <w:noProof w:val="0"/>
          <w:color w:val="000000" w:themeColor="text1" w:themeTint="FF" w:themeShade="FF"/>
          <w:sz w:val="24"/>
          <w:szCs w:val="24"/>
          <w:lang w:val="en-GB"/>
        </w:rPr>
        <w:t>demonstrating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flexibility that is essential in hospitality leadership.</w:t>
      </w:r>
    </w:p>
    <w:p xmlns:wp14="http://schemas.microsoft.com/office/word/2010/wordml" w:rsidP="192371D0" wp14:paraId="204674F3" wp14:textId="0480ED39">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Managing Yourself and Others in Restaurant Operations</w:t>
      </w:r>
    </w:p>
    <w:p xmlns:wp14="http://schemas.microsoft.com/office/word/2010/wordml" w:rsidP="192371D0" wp14:paraId="775C3706" wp14:textId="627E035E">
      <w:pPr>
        <w:spacing w:before="240" w:beforeAutospacing="off" w:after="240" w:afterAutospacing="off"/>
      </w:pPr>
      <w:r w:rsidRPr="192371D0" w:rsidR="2FAA0C9C">
        <w:rPr>
          <w:rFonts w:ascii="Helvetica Neue" w:hAnsi="Helvetica Neue" w:eastAsia="Helvetica Neue" w:cs="Helvetica Neue"/>
          <w:noProof w:val="0"/>
          <w:color w:val="000000" w:themeColor="text1" w:themeTint="FF" w:themeShade="FF"/>
          <w:sz w:val="24"/>
          <w:szCs w:val="24"/>
          <w:lang w:val="en-GB"/>
        </w:rPr>
        <w:t>Self management</w:t>
      </w:r>
      <w:r w:rsidRPr="192371D0" w:rsidR="0D5DF512">
        <w:rPr>
          <w:rFonts w:ascii="Helvetica Neue" w:hAnsi="Helvetica Neue" w:eastAsia="Helvetica Neue" w:cs="Helvetica Neue"/>
          <w:noProof w:val="0"/>
          <w:color w:val="000000" w:themeColor="text1" w:themeTint="FF" w:themeShade="FF"/>
          <w:sz w:val="24"/>
          <w:szCs w:val="24"/>
          <w:lang w:val="en-GB"/>
        </w:rPr>
        <w:t xml:space="preserve"> is a crucial skill in hospitality and involves regulating emotions, organising tasks, and </w:t>
      </w:r>
      <w:r w:rsidRPr="192371D0" w:rsidR="0D5DF512">
        <w:rPr>
          <w:rFonts w:ascii="Helvetica Neue" w:hAnsi="Helvetica Neue" w:eastAsia="Helvetica Neue" w:cs="Helvetica Neue"/>
          <w:noProof w:val="0"/>
          <w:color w:val="000000" w:themeColor="text1" w:themeTint="FF" w:themeShade="FF"/>
          <w:sz w:val="24"/>
          <w:szCs w:val="24"/>
          <w:lang w:val="en-GB"/>
        </w:rPr>
        <w:t>maintaining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professionalism (Boyatzis, 2008). At The </w:t>
      </w:r>
      <w:r w:rsidRPr="192371D0" w:rsidR="0D5DF512">
        <w:rPr>
          <w:rFonts w:ascii="Helvetica Neue" w:hAnsi="Helvetica Neue" w:eastAsia="Helvetica Neue" w:cs="Helvetica Neue"/>
          <w:noProof w:val="0"/>
          <w:color w:val="000000" w:themeColor="text1" w:themeTint="FF" w:themeShade="FF"/>
          <w:sz w:val="24"/>
          <w:szCs w:val="24"/>
          <w:lang w:val="en-GB"/>
        </w:rPr>
        <w:t>Gwbert</w:t>
      </w:r>
      <w:r w:rsidRPr="192371D0" w:rsidR="0D5DF512">
        <w:rPr>
          <w:rFonts w:ascii="Helvetica Neue" w:hAnsi="Helvetica Neue" w:eastAsia="Helvetica Neue" w:cs="Helvetica Neue"/>
          <w:noProof w:val="0"/>
          <w:color w:val="000000" w:themeColor="text1" w:themeTint="FF" w:themeShade="FF"/>
          <w:sz w:val="24"/>
          <w:szCs w:val="24"/>
          <w:lang w:val="en-GB"/>
        </w:rPr>
        <w:t xml:space="preserve"> Hotel, I learned to manage my time effectively by preparing for shifts, reviewing menus, and </w:t>
      </w:r>
      <w:r w:rsidRPr="192371D0" w:rsidR="0D5DF512">
        <w:rPr>
          <w:rFonts w:ascii="Helvetica Neue" w:hAnsi="Helvetica Neue" w:eastAsia="Helvetica Neue" w:cs="Helvetica Neue"/>
          <w:noProof w:val="0"/>
          <w:color w:val="000000" w:themeColor="text1" w:themeTint="FF" w:themeShade="FF"/>
          <w:sz w:val="24"/>
          <w:szCs w:val="24"/>
          <w:lang w:val="en-GB"/>
        </w:rPr>
        <w:t>anticipating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busy periods. Emotional regulation was particularly important during stressful services, aligning with Grandey’s (2003) concept of emotional labour in hospitality. I also developed confidence through repeated customer interactions, reflecting Kolb’s (1984) experiential learning cycle, which emphasises learning through experience, reflection, conceptualisation, and experimentation.</w:t>
      </w:r>
    </w:p>
    <w:p xmlns:wp14="http://schemas.microsoft.com/office/word/2010/wordml" w:rsidP="192371D0" wp14:paraId="2192EBA1" wp14:textId="0227B185">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Task management is central to restaurant operations, which require precise coordination of responsibilities such as taking orders, delivering food, clearing tables, and communicating with the kitchen. Effective task management is linked to productivity and customer satisfaction (Hemmington, 2007). Throughout my placement, I improved my ability to prioritise tasks during peak times and became more efficient in maintaining service flow. I also learned the importance of supporting colleagues when they were overloaded, which contributed to a more cohesive team environment. These developments align with Herzberg’s (1966) motivation theory, which highlights responsibility and achievement as key motivators.</w:t>
      </w:r>
    </w:p>
    <w:p xmlns:wp14="http://schemas.microsoft.com/office/word/2010/wordml" w:rsidP="192371D0" wp14:paraId="1D144543" wp14:textId="046737B0">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Communication is fundamental to hospitality performance. Clear communication reduces errors, improves teamwork, and enhances customer experience (Kim &amp; Lee, 2020). At Flat Rock, communication occurred through pre</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service briefings, verbal updates during service, and POS messages between front</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of</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house and kitchen staff. Cooperation was essential during busy shifts, and helping colleagues with clearing tables or running food improved service flow and reduced stress. This teamwork dynamic reflects Tuckman’s (1965) model of group development, which emphasises the importance of moving through stages of forming, storming, norming, and performing. My communication skills improved significantly, especially in approaching customers confidently, asking clarifying questions, and communicating dietary requirements accurately. These developments reflect Argyle’s (1994) social skills theory, which emphasises the importance of both verbal and non</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verbal communication.</w:t>
      </w:r>
    </w:p>
    <w:p xmlns:wp14="http://schemas.microsoft.com/office/word/2010/wordml" w:rsidP="192371D0" wp14:paraId="195E8F11" wp14:textId="0DD7D5E1">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Initiative and Problem</w:t>
      </w:r>
      <w:r>
        <w:noBreakHyphen/>
      </w:r>
      <w:r w:rsidRPr="192371D0" w:rsidR="0D5DF512">
        <w:rPr>
          <w:rFonts w:ascii="Helvetica Neue" w:hAnsi="Helvetica Neue" w:eastAsia="Helvetica Neue" w:cs="Helvetica Neue"/>
          <w:b w:val="1"/>
          <w:bCs w:val="1"/>
          <w:noProof w:val="0"/>
          <w:color w:val="000000" w:themeColor="text1" w:themeTint="FF" w:themeShade="FF"/>
          <w:sz w:val="36"/>
          <w:szCs w:val="36"/>
          <w:lang w:val="en-GB"/>
        </w:rPr>
        <w:t>Solving in Restaurant Management</w:t>
      </w:r>
    </w:p>
    <w:p xmlns:wp14="http://schemas.microsoft.com/office/word/2010/wordml" w:rsidP="192371D0" wp14:paraId="2B92FEBC" wp14:textId="786D7EA9">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 xml:space="preserve">Initiative is crucial in hospitality because unexpected situations occur </w:t>
      </w:r>
      <w:r w:rsidRPr="192371D0" w:rsidR="0D5DF512">
        <w:rPr>
          <w:rFonts w:ascii="Helvetica Neue" w:hAnsi="Helvetica Neue" w:eastAsia="Helvetica Neue" w:cs="Helvetica Neue"/>
          <w:noProof w:val="0"/>
          <w:color w:val="000000" w:themeColor="text1" w:themeTint="FF" w:themeShade="FF"/>
          <w:sz w:val="24"/>
          <w:szCs w:val="24"/>
          <w:lang w:val="en-GB"/>
        </w:rPr>
        <w:t>frequently</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Proactive behaviour improves service quality and reduces customer dissatisfaction (Crant, 2000). During my placement, I learned to </w:t>
      </w:r>
      <w:r w:rsidRPr="192371D0" w:rsidR="0D5DF512">
        <w:rPr>
          <w:rFonts w:ascii="Helvetica Neue" w:hAnsi="Helvetica Neue" w:eastAsia="Helvetica Neue" w:cs="Helvetica Neue"/>
          <w:noProof w:val="0"/>
          <w:color w:val="000000" w:themeColor="text1" w:themeTint="FF" w:themeShade="FF"/>
          <w:sz w:val="24"/>
          <w:szCs w:val="24"/>
          <w:lang w:val="en-GB"/>
        </w:rPr>
        <w:t>anticipate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customer needs and act without being asked. For example, I often noticed when guests </w:t>
      </w:r>
      <w:r w:rsidRPr="192371D0" w:rsidR="0D5DF512">
        <w:rPr>
          <w:rFonts w:ascii="Helvetica Neue" w:hAnsi="Helvetica Neue" w:eastAsia="Helvetica Neue" w:cs="Helvetica Neue"/>
          <w:noProof w:val="0"/>
          <w:color w:val="000000" w:themeColor="text1" w:themeTint="FF" w:themeShade="FF"/>
          <w:sz w:val="24"/>
          <w:szCs w:val="24"/>
          <w:lang w:val="en-GB"/>
        </w:rPr>
        <w:t>required</w:t>
      </w:r>
      <w:r w:rsidRPr="192371D0" w:rsidR="0D5DF512">
        <w:rPr>
          <w:rFonts w:ascii="Helvetica Neue" w:hAnsi="Helvetica Neue" w:eastAsia="Helvetica Neue" w:cs="Helvetica Neue"/>
          <w:noProof w:val="0"/>
          <w:color w:val="000000" w:themeColor="text1" w:themeTint="FF" w:themeShade="FF"/>
          <w:sz w:val="24"/>
          <w:szCs w:val="24"/>
          <w:lang w:val="en-GB"/>
        </w:rPr>
        <w:t xml:space="preserve"> </w:t>
      </w:r>
      <w:r w:rsidRPr="192371D0" w:rsidR="0D5DF512">
        <w:rPr>
          <w:rFonts w:ascii="Helvetica Neue" w:hAnsi="Helvetica Neue" w:eastAsia="Helvetica Neue" w:cs="Helvetica Neue"/>
          <w:noProof w:val="0"/>
          <w:color w:val="000000" w:themeColor="text1" w:themeTint="FF" w:themeShade="FF"/>
          <w:sz w:val="24"/>
          <w:szCs w:val="24"/>
          <w:lang w:val="en-GB"/>
        </w:rPr>
        <w:t>assistance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w:t>
      </w:r>
      <w:r w:rsidRPr="192371D0" w:rsidR="0D5DF512">
        <w:rPr>
          <w:rFonts w:ascii="Helvetica Neue" w:hAnsi="Helvetica Neue" w:eastAsia="Helvetica Neue" w:cs="Helvetica Neue"/>
          <w:noProof w:val="0"/>
          <w:color w:val="000000" w:themeColor="text1" w:themeTint="FF" w:themeShade="FF"/>
          <w:sz w:val="24"/>
          <w:szCs w:val="24"/>
          <w:lang w:val="en-GB"/>
        </w:rPr>
        <w:t>anticipated</w:t>
      </w:r>
      <w:r w:rsidRPr="192371D0" w:rsidR="0D5DF512">
        <w:rPr>
          <w:rFonts w:ascii="Helvetica Neue" w:hAnsi="Helvetica Neue" w:eastAsia="Helvetica Neue" w:cs="Helvetica Neue"/>
          <w:noProof w:val="0"/>
          <w:color w:val="000000" w:themeColor="text1" w:themeTint="FF" w:themeShade="FF"/>
          <w:sz w:val="24"/>
          <w:szCs w:val="24"/>
          <w:lang w:val="en-GB"/>
        </w:rPr>
        <w:t xml:space="preserve"> table resets before new arrivals. These actions </w:t>
      </w:r>
      <w:r w:rsidRPr="192371D0" w:rsidR="0D5DF512">
        <w:rPr>
          <w:rFonts w:ascii="Helvetica Neue" w:hAnsi="Helvetica Neue" w:eastAsia="Helvetica Neue" w:cs="Helvetica Neue"/>
          <w:noProof w:val="0"/>
          <w:color w:val="000000" w:themeColor="text1" w:themeTint="FF" w:themeShade="FF"/>
          <w:sz w:val="24"/>
          <w:szCs w:val="24"/>
          <w:lang w:val="en-GB"/>
        </w:rPr>
        <w:t>demonstrate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proactive service behaviour, which is linked to higher customer satisfaction (Liao &amp; Chuang, 2004).</w:t>
      </w:r>
    </w:p>
    <w:p xmlns:wp14="http://schemas.microsoft.com/office/word/2010/wordml" w:rsidP="192371D0" wp14:paraId="72A8744E" wp14:textId="0100593A">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Foreseeing challenges is an important part of restaurant operations. Potential issues such as delays in the kitchen, stock shortages, customer complaints, and staff shortages can disrupt service if not anticipated. Foreseeing these issues is part of operational risk management (Hopkin, 2018). At Flat Rock, managers encouraged us to anticipate problems by checking stock levels before service, reviewing bookings for large parties, and communicating early with the kitchen about dietary needs. This proactive approach reduced disruptions and improved service flow.</w:t>
      </w:r>
    </w:p>
    <w:p xmlns:wp14="http://schemas.microsoft.com/office/word/2010/wordml" w:rsidP="192371D0" wp14:paraId="470ECA3B" wp14:textId="580848B4">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 xml:space="preserve">Troubleshooting skills are essential in hospitality and involve </w:t>
      </w:r>
      <w:r w:rsidRPr="192371D0" w:rsidR="0D5DF512">
        <w:rPr>
          <w:rFonts w:ascii="Helvetica Neue" w:hAnsi="Helvetica Neue" w:eastAsia="Helvetica Neue" w:cs="Helvetica Neue"/>
          <w:noProof w:val="0"/>
          <w:color w:val="000000" w:themeColor="text1" w:themeTint="FF" w:themeShade="FF"/>
          <w:sz w:val="24"/>
          <w:szCs w:val="24"/>
          <w:lang w:val="en-GB"/>
        </w:rPr>
        <w:t>identifying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problems quickly and applying solutions. Situational awareness and </w:t>
      </w:r>
      <w:r w:rsidRPr="192371D0" w:rsidR="2FBDFD38">
        <w:rPr>
          <w:rFonts w:ascii="Helvetica Neue" w:hAnsi="Helvetica Neue" w:eastAsia="Helvetica Neue" w:cs="Helvetica Neue"/>
          <w:noProof w:val="0"/>
          <w:color w:val="000000" w:themeColor="text1" w:themeTint="FF" w:themeShade="FF"/>
          <w:sz w:val="24"/>
          <w:szCs w:val="24"/>
          <w:lang w:val="en-GB"/>
        </w:rPr>
        <w:t>decision making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are crucial in this process (Baum, 2015). These experiences helped me develop confidence and align with Schön’s (1983) reflective practitioner model, which emphasises learning through reflection on action.</w:t>
      </w:r>
    </w:p>
    <w:p xmlns:wp14="http://schemas.microsoft.com/office/word/2010/wordml" w:rsidP="192371D0" wp14:paraId="12DE1553" wp14:textId="3FC7D0CD">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Information Management in Restaurant Operations</w:t>
      </w:r>
    </w:p>
    <w:p xmlns:wp14="http://schemas.microsoft.com/office/word/2010/wordml" w:rsidP="192371D0" wp14:paraId="5B0B3B65" wp14:textId="6DF28E35">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Information management plays a vital role in modern restaurant operations. Point of Sale (POS) systems support order accuracy, stock control, and financial reporting (Kimes, 2011). At The Gwbert Hotel, the POS system helped with entering orders efficiently, communicating modifications to the kitchen, and tracking sales and payment methods. Using the POS improved my accuracy and reduced errors, supporting overall operational efficiency.</w:t>
      </w:r>
    </w:p>
    <w:p xmlns:wp14="http://schemas.microsoft.com/office/word/2010/wordml" w:rsidP="192371D0" wp14:paraId="198668F7" wp14:textId="2C7C2E3D">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Customer feedback provides valuable insights into service quality (Parasuraman et al., 1988). Managers regularly reviewed feedback to identify trends such as popular menu items, common complaints, and service strengths. This information guided decisions about training and menu adjustments. End</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of</w:t>
      </w:r>
      <w:r>
        <w:noBreakHyphen/>
      </w:r>
      <w:r w:rsidRPr="192371D0" w:rsidR="0D5DF512">
        <w:rPr>
          <w:rFonts w:ascii="Helvetica Neue" w:hAnsi="Helvetica Neue" w:eastAsia="Helvetica Neue" w:cs="Helvetica Neue"/>
          <w:noProof w:val="0"/>
          <w:color w:val="000000" w:themeColor="text1" w:themeTint="FF" w:themeShade="FF"/>
          <w:sz w:val="24"/>
          <w:szCs w:val="24"/>
          <w:lang w:val="en-GB"/>
        </w:rPr>
        <w:t>day reconciliations ensure financial accuracy and accountability (Jones &amp; Lockwood, 2004). Although I did not complete reconciliations myself, I observed managers checking cash totals, card payments, and voids or discounts, which supports transparency and reduces financial discrepancies.</w:t>
      </w:r>
    </w:p>
    <w:p xmlns:wp14="http://schemas.microsoft.com/office/word/2010/wordml" w:rsidP="192371D0" wp14:paraId="1E3488A6" wp14:textId="742D1DE0">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 xml:space="preserve">Stock management is essential for cost control and menu consistency (Davis et al., 2018). At Flat Rock, stock checks were completed regularly to prevent shortages and reduce waste. Payroll systems also play </w:t>
      </w:r>
      <w:r w:rsidRPr="192371D0" w:rsidR="0D5DF512">
        <w:rPr>
          <w:rFonts w:ascii="Helvetica Neue" w:hAnsi="Helvetica Neue" w:eastAsia="Helvetica Neue" w:cs="Helvetica Neue"/>
          <w:noProof w:val="0"/>
          <w:color w:val="000000" w:themeColor="text1" w:themeTint="FF" w:themeShade="FF"/>
          <w:sz w:val="24"/>
          <w:szCs w:val="24"/>
          <w:lang w:val="en-GB"/>
        </w:rPr>
        <w:t>an important role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by ensuring fair and </w:t>
      </w:r>
      <w:r w:rsidRPr="192371D0" w:rsidR="0D5DF512">
        <w:rPr>
          <w:rFonts w:ascii="Helvetica Neue" w:hAnsi="Helvetica Neue" w:eastAsia="Helvetica Neue" w:cs="Helvetica Neue"/>
          <w:noProof w:val="0"/>
          <w:color w:val="000000" w:themeColor="text1" w:themeTint="FF" w:themeShade="FF"/>
          <w:sz w:val="24"/>
          <w:szCs w:val="24"/>
          <w:lang w:val="en-GB"/>
        </w:rPr>
        <w:t>accurate</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payment and helping managers plan staffing levels based on forecasted demand (Hayes &amp; </w:t>
      </w:r>
      <w:r w:rsidRPr="192371D0" w:rsidR="0D5DF512">
        <w:rPr>
          <w:rFonts w:ascii="Helvetica Neue" w:hAnsi="Helvetica Neue" w:eastAsia="Helvetica Neue" w:cs="Helvetica Neue"/>
          <w:noProof w:val="0"/>
          <w:color w:val="000000" w:themeColor="text1" w:themeTint="FF" w:themeShade="FF"/>
          <w:sz w:val="24"/>
          <w:szCs w:val="24"/>
          <w:lang w:val="en-GB"/>
        </w:rPr>
        <w:t>Ninemeier</w:t>
      </w:r>
      <w:r w:rsidRPr="192371D0" w:rsidR="0D5DF512">
        <w:rPr>
          <w:rFonts w:ascii="Helvetica Neue" w:hAnsi="Helvetica Neue" w:eastAsia="Helvetica Neue" w:cs="Helvetica Neue"/>
          <w:noProof w:val="0"/>
          <w:color w:val="000000" w:themeColor="text1" w:themeTint="FF" w:themeShade="FF"/>
          <w:sz w:val="24"/>
          <w:szCs w:val="24"/>
          <w:lang w:val="en-GB"/>
        </w:rPr>
        <w:t xml:space="preserve">, 2016). </w:t>
      </w:r>
    </w:p>
    <w:p xmlns:wp14="http://schemas.microsoft.com/office/word/2010/wordml" w:rsidP="192371D0" wp14:paraId="45CF8C95" wp14:textId="1B87DD60">
      <w:pPr>
        <w:spacing w:before="240" w:beforeAutospacing="off" w:after="240" w:afterAutospacing="off"/>
      </w:pPr>
      <w:r w:rsidRPr="192371D0" w:rsidR="0D5DF512">
        <w:rPr>
          <w:rFonts w:ascii="Helvetica Neue" w:hAnsi="Helvetica Neue" w:eastAsia="Helvetica Neue" w:cs="Helvetica Neue"/>
          <w:noProof w:val="0"/>
          <w:color w:val="000000" w:themeColor="text1" w:themeTint="FF" w:themeShade="FF"/>
          <w:sz w:val="24"/>
          <w:szCs w:val="24"/>
          <w:lang w:val="en-GB"/>
        </w:rPr>
        <w:t xml:space="preserve">Information analysis supports strategic </w:t>
      </w:r>
      <w:r w:rsidRPr="192371D0" w:rsidR="5E51D802">
        <w:rPr>
          <w:rFonts w:ascii="Helvetica Neue" w:hAnsi="Helvetica Neue" w:eastAsia="Helvetica Neue" w:cs="Helvetica Neue"/>
          <w:noProof w:val="0"/>
          <w:color w:val="000000" w:themeColor="text1" w:themeTint="FF" w:themeShade="FF"/>
          <w:sz w:val="24"/>
          <w:szCs w:val="24"/>
          <w:lang w:val="en-GB"/>
        </w:rPr>
        <w:t>decision making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in hospitality. Data from POS systems, feedback reports, and stock records can be used to adjust menus, schedule staff according to peak times, and improve training based on feedback trends. This aligns with </w:t>
      </w:r>
      <w:r w:rsidRPr="192371D0" w:rsidR="1F3CFC9B">
        <w:rPr>
          <w:rFonts w:ascii="Helvetica Neue" w:hAnsi="Helvetica Neue" w:eastAsia="Helvetica Neue" w:cs="Helvetica Neue"/>
          <w:noProof w:val="0"/>
          <w:color w:val="000000" w:themeColor="text1" w:themeTint="FF" w:themeShade="FF"/>
          <w:sz w:val="24"/>
          <w:szCs w:val="24"/>
          <w:lang w:val="en-GB"/>
        </w:rPr>
        <w:t>data driven</w:t>
      </w:r>
      <w:r w:rsidRPr="192371D0" w:rsidR="0D5DF512">
        <w:rPr>
          <w:rFonts w:ascii="Helvetica Neue" w:hAnsi="Helvetica Neue" w:eastAsia="Helvetica Neue" w:cs="Helvetica Neue"/>
          <w:noProof w:val="0"/>
          <w:color w:val="000000" w:themeColor="text1" w:themeTint="FF" w:themeShade="FF"/>
          <w:sz w:val="24"/>
          <w:szCs w:val="24"/>
          <w:lang w:val="en-GB"/>
        </w:rPr>
        <w:t xml:space="preserve"> </w:t>
      </w:r>
      <w:r w:rsidRPr="192371D0" w:rsidR="1093B658">
        <w:rPr>
          <w:rFonts w:ascii="Helvetica Neue" w:hAnsi="Helvetica Neue" w:eastAsia="Helvetica Neue" w:cs="Helvetica Neue"/>
          <w:noProof w:val="0"/>
          <w:color w:val="000000" w:themeColor="text1" w:themeTint="FF" w:themeShade="FF"/>
          <w:sz w:val="24"/>
          <w:szCs w:val="24"/>
          <w:lang w:val="en-GB"/>
        </w:rPr>
        <w:t>decision making</w:t>
      </w:r>
      <w:r w:rsidRPr="192371D0" w:rsidR="0D5DF512">
        <w:rPr>
          <w:rFonts w:ascii="Helvetica Neue" w:hAnsi="Helvetica Neue" w:eastAsia="Helvetica Neue" w:cs="Helvetica Neue"/>
          <w:noProof w:val="0"/>
          <w:color w:val="000000" w:themeColor="text1" w:themeTint="FF" w:themeShade="FF"/>
          <w:sz w:val="24"/>
          <w:szCs w:val="24"/>
          <w:lang w:val="en-GB"/>
        </w:rPr>
        <w:t xml:space="preserve"> principles (Brynjolfsson &amp; McElheran, 2016), which emphasise the importance of using information to enhance business performance.</w:t>
      </w:r>
    </w:p>
    <w:p xmlns:wp14="http://schemas.microsoft.com/office/word/2010/wordml" w:rsidP="192371D0" wp14:paraId="04E145B0" wp14:textId="551ACF12">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Self</w:t>
      </w:r>
      <w:r>
        <w:noBreakHyphen/>
      </w:r>
      <w:r w:rsidRPr="192371D0" w:rsidR="0D5DF512">
        <w:rPr>
          <w:rFonts w:ascii="Helvetica Neue" w:hAnsi="Helvetica Neue" w:eastAsia="Helvetica Neue" w:cs="Helvetica Neue"/>
          <w:b w:val="1"/>
          <w:bCs w:val="1"/>
          <w:noProof w:val="0"/>
          <w:color w:val="000000" w:themeColor="text1" w:themeTint="FF" w:themeShade="FF"/>
          <w:sz w:val="36"/>
          <w:szCs w:val="36"/>
          <w:lang w:val="en-GB"/>
        </w:rPr>
        <w:t>Reflection</w:t>
      </w:r>
      <w:r w:rsidRPr="192371D0" w:rsidR="0D5DF512">
        <w:rPr>
          <w:rFonts w:ascii="Helvetica Neue" w:hAnsi="Helvetica Neue" w:eastAsia="Helvetica Neue" w:cs="Helvetica Neue"/>
          <w:b w:val="1"/>
          <w:bCs w:val="1"/>
          <w:noProof w:val="0"/>
          <w:color w:val="000000" w:themeColor="text1" w:themeTint="FF" w:themeShade="FF"/>
          <w:sz w:val="36"/>
          <w:szCs w:val="36"/>
          <w:lang w:val="en-GB"/>
        </w:rPr>
        <w:t xml:space="preserve"> on My Development</w:t>
      </w:r>
    </w:p>
    <w:p xmlns:wp14="http://schemas.microsoft.com/office/word/2010/wordml" w:rsidP="192371D0" wp14:paraId="0F5EFC3C" wp14:textId="0FF16459">
      <w:pPr>
        <w:spacing w:before="240" w:beforeAutospacing="off" w:after="240" w:afterAutospacing="off"/>
      </w:pPr>
      <w:r w:rsidRPr="192371D0" w:rsidR="45588414">
        <w:rPr>
          <w:rFonts w:ascii="Aptos" w:hAnsi="Aptos" w:eastAsia="Aptos" w:cs="Aptos"/>
          <w:noProof w:val="0"/>
          <w:color w:val="000000" w:themeColor="text1" w:themeTint="FF" w:themeShade="FF"/>
          <w:sz w:val="24"/>
          <w:szCs w:val="24"/>
          <w:lang w:val="en-GB"/>
        </w:rPr>
        <w:t>My placement helped me grow significantly in confidence. Customer interactions played a major role in this development, especially when receiving positive feedback. This reflects Bandura’s (1997) self</w:t>
      </w:r>
      <w:r>
        <w:noBreakHyphen/>
      </w:r>
      <w:r w:rsidRPr="192371D0" w:rsidR="45588414">
        <w:rPr>
          <w:rFonts w:ascii="Aptos" w:hAnsi="Aptos" w:eastAsia="Aptos" w:cs="Aptos"/>
          <w:noProof w:val="0"/>
          <w:color w:val="000000" w:themeColor="text1" w:themeTint="FF" w:themeShade="FF"/>
          <w:sz w:val="24"/>
          <w:szCs w:val="24"/>
          <w:lang w:val="en-GB"/>
        </w:rPr>
        <w:t>efficacy theory, which highlights the importance of belief in one’s abilities. My communication skills also improved, particularly in interacting with customers and colleagues, which aligns with Hargie’s (2011) interpersonal communication framework. As I became more comfortable in the restaurant environment, I found it easier to adapt my tone, body language, and approach depending on the needs of each guest, which strengthened my professional presence.</w:t>
      </w:r>
    </w:p>
    <w:p xmlns:wp14="http://schemas.microsoft.com/office/word/2010/wordml" w:rsidP="192371D0" wp14:paraId="726BFB0B" wp14:textId="4B97A70D">
      <w:pPr>
        <w:spacing w:before="240" w:beforeAutospacing="off" w:after="240" w:afterAutospacing="off"/>
      </w:pPr>
      <w:r w:rsidRPr="192371D0" w:rsidR="45588414">
        <w:rPr>
          <w:rFonts w:ascii="Aptos" w:hAnsi="Aptos" w:eastAsia="Aptos" w:cs="Aptos"/>
          <w:noProof w:val="0"/>
          <w:color w:val="000000" w:themeColor="text1" w:themeTint="FF" w:themeShade="FF"/>
          <w:sz w:val="24"/>
          <w:szCs w:val="24"/>
          <w:lang w:val="en-GB"/>
        </w:rPr>
        <w:t xml:space="preserve">I also developed stronger initiative, learning to anticipate needs and act proactively. This improved service flow and demonstrated professional maturity. Applying academic concepts such as emotional labour, teamwork theory, and leadership styles helped me understand my role more deeply and connect theory with practice. Over time, I became more aware of how my behaviour influenced team dynamics, recognising moments where stepping in early prevented issues from escalating. This reflective awareness aligns with Schön’s (1983) idea of the reflective practitioner and helped me build a more intentional approach to </w:t>
      </w:r>
      <w:r w:rsidRPr="192371D0" w:rsidR="45588414">
        <w:rPr>
          <w:rFonts w:ascii="Aptos" w:hAnsi="Aptos" w:eastAsia="Aptos" w:cs="Aptos"/>
          <w:b w:val="1"/>
          <w:bCs w:val="1"/>
          <w:noProof w:val="0"/>
          <w:color w:val="000000" w:themeColor="text1" w:themeTint="FF" w:themeShade="FF"/>
          <w:sz w:val="24"/>
          <w:szCs w:val="24"/>
          <w:lang w:val="en-GB"/>
        </w:rPr>
        <w:t>professional development</w:t>
      </w:r>
      <w:r w:rsidRPr="192371D0" w:rsidR="45588414">
        <w:rPr>
          <w:rFonts w:ascii="Aptos" w:hAnsi="Aptos" w:eastAsia="Aptos" w:cs="Aptos"/>
          <w:noProof w:val="0"/>
          <w:color w:val="000000" w:themeColor="text1" w:themeTint="FF" w:themeShade="FF"/>
          <w:sz w:val="24"/>
          <w:szCs w:val="24"/>
          <w:lang w:val="en-GB"/>
        </w:rPr>
        <w:t xml:space="preserve"> within hospitality.</w:t>
      </w:r>
    </w:p>
    <w:p xmlns:wp14="http://schemas.microsoft.com/office/word/2010/wordml" w:rsidP="192371D0" wp14:paraId="498FD264" wp14:textId="557AE533">
      <w:pPr>
        <w:pStyle w:val="Normal"/>
        <w:rPr>
          <w:noProof w:val="0"/>
          <w:lang w:val="en-GB"/>
        </w:rPr>
      </w:pPr>
    </w:p>
    <w:p xmlns:wp14="http://schemas.microsoft.com/office/word/2010/wordml" w:rsidP="192371D0" wp14:paraId="201D5EBC" wp14:textId="133D1550">
      <w:pPr>
        <w:pStyle w:val="Heading2"/>
        <w:spacing w:before="299" w:beforeAutospacing="off" w:after="299" w:afterAutospacing="off"/>
      </w:pPr>
      <w:r w:rsidRPr="192371D0" w:rsidR="0D5DF512">
        <w:rPr>
          <w:rFonts w:ascii="Helvetica Neue" w:hAnsi="Helvetica Neue" w:eastAsia="Helvetica Neue" w:cs="Helvetica Neue"/>
          <w:b w:val="1"/>
          <w:bCs w:val="1"/>
          <w:noProof w:val="0"/>
          <w:color w:val="000000" w:themeColor="text1" w:themeTint="FF" w:themeShade="FF"/>
          <w:sz w:val="36"/>
          <w:szCs w:val="36"/>
          <w:lang w:val="en-GB"/>
        </w:rPr>
        <w:t>Conclusion</w:t>
      </w:r>
    </w:p>
    <w:p xmlns:wp14="http://schemas.microsoft.com/office/word/2010/wordml" w:rsidP="192371D0" wp14:paraId="5E5787A5" wp14:textId="285A47F7">
      <w:pPr>
        <w:pStyle w:val="Normal"/>
      </w:pPr>
      <w:r w:rsidRPr="192371D0" w:rsidR="79F59D0D">
        <w:rPr>
          <w:rFonts w:ascii="Helvetica Neue" w:hAnsi="Helvetica Neue" w:eastAsia="Helvetica Neue" w:cs="Helvetica Neue"/>
          <w:noProof w:val="0"/>
          <w:color w:val="000000" w:themeColor="text1" w:themeTint="FF" w:themeShade="FF"/>
          <w:sz w:val="24"/>
          <w:szCs w:val="24"/>
          <w:lang w:val="en-GB"/>
        </w:rPr>
        <w:t>My placement at The Gwbert Hotel and Flat Rock Restaurant provided valuable insights into restaurant management and leadership. Through academic frameworks and practical experience, I developed essential skills in communication, initiative, teamwork, and information management. Understanding leadership styles, anticipating challenges, and using data effectively are crucial for successful restaurant operations. This experience has strengthened my confidence and prepared me for future roles in hospitality management. It also highlighted the importance of adaptability, as each service brought new situations that required quick thinking and professional judgement. By applying theoretical models to real</w:t>
      </w:r>
      <w:r>
        <w:noBreakHyphen/>
      </w:r>
      <w:r w:rsidRPr="192371D0" w:rsidR="79F59D0D">
        <w:rPr>
          <w:rFonts w:ascii="Helvetica Neue" w:hAnsi="Helvetica Neue" w:eastAsia="Helvetica Neue" w:cs="Helvetica Neue"/>
          <w:noProof w:val="0"/>
          <w:color w:val="000000" w:themeColor="text1" w:themeTint="FF" w:themeShade="FF"/>
          <w:sz w:val="24"/>
          <w:szCs w:val="24"/>
          <w:lang w:val="en-GB"/>
        </w:rPr>
        <w:t xml:space="preserve">world scenarios, I gained a clearer understanding of how effective leadership influences team morale, guest satisfaction, and operational efficiency. Overall, the placement has supported my growth as a reflective practitioner and encouraged me to continue developing my skills through ongoing </w:t>
      </w:r>
      <w:r w:rsidRPr="192371D0" w:rsidR="79F59D0D">
        <w:rPr>
          <w:rFonts w:ascii="Helvetica Neue" w:hAnsi="Helvetica Neue" w:eastAsia="Helvetica Neue" w:cs="Helvetica Neue"/>
          <w:b w:val="1"/>
          <w:bCs w:val="1"/>
          <w:noProof w:val="0"/>
          <w:color w:val="000000" w:themeColor="text1" w:themeTint="FF" w:themeShade="FF"/>
          <w:sz w:val="24"/>
          <w:szCs w:val="24"/>
          <w:lang w:val="en-GB"/>
        </w:rPr>
        <w:t>professional learning</w:t>
      </w:r>
      <w:r w:rsidRPr="192371D0" w:rsidR="79F59D0D">
        <w:rPr>
          <w:rFonts w:ascii="Helvetica Neue" w:hAnsi="Helvetica Neue" w:eastAsia="Helvetica Neue" w:cs="Helvetica Neue"/>
          <w:noProof w:val="0"/>
          <w:color w:val="000000" w:themeColor="text1" w:themeTint="FF" w:themeShade="FF"/>
          <w:sz w:val="24"/>
          <w:szCs w:val="24"/>
          <w:lang w:val="en-GB"/>
        </w:rPr>
        <w:t xml:space="preserve"> within the hospitality industry.</w:t>
      </w:r>
    </w:p>
    <w:p w:rsidR="192371D0" w:rsidP="192371D0" w:rsidRDefault="192371D0" w14:paraId="2B6F2DC0" w14:textId="18817EB9">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7B89EE6B" w14:textId="2BAEF412">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7BEDFEB6" w14:textId="363A38A5">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355EDDB" w14:textId="1797D8E2">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741ABCB7" w14:textId="35660856">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76298405" w14:textId="4E70E08B">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E17085E" w14:textId="1A5683F2">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53452452" w14:textId="4869C6F8">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034E624" w14:textId="6BAEBA51">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4167DFB4" w14:textId="3791DFEF">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C086799" w14:textId="2E00BC90">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2E0E32C8" w14:textId="339A8B99">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38BA46D" w14:textId="6F14A51D">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36264F42" w14:textId="599424EC">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12110E05" w14:textId="2DC83270">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5F62806D" w14:textId="5BB5CDC7">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2F825FAA" w14:textId="31453D79">
      <w:pPr>
        <w:pStyle w:val="Normal"/>
        <w:rPr>
          <w:rFonts w:ascii="Helvetica Neue" w:hAnsi="Helvetica Neue" w:eastAsia="Helvetica Neue" w:cs="Helvetica Neue"/>
          <w:noProof w:val="0"/>
          <w:color w:val="000000" w:themeColor="text1" w:themeTint="FF" w:themeShade="FF"/>
          <w:sz w:val="24"/>
          <w:szCs w:val="24"/>
          <w:lang w:val="en-GB"/>
        </w:rPr>
      </w:pPr>
    </w:p>
    <w:p w:rsidR="192371D0" w:rsidP="192371D0" w:rsidRDefault="192371D0" w14:paraId="00362EC4" w14:textId="509ADDF7">
      <w:pPr>
        <w:pStyle w:val="Normal"/>
        <w:rPr>
          <w:rFonts w:ascii="Helvetica Neue" w:hAnsi="Helvetica Neue" w:eastAsia="Helvetica Neue" w:cs="Helvetica Neue"/>
          <w:noProof w:val="0"/>
          <w:color w:val="000000" w:themeColor="text1" w:themeTint="FF" w:themeShade="FF"/>
          <w:sz w:val="24"/>
          <w:szCs w:val="24"/>
          <w:lang w:val="en-GB"/>
        </w:rPr>
      </w:pPr>
    </w:p>
    <w:p w:rsidR="35D7BEA0" w:rsidP="192371D0" w:rsidRDefault="35D7BEA0" w14:paraId="0BAE138E" w14:textId="35661F54">
      <w:pPr>
        <w:pStyle w:val="Heading1"/>
        <w:spacing w:before="261" w:beforeAutospacing="off" w:after="390" w:afterAutospacing="off" w:line="585" w:lineRule="auto"/>
      </w:pPr>
      <w:r w:rsidRPr="192371D0" w:rsidR="35D7BEA0">
        <w:rPr>
          <w:rFonts w:ascii="Aptos" w:hAnsi="Aptos" w:eastAsia="Aptos" w:cs="Aptos"/>
          <w:b w:val="1"/>
          <w:bCs w:val="1"/>
          <w:noProof w:val="0"/>
          <w:color w:val="000000" w:themeColor="text1" w:themeTint="FF" w:themeShade="FF"/>
          <w:sz w:val="39"/>
          <w:szCs w:val="39"/>
          <w:lang w:val="en-GB"/>
        </w:rPr>
        <w:t>Reference list</w:t>
      </w:r>
    </w:p>
    <w:p w:rsidR="35D7BEA0" w:rsidP="192371D0" w:rsidRDefault="35D7BEA0" w14:paraId="6CEBB419" w14:textId="164C12D1">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Alán, A. (2025). </w:t>
      </w:r>
      <w:r w:rsidRPr="192371D0" w:rsidR="35D7BEA0">
        <w:rPr>
          <w:rFonts w:ascii="Aptos" w:hAnsi="Aptos" w:eastAsia="Aptos" w:cs="Aptos"/>
          <w:i w:val="1"/>
          <w:iCs w:val="1"/>
          <w:noProof w:val="0"/>
          <w:color w:val="000000" w:themeColor="text1" w:themeTint="FF" w:themeShade="FF"/>
          <w:sz w:val="26"/>
          <w:szCs w:val="26"/>
          <w:lang w:val="en-GB"/>
        </w:rPr>
        <w:t>Hopkin - Fundamentals of Risk Management</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Scribd</w:t>
      </w:r>
      <w:r w:rsidRPr="192371D0" w:rsidR="35D7BEA0">
        <w:rPr>
          <w:rFonts w:ascii="Aptos" w:hAnsi="Aptos" w:eastAsia="Aptos" w:cs="Aptos"/>
          <w:noProof w:val="0"/>
          <w:color w:val="000000" w:themeColor="text1" w:themeTint="FF" w:themeShade="FF"/>
          <w:sz w:val="26"/>
          <w:szCs w:val="26"/>
          <w:lang w:val="en-GB"/>
        </w:rPr>
        <w:t xml:space="preserve">. Available at: </w:t>
      </w:r>
      <w:hyperlink r:id="Rd0ba0bf05b4c4df8">
        <w:r w:rsidRPr="192371D0" w:rsidR="35D7BEA0">
          <w:rPr>
            <w:rStyle w:val="Hyperlink"/>
            <w:noProof w:val="0"/>
            <w:lang w:val="en-GB"/>
          </w:rPr>
          <w:t>https://www.scribd.com/document/647447150/Hopkin-Fundamentals-of-Risk-Management</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5E192EF9" w14:textId="36A26B20">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Argyle, M. (2026). </w:t>
      </w:r>
      <w:r w:rsidRPr="192371D0" w:rsidR="35D7BEA0">
        <w:rPr>
          <w:rFonts w:ascii="Aptos" w:hAnsi="Aptos" w:eastAsia="Aptos" w:cs="Aptos"/>
          <w:i w:val="1"/>
          <w:iCs w:val="1"/>
          <w:noProof w:val="0"/>
          <w:color w:val="000000" w:themeColor="text1" w:themeTint="FF" w:themeShade="FF"/>
          <w:sz w:val="26"/>
          <w:szCs w:val="26"/>
          <w:lang w:val="en-GB"/>
        </w:rPr>
        <w:t>The Psychology of Interpersonal Behaviour</w:t>
      </w:r>
      <w:r w:rsidRPr="192371D0" w:rsidR="35D7BEA0">
        <w:rPr>
          <w:rFonts w:ascii="Aptos" w:hAnsi="Aptos" w:eastAsia="Aptos" w:cs="Aptos"/>
          <w:noProof w:val="0"/>
          <w:color w:val="000000" w:themeColor="text1" w:themeTint="FF" w:themeShade="FF"/>
          <w:sz w:val="26"/>
          <w:szCs w:val="26"/>
          <w:lang w:val="en-GB"/>
        </w:rPr>
        <w:t xml:space="preserve">. [online] Google Books. Available at: </w:t>
      </w:r>
      <w:hyperlink r:id="Rc810c1214c6c4fe5">
        <w:r w:rsidRPr="192371D0" w:rsidR="35D7BEA0">
          <w:rPr>
            <w:rStyle w:val="Hyperlink"/>
            <w:noProof w:val="0"/>
            <w:lang w:val="en-GB"/>
          </w:rPr>
          <w:t>https://books.google.co.uk/books?hl=en&amp;lr=&amp;id=VQOzdOxJFZAC&amp;oi=fnd&amp;pg=PT5&amp;dq=Argyle,+M.+(1994).+The+Psychology+of+Interpersonal+Behaviour.+&amp;ots=8ORlIQfmDG&amp;sig=OCF_Ig1ABEGNtsDCmFN21VU7I5s&amp;redir_esc=y#v=onepage&amp;q&amp;f=false</w:t>
        </w:r>
      </w:hyperlink>
      <w:r w:rsidRPr="192371D0" w:rsidR="35D7BEA0">
        <w:rPr>
          <w:rFonts w:ascii="Aptos" w:hAnsi="Aptos" w:eastAsia="Aptos" w:cs="Aptos"/>
          <w:noProof w:val="0"/>
          <w:color w:val="000000" w:themeColor="text1" w:themeTint="FF" w:themeShade="FF"/>
          <w:sz w:val="26"/>
          <w:szCs w:val="26"/>
          <w:lang w:val="en-GB"/>
        </w:rPr>
        <w:t xml:space="preserve"> [Accessed 23 July 2026].</w:t>
      </w:r>
    </w:p>
    <w:p w:rsidR="35D7BEA0" w:rsidP="192371D0" w:rsidRDefault="35D7BEA0" w14:paraId="41FD9C12" w14:textId="65073BDF">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Ashforth, B.E. and Humphrey, R.H. (1993). Emotional Labor in Service Roles: The Influence of Identity. </w:t>
      </w:r>
      <w:r w:rsidRPr="192371D0" w:rsidR="35D7BEA0">
        <w:rPr>
          <w:rFonts w:ascii="Aptos" w:hAnsi="Aptos" w:eastAsia="Aptos" w:cs="Aptos"/>
          <w:i w:val="1"/>
          <w:iCs w:val="1"/>
          <w:noProof w:val="0"/>
          <w:color w:val="000000" w:themeColor="text1" w:themeTint="FF" w:themeShade="FF"/>
          <w:sz w:val="26"/>
          <w:szCs w:val="26"/>
          <w:lang w:val="en-GB"/>
        </w:rPr>
        <w:t>Academy of Management Review</w:t>
      </w:r>
      <w:r w:rsidRPr="192371D0" w:rsidR="35D7BEA0">
        <w:rPr>
          <w:rFonts w:ascii="Aptos" w:hAnsi="Aptos" w:eastAsia="Aptos" w:cs="Aptos"/>
          <w:noProof w:val="0"/>
          <w:color w:val="000000" w:themeColor="text1" w:themeTint="FF" w:themeShade="FF"/>
          <w:sz w:val="26"/>
          <w:szCs w:val="26"/>
          <w:lang w:val="en-GB"/>
        </w:rPr>
        <w:t>, 18(1), pp.88–115. doi:10.5465/amr.1993.3997508.</w:t>
      </w:r>
    </w:p>
    <w:p w:rsidR="35D7BEA0" w:rsidP="192371D0" w:rsidRDefault="35D7BEA0" w14:paraId="1CBADFE8" w14:textId="2BBCC559">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Bandura, A. (1997). Albert Bandura-Self-Efficacy_ The Exercise of Control-W. H. Freeman &amp; Co (1997).pdf. </w:t>
      </w:r>
      <w:r w:rsidRPr="192371D0" w:rsidR="35D7BEA0">
        <w:rPr>
          <w:rFonts w:ascii="Aptos" w:hAnsi="Aptos" w:eastAsia="Aptos" w:cs="Aptos"/>
          <w:i w:val="1"/>
          <w:iCs w:val="1"/>
          <w:noProof w:val="0"/>
          <w:color w:val="000000" w:themeColor="text1" w:themeTint="FF" w:themeShade="FF"/>
          <w:sz w:val="26"/>
          <w:szCs w:val="26"/>
          <w:lang w:val="en-GB"/>
        </w:rPr>
        <w:t>Academia.edu</w:t>
      </w:r>
      <w:r w:rsidRPr="192371D0" w:rsidR="35D7BEA0">
        <w:rPr>
          <w:rFonts w:ascii="Aptos" w:hAnsi="Aptos" w:eastAsia="Aptos" w:cs="Aptos"/>
          <w:noProof w:val="0"/>
          <w:color w:val="000000" w:themeColor="text1" w:themeTint="FF" w:themeShade="FF"/>
          <w:sz w:val="26"/>
          <w:szCs w:val="26"/>
          <w:lang w:val="en-GB"/>
        </w:rPr>
        <w:t>. [online] doi:10326838/11523851/s200_serly.</w:t>
      </w:r>
    </w:p>
    <w:p w:rsidR="35D7BEA0" w:rsidP="192371D0" w:rsidRDefault="35D7BEA0" w14:paraId="090EB9E5" w14:textId="0D07FC09">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Bass, B.M. (1990). </w:t>
      </w:r>
      <w:r w:rsidRPr="192371D0" w:rsidR="35D7BEA0">
        <w:rPr>
          <w:rFonts w:ascii="Aptos" w:hAnsi="Aptos" w:eastAsia="Aptos" w:cs="Aptos"/>
          <w:i w:val="1"/>
          <w:iCs w:val="1"/>
          <w:noProof w:val="0"/>
          <w:color w:val="000000" w:themeColor="text1" w:themeTint="FF" w:themeShade="FF"/>
          <w:sz w:val="26"/>
          <w:szCs w:val="26"/>
          <w:lang w:val="en-GB"/>
        </w:rPr>
        <w:t>Bass &amp; Stogdill’s Handbook of Leadership: Theory, Research, and Managerial Applications</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Google Books</w:t>
      </w:r>
      <w:r w:rsidRPr="192371D0" w:rsidR="35D7BEA0">
        <w:rPr>
          <w:rFonts w:ascii="Aptos" w:hAnsi="Aptos" w:eastAsia="Aptos" w:cs="Aptos"/>
          <w:noProof w:val="0"/>
          <w:color w:val="000000" w:themeColor="text1" w:themeTint="FF" w:themeShade="FF"/>
          <w:sz w:val="26"/>
          <w:szCs w:val="26"/>
          <w:lang w:val="en-GB"/>
        </w:rPr>
        <w:t xml:space="preserve">. Simon and Schuster. Available at: </w:t>
      </w:r>
      <w:hyperlink r:id="R08038081d0794392">
        <w:r w:rsidRPr="192371D0" w:rsidR="35D7BEA0">
          <w:rPr>
            <w:rStyle w:val="Hyperlink"/>
            <w:noProof w:val="0"/>
            <w:lang w:val="en-GB"/>
          </w:rPr>
          <w:t>https://books.google.co.uk/books?hl=en&amp;lr=&amp;id=KxLizZ3aYmUC&amp;oi=fnd&amp;pg=PR11&amp;dq=Bass</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741A5538" w14:textId="04414089">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Bass, B.M. (1999). Two Decades of Research and Development in Transformational Leadership. </w:t>
      </w:r>
      <w:r w:rsidRPr="192371D0" w:rsidR="35D7BEA0">
        <w:rPr>
          <w:rFonts w:ascii="Aptos" w:hAnsi="Aptos" w:eastAsia="Aptos" w:cs="Aptos"/>
          <w:i w:val="1"/>
          <w:iCs w:val="1"/>
          <w:noProof w:val="0"/>
          <w:color w:val="000000" w:themeColor="text1" w:themeTint="FF" w:themeShade="FF"/>
          <w:sz w:val="26"/>
          <w:szCs w:val="26"/>
          <w:lang w:val="en-GB"/>
        </w:rPr>
        <w:t>European Journal of Work and Organizational Psychology</w:t>
      </w:r>
      <w:r w:rsidRPr="192371D0" w:rsidR="35D7BEA0">
        <w:rPr>
          <w:rFonts w:ascii="Aptos" w:hAnsi="Aptos" w:eastAsia="Aptos" w:cs="Aptos"/>
          <w:noProof w:val="0"/>
          <w:color w:val="000000" w:themeColor="text1" w:themeTint="FF" w:themeShade="FF"/>
          <w:sz w:val="26"/>
          <w:szCs w:val="26"/>
          <w:lang w:val="en-GB"/>
        </w:rPr>
        <w:t>, 8(1), pp.9–32. doi:10.1080/135943299398410.</w:t>
      </w:r>
    </w:p>
    <w:p w:rsidR="35D7BEA0" w:rsidP="192371D0" w:rsidRDefault="35D7BEA0" w14:paraId="7B86FB4F" w14:textId="251A6C8D">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Baum, T. (2015). Human resources in tourism: Still waiting for change? – A 2015 reprise. </w:t>
      </w:r>
      <w:r w:rsidRPr="192371D0" w:rsidR="35D7BEA0">
        <w:rPr>
          <w:rFonts w:ascii="Aptos" w:hAnsi="Aptos" w:eastAsia="Aptos" w:cs="Aptos"/>
          <w:i w:val="1"/>
          <w:iCs w:val="1"/>
          <w:noProof w:val="0"/>
          <w:color w:val="000000" w:themeColor="text1" w:themeTint="FF" w:themeShade="FF"/>
          <w:sz w:val="26"/>
          <w:szCs w:val="26"/>
          <w:lang w:val="en-GB"/>
        </w:rPr>
        <w:t>Tourism Management</w:t>
      </w:r>
      <w:r w:rsidRPr="192371D0" w:rsidR="35D7BEA0">
        <w:rPr>
          <w:rFonts w:ascii="Aptos" w:hAnsi="Aptos" w:eastAsia="Aptos" w:cs="Aptos"/>
          <w:noProof w:val="0"/>
          <w:color w:val="000000" w:themeColor="text1" w:themeTint="FF" w:themeShade="FF"/>
          <w:sz w:val="26"/>
          <w:szCs w:val="26"/>
          <w:lang w:val="en-GB"/>
        </w:rPr>
        <w:t>, 50, pp.204–212. doi:10.1016/j.tourman.2015.02.001.</w:t>
      </w:r>
    </w:p>
    <w:p w:rsidR="35D7BEA0" w:rsidP="192371D0" w:rsidRDefault="35D7BEA0" w14:paraId="05A1E162" w14:textId="1CF12F27">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Boyatzis, R. (2008). </w:t>
      </w:r>
      <w:r w:rsidRPr="192371D0" w:rsidR="35D7BEA0">
        <w:rPr>
          <w:rFonts w:ascii="Aptos" w:hAnsi="Aptos" w:eastAsia="Aptos" w:cs="Aptos"/>
          <w:i w:val="1"/>
          <w:iCs w:val="1"/>
          <w:noProof w:val="0"/>
          <w:color w:val="000000" w:themeColor="text1" w:themeTint="FF" w:themeShade="FF"/>
          <w:sz w:val="26"/>
          <w:szCs w:val="26"/>
          <w:lang w:val="en-GB"/>
        </w:rPr>
        <w:t>(PDF) Competencies in the 21st century</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ResearchGate</w:t>
      </w:r>
      <w:r w:rsidRPr="192371D0" w:rsidR="35D7BEA0">
        <w:rPr>
          <w:rFonts w:ascii="Aptos" w:hAnsi="Aptos" w:eastAsia="Aptos" w:cs="Aptos"/>
          <w:noProof w:val="0"/>
          <w:color w:val="000000" w:themeColor="text1" w:themeTint="FF" w:themeShade="FF"/>
          <w:sz w:val="26"/>
          <w:szCs w:val="26"/>
          <w:lang w:val="en-GB"/>
        </w:rPr>
        <w:t xml:space="preserve">. Available at: </w:t>
      </w:r>
      <w:hyperlink r:id="R0334d96103934e4b">
        <w:r w:rsidRPr="192371D0" w:rsidR="35D7BEA0">
          <w:rPr>
            <w:rStyle w:val="Hyperlink"/>
            <w:noProof w:val="0"/>
            <w:lang w:val="en-GB"/>
          </w:rPr>
          <w:t>https://www.researchgate.net/publication/228612518_Competencies_in_the_21st_century</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240970CD" w14:textId="7392B572">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Brynjolfsson, E. and McElheran, K. (2021). Data in Action: Data-Driven Decision Making in U.S. Manufacturing. </w:t>
      </w:r>
      <w:r w:rsidRPr="192371D0" w:rsidR="35D7BEA0">
        <w:rPr>
          <w:rFonts w:ascii="Aptos" w:hAnsi="Aptos" w:eastAsia="Aptos" w:cs="Aptos"/>
          <w:i w:val="1"/>
          <w:iCs w:val="1"/>
          <w:noProof w:val="0"/>
          <w:color w:val="000000" w:themeColor="text1" w:themeTint="FF" w:themeShade="FF"/>
          <w:sz w:val="26"/>
          <w:szCs w:val="26"/>
          <w:lang w:val="en-GB"/>
        </w:rPr>
        <w:t>SSRN Electronic Journal</w:t>
      </w:r>
      <w:r w:rsidRPr="192371D0" w:rsidR="35D7BEA0">
        <w:rPr>
          <w:rFonts w:ascii="Aptos" w:hAnsi="Aptos" w:eastAsia="Aptos" w:cs="Aptos"/>
          <w:noProof w:val="0"/>
          <w:color w:val="000000" w:themeColor="text1" w:themeTint="FF" w:themeShade="FF"/>
          <w:sz w:val="26"/>
          <w:szCs w:val="26"/>
          <w:lang w:val="en-GB"/>
        </w:rPr>
        <w:t>. doi:10.2139/ssrn.2722502.</w:t>
      </w:r>
    </w:p>
    <w:p w:rsidR="35D7BEA0" w:rsidP="192371D0" w:rsidRDefault="35D7BEA0" w14:paraId="1CEC323E" w14:textId="0517D0CE">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Burns, J.M. (1978). </w:t>
      </w:r>
      <w:r w:rsidRPr="192371D0" w:rsidR="35D7BEA0">
        <w:rPr>
          <w:rFonts w:ascii="Aptos" w:hAnsi="Aptos" w:eastAsia="Aptos" w:cs="Aptos"/>
          <w:i w:val="1"/>
          <w:iCs w:val="1"/>
          <w:noProof w:val="0"/>
          <w:color w:val="000000" w:themeColor="text1" w:themeTint="FF" w:themeShade="FF"/>
          <w:sz w:val="26"/>
          <w:szCs w:val="26"/>
          <w:lang w:val="en-GB"/>
        </w:rPr>
        <w:t>Leadership</w:t>
      </w:r>
      <w:r w:rsidRPr="192371D0" w:rsidR="35D7BEA0">
        <w:rPr>
          <w:rFonts w:ascii="Aptos" w:hAnsi="Aptos" w:eastAsia="Aptos" w:cs="Aptos"/>
          <w:noProof w:val="0"/>
          <w:color w:val="000000" w:themeColor="text1" w:themeTint="FF" w:themeShade="FF"/>
          <w:sz w:val="26"/>
          <w:szCs w:val="26"/>
          <w:lang w:val="en-GB"/>
        </w:rPr>
        <w:t xml:space="preserve">. [online] Available at: </w:t>
      </w:r>
      <w:hyperlink r:id="R7641343bc7fc41fd">
        <w:r w:rsidRPr="192371D0" w:rsidR="35D7BEA0">
          <w:rPr>
            <w:rStyle w:val="Hyperlink"/>
            <w:noProof w:val="0"/>
            <w:lang w:val="en-GB"/>
          </w:rPr>
          <w:t>https://faculty.washington.edu/rsoder/Honors%20AS261/1and2.pdf</w:t>
        </w:r>
      </w:hyperlink>
      <w:r w:rsidRPr="192371D0" w:rsidR="35D7BEA0">
        <w:rPr>
          <w:rFonts w:ascii="Aptos" w:hAnsi="Aptos" w:eastAsia="Aptos" w:cs="Aptos"/>
          <w:noProof w:val="0"/>
          <w:color w:val="000000" w:themeColor="text1" w:themeTint="FF" w:themeShade="FF"/>
          <w:sz w:val="26"/>
          <w:szCs w:val="26"/>
          <w:lang w:val="en-GB"/>
        </w:rPr>
        <w:t>.</w:t>
      </w:r>
    </w:p>
    <w:p w:rsidR="35D7BEA0" w:rsidP="192371D0" w:rsidRDefault="35D7BEA0" w14:paraId="71FB6AD8" w14:textId="2A935E29">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Davis, B., Lockwood, A., Alcott, P. and Pantelidis, L.S. (2021). </w:t>
      </w:r>
      <w:r w:rsidRPr="192371D0" w:rsidR="35D7BEA0">
        <w:rPr>
          <w:rFonts w:ascii="Aptos" w:hAnsi="Aptos" w:eastAsia="Aptos" w:cs="Aptos"/>
          <w:i w:val="1"/>
          <w:iCs w:val="1"/>
          <w:noProof w:val="0"/>
          <w:color w:val="000000" w:themeColor="text1" w:themeTint="FF" w:themeShade="FF"/>
          <w:sz w:val="26"/>
          <w:szCs w:val="26"/>
          <w:lang w:val="en-GB"/>
        </w:rPr>
        <w:t>Food and beverage management ( PDFDrive ) - Flip eBook Pages 1-50 | AnyFlip | norazlinasnin</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Anyflip.com</w:t>
      </w:r>
      <w:r w:rsidRPr="192371D0" w:rsidR="35D7BEA0">
        <w:rPr>
          <w:rFonts w:ascii="Aptos" w:hAnsi="Aptos" w:eastAsia="Aptos" w:cs="Aptos"/>
          <w:noProof w:val="0"/>
          <w:color w:val="000000" w:themeColor="text1" w:themeTint="FF" w:themeShade="FF"/>
          <w:sz w:val="26"/>
          <w:szCs w:val="26"/>
          <w:lang w:val="en-GB"/>
        </w:rPr>
        <w:t xml:space="preserve">. norazlinasnin. Available at: </w:t>
      </w:r>
      <w:hyperlink r:id="R5d467682f95a436a">
        <w:r w:rsidRPr="192371D0" w:rsidR="35D7BEA0">
          <w:rPr>
            <w:rStyle w:val="Hyperlink"/>
            <w:noProof w:val="0"/>
            <w:lang w:val="en-GB"/>
          </w:rPr>
          <w:t>https://anyflip.com/uvdxv/ljma/basic</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6DBC4A3E" w14:textId="19F83F27">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Drucker, P. (2007). 21St Century. In: </w:t>
      </w:r>
      <w:r w:rsidRPr="192371D0" w:rsidR="35D7BEA0">
        <w:rPr>
          <w:rFonts w:ascii="Aptos" w:hAnsi="Aptos" w:eastAsia="Aptos" w:cs="Aptos"/>
          <w:i w:val="1"/>
          <w:iCs w:val="1"/>
          <w:noProof w:val="0"/>
          <w:color w:val="000000" w:themeColor="text1" w:themeTint="FF" w:themeShade="FF"/>
          <w:sz w:val="26"/>
          <w:szCs w:val="26"/>
          <w:lang w:val="en-GB"/>
        </w:rPr>
        <w:t>Management Challenges for the 21st century</w:t>
      </w:r>
      <w:r w:rsidRPr="192371D0" w:rsidR="35D7BEA0">
        <w:rPr>
          <w:rFonts w:ascii="Aptos" w:hAnsi="Aptos" w:eastAsia="Aptos" w:cs="Aptos"/>
          <w:noProof w:val="0"/>
          <w:color w:val="000000" w:themeColor="text1" w:themeTint="FF" w:themeShade="FF"/>
          <w:sz w:val="26"/>
          <w:szCs w:val="26"/>
          <w:lang w:val="en-GB"/>
        </w:rPr>
        <w:t xml:space="preserve">. [online] Available at: </w:t>
      </w:r>
      <w:hyperlink r:id="R3df9d60a846940b6">
        <w:r w:rsidRPr="192371D0" w:rsidR="35D7BEA0">
          <w:rPr>
            <w:rStyle w:val="Hyperlink"/>
            <w:noProof w:val="0"/>
            <w:lang w:val="en-GB"/>
          </w:rPr>
          <w:t>https://www.aghalibrary.com/storage/books/1614252371_AghaLibrary.pdf</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4CF45815" w14:textId="42907584">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Hargie, O. (2021). Skilled Interpersonal Communication. </w:t>
      </w:r>
      <w:r w:rsidRPr="192371D0" w:rsidR="35D7BEA0">
        <w:rPr>
          <w:rFonts w:ascii="Aptos" w:hAnsi="Aptos" w:eastAsia="Aptos" w:cs="Aptos"/>
          <w:i w:val="1"/>
          <w:iCs w:val="1"/>
          <w:noProof w:val="0"/>
          <w:color w:val="000000" w:themeColor="text1" w:themeTint="FF" w:themeShade="FF"/>
          <w:sz w:val="26"/>
          <w:szCs w:val="26"/>
          <w:lang w:val="en-GB"/>
        </w:rPr>
        <w:t>Skilled Interpersonal Communication</w:t>
      </w:r>
      <w:r w:rsidRPr="192371D0" w:rsidR="35D7BEA0">
        <w:rPr>
          <w:rFonts w:ascii="Aptos" w:hAnsi="Aptos" w:eastAsia="Aptos" w:cs="Aptos"/>
          <w:noProof w:val="0"/>
          <w:color w:val="000000" w:themeColor="text1" w:themeTint="FF" w:themeShade="FF"/>
          <w:sz w:val="26"/>
          <w:szCs w:val="26"/>
          <w:lang w:val="en-GB"/>
        </w:rPr>
        <w:t>, 7. doi:10.4324/9781003182269.</w:t>
      </w:r>
    </w:p>
    <w:p w:rsidR="35D7BEA0" w:rsidP="192371D0" w:rsidRDefault="35D7BEA0" w14:paraId="26E9956D" w14:textId="534C18FF">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Hayes, D.K., Ninemeier, J. D and Miller, A.A. (2017). </w:t>
      </w:r>
      <w:r w:rsidRPr="192371D0" w:rsidR="35D7BEA0">
        <w:rPr>
          <w:rFonts w:ascii="Aptos" w:hAnsi="Aptos" w:eastAsia="Aptos" w:cs="Aptos"/>
          <w:i w:val="1"/>
          <w:iCs w:val="1"/>
          <w:noProof w:val="0"/>
          <w:color w:val="000000" w:themeColor="text1" w:themeTint="FF" w:themeShade="FF"/>
          <w:sz w:val="26"/>
          <w:szCs w:val="26"/>
          <w:lang w:val="en-GB"/>
        </w:rPr>
        <w:t>Hotel operations management</w:t>
      </w:r>
      <w:r w:rsidRPr="192371D0" w:rsidR="35D7BEA0">
        <w:rPr>
          <w:rFonts w:ascii="Aptos" w:hAnsi="Aptos" w:eastAsia="Aptos" w:cs="Aptos"/>
          <w:noProof w:val="0"/>
          <w:color w:val="000000" w:themeColor="text1" w:themeTint="FF" w:themeShade="FF"/>
          <w:sz w:val="26"/>
          <w:szCs w:val="26"/>
          <w:lang w:val="en-GB"/>
        </w:rPr>
        <w:t>. 3rd ed. Boston: Pearson.</w:t>
      </w:r>
    </w:p>
    <w:p w:rsidR="35D7BEA0" w:rsidP="192371D0" w:rsidRDefault="35D7BEA0" w14:paraId="5EBA1D40" w14:textId="5D03B879">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Hemmington, N. (2007). </w:t>
      </w:r>
      <w:r w:rsidRPr="192371D0" w:rsidR="35D7BEA0">
        <w:rPr>
          <w:rFonts w:ascii="Aptos" w:hAnsi="Aptos" w:eastAsia="Aptos" w:cs="Aptos"/>
          <w:i w:val="1"/>
          <w:iCs w:val="1"/>
          <w:noProof w:val="0"/>
          <w:color w:val="000000" w:themeColor="text1" w:themeTint="FF" w:themeShade="FF"/>
          <w:sz w:val="26"/>
          <w:szCs w:val="26"/>
          <w:lang w:val="en-GB"/>
        </w:rPr>
        <w:t>From Service to Experience: Understanding and Defining the Hospitality Business</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ResearchGate</w:t>
      </w:r>
      <w:r w:rsidRPr="192371D0" w:rsidR="35D7BEA0">
        <w:rPr>
          <w:rFonts w:ascii="Aptos" w:hAnsi="Aptos" w:eastAsia="Aptos" w:cs="Aptos"/>
          <w:noProof w:val="0"/>
          <w:color w:val="000000" w:themeColor="text1" w:themeTint="FF" w:themeShade="FF"/>
          <w:sz w:val="26"/>
          <w:szCs w:val="26"/>
          <w:lang w:val="en-GB"/>
        </w:rPr>
        <w:t xml:space="preserve">. Taylor &amp; Francis (Routledge). Available at: </w:t>
      </w:r>
      <w:hyperlink r:id="R45227a35019840a2">
        <w:r w:rsidRPr="192371D0" w:rsidR="35D7BEA0">
          <w:rPr>
            <w:rStyle w:val="Hyperlink"/>
            <w:noProof w:val="0"/>
            <w:lang w:val="en-GB"/>
          </w:rPr>
          <w:t>https://www.researchgate.net/publication/242075394_From_Service_to_Experience_Understanding_and_Defining_the_Hospitality_Business</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1A7D790E" w14:textId="5D4B32E0">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Huertas-Valdivia, I., González-Torres, T. and Nájera-Sánchez, J.-J. (2022). Contemporary Leadership in hospitality: A Review and Research Agenda. </w:t>
      </w:r>
      <w:r w:rsidRPr="192371D0" w:rsidR="35D7BEA0">
        <w:rPr>
          <w:rFonts w:ascii="Aptos" w:hAnsi="Aptos" w:eastAsia="Aptos" w:cs="Aptos"/>
          <w:i w:val="1"/>
          <w:iCs w:val="1"/>
          <w:noProof w:val="0"/>
          <w:color w:val="000000" w:themeColor="text1" w:themeTint="FF" w:themeShade="FF"/>
          <w:sz w:val="26"/>
          <w:szCs w:val="26"/>
          <w:lang w:val="en-GB"/>
        </w:rPr>
        <w:t>International Journal of Contemporary Hospitality Management</w:t>
      </w:r>
      <w:r w:rsidRPr="192371D0" w:rsidR="35D7BEA0">
        <w:rPr>
          <w:rFonts w:ascii="Aptos" w:hAnsi="Aptos" w:eastAsia="Aptos" w:cs="Aptos"/>
          <w:noProof w:val="0"/>
          <w:color w:val="000000" w:themeColor="text1" w:themeTint="FF" w:themeShade="FF"/>
          <w:sz w:val="26"/>
          <w:szCs w:val="26"/>
          <w:lang w:val="en-GB"/>
        </w:rPr>
        <w:t>, 34(6), pp.2399–2422.</w:t>
      </w:r>
    </w:p>
    <w:p w:rsidR="35D7BEA0" w:rsidP="192371D0" w:rsidRDefault="35D7BEA0" w14:paraId="60394C4D" w14:textId="5EB3DA80">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J. Michael Crant (2000). </w:t>
      </w:r>
      <w:r w:rsidRPr="192371D0" w:rsidR="35D7BEA0">
        <w:rPr>
          <w:rFonts w:ascii="Aptos" w:hAnsi="Aptos" w:eastAsia="Aptos" w:cs="Aptos"/>
          <w:i w:val="1"/>
          <w:iCs w:val="1"/>
          <w:noProof w:val="0"/>
          <w:color w:val="000000" w:themeColor="text1" w:themeTint="FF" w:themeShade="FF"/>
          <w:sz w:val="26"/>
          <w:szCs w:val="26"/>
          <w:lang w:val="en-GB"/>
        </w:rPr>
        <w:t>Proactive Behavior in Organizations</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ResearchGate</w:t>
      </w:r>
      <w:r w:rsidRPr="192371D0" w:rsidR="35D7BEA0">
        <w:rPr>
          <w:rFonts w:ascii="Aptos" w:hAnsi="Aptos" w:eastAsia="Aptos" w:cs="Aptos"/>
          <w:noProof w:val="0"/>
          <w:color w:val="000000" w:themeColor="text1" w:themeTint="FF" w:themeShade="FF"/>
          <w:sz w:val="26"/>
          <w:szCs w:val="26"/>
          <w:lang w:val="en-GB"/>
        </w:rPr>
        <w:t xml:space="preserve">. SAGE Publications. Available at: </w:t>
      </w:r>
      <w:hyperlink r:id="R2795fdc54e604193">
        <w:r w:rsidRPr="192371D0" w:rsidR="35D7BEA0">
          <w:rPr>
            <w:rStyle w:val="Hyperlink"/>
            <w:noProof w:val="0"/>
            <w:lang w:val="en-GB"/>
          </w:rPr>
          <w:t>https://www.researchgate.net/publication/215915558_Proactive_Behavior_in_Organizations</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03C68DF3" w:rsidP="192371D0" w:rsidRDefault="03C68DF3" w14:paraId="16EA50F6" w14:textId="4EA8D459">
      <w:pPr>
        <w:spacing w:before="260" w:beforeAutospacing="off" w:after="260" w:afterAutospacing="off" w:line="390" w:lineRule="auto"/>
      </w:pPr>
      <w:r w:rsidRPr="192371D0" w:rsidR="03C68DF3">
        <w:rPr>
          <w:rFonts w:ascii="Aptos" w:hAnsi="Aptos" w:eastAsia="Aptos" w:cs="Aptos"/>
          <w:noProof w:val="0"/>
          <w:color w:val="000000" w:themeColor="text1" w:themeTint="FF" w:themeShade="FF"/>
          <w:sz w:val="26"/>
          <w:szCs w:val="26"/>
          <w:lang w:val="en-GB"/>
        </w:rPr>
        <w:t xml:space="preserve">Kolb, D.A. (1984). </w:t>
      </w:r>
      <w:r w:rsidRPr="192371D0" w:rsidR="03C68DF3">
        <w:rPr>
          <w:rFonts w:ascii="Aptos" w:hAnsi="Aptos" w:eastAsia="Aptos" w:cs="Aptos"/>
          <w:i w:val="1"/>
          <w:iCs w:val="1"/>
          <w:noProof w:val="0"/>
          <w:color w:val="000000" w:themeColor="text1" w:themeTint="FF" w:themeShade="FF"/>
          <w:sz w:val="26"/>
          <w:szCs w:val="26"/>
          <w:lang w:val="en-GB"/>
        </w:rPr>
        <w:t>Experiential Learning: Experience As The Source Of Learning And Development</w:t>
      </w:r>
      <w:r w:rsidRPr="192371D0" w:rsidR="03C68DF3">
        <w:rPr>
          <w:rFonts w:ascii="Aptos" w:hAnsi="Aptos" w:eastAsia="Aptos" w:cs="Aptos"/>
          <w:noProof w:val="0"/>
          <w:color w:val="000000" w:themeColor="text1" w:themeTint="FF" w:themeShade="FF"/>
          <w:sz w:val="26"/>
          <w:szCs w:val="26"/>
          <w:lang w:val="en-GB"/>
        </w:rPr>
        <w:t xml:space="preserve">. [online] </w:t>
      </w:r>
      <w:r w:rsidRPr="192371D0" w:rsidR="03C68DF3">
        <w:rPr>
          <w:rFonts w:ascii="Aptos" w:hAnsi="Aptos" w:eastAsia="Aptos" w:cs="Aptos"/>
          <w:i w:val="1"/>
          <w:iCs w:val="1"/>
          <w:noProof w:val="0"/>
          <w:color w:val="000000" w:themeColor="text1" w:themeTint="FF" w:themeShade="FF"/>
          <w:sz w:val="26"/>
          <w:szCs w:val="26"/>
          <w:lang w:val="en-GB"/>
        </w:rPr>
        <w:t>Research Gate</w:t>
      </w:r>
      <w:r w:rsidRPr="192371D0" w:rsidR="03C68DF3">
        <w:rPr>
          <w:rFonts w:ascii="Aptos" w:hAnsi="Aptos" w:eastAsia="Aptos" w:cs="Aptos"/>
          <w:noProof w:val="0"/>
          <w:color w:val="000000" w:themeColor="text1" w:themeTint="FF" w:themeShade="FF"/>
          <w:sz w:val="26"/>
          <w:szCs w:val="26"/>
          <w:lang w:val="en-GB"/>
        </w:rPr>
        <w:t xml:space="preserve">. Prentice-Hall. Available at: </w:t>
      </w:r>
      <w:hyperlink r:id="R6611aaccf1b2468f">
        <w:r w:rsidRPr="192371D0" w:rsidR="03C68DF3">
          <w:rPr>
            <w:rStyle w:val="Hyperlink"/>
            <w:noProof w:val="0"/>
            <w:lang w:val="en-GB"/>
          </w:rPr>
          <w:t>https://www.researchgate.net/publication/235701029_Experiential_Learning_Experience_As_The_Source_Of_Learning_And_Development</w:t>
        </w:r>
      </w:hyperlink>
      <w:r w:rsidRPr="192371D0" w:rsidR="03C68DF3">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1F9804ED" w14:textId="5BFB8BFA">
      <w:pPr>
        <w:pStyle w:val="Normal"/>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Kimes, S.E. and Beard, J. (2011). </w:t>
      </w:r>
      <w:r w:rsidRPr="192371D0" w:rsidR="35D7BEA0">
        <w:rPr>
          <w:rFonts w:ascii="Aptos" w:hAnsi="Aptos" w:eastAsia="Aptos" w:cs="Aptos"/>
          <w:i w:val="1"/>
          <w:iCs w:val="1"/>
          <w:noProof w:val="0"/>
          <w:color w:val="000000" w:themeColor="text1" w:themeTint="FF" w:themeShade="FF"/>
          <w:sz w:val="26"/>
          <w:szCs w:val="26"/>
          <w:lang w:val="en-GB"/>
        </w:rPr>
        <w:t>THE FUTURE OF RESTAURANT REVENUE MANAGEMENT</w:t>
      </w:r>
      <w:r w:rsidRPr="192371D0" w:rsidR="35D7BEA0">
        <w:rPr>
          <w:rFonts w:ascii="Aptos" w:hAnsi="Aptos" w:eastAsia="Aptos" w:cs="Aptos"/>
          <w:noProof w:val="0"/>
          <w:color w:val="000000" w:themeColor="text1" w:themeTint="FF" w:themeShade="FF"/>
          <w:sz w:val="26"/>
          <w:szCs w:val="26"/>
          <w:lang w:val="en-GB"/>
        </w:rPr>
        <w:t xml:space="preserve">. [online] Available at: </w:t>
      </w:r>
      <w:hyperlink r:id="Rb1e622865c8a4a0e">
        <w:r w:rsidRPr="192371D0" w:rsidR="35D7BEA0">
          <w:rPr>
            <w:rStyle w:val="Hyperlink"/>
            <w:noProof w:val="0"/>
            <w:lang w:val="en-GB"/>
          </w:rPr>
          <w:t>https://scispace.com/pdf/the-future-of-restaurant-revenue-management-g8nkredlwf.pdf</w:t>
        </w:r>
      </w:hyperlink>
      <w:r w:rsidRPr="192371D0" w:rsidR="35D7BEA0">
        <w:rPr>
          <w:rFonts w:ascii="Aptos" w:hAnsi="Aptos" w:eastAsia="Aptos" w:cs="Aptos"/>
          <w:noProof w:val="0"/>
          <w:color w:val="000000" w:themeColor="text1" w:themeTint="FF" w:themeShade="FF"/>
          <w:sz w:val="26"/>
          <w:szCs w:val="26"/>
          <w:lang w:val="en-GB"/>
        </w:rPr>
        <w:t>.</w:t>
      </w:r>
    </w:p>
    <w:p w:rsidR="35D7BEA0" w:rsidP="192371D0" w:rsidRDefault="35D7BEA0" w14:paraId="16CAACEC" w14:textId="46C64A0D">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Lewin, K., Lippitt, R. and White, R.K. (1939). </w:t>
      </w:r>
      <w:r w:rsidRPr="192371D0" w:rsidR="35D7BEA0">
        <w:rPr>
          <w:rFonts w:ascii="Aptos" w:hAnsi="Aptos" w:eastAsia="Aptos" w:cs="Aptos"/>
          <w:i w:val="1"/>
          <w:iCs w:val="1"/>
          <w:noProof w:val="0"/>
          <w:color w:val="000000" w:themeColor="text1" w:themeTint="FF" w:themeShade="FF"/>
          <w:sz w:val="26"/>
          <w:szCs w:val="26"/>
          <w:lang w:val="en-GB"/>
        </w:rPr>
        <w:t>Patterns of Aggressive Behavior in Experimentally Created “socicl climate.”</w:t>
      </w:r>
      <w:r w:rsidRPr="192371D0" w:rsidR="35D7BEA0">
        <w:rPr>
          <w:rFonts w:ascii="Aptos" w:hAnsi="Aptos" w:eastAsia="Aptos" w:cs="Aptos"/>
          <w:noProof w:val="0"/>
          <w:color w:val="000000" w:themeColor="text1" w:themeTint="FF" w:themeShade="FF"/>
          <w:sz w:val="26"/>
          <w:szCs w:val="26"/>
          <w:lang w:val="en-GB"/>
        </w:rPr>
        <w:t xml:space="preserve"> [online] Oclc.org. Available at: </w:t>
      </w:r>
      <w:hyperlink r:id="R6caa353d83ce429b">
        <w:r w:rsidRPr="192371D0" w:rsidR="35D7BEA0">
          <w:rPr>
            <w:rStyle w:val="Hyperlink"/>
            <w:noProof w:val="0"/>
            <w:lang w:val="en-GB"/>
          </w:rPr>
          <w:t>https://research-ebsco-com.uwtsd.idm.oclc.org/c/onvpsy/viewer/pdf/mk4gimgzrj?route=details</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69DA7F92" w14:textId="2E6CCB1B">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Liao, H. and Chuang, A. (2004). A MULTILEVEL INVESTIGATION OF FACTORS INFLUENCING EMPLOYEE SERVICE PERFORMANCE AND CUSTOMER OUTCOMES. </w:t>
      </w:r>
      <w:r w:rsidRPr="192371D0" w:rsidR="35D7BEA0">
        <w:rPr>
          <w:rFonts w:ascii="Aptos" w:hAnsi="Aptos" w:eastAsia="Aptos" w:cs="Aptos"/>
          <w:i w:val="1"/>
          <w:iCs w:val="1"/>
          <w:noProof w:val="0"/>
          <w:color w:val="000000" w:themeColor="text1" w:themeTint="FF" w:themeShade="FF"/>
          <w:sz w:val="26"/>
          <w:szCs w:val="26"/>
          <w:lang w:val="en-GB"/>
        </w:rPr>
        <w:t>Academy of Management Journal</w:t>
      </w:r>
      <w:r w:rsidRPr="192371D0" w:rsidR="35D7BEA0">
        <w:rPr>
          <w:rFonts w:ascii="Aptos" w:hAnsi="Aptos" w:eastAsia="Aptos" w:cs="Aptos"/>
          <w:noProof w:val="0"/>
          <w:color w:val="000000" w:themeColor="text1" w:themeTint="FF" w:themeShade="FF"/>
          <w:sz w:val="26"/>
          <w:szCs w:val="26"/>
          <w:lang w:val="en-GB"/>
        </w:rPr>
        <w:t>, 47(1), pp.41–58. doi:10.2307/20159559.</w:t>
      </w:r>
    </w:p>
    <w:p w:rsidR="35D7BEA0" w:rsidP="192371D0" w:rsidRDefault="35D7BEA0" w14:paraId="04CFF9A0" w14:textId="785282FE">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Mintzberg, H. (1973). </w:t>
      </w:r>
      <w:r w:rsidRPr="192371D0" w:rsidR="35D7BEA0">
        <w:rPr>
          <w:rFonts w:ascii="Aptos" w:hAnsi="Aptos" w:eastAsia="Aptos" w:cs="Aptos"/>
          <w:i w:val="1"/>
          <w:iCs w:val="1"/>
          <w:noProof w:val="0"/>
          <w:color w:val="000000" w:themeColor="text1" w:themeTint="FF" w:themeShade="FF"/>
          <w:sz w:val="26"/>
          <w:szCs w:val="26"/>
          <w:lang w:val="en-GB"/>
        </w:rPr>
        <w:t>The Nature of Managerial Work. New York: Harper &amp; Row.</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Pbworks.com</w:t>
      </w:r>
      <w:r w:rsidRPr="192371D0" w:rsidR="35D7BEA0">
        <w:rPr>
          <w:rFonts w:ascii="Aptos" w:hAnsi="Aptos" w:eastAsia="Aptos" w:cs="Aptos"/>
          <w:noProof w:val="0"/>
          <w:color w:val="000000" w:themeColor="text1" w:themeTint="FF" w:themeShade="FF"/>
          <w:sz w:val="26"/>
          <w:szCs w:val="26"/>
          <w:lang w:val="en-GB"/>
        </w:rPr>
        <w:t xml:space="preserve">. Available at: </w:t>
      </w:r>
      <w:hyperlink r:id="R6d24eb4d653d41b8">
        <w:r w:rsidRPr="192371D0" w:rsidR="35D7BEA0">
          <w:rPr>
            <w:rStyle w:val="Hyperlink"/>
            <w:noProof w:val="0"/>
            <w:lang w:val="en-GB"/>
          </w:rPr>
          <w:t>https://hib510week9.pbworks.com/f/The+Nature+of+Managerial+Work</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730C2D44" w14:textId="6F004B76">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Northouse, P.G. (2022). </w:t>
      </w:r>
      <w:r w:rsidRPr="192371D0" w:rsidR="35D7BEA0">
        <w:rPr>
          <w:rFonts w:ascii="Aptos" w:hAnsi="Aptos" w:eastAsia="Aptos" w:cs="Aptos"/>
          <w:i w:val="1"/>
          <w:iCs w:val="1"/>
          <w:noProof w:val="0"/>
          <w:color w:val="000000" w:themeColor="text1" w:themeTint="FF" w:themeShade="FF"/>
          <w:sz w:val="26"/>
          <w:szCs w:val="26"/>
          <w:lang w:val="en-GB"/>
        </w:rPr>
        <w:t>Leadership Theory &amp; Practice</w:t>
      </w:r>
      <w:r w:rsidRPr="192371D0" w:rsidR="35D7BEA0">
        <w:rPr>
          <w:rFonts w:ascii="Aptos" w:hAnsi="Aptos" w:eastAsia="Aptos" w:cs="Aptos"/>
          <w:noProof w:val="0"/>
          <w:color w:val="000000" w:themeColor="text1" w:themeTint="FF" w:themeShade="FF"/>
          <w:sz w:val="26"/>
          <w:szCs w:val="26"/>
          <w:lang w:val="en-GB"/>
        </w:rPr>
        <w:t xml:space="preserve">. [online] Available at: </w:t>
      </w:r>
      <w:hyperlink r:id="R0068452487384e84">
        <w:r w:rsidRPr="192371D0" w:rsidR="35D7BEA0">
          <w:rPr>
            <w:rStyle w:val="Hyperlink"/>
            <w:noProof w:val="0"/>
            <w:lang w:val="en-GB"/>
          </w:rPr>
          <w:t>https://studylib.net/doc/28142395/leadership--theory-and-practice-9th-edition-–-pdf-ebook?p=4</w:t>
        </w:r>
      </w:hyperlink>
      <w:r w:rsidRPr="192371D0" w:rsidR="35D7BEA0">
        <w:rPr>
          <w:rFonts w:ascii="Aptos" w:hAnsi="Aptos" w:eastAsia="Aptos" w:cs="Aptos"/>
          <w:noProof w:val="0"/>
          <w:color w:val="000000" w:themeColor="text1" w:themeTint="FF" w:themeShade="FF"/>
          <w:sz w:val="26"/>
          <w:szCs w:val="26"/>
          <w:lang w:val="en-GB"/>
        </w:rPr>
        <w:t>.</w:t>
      </w:r>
    </w:p>
    <w:p w:rsidR="35D7BEA0" w:rsidP="192371D0" w:rsidRDefault="35D7BEA0" w14:paraId="6A5F6514" w14:textId="75A29DA4">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O’Fallon, M.J. and Rutherford, D.G. (2026). </w:t>
      </w:r>
      <w:r w:rsidRPr="192371D0" w:rsidR="35D7BEA0">
        <w:rPr>
          <w:rFonts w:ascii="Aptos" w:hAnsi="Aptos" w:eastAsia="Aptos" w:cs="Aptos"/>
          <w:i w:val="1"/>
          <w:iCs w:val="1"/>
          <w:noProof w:val="0"/>
          <w:color w:val="000000" w:themeColor="text1" w:themeTint="FF" w:themeShade="FF"/>
          <w:sz w:val="26"/>
          <w:szCs w:val="26"/>
          <w:lang w:val="en-GB"/>
        </w:rPr>
        <w:t>Perlego eReader</w:t>
      </w:r>
      <w:r w:rsidRPr="192371D0" w:rsidR="35D7BEA0">
        <w:rPr>
          <w:rFonts w:ascii="Aptos" w:hAnsi="Aptos" w:eastAsia="Aptos" w:cs="Aptos"/>
          <w:noProof w:val="0"/>
          <w:color w:val="000000" w:themeColor="text1" w:themeTint="FF" w:themeShade="FF"/>
          <w:sz w:val="26"/>
          <w:szCs w:val="26"/>
          <w:lang w:val="en-GB"/>
        </w:rPr>
        <w:t xml:space="preserve">. [online] Perlego.com. Available at: </w:t>
      </w:r>
      <w:hyperlink r:id="R986bd201e4b146d9">
        <w:r w:rsidRPr="192371D0" w:rsidR="35D7BEA0">
          <w:rPr>
            <w:rStyle w:val="Hyperlink"/>
            <w:noProof w:val="0"/>
            <w:lang w:val="en-GB"/>
          </w:rPr>
          <w:t>https://ereader.perlego.com/1/book/3866005/23</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5129F65D" w14:textId="46AB5DFD">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Parasuraman, A.P., Zeithaml, V.A. and Berry, L.L. (1988). </w:t>
      </w:r>
      <w:r w:rsidRPr="192371D0" w:rsidR="35D7BEA0">
        <w:rPr>
          <w:rFonts w:ascii="Aptos" w:hAnsi="Aptos" w:eastAsia="Aptos" w:cs="Aptos"/>
          <w:i w:val="1"/>
          <w:iCs w:val="1"/>
          <w:noProof w:val="0"/>
          <w:color w:val="000000" w:themeColor="text1" w:themeTint="FF" w:themeShade="FF"/>
          <w:sz w:val="26"/>
          <w:szCs w:val="26"/>
          <w:lang w:val="en-GB"/>
        </w:rPr>
        <w:t>SERVQUAL: A Multiple-item Scale for Measuring Consumer Perceptions of Service Quality</w:t>
      </w:r>
      <w:r w:rsidRPr="192371D0" w:rsidR="35D7BEA0">
        <w:rPr>
          <w:rFonts w:ascii="Aptos" w:hAnsi="Aptos" w:eastAsia="Aptos" w:cs="Aptos"/>
          <w:noProof w:val="0"/>
          <w:color w:val="000000" w:themeColor="text1" w:themeTint="FF" w:themeShade="FF"/>
          <w:sz w:val="26"/>
          <w:szCs w:val="26"/>
          <w:lang w:val="en-GB"/>
        </w:rPr>
        <w:t xml:space="preserve">. [online] </w:t>
      </w:r>
      <w:r w:rsidRPr="192371D0" w:rsidR="35D7BEA0">
        <w:rPr>
          <w:rFonts w:ascii="Aptos" w:hAnsi="Aptos" w:eastAsia="Aptos" w:cs="Aptos"/>
          <w:i w:val="1"/>
          <w:iCs w:val="1"/>
          <w:noProof w:val="0"/>
          <w:color w:val="000000" w:themeColor="text1" w:themeTint="FF" w:themeShade="FF"/>
          <w:sz w:val="26"/>
          <w:szCs w:val="26"/>
          <w:lang w:val="en-GB"/>
        </w:rPr>
        <w:t>Journal of Retailing</w:t>
      </w:r>
      <w:r w:rsidRPr="192371D0" w:rsidR="35D7BEA0">
        <w:rPr>
          <w:rFonts w:ascii="Aptos" w:hAnsi="Aptos" w:eastAsia="Aptos" w:cs="Aptos"/>
          <w:noProof w:val="0"/>
          <w:color w:val="000000" w:themeColor="text1" w:themeTint="FF" w:themeShade="FF"/>
          <w:sz w:val="26"/>
          <w:szCs w:val="26"/>
          <w:lang w:val="en-GB"/>
        </w:rPr>
        <w:t xml:space="preserve">, pp.12–40. Available at: </w:t>
      </w:r>
      <w:hyperlink r:id="R823738c4700f43ea">
        <w:r w:rsidRPr="192371D0" w:rsidR="35D7BEA0">
          <w:rPr>
            <w:rStyle w:val="Hyperlink"/>
            <w:noProof w:val="0"/>
            <w:lang w:val="en-GB"/>
          </w:rPr>
          <w:t>https://www.researchgate.net/publication/200827786_SERVQUAL_A_Multiple-item_Scale_for_Measuring_Consumer_Perceptions_of_Service_Quality</w:t>
        </w:r>
      </w:hyperlink>
      <w:r w:rsidRPr="192371D0" w:rsidR="35D7BEA0">
        <w:rPr>
          <w:rFonts w:ascii="Aptos" w:hAnsi="Aptos" w:eastAsia="Aptos" w:cs="Aptos"/>
          <w:noProof w:val="0"/>
          <w:color w:val="000000" w:themeColor="text1" w:themeTint="FF" w:themeShade="FF"/>
          <w:sz w:val="26"/>
          <w:szCs w:val="26"/>
          <w:lang w:val="en-GB"/>
        </w:rPr>
        <w:t xml:space="preserve"> [Accessed 24 July 2026].</w:t>
      </w:r>
    </w:p>
    <w:p w:rsidR="35D7BEA0" w:rsidP="192371D0" w:rsidRDefault="35D7BEA0" w14:paraId="1615A842" w14:textId="646214B8">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Schön, D.A. (1983). The Reflective Practitioner: How Professionals Think in Action. </w:t>
      </w:r>
      <w:r w:rsidRPr="192371D0" w:rsidR="35D7BEA0">
        <w:rPr>
          <w:rFonts w:ascii="Aptos" w:hAnsi="Aptos" w:eastAsia="Aptos" w:cs="Aptos"/>
          <w:i w:val="1"/>
          <w:iCs w:val="1"/>
          <w:noProof w:val="0"/>
          <w:color w:val="000000" w:themeColor="text1" w:themeTint="FF" w:themeShade="FF"/>
          <w:sz w:val="26"/>
          <w:szCs w:val="26"/>
          <w:lang w:val="en-GB"/>
        </w:rPr>
        <w:t>Administrative Science Quarterly</w:t>
      </w:r>
      <w:r w:rsidRPr="192371D0" w:rsidR="35D7BEA0">
        <w:rPr>
          <w:rFonts w:ascii="Aptos" w:hAnsi="Aptos" w:eastAsia="Aptos" w:cs="Aptos"/>
          <w:noProof w:val="0"/>
          <w:color w:val="000000" w:themeColor="text1" w:themeTint="FF" w:themeShade="FF"/>
          <w:sz w:val="26"/>
          <w:szCs w:val="26"/>
          <w:lang w:val="en-GB"/>
        </w:rPr>
        <w:t>, [online] 32(4). doi:10.2307/2392894.</w:t>
      </w:r>
    </w:p>
    <w:p w:rsidR="35D7BEA0" w:rsidP="192371D0" w:rsidRDefault="35D7BEA0" w14:paraId="4215A5CA" w14:textId="7D9F30AF">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Tuckman, B. (1965). Developmental Sequence in Small Groups. </w:t>
      </w:r>
      <w:r w:rsidRPr="192371D0" w:rsidR="35D7BEA0">
        <w:rPr>
          <w:rFonts w:ascii="Aptos" w:hAnsi="Aptos" w:eastAsia="Aptos" w:cs="Aptos"/>
          <w:i w:val="1"/>
          <w:iCs w:val="1"/>
          <w:noProof w:val="0"/>
          <w:color w:val="000000" w:themeColor="text1" w:themeTint="FF" w:themeShade="FF"/>
          <w:sz w:val="26"/>
          <w:szCs w:val="26"/>
          <w:lang w:val="en-GB"/>
        </w:rPr>
        <w:t>Psychological Bulletin</w:t>
      </w:r>
      <w:r w:rsidRPr="192371D0" w:rsidR="35D7BEA0">
        <w:rPr>
          <w:rFonts w:ascii="Aptos" w:hAnsi="Aptos" w:eastAsia="Aptos" w:cs="Aptos"/>
          <w:noProof w:val="0"/>
          <w:color w:val="000000" w:themeColor="text1" w:themeTint="FF" w:themeShade="FF"/>
          <w:sz w:val="26"/>
          <w:szCs w:val="26"/>
          <w:lang w:val="en-GB"/>
        </w:rPr>
        <w:t>, 63(6), pp.384–399. doi:https://doi.org/10.1037/h0022100.</w:t>
      </w:r>
    </w:p>
    <w:p w:rsidR="35D7BEA0" w:rsidP="192371D0" w:rsidRDefault="35D7BEA0" w14:paraId="37EE5BEC" w14:textId="7245C434">
      <w:pPr>
        <w:spacing w:before="260" w:beforeAutospacing="off" w:after="260" w:afterAutospacing="off" w:line="390" w:lineRule="auto"/>
      </w:pPr>
      <w:r w:rsidRPr="192371D0" w:rsidR="35D7BEA0">
        <w:rPr>
          <w:rFonts w:ascii="Aptos" w:hAnsi="Aptos" w:eastAsia="Aptos" w:cs="Aptos"/>
          <w:noProof w:val="0"/>
          <w:color w:val="000000" w:themeColor="text1" w:themeTint="FF" w:themeShade="FF"/>
          <w:sz w:val="26"/>
          <w:szCs w:val="26"/>
          <w:lang w:val="en-GB"/>
        </w:rPr>
        <w:t xml:space="preserve">Zhu, D., Doan, T., Kanjanakan, P. and Kim, P.B. (2021). The impact of emotional intelligence on hospitality employees’ work outcomes: A systematic and meta-analytical review. </w:t>
      </w:r>
      <w:r w:rsidRPr="192371D0" w:rsidR="35D7BEA0">
        <w:rPr>
          <w:rFonts w:ascii="Aptos" w:hAnsi="Aptos" w:eastAsia="Aptos" w:cs="Aptos"/>
          <w:i w:val="1"/>
          <w:iCs w:val="1"/>
          <w:noProof w:val="0"/>
          <w:color w:val="000000" w:themeColor="text1" w:themeTint="FF" w:themeShade="FF"/>
          <w:sz w:val="26"/>
          <w:szCs w:val="26"/>
          <w:lang w:val="en-GB"/>
        </w:rPr>
        <w:t>Journal of Hospitality Marketing &amp; Management</w:t>
      </w:r>
      <w:r w:rsidRPr="192371D0" w:rsidR="35D7BEA0">
        <w:rPr>
          <w:rFonts w:ascii="Aptos" w:hAnsi="Aptos" w:eastAsia="Aptos" w:cs="Aptos"/>
          <w:noProof w:val="0"/>
          <w:color w:val="000000" w:themeColor="text1" w:themeTint="FF" w:themeShade="FF"/>
          <w:sz w:val="26"/>
          <w:szCs w:val="26"/>
          <w:lang w:val="en-GB"/>
        </w:rPr>
        <w:t>, 31(3), pp.1–22. doi:10.1080/19368623.2021.1978914.</w:t>
      </w:r>
    </w:p>
    <w:p w:rsidR="192371D0" w:rsidP="192371D0" w:rsidRDefault="192371D0" w14:paraId="3A3A1C45" w14:textId="603C47A1">
      <w:pPr>
        <w:pStyle w:val="Normal"/>
        <w:rPr>
          <w:rFonts w:ascii="Helvetica Neue" w:hAnsi="Helvetica Neue" w:eastAsia="Helvetica Neue" w:cs="Helvetica Neue"/>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8B273"/>
    <w:rsid w:val="0293E5FB"/>
    <w:rsid w:val="02D61546"/>
    <w:rsid w:val="03C68DF3"/>
    <w:rsid w:val="041FCD80"/>
    <w:rsid w:val="04B7C1F4"/>
    <w:rsid w:val="06C9D90D"/>
    <w:rsid w:val="09755703"/>
    <w:rsid w:val="09A0DDD6"/>
    <w:rsid w:val="0D5DF512"/>
    <w:rsid w:val="105AC5A9"/>
    <w:rsid w:val="1093B658"/>
    <w:rsid w:val="192371D0"/>
    <w:rsid w:val="1C9A27D3"/>
    <w:rsid w:val="1F3CFC9B"/>
    <w:rsid w:val="2AECE8A2"/>
    <w:rsid w:val="2FAA0C9C"/>
    <w:rsid w:val="2FBDFD38"/>
    <w:rsid w:val="35D7BEA0"/>
    <w:rsid w:val="3AD939F8"/>
    <w:rsid w:val="3D91B794"/>
    <w:rsid w:val="45588414"/>
    <w:rsid w:val="4848E023"/>
    <w:rsid w:val="4DBAFC74"/>
    <w:rsid w:val="55DDF006"/>
    <w:rsid w:val="592FCBF2"/>
    <w:rsid w:val="5B8C88F0"/>
    <w:rsid w:val="5CC939D3"/>
    <w:rsid w:val="5E51D802"/>
    <w:rsid w:val="5F239399"/>
    <w:rsid w:val="5FE00110"/>
    <w:rsid w:val="69485E59"/>
    <w:rsid w:val="6D6DDDE0"/>
    <w:rsid w:val="6D8F62C8"/>
    <w:rsid w:val="79F59D0D"/>
    <w:rsid w:val="7B594996"/>
    <w:rsid w:val="7BD8B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82AA"/>
  <w15:chartTrackingRefBased/>
  <w15:docId w15:val="{581FA7D4-A0A6-4506-8AF5-F2FF5AAECA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92371D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ribd.com/document/647447150/Hopkin-Fundamentals-of-Risk-Management" TargetMode="External" Id="Rd0ba0bf05b4c4df8" /><Relationship Type="http://schemas.openxmlformats.org/officeDocument/2006/relationships/hyperlink" Target="https://books.google.co.uk/books?hl=en&amp;lr=&amp;id=VQOzdOxJFZAC&amp;oi=fnd&amp;pg=PT5&amp;dq=Argyle,+M.+(1994).+The+Psychology+of+Interpersonal+Behaviour.+&amp;ots=8ORlIQfmDG&amp;sig=OCF_Ig1ABEGNtsDCmFN21VU7I5s&amp;redir_esc=y#v=onepage&amp;q&amp;f=false" TargetMode="External" Id="Rc810c1214c6c4fe5" /><Relationship Type="http://schemas.openxmlformats.org/officeDocument/2006/relationships/hyperlink" Target="https://books.google.co.uk/books?hl=en&amp;lr=&amp;id=KxLizZ3aYmUC&amp;oi=fnd&amp;pg=PR11&amp;dq=Bass" TargetMode="External" Id="R08038081d0794392" /><Relationship Type="http://schemas.openxmlformats.org/officeDocument/2006/relationships/hyperlink" Target="https://www.researchgate.net/publication/228612518_Competencies_in_the_21st_century" TargetMode="External" Id="R0334d96103934e4b" /><Relationship Type="http://schemas.openxmlformats.org/officeDocument/2006/relationships/hyperlink" Target="https://faculty.washington.edu/rsoder/Honors%20AS261/1and2.pdf" TargetMode="External" Id="R7641343bc7fc41fd" /><Relationship Type="http://schemas.openxmlformats.org/officeDocument/2006/relationships/hyperlink" Target="https://anyflip.com/uvdxv/ljma/basic" TargetMode="External" Id="R5d467682f95a436a" /><Relationship Type="http://schemas.openxmlformats.org/officeDocument/2006/relationships/hyperlink" Target="https://www.aghalibrary.com/storage/books/1614252371_AghaLibrary.pdf" TargetMode="External" Id="R3df9d60a846940b6" /><Relationship Type="http://schemas.openxmlformats.org/officeDocument/2006/relationships/hyperlink" Target="https://www.researchgate.net/publication/242075394_From_Service_to_Experience_Understanding_and_Defining_the_Hospitality_Business" TargetMode="External" Id="R45227a35019840a2" /><Relationship Type="http://schemas.openxmlformats.org/officeDocument/2006/relationships/hyperlink" Target="https://www.researchgate.net/publication/215915558_Proactive_Behavior_in_Organizations" TargetMode="External" Id="R2795fdc54e604193" /><Relationship Type="http://schemas.openxmlformats.org/officeDocument/2006/relationships/hyperlink" Target="https://www.researchgate.net/publication/235701029_Experiential_Learning_Experience_As_The_Source_Of_Learning_And_Development" TargetMode="External" Id="R6611aaccf1b2468f" /><Relationship Type="http://schemas.openxmlformats.org/officeDocument/2006/relationships/hyperlink" Target="https://scispace.com/pdf/the-future-of-restaurant-revenue-management-g8nkredlwf.pdf" TargetMode="External" Id="Rb1e622865c8a4a0e" /><Relationship Type="http://schemas.openxmlformats.org/officeDocument/2006/relationships/hyperlink" Target="https://research-ebsco-com.uwtsd.idm.oclc.org/c/onvpsy/viewer/pdf/mk4gimgzrj?route=details" TargetMode="External" Id="R6caa353d83ce429b" /><Relationship Type="http://schemas.openxmlformats.org/officeDocument/2006/relationships/hyperlink" Target="https://hib510week9.pbworks.com/f/The+Nature+of+Managerial+Work" TargetMode="External" Id="R6d24eb4d653d41b8" /><Relationship Type="http://schemas.openxmlformats.org/officeDocument/2006/relationships/hyperlink" Target="https://studylib.net/doc/28142395/leadership--theory-and-practice-9th-edition-&#8211;-pdf-ebook?p=4" TargetMode="External" Id="R0068452487384e84" /><Relationship Type="http://schemas.openxmlformats.org/officeDocument/2006/relationships/hyperlink" Target="https://ereader.perlego.com/1/book/3866005/23" TargetMode="External" Id="R986bd201e4b146d9" /><Relationship Type="http://schemas.openxmlformats.org/officeDocument/2006/relationships/hyperlink" Target="https://www.researchgate.net/publication/200827786_SERVQUAL_A_Multiple-item_Scale_for_Measuring_Consumer_Perceptions_of_Service_Quality" TargetMode="External" Id="R823738c4700f43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2026-07-23T18:15:38.9943693Z</dcterms:created>
  <dcterms:modified xsi:type="dcterms:W3CDTF">2026-07-24T19:02:05.2346968Z</dcterms:modified>
</coreProperties>
</file>