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698145" w14:textId="707F49CD" w:rsidR="009747CE" w:rsidRDefault="009747CE" w:rsidP="009747CE">
      <w:pPr>
        <w:jc w:val="right"/>
        <w:rPr>
          <w:color w:val="83CAEB" w:themeColor="accent1" w:themeTint="66"/>
          <w:sz w:val="48"/>
          <w:szCs w:val="48"/>
        </w:rPr>
      </w:pPr>
      <w:r w:rsidRPr="009747CE">
        <w:rPr>
          <w:color w:val="83CAEB" w:themeColor="accent1" w:themeTint="66"/>
          <w:sz w:val="48"/>
          <w:szCs w:val="48"/>
        </w:rPr>
        <w:t>Construction Technology 2 (ACBA5019)</w:t>
      </w:r>
    </w:p>
    <w:p w14:paraId="3DF0AFE7" w14:textId="427C9F1E" w:rsidR="009747CE" w:rsidRDefault="009747CE" w:rsidP="009747CE">
      <w:pPr>
        <w:jc w:val="right"/>
        <w:rPr>
          <w:color w:val="83CAEB" w:themeColor="accent1" w:themeTint="66"/>
          <w:sz w:val="48"/>
          <w:szCs w:val="48"/>
        </w:rPr>
      </w:pPr>
      <w:r>
        <w:rPr>
          <w:color w:val="83CAEB" w:themeColor="accent1" w:themeTint="66"/>
          <w:sz w:val="48"/>
          <w:szCs w:val="48"/>
        </w:rPr>
        <w:t>Keaton Lewis Davies</w:t>
      </w:r>
    </w:p>
    <w:p w14:paraId="5738508F" w14:textId="5BC6CFFA" w:rsidR="009747CE" w:rsidRDefault="009747CE" w:rsidP="009747CE">
      <w:pPr>
        <w:jc w:val="right"/>
        <w:rPr>
          <w:color w:val="83CAEB" w:themeColor="accent1" w:themeTint="66"/>
          <w:sz w:val="48"/>
          <w:szCs w:val="48"/>
        </w:rPr>
      </w:pPr>
      <w:r>
        <w:rPr>
          <w:color w:val="83CAEB" w:themeColor="accent1" w:themeTint="66"/>
          <w:sz w:val="48"/>
          <w:szCs w:val="48"/>
        </w:rPr>
        <w:t>2320042</w:t>
      </w:r>
    </w:p>
    <w:p w14:paraId="5C88690D" w14:textId="466EB027" w:rsidR="009747CE" w:rsidRPr="009747CE" w:rsidRDefault="009747CE" w:rsidP="009747CE">
      <w:pPr>
        <w:jc w:val="right"/>
        <w:rPr>
          <w:color w:val="83CAEB" w:themeColor="accent1" w:themeTint="66"/>
          <w:sz w:val="48"/>
          <w:szCs w:val="48"/>
        </w:rPr>
      </w:pPr>
      <w:r>
        <w:rPr>
          <w:color w:val="83CAEB" w:themeColor="accent1" w:themeTint="66"/>
          <w:sz w:val="48"/>
          <w:szCs w:val="48"/>
        </w:rPr>
        <w:t>Word Count: 2</w:t>
      </w:r>
      <w:r w:rsidR="000F32EA">
        <w:rPr>
          <w:color w:val="83CAEB" w:themeColor="accent1" w:themeTint="66"/>
          <w:sz w:val="48"/>
          <w:szCs w:val="48"/>
        </w:rPr>
        <w:t>420</w:t>
      </w:r>
    </w:p>
    <w:p w14:paraId="65CC6F15" w14:textId="77777777" w:rsidR="009747CE" w:rsidRDefault="009747CE" w:rsidP="009747CE"/>
    <w:p w14:paraId="7CCB70ED" w14:textId="615DD27F" w:rsidR="009747CE" w:rsidRDefault="009747CE" w:rsidP="009747CE"/>
    <w:p w14:paraId="6B28D1D3" w14:textId="15827AC7" w:rsidR="009747CE" w:rsidRDefault="009747CE" w:rsidP="009747CE"/>
    <w:p w14:paraId="49A3F6C2" w14:textId="2D8E0473" w:rsidR="009747CE" w:rsidRDefault="009747CE" w:rsidP="009747CE"/>
    <w:p w14:paraId="19E4008B" w14:textId="28F2FEFD" w:rsidR="009747CE" w:rsidRDefault="009747CE" w:rsidP="009747CE">
      <w:r>
        <w:rPr>
          <w:noProof/>
        </w:rPr>
        <w:drawing>
          <wp:anchor distT="0" distB="0" distL="114300" distR="114300" simplePos="0" relativeHeight="251658240" behindDoc="0" locked="0" layoutInCell="1" allowOverlap="1" wp14:anchorId="3AADC1A7" wp14:editId="0C5942FF">
            <wp:simplePos x="0" y="0"/>
            <wp:positionH relativeFrom="margin">
              <wp:align>center</wp:align>
            </wp:positionH>
            <wp:positionV relativeFrom="paragraph">
              <wp:posOffset>115570</wp:posOffset>
            </wp:positionV>
            <wp:extent cx="6216317" cy="3248025"/>
            <wp:effectExtent l="0" t="0" r="0" b="0"/>
            <wp:wrapNone/>
            <wp:docPr id="30184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16317" cy="3248025"/>
                    </a:xfrm>
                    <a:prstGeom prst="rect">
                      <a:avLst/>
                    </a:prstGeom>
                    <a:noFill/>
                  </pic:spPr>
                </pic:pic>
              </a:graphicData>
            </a:graphic>
            <wp14:sizeRelH relativeFrom="margin">
              <wp14:pctWidth>0</wp14:pctWidth>
            </wp14:sizeRelH>
            <wp14:sizeRelV relativeFrom="margin">
              <wp14:pctHeight>0</wp14:pctHeight>
            </wp14:sizeRelV>
          </wp:anchor>
        </w:drawing>
      </w:r>
    </w:p>
    <w:p w14:paraId="17741862" w14:textId="5AED7A68" w:rsidR="009747CE" w:rsidRDefault="009747CE" w:rsidP="009747CE"/>
    <w:p w14:paraId="0E7F29D3" w14:textId="57CB2FBB" w:rsidR="009747CE" w:rsidRDefault="009747CE" w:rsidP="009747CE"/>
    <w:p w14:paraId="6C02F5A9" w14:textId="66CDD5C4" w:rsidR="009747CE" w:rsidRDefault="009747CE" w:rsidP="009747CE"/>
    <w:p w14:paraId="703667AB" w14:textId="2816CB90" w:rsidR="009747CE" w:rsidRDefault="009747CE" w:rsidP="009747CE"/>
    <w:p w14:paraId="510AE7D4" w14:textId="26B9739D" w:rsidR="009747CE" w:rsidRDefault="009747CE" w:rsidP="009747CE"/>
    <w:p w14:paraId="21366521" w14:textId="77777777" w:rsidR="009747CE" w:rsidRDefault="009747CE" w:rsidP="009747CE"/>
    <w:p w14:paraId="28A789BF" w14:textId="77777777" w:rsidR="009747CE" w:rsidRDefault="009747CE" w:rsidP="009747CE"/>
    <w:p w14:paraId="7084AE81" w14:textId="77777777" w:rsidR="009747CE" w:rsidRDefault="009747CE" w:rsidP="009747CE"/>
    <w:p w14:paraId="5D5A4799" w14:textId="77777777" w:rsidR="009747CE" w:rsidRDefault="009747CE" w:rsidP="009747CE"/>
    <w:p w14:paraId="6E11B0AC" w14:textId="77777777" w:rsidR="009747CE" w:rsidRDefault="009747CE" w:rsidP="009747CE"/>
    <w:p w14:paraId="0454B109" w14:textId="77777777" w:rsidR="009747CE" w:rsidRDefault="009747CE" w:rsidP="009747CE"/>
    <w:p w14:paraId="0231DAD0" w14:textId="77777777" w:rsidR="009747CE" w:rsidRDefault="009747CE" w:rsidP="009747CE"/>
    <w:p w14:paraId="282075FA" w14:textId="77777777" w:rsidR="009747CE" w:rsidRDefault="009747CE" w:rsidP="009747CE"/>
    <w:p w14:paraId="32D483FD" w14:textId="77777777" w:rsidR="009747CE" w:rsidRDefault="009747CE" w:rsidP="009747CE"/>
    <w:p w14:paraId="0CF97C06" w14:textId="77777777" w:rsidR="009747CE" w:rsidRDefault="009747CE" w:rsidP="009747CE"/>
    <w:p w14:paraId="00C1F8E7" w14:textId="77777777" w:rsidR="009747CE" w:rsidRDefault="009747CE" w:rsidP="009747CE"/>
    <w:sdt>
      <w:sdtPr>
        <w:id w:val="-246884756"/>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4FC7E8CA" w14:textId="218A1985" w:rsidR="000F32EA" w:rsidRDefault="000F32EA">
          <w:pPr>
            <w:pStyle w:val="TOCHeading"/>
          </w:pPr>
          <w:r>
            <w:t>Contents</w:t>
          </w:r>
        </w:p>
        <w:p w14:paraId="64A6004D" w14:textId="6AD54248" w:rsidR="000F32EA" w:rsidRDefault="000F32E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7980610" w:history="1">
            <w:r w:rsidRPr="008E47AC">
              <w:rPr>
                <w:rStyle w:val="Hyperlink"/>
                <w:noProof/>
              </w:rPr>
              <w:t>Introduction</w:t>
            </w:r>
            <w:r>
              <w:rPr>
                <w:noProof/>
                <w:webHidden/>
              </w:rPr>
              <w:tab/>
            </w:r>
            <w:r>
              <w:rPr>
                <w:noProof/>
                <w:webHidden/>
              </w:rPr>
              <w:fldChar w:fldCharType="begin"/>
            </w:r>
            <w:r>
              <w:rPr>
                <w:noProof/>
                <w:webHidden/>
              </w:rPr>
              <w:instrText xml:space="preserve"> PAGEREF _Toc197980610 \h </w:instrText>
            </w:r>
            <w:r>
              <w:rPr>
                <w:noProof/>
                <w:webHidden/>
              </w:rPr>
            </w:r>
            <w:r>
              <w:rPr>
                <w:noProof/>
                <w:webHidden/>
              </w:rPr>
              <w:fldChar w:fldCharType="separate"/>
            </w:r>
            <w:r>
              <w:rPr>
                <w:noProof/>
                <w:webHidden/>
              </w:rPr>
              <w:t>3</w:t>
            </w:r>
            <w:r>
              <w:rPr>
                <w:noProof/>
                <w:webHidden/>
              </w:rPr>
              <w:fldChar w:fldCharType="end"/>
            </w:r>
          </w:hyperlink>
        </w:p>
        <w:p w14:paraId="4F6684C8" w14:textId="04B6D5C5" w:rsidR="000F32EA" w:rsidRDefault="000F32EA">
          <w:pPr>
            <w:pStyle w:val="TOC1"/>
            <w:tabs>
              <w:tab w:val="right" w:leader="dot" w:pos="9016"/>
            </w:tabs>
            <w:rPr>
              <w:rFonts w:eastAsiaTheme="minorEastAsia"/>
              <w:noProof/>
              <w:lang w:eastAsia="en-GB"/>
            </w:rPr>
          </w:pPr>
          <w:hyperlink w:anchor="_Toc197980611" w:history="1">
            <w:r w:rsidRPr="008E47AC">
              <w:rPr>
                <w:rStyle w:val="Hyperlink"/>
                <w:noProof/>
              </w:rPr>
              <w:t>Brief Introduction to Building Design and Location</w:t>
            </w:r>
            <w:r>
              <w:rPr>
                <w:noProof/>
                <w:webHidden/>
              </w:rPr>
              <w:tab/>
            </w:r>
            <w:r>
              <w:rPr>
                <w:noProof/>
                <w:webHidden/>
              </w:rPr>
              <w:fldChar w:fldCharType="begin"/>
            </w:r>
            <w:r>
              <w:rPr>
                <w:noProof/>
                <w:webHidden/>
              </w:rPr>
              <w:instrText xml:space="preserve"> PAGEREF _Toc197980611 \h </w:instrText>
            </w:r>
            <w:r>
              <w:rPr>
                <w:noProof/>
                <w:webHidden/>
              </w:rPr>
            </w:r>
            <w:r>
              <w:rPr>
                <w:noProof/>
                <w:webHidden/>
              </w:rPr>
              <w:fldChar w:fldCharType="separate"/>
            </w:r>
            <w:r>
              <w:rPr>
                <w:noProof/>
                <w:webHidden/>
              </w:rPr>
              <w:t>3</w:t>
            </w:r>
            <w:r>
              <w:rPr>
                <w:noProof/>
                <w:webHidden/>
              </w:rPr>
              <w:fldChar w:fldCharType="end"/>
            </w:r>
          </w:hyperlink>
        </w:p>
        <w:p w14:paraId="2B00BB55" w14:textId="701FC619" w:rsidR="000F32EA" w:rsidRDefault="000F32EA">
          <w:pPr>
            <w:pStyle w:val="TOC1"/>
            <w:tabs>
              <w:tab w:val="right" w:leader="dot" w:pos="9016"/>
            </w:tabs>
            <w:rPr>
              <w:rFonts w:eastAsiaTheme="minorEastAsia"/>
              <w:noProof/>
              <w:lang w:eastAsia="en-GB"/>
            </w:rPr>
          </w:pPr>
          <w:hyperlink w:anchor="_Toc197980612" w:history="1">
            <w:r w:rsidRPr="008E47AC">
              <w:rPr>
                <w:rStyle w:val="Hyperlink"/>
                <w:noProof/>
              </w:rPr>
              <w:t>Environmental Impact</w:t>
            </w:r>
            <w:r>
              <w:rPr>
                <w:noProof/>
                <w:webHidden/>
              </w:rPr>
              <w:tab/>
            </w:r>
            <w:r>
              <w:rPr>
                <w:noProof/>
                <w:webHidden/>
              </w:rPr>
              <w:fldChar w:fldCharType="begin"/>
            </w:r>
            <w:r>
              <w:rPr>
                <w:noProof/>
                <w:webHidden/>
              </w:rPr>
              <w:instrText xml:space="preserve"> PAGEREF _Toc197980612 \h </w:instrText>
            </w:r>
            <w:r>
              <w:rPr>
                <w:noProof/>
                <w:webHidden/>
              </w:rPr>
            </w:r>
            <w:r>
              <w:rPr>
                <w:noProof/>
                <w:webHidden/>
              </w:rPr>
              <w:fldChar w:fldCharType="separate"/>
            </w:r>
            <w:r>
              <w:rPr>
                <w:noProof/>
                <w:webHidden/>
              </w:rPr>
              <w:t>4</w:t>
            </w:r>
            <w:r>
              <w:rPr>
                <w:noProof/>
                <w:webHidden/>
              </w:rPr>
              <w:fldChar w:fldCharType="end"/>
            </w:r>
          </w:hyperlink>
        </w:p>
        <w:p w14:paraId="561F7B14" w14:textId="4769B0D9" w:rsidR="000F32EA" w:rsidRDefault="000F32EA">
          <w:pPr>
            <w:pStyle w:val="TOC2"/>
            <w:tabs>
              <w:tab w:val="right" w:leader="dot" w:pos="9016"/>
            </w:tabs>
            <w:rPr>
              <w:rFonts w:eastAsiaTheme="minorEastAsia"/>
              <w:noProof/>
              <w:lang w:eastAsia="en-GB"/>
            </w:rPr>
          </w:pPr>
          <w:hyperlink w:anchor="_Toc197980613" w:history="1">
            <w:r w:rsidRPr="008E47AC">
              <w:rPr>
                <w:rStyle w:val="Hyperlink"/>
                <w:noProof/>
              </w:rPr>
              <w:t>Orientation</w:t>
            </w:r>
            <w:r>
              <w:rPr>
                <w:noProof/>
                <w:webHidden/>
              </w:rPr>
              <w:tab/>
            </w:r>
            <w:r>
              <w:rPr>
                <w:noProof/>
                <w:webHidden/>
              </w:rPr>
              <w:fldChar w:fldCharType="begin"/>
            </w:r>
            <w:r>
              <w:rPr>
                <w:noProof/>
                <w:webHidden/>
              </w:rPr>
              <w:instrText xml:space="preserve"> PAGEREF _Toc197980613 \h </w:instrText>
            </w:r>
            <w:r>
              <w:rPr>
                <w:noProof/>
                <w:webHidden/>
              </w:rPr>
            </w:r>
            <w:r>
              <w:rPr>
                <w:noProof/>
                <w:webHidden/>
              </w:rPr>
              <w:fldChar w:fldCharType="separate"/>
            </w:r>
            <w:r>
              <w:rPr>
                <w:noProof/>
                <w:webHidden/>
              </w:rPr>
              <w:t>4</w:t>
            </w:r>
            <w:r>
              <w:rPr>
                <w:noProof/>
                <w:webHidden/>
              </w:rPr>
              <w:fldChar w:fldCharType="end"/>
            </w:r>
          </w:hyperlink>
        </w:p>
        <w:p w14:paraId="10C187E2" w14:textId="07157584" w:rsidR="000F32EA" w:rsidRDefault="000F32EA">
          <w:pPr>
            <w:pStyle w:val="TOC1"/>
            <w:tabs>
              <w:tab w:val="right" w:leader="dot" w:pos="9016"/>
            </w:tabs>
            <w:rPr>
              <w:rFonts w:eastAsiaTheme="minorEastAsia"/>
              <w:noProof/>
              <w:lang w:eastAsia="en-GB"/>
            </w:rPr>
          </w:pPr>
          <w:hyperlink w:anchor="_Toc197980614" w:history="1">
            <w:r w:rsidRPr="008E47AC">
              <w:rPr>
                <w:rStyle w:val="Hyperlink"/>
                <w:noProof/>
              </w:rPr>
              <w:t>Aesthetic Integration</w:t>
            </w:r>
            <w:r>
              <w:rPr>
                <w:noProof/>
                <w:webHidden/>
              </w:rPr>
              <w:tab/>
            </w:r>
            <w:r>
              <w:rPr>
                <w:noProof/>
                <w:webHidden/>
              </w:rPr>
              <w:fldChar w:fldCharType="begin"/>
            </w:r>
            <w:r>
              <w:rPr>
                <w:noProof/>
                <w:webHidden/>
              </w:rPr>
              <w:instrText xml:space="preserve"> PAGEREF _Toc197980614 \h </w:instrText>
            </w:r>
            <w:r>
              <w:rPr>
                <w:noProof/>
                <w:webHidden/>
              </w:rPr>
            </w:r>
            <w:r>
              <w:rPr>
                <w:noProof/>
                <w:webHidden/>
              </w:rPr>
              <w:fldChar w:fldCharType="separate"/>
            </w:r>
            <w:r>
              <w:rPr>
                <w:noProof/>
                <w:webHidden/>
              </w:rPr>
              <w:t>5</w:t>
            </w:r>
            <w:r>
              <w:rPr>
                <w:noProof/>
                <w:webHidden/>
              </w:rPr>
              <w:fldChar w:fldCharType="end"/>
            </w:r>
          </w:hyperlink>
        </w:p>
        <w:p w14:paraId="6B86A5DE" w14:textId="2AC56628" w:rsidR="000F32EA" w:rsidRDefault="000F32EA">
          <w:pPr>
            <w:pStyle w:val="TOC1"/>
            <w:tabs>
              <w:tab w:val="right" w:leader="dot" w:pos="9016"/>
            </w:tabs>
            <w:rPr>
              <w:rFonts w:eastAsiaTheme="minorEastAsia"/>
              <w:noProof/>
              <w:lang w:eastAsia="en-GB"/>
            </w:rPr>
          </w:pPr>
          <w:hyperlink w:anchor="_Toc197980615" w:history="1">
            <w:r w:rsidRPr="008E47AC">
              <w:rPr>
                <w:rStyle w:val="Hyperlink"/>
                <w:noProof/>
              </w:rPr>
              <w:t>Sustainable Urban Drainage Systems (SUDS)</w:t>
            </w:r>
            <w:r>
              <w:rPr>
                <w:noProof/>
                <w:webHidden/>
              </w:rPr>
              <w:tab/>
            </w:r>
            <w:r>
              <w:rPr>
                <w:noProof/>
                <w:webHidden/>
              </w:rPr>
              <w:fldChar w:fldCharType="begin"/>
            </w:r>
            <w:r>
              <w:rPr>
                <w:noProof/>
                <w:webHidden/>
              </w:rPr>
              <w:instrText xml:space="preserve"> PAGEREF _Toc197980615 \h </w:instrText>
            </w:r>
            <w:r>
              <w:rPr>
                <w:noProof/>
                <w:webHidden/>
              </w:rPr>
            </w:r>
            <w:r>
              <w:rPr>
                <w:noProof/>
                <w:webHidden/>
              </w:rPr>
              <w:fldChar w:fldCharType="separate"/>
            </w:r>
            <w:r>
              <w:rPr>
                <w:noProof/>
                <w:webHidden/>
              </w:rPr>
              <w:t>6</w:t>
            </w:r>
            <w:r>
              <w:rPr>
                <w:noProof/>
                <w:webHidden/>
              </w:rPr>
              <w:fldChar w:fldCharType="end"/>
            </w:r>
          </w:hyperlink>
        </w:p>
        <w:p w14:paraId="27961B67" w14:textId="23E4382E" w:rsidR="000F32EA" w:rsidRDefault="000F32EA">
          <w:pPr>
            <w:pStyle w:val="TOC1"/>
            <w:tabs>
              <w:tab w:val="right" w:leader="dot" w:pos="9016"/>
            </w:tabs>
            <w:rPr>
              <w:rFonts w:eastAsiaTheme="minorEastAsia"/>
              <w:noProof/>
              <w:lang w:eastAsia="en-GB"/>
            </w:rPr>
          </w:pPr>
          <w:hyperlink w:anchor="_Toc197980616" w:history="1">
            <w:r w:rsidRPr="008E47AC">
              <w:rPr>
                <w:rStyle w:val="Hyperlink"/>
                <w:noProof/>
              </w:rPr>
              <w:t>Flexibility in Design and Use</w:t>
            </w:r>
            <w:r>
              <w:rPr>
                <w:noProof/>
                <w:webHidden/>
              </w:rPr>
              <w:tab/>
            </w:r>
            <w:r>
              <w:rPr>
                <w:noProof/>
                <w:webHidden/>
              </w:rPr>
              <w:fldChar w:fldCharType="begin"/>
            </w:r>
            <w:r>
              <w:rPr>
                <w:noProof/>
                <w:webHidden/>
              </w:rPr>
              <w:instrText xml:space="preserve"> PAGEREF _Toc197980616 \h </w:instrText>
            </w:r>
            <w:r>
              <w:rPr>
                <w:noProof/>
                <w:webHidden/>
              </w:rPr>
            </w:r>
            <w:r>
              <w:rPr>
                <w:noProof/>
                <w:webHidden/>
              </w:rPr>
              <w:fldChar w:fldCharType="separate"/>
            </w:r>
            <w:r>
              <w:rPr>
                <w:noProof/>
                <w:webHidden/>
              </w:rPr>
              <w:t>7</w:t>
            </w:r>
            <w:r>
              <w:rPr>
                <w:noProof/>
                <w:webHidden/>
              </w:rPr>
              <w:fldChar w:fldCharType="end"/>
            </w:r>
          </w:hyperlink>
        </w:p>
        <w:p w14:paraId="44A60BAB" w14:textId="2A9EAAFD" w:rsidR="000F32EA" w:rsidRDefault="000F32EA">
          <w:pPr>
            <w:pStyle w:val="TOC2"/>
            <w:tabs>
              <w:tab w:val="right" w:leader="dot" w:pos="9016"/>
            </w:tabs>
            <w:rPr>
              <w:rFonts w:eastAsiaTheme="minorEastAsia"/>
              <w:noProof/>
              <w:lang w:eastAsia="en-GB"/>
            </w:rPr>
          </w:pPr>
          <w:hyperlink w:anchor="_Toc197980617" w:history="1">
            <w:r w:rsidRPr="008E47AC">
              <w:rPr>
                <w:rStyle w:val="Hyperlink"/>
                <w:noProof/>
              </w:rPr>
              <w:t>Flexible Design Features</w:t>
            </w:r>
            <w:r>
              <w:rPr>
                <w:noProof/>
                <w:webHidden/>
              </w:rPr>
              <w:tab/>
            </w:r>
            <w:r>
              <w:rPr>
                <w:noProof/>
                <w:webHidden/>
              </w:rPr>
              <w:fldChar w:fldCharType="begin"/>
            </w:r>
            <w:r>
              <w:rPr>
                <w:noProof/>
                <w:webHidden/>
              </w:rPr>
              <w:instrText xml:space="preserve"> PAGEREF _Toc197980617 \h </w:instrText>
            </w:r>
            <w:r>
              <w:rPr>
                <w:noProof/>
                <w:webHidden/>
              </w:rPr>
            </w:r>
            <w:r>
              <w:rPr>
                <w:noProof/>
                <w:webHidden/>
              </w:rPr>
              <w:fldChar w:fldCharType="separate"/>
            </w:r>
            <w:r>
              <w:rPr>
                <w:noProof/>
                <w:webHidden/>
              </w:rPr>
              <w:t>7</w:t>
            </w:r>
            <w:r>
              <w:rPr>
                <w:noProof/>
                <w:webHidden/>
              </w:rPr>
              <w:fldChar w:fldCharType="end"/>
            </w:r>
          </w:hyperlink>
        </w:p>
        <w:p w14:paraId="311A8360" w14:textId="660BE5AB" w:rsidR="000F32EA" w:rsidRDefault="000F32EA">
          <w:pPr>
            <w:pStyle w:val="TOC1"/>
            <w:tabs>
              <w:tab w:val="right" w:leader="dot" w:pos="9016"/>
            </w:tabs>
            <w:rPr>
              <w:rFonts w:eastAsiaTheme="minorEastAsia"/>
              <w:noProof/>
              <w:lang w:eastAsia="en-GB"/>
            </w:rPr>
          </w:pPr>
          <w:hyperlink w:anchor="_Toc197980618" w:history="1">
            <w:r w:rsidRPr="008E47AC">
              <w:rPr>
                <w:rStyle w:val="Hyperlink"/>
                <w:noProof/>
              </w:rPr>
              <w:t>Potential Future Uses</w:t>
            </w:r>
            <w:r>
              <w:rPr>
                <w:noProof/>
                <w:webHidden/>
              </w:rPr>
              <w:tab/>
            </w:r>
            <w:r>
              <w:rPr>
                <w:noProof/>
                <w:webHidden/>
              </w:rPr>
              <w:fldChar w:fldCharType="begin"/>
            </w:r>
            <w:r>
              <w:rPr>
                <w:noProof/>
                <w:webHidden/>
              </w:rPr>
              <w:instrText xml:space="preserve"> PAGEREF _Toc197980618 \h </w:instrText>
            </w:r>
            <w:r>
              <w:rPr>
                <w:noProof/>
                <w:webHidden/>
              </w:rPr>
            </w:r>
            <w:r>
              <w:rPr>
                <w:noProof/>
                <w:webHidden/>
              </w:rPr>
              <w:fldChar w:fldCharType="separate"/>
            </w:r>
            <w:r>
              <w:rPr>
                <w:noProof/>
                <w:webHidden/>
              </w:rPr>
              <w:t>7</w:t>
            </w:r>
            <w:r>
              <w:rPr>
                <w:noProof/>
                <w:webHidden/>
              </w:rPr>
              <w:fldChar w:fldCharType="end"/>
            </w:r>
          </w:hyperlink>
        </w:p>
        <w:p w14:paraId="612ED510" w14:textId="6EED8430" w:rsidR="000F32EA" w:rsidRDefault="000F32EA">
          <w:pPr>
            <w:pStyle w:val="TOC1"/>
            <w:tabs>
              <w:tab w:val="right" w:leader="dot" w:pos="9016"/>
            </w:tabs>
            <w:rPr>
              <w:rFonts w:eastAsiaTheme="minorEastAsia"/>
              <w:noProof/>
              <w:lang w:eastAsia="en-GB"/>
            </w:rPr>
          </w:pPr>
          <w:hyperlink w:anchor="_Toc197980619" w:history="1">
            <w:r w:rsidRPr="008E47AC">
              <w:rPr>
                <w:rStyle w:val="Hyperlink"/>
                <w:noProof/>
              </w:rPr>
              <w:t>Calculations and Performance Modelling</w:t>
            </w:r>
            <w:r>
              <w:rPr>
                <w:noProof/>
                <w:webHidden/>
              </w:rPr>
              <w:tab/>
            </w:r>
            <w:r>
              <w:rPr>
                <w:noProof/>
                <w:webHidden/>
              </w:rPr>
              <w:fldChar w:fldCharType="begin"/>
            </w:r>
            <w:r>
              <w:rPr>
                <w:noProof/>
                <w:webHidden/>
              </w:rPr>
              <w:instrText xml:space="preserve"> PAGEREF _Toc197980619 \h </w:instrText>
            </w:r>
            <w:r>
              <w:rPr>
                <w:noProof/>
                <w:webHidden/>
              </w:rPr>
            </w:r>
            <w:r>
              <w:rPr>
                <w:noProof/>
                <w:webHidden/>
              </w:rPr>
              <w:fldChar w:fldCharType="separate"/>
            </w:r>
            <w:r>
              <w:rPr>
                <w:noProof/>
                <w:webHidden/>
              </w:rPr>
              <w:t>8</w:t>
            </w:r>
            <w:r>
              <w:rPr>
                <w:noProof/>
                <w:webHidden/>
              </w:rPr>
              <w:fldChar w:fldCharType="end"/>
            </w:r>
          </w:hyperlink>
        </w:p>
        <w:p w14:paraId="5CB0A2D3" w14:textId="7F789A22" w:rsidR="000F32EA" w:rsidRDefault="000F32EA">
          <w:pPr>
            <w:pStyle w:val="TOC1"/>
            <w:tabs>
              <w:tab w:val="right" w:leader="dot" w:pos="9016"/>
            </w:tabs>
            <w:rPr>
              <w:rFonts w:eastAsiaTheme="minorEastAsia"/>
              <w:noProof/>
              <w:lang w:eastAsia="en-GB"/>
            </w:rPr>
          </w:pPr>
          <w:hyperlink w:anchor="_Toc197980620" w:history="1">
            <w:r w:rsidRPr="008E47AC">
              <w:rPr>
                <w:rStyle w:val="Hyperlink"/>
                <w:noProof/>
              </w:rPr>
              <w:t>Renewable Energy Systems</w:t>
            </w:r>
            <w:r>
              <w:rPr>
                <w:noProof/>
                <w:webHidden/>
              </w:rPr>
              <w:tab/>
            </w:r>
            <w:r>
              <w:rPr>
                <w:noProof/>
                <w:webHidden/>
              </w:rPr>
              <w:fldChar w:fldCharType="begin"/>
            </w:r>
            <w:r>
              <w:rPr>
                <w:noProof/>
                <w:webHidden/>
              </w:rPr>
              <w:instrText xml:space="preserve"> PAGEREF _Toc197980620 \h </w:instrText>
            </w:r>
            <w:r>
              <w:rPr>
                <w:noProof/>
                <w:webHidden/>
              </w:rPr>
            </w:r>
            <w:r>
              <w:rPr>
                <w:noProof/>
                <w:webHidden/>
              </w:rPr>
              <w:fldChar w:fldCharType="separate"/>
            </w:r>
            <w:r>
              <w:rPr>
                <w:noProof/>
                <w:webHidden/>
              </w:rPr>
              <w:t>9</w:t>
            </w:r>
            <w:r>
              <w:rPr>
                <w:noProof/>
                <w:webHidden/>
              </w:rPr>
              <w:fldChar w:fldCharType="end"/>
            </w:r>
          </w:hyperlink>
        </w:p>
        <w:p w14:paraId="7F635496" w14:textId="600A6954" w:rsidR="000F32EA" w:rsidRDefault="000F32EA">
          <w:pPr>
            <w:pStyle w:val="TOC1"/>
            <w:tabs>
              <w:tab w:val="right" w:leader="dot" w:pos="9016"/>
            </w:tabs>
            <w:rPr>
              <w:rFonts w:eastAsiaTheme="minorEastAsia"/>
              <w:noProof/>
              <w:lang w:eastAsia="en-GB"/>
            </w:rPr>
          </w:pPr>
          <w:hyperlink w:anchor="_Toc197980621" w:history="1">
            <w:r w:rsidRPr="008E47AC">
              <w:rPr>
                <w:rStyle w:val="Hyperlink"/>
                <w:noProof/>
              </w:rPr>
              <w:t>Compliance with Standards</w:t>
            </w:r>
            <w:r>
              <w:rPr>
                <w:noProof/>
                <w:webHidden/>
              </w:rPr>
              <w:tab/>
            </w:r>
            <w:r>
              <w:rPr>
                <w:noProof/>
                <w:webHidden/>
              </w:rPr>
              <w:fldChar w:fldCharType="begin"/>
            </w:r>
            <w:r>
              <w:rPr>
                <w:noProof/>
                <w:webHidden/>
              </w:rPr>
              <w:instrText xml:space="preserve"> PAGEREF _Toc197980621 \h </w:instrText>
            </w:r>
            <w:r>
              <w:rPr>
                <w:noProof/>
                <w:webHidden/>
              </w:rPr>
            </w:r>
            <w:r>
              <w:rPr>
                <w:noProof/>
                <w:webHidden/>
              </w:rPr>
              <w:fldChar w:fldCharType="separate"/>
            </w:r>
            <w:r>
              <w:rPr>
                <w:noProof/>
                <w:webHidden/>
              </w:rPr>
              <w:t>9</w:t>
            </w:r>
            <w:r>
              <w:rPr>
                <w:noProof/>
                <w:webHidden/>
              </w:rPr>
              <w:fldChar w:fldCharType="end"/>
            </w:r>
          </w:hyperlink>
        </w:p>
        <w:p w14:paraId="20B0F9D4" w14:textId="1A323CC6" w:rsidR="000F32EA" w:rsidRDefault="000F32EA">
          <w:pPr>
            <w:pStyle w:val="TOC1"/>
            <w:tabs>
              <w:tab w:val="right" w:leader="dot" w:pos="9016"/>
            </w:tabs>
            <w:rPr>
              <w:rFonts w:eastAsiaTheme="minorEastAsia"/>
              <w:noProof/>
              <w:lang w:eastAsia="en-GB"/>
            </w:rPr>
          </w:pPr>
          <w:hyperlink w:anchor="_Toc197980622" w:history="1">
            <w:r w:rsidRPr="008E47AC">
              <w:rPr>
                <w:rStyle w:val="Hyperlink"/>
                <w:noProof/>
              </w:rPr>
              <w:t>Conclusion</w:t>
            </w:r>
            <w:r>
              <w:rPr>
                <w:noProof/>
                <w:webHidden/>
              </w:rPr>
              <w:tab/>
            </w:r>
            <w:r>
              <w:rPr>
                <w:noProof/>
                <w:webHidden/>
              </w:rPr>
              <w:fldChar w:fldCharType="begin"/>
            </w:r>
            <w:r>
              <w:rPr>
                <w:noProof/>
                <w:webHidden/>
              </w:rPr>
              <w:instrText xml:space="preserve"> PAGEREF _Toc197980622 \h </w:instrText>
            </w:r>
            <w:r>
              <w:rPr>
                <w:noProof/>
                <w:webHidden/>
              </w:rPr>
            </w:r>
            <w:r>
              <w:rPr>
                <w:noProof/>
                <w:webHidden/>
              </w:rPr>
              <w:fldChar w:fldCharType="separate"/>
            </w:r>
            <w:r>
              <w:rPr>
                <w:noProof/>
                <w:webHidden/>
              </w:rPr>
              <w:t>10</w:t>
            </w:r>
            <w:r>
              <w:rPr>
                <w:noProof/>
                <w:webHidden/>
              </w:rPr>
              <w:fldChar w:fldCharType="end"/>
            </w:r>
          </w:hyperlink>
        </w:p>
        <w:p w14:paraId="406CECE4" w14:textId="4343EAAD" w:rsidR="000F32EA" w:rsidRDefault="000F32EA">
          <w:pPr>
            <w:pStyle w:val="TOC1"/>
            <w:tabs>
              <w:tab w:val="right" w:leader="dot" w:pos="9016"/>
            </w:tabs>
            <w:rPr>
              <w:rFonts w:eastAsiaTheme="minorEastAsia"/>
              <w:noProof/>
              <w:lang w:eastAsia="en-GB"/>
            </w:rPr>
          </w:pPr>
          <w:hyperlink w:anchor="_Toc197980623" w:history="1">
            <w:r w:rsidRPr="008E47AC">
              <w:rPr>
                <w:rStyle w:val="Hyperlink"/>
                <w:noProof/>
              </w:rPr>
              <w:t>References</w:t>
            </w:r>
            <w:r>
              <w:rPr>
                <w:noProof/>
                <w:webHidden/>
              </w:rPr>
              <w:tab/>
            </w:r>
            <w:r>
              <w:rPr>
                <w:noProof/>
                <w:webHidden/>
              </w:rPr>
              <w:fldChar w:fldCharType="begin"/>
            </w:r>
            <w:r>
              <w:rPr>
                <w:noProof/>
                <w:webHidden/>
              </w:rPr>
              <w:instrText xml:space="preserve"> PAGEREF _Toc197980623 \h </w:instrText>
            </w:r>
            <w:r>
              <w:rPr>
                <w:noProof/>
                <w:webHidden/>
              </w:rPr>
            </w:r>
            <w:r>
              <w:rPr>
                <w:noProof/>
                <w:webHidden/>
              </w:rPr>
              <w:fldChar w:fldCharType="separate"/>
            </w:r>
            <w:r>
              <w:rPr>
                <w:noProof/>
                <w:webHidden/>
              </w:rPr>
              <w:t>10</w:t>
            </w:r>
            <w:r>
              <w:rPr>
                <w:noProof/>
                <w:webHidden/>
              </w:rPr>
              <w:fldChar w:fldCharType="end"/>
            </w:r>
          </w:hyperlink>
        </w:p>
        <w:p w14:paraId="433A6DF7" w14:textId="2DC8CD7B" w:rsidR="000F32EA" w:rsidRDefault="000F32EA">
          <w:r>
            <w:rPr>
              <w:b/>
              <w:bCs/>
            </w:rPr>
            <w:fldChar w:fldCharType="end"/>
          </w:r>
        </w:p>
      </w:sdtContent>
    </w:sdt>
    <w:p w14:paraId="70BC949C" w14:textId="77777777" w:rsidR="000F32EA" w:rsidRDefault="000F32EA" w:rsidP="000F32EA"/>
    <w:p w14:paraId="4F87587F" w14:textId="77777777" w:rsidR="000F32EA" w:rsidRDefault="000F32EA" w:rsidP="000F32EA"/>
    <w:p w14:paraId="37E1AC8D" w14:textId="77777777" w:rsidR="000F32EA" w:rsidRDefault="000F32EA" w:rsidP="000F32EA"/>
    <w:p w14:paraId="5159D80B" w14:textId="77777777" w:rsidR="000F32EA" w:rsidRDefault="000F32EA" w:rsidP="000F32EA"/>
    <w:p w14:paraId="75CB9631" w14:textId="77777777" w:rsidR="000F32EA" w:rsidRDefault="000F32EA" w:rsidP="000F32EA"/>
    <w:p w14:paraId="28B091CA" w14:textId="77777777" w:rsidR="000F32EA" w:rsidRDefault="000F32EA" w:rsidP="000F32EA"/>
    <w:p w14:paraId="5831901E" w14:textId="77777777" w:rsidR="000F32EA" w:rsidRDefault="000F32EA" w:rsidP="000F32EA"/>
    <w:p w14:paraId="4B66B952" w14:textId="77777777" w:rsidR="000F32EA" w:rsidRDefault="000F32EA" w:rsidP="000F32EA"/>
    <w:p w14:paraId="40D74890" w14:textId="77777777" w:rsidR="000F32EA" w:rsidRDefault="000F32EA" w:rsidP="000F32EA"/>
    <w:p w14:paraId="23B0AC7F" w14:textId="77777777" w:rsidR="000F32EA" w:rsidRDefault="000F32EA" w:rsidP="000F32EA"/>
    <w:p w14:paraId="790B5B0F" w14:textId="77777777" w:rsidR="000F32EA" w:rsidRDefault="000F32EA" w:rsidP="000F32EA"/>
    <w:p w14:paraId="03C7328F" w14:textId="77777777" w:rsidR="000F32EA" w:rsidRDefault="000F32EA" w:rsidP="000F32EA"/>
    <w:p w14:paraId="5A77A043" w14:textId="77777777" w:rsidR="000F32EA" w:rsidRDefault="000F32EA" w:rsidP="000F32EA"/>
    <w:p w14:paraId="3300E39C" w14:textId="77777777" w:rsidR="000F32EA" w:rsidRDefault="000F32EA" w:rsidP="000F32EA"/>
    <w:p w14:paraId="3E3EB0EA" w14:textId="6EFCBBC6" w:rsidR="002E7410" w:rsidRDefault="002E7410" w:rsidP="002E7410">
      <w:pPr>
        <w:pStyle w:val="Heading1"/>
        <w:rPr>
          <w:color w:val="83CAEB" w:themeColor="accent1" w:themeTint="66"/>
        </w:rPr>
      </w:pPr>
      <w:bookmarkStart w:id="0" w:name="_Toc197980610"/>
      <w:r w:rsidRPr="002E7410">
        <w:rPr>
          <w:color w:val="83CAEB" w:themeColor="accent1" w:themeTint="66"/>
        </w:rPr>
        <w:t>Introduction</w:t>
      </w:r>
      <w:bookmarkEnd w:id="0"/>
    </w:p>
    <w:p w14:paraId="3548FB7D" w14:textId="77777777" w:rsidR="002E7410" w:rsidRPr="002E7410" w:rsidRDefault="002E7410" w:rsidP="002E7410">
      <w:r w:rsidRPr="002E7410">
        <w:t xml:space="preserve">This research offers a thorough assessment of the sustainability of a planned medium- to high-rise student housing complex located in the SA1 Waterfront redevelopment zone of Swansea. Building on the conceptual design, the evaluation tackles long-term flexibility, environmental effect, and the incorporation of sustainable technology throughout the building lifespan. Sustainable Urban Drainage Systems (SUDS), building performance, façade greening, orientation, material selection, and spatial flexibility are important areas of study. The paper emphasises the significance of striking a balance between environmental, social, and economic factors </w:t>
      </w:r>
      <w:proofErr w:type="gramStart"/>
      <w:r w:rsidRPr="002E7410">
        <w:t>in order to</w:t>
      </w:r>
      <w:proofErr w:type="gramEnd"/>
      <w:r w:rsidRPr="002E7410">
        <w:t xml:space="preserve"> achieve sustainable results.</w:t>
      </w:r>
      <w:r>
        <w:t xml:space="preserve"> </w:t>
      </w:r>
      <w:proofErr w:type="gramStart"/>
      <w:r w:rsidRPr="002E7410">
        <w:t>In order to</w:t>
      </w:r>
      <w:proofErr w:type="gramEnd"/>
      <w:r w:rsidRPr="002E7410">
        <w:t xml:space="preserve"> support informed decision-making for a resilient, energy-efficient, and future-ready development that satisfies the changing needs of its users and the larger community, it adheres to UK sustainability regulations, including BREEAM and Part L compliance, and draws on current industry practices, academic research, and pertinent British Standards.</w:t>
      </w:r>
    </w:p>
    <w:p w14:paraId="58920741" w14:textId="30AAA9C6" w:rsidR="002E7410" w:rsidRPr="002E7410" w:rsidRDefault="002E7410" w:rsidP="002E7410">
      <w:pPr>
        <w:pStyle w:val="Heading1"/>
        <w:rPr>
          <w:color w:val="83CAEB" w:themeColor="accent1" w:themeTint="66"/>
        </w:rPr>
      </w:pPr>
      <w:bookmarkStart w:id="1" w:name="_Toc197980611"/>
      <w:r w:rsidRPr="002E7410">
        <w:rPr>
          <w:color w:val="83CAEB" w:themeColor="accent1" w:themeTint="66"/>
        </w:rPr>
        <w:t>Brief Introduction to Building Design and Location</w:t>
      </w:r>
      <w:bookmarkEnd w:id="1"/>
    </w:p>
    <w:p w14:paraId="528711E4" w14:textId="77777777" w:rsidR="002E7410" w:rsidRPr="002E7410" w:rsidRDefault="002E7410" w:rsidP="002E7410">
      <w:r w:rsidRPr="002E7410">
        <w:t xml:space="preserve">The SA1 urban waterfront in Swansea, a key redevelopment region intended for sustainable urban growth, is where the project site is situated. The plot is around 3,450 square meters (115 x 30 meters), which gives enough room for vertical construction and planted common areas that improve resident wellness and biodiversity. </w:t>
      </w:r>
      <w:proofErr w:type="gramStart"/>
      <w:r w:rsidRPr="002E7410">
        <w:t>In order to</w:t>
      </w:r>
      <w:proofErr w:type="gramEnd"/>
      <w:r w:rsidRPr="002E7410">
        <w:t xml:space="preserve"> encourage social contact and convenience, the proposed student housing would have self-contained </w:t>
      </w:r>
      <w:proofErr w:type="spellStart"/>
      <w:r w:rsidRPr="002E7410">
        <w:t>en</w:t>
      </w:r>
      <w:proofErr w:type="spellEnd"/>
      <w:r w:rsidRPr="002E7410">
        <w:t xml:space="preserve"> suite apartments spread across six to eight stories, as well as shared kitchens, lounges, study spaces, a gym, and a small café on the ground floor.</w:t>
      </w:r>
    </w:p>
    <w:p w14:paraId="7111EF1D" w14:textId="77777777" w:rsidR="002E7410" w:rsidRPr="002E7410" w:rsidRDefault="002E7410" w:rsidP="002E7410">
      <w:r w:rsidRPr="002E7410">
        <w:t>Being close to Swansea University's Bay Campus, public transit, and other necessities like healthcare, shopping, and entertainment, the development has great connectivity. These geographic benefits encourage environmentally friendly travel habits by lowering dependency on personal vehicles. Steel frames are used in the building for strength, ease of installation, and architectural flexibility. Included are prefabricated modular bathroom pods to expedite building, cut waste and guarantee constant quality. In accordance with local urban design rules and national sustainability objectives, the project's design philosophy places a high priority on environmental performance, long-term flexibility, and occupant comfort (Swansea Council, 2023). The cornerstone of a comprehensive and future-proofed sustainable development is the site's context and planned usage.</w:t>
      </w:r>
    </w:p>
    <w:p w14:paraId="2CA86AF6" w14:textId="7ECC436F" w:rsidR="002E7410" w:rsidRDefault="002E7410" w:rsidP="002E7410">
      <w:pPr>
        <w:pStyle w:val="Heading1"/>
        <w:rPr>
          <w:color w:val="83CAEB" w:themeColor="accent1" w:themeTint="66"/>
        </w:rPr>
      </w:pPr>
      <w:bookmarkStart w:id="2" w:name="_Toc197980612"/>
      <w:r w:rsidRPr="002E7410">
        <w:rPr>
          <w:color w:val="83CAEB" w:themeColor="accent1" w:themeTint="66"/>
        </w:rPr>
        <w:lastRenderedPageBreak/>
        <w:t>Environmental Impact</w:t>
      </w:r>
      <w:bookmarkEnd w:id="2"/>
    </w:p>
    <w:p w14:paraId="33DF80C2" w14:textId="7F08E1AE" w:rsidR="002E7410" w:rsidRDefault="002E7410" w:rsidP="002E7410">
      <w:pPr>
        <w:pStyle w:val="Heading2"/>
        <w:rPr>
          <w:color w:val="83CAEB" w:themeColor="accent1" w:themeTint="66"/>
        </w:rPr>
      </w:pPr>
      <w:bookmarkStart w:id="3" w:name="_Toc197980613"/>
      <w:r w:rsidRPr="002E7410">
        <w:rPr>
          <w:color w:val="83CAEB" w:themeColor="accent1" w:themeTint="66"/>
        </w:rPr>
        <w:t>Orientation</w:t>
      </w:r>
      <w:bookmarkEnd w:id="3"/>
    </w:p>
    <w:p w14:paraId="46F9C3EC" w14:textId="77777777" w:rsidR="002E7410" w:rsidRPr="002E7410" w:rsidRDefault="002E7410" w:rsidP="002E7410">
      <w:proofErr w:type="gramStart"/>
      <w:r w:rsidRPr="002E7410">
        <w:t>In order to</w:t>
      </w:r>
      <w:proofErr w:type="gramEnd"/>
      <w:r w:rsidRPr="002E7410">
        <w:t xml:space="preserve"> optimise southern sun exposure, the structure is orientated east-west, increasing passive solar uptake and decreasing the need for mechanical heating during the cooler months. Large windows are installed on south-facing facades to maximise natural daylight penetration, which might result in a 60% reduction in lighting energy use (BEIS, 2020). By improving interior visual comfort, this not only improves energy efficiency but also boosts occupant welfare.</w:t>
      </w:r>
    </w:p>
    <w:p w14:paraId="4C0F28CA" w14:textId="77777777" w:rsidR="002E7410" w:rsidRPr="002E7410" w:rsidRDefault="002E7410" w:rsidP="002E7410">
      <w:r w:rsidRPr="002E7410">
        <w:t>The design incorporates roof overhangs, horizontal louvres, and fixed brise-soleil to reduce the danger of overheating during the summer while maintaining daylight. When combined with hybrid mechanical ventilation, operable windows placed on opposite faces allow for efficient cross-ventilation. This design complies with CIBSE TM52 (2021), which offers recommendations for reducing the rise in interior temperatures in residential structures.</w:t>
      </w:r>
    </w:p>
    <w:p w14:paraId="57F916C5" w14:textId="77777777" w:rsidR="002E7410" w:rsidRPr="002E7410" w:rsidRDefault="002E7410" w:rsidP="002E7410">
      <w:r w:rsidRPr="002E7410">
        <w:t>Throughout the facade, high-performance glass with low-emissivity coatings is used to minimise heat loss without sacrificing visual clarity. According to BRE (2022) guidelines, a window-to-wall ratio of 30–40% was selected to ensure the best possible balance between daylight distribution and thermal insulation. Thermal modelling with IES VE software was used to further check orientation, proving compliance with CIBSE TM59 (2021) for overheating risk. By optimising photovoltaic exposure, the angled roof increases the production of renewable energy. Additionally, by providing views of nearby green areas and Swansea's coastline, the southern orientation improves biophilic design, which has been linked in studies to better psychological and cognitive results for building occupants.</w:t>
      </w:r>
    </w:p>
    <w:p w14:paraId="6D0E88AB" w14:textId="2F3FDF28" w:rsidR="002E7410" w:rsidRDefault="002E7410" w:rsidP="002E7410">
      <w:pPr>
        <w:rPr>
          <w:b/>
          <w:bCs/>
        </w:rPr>
      </w:pPr>
      <w:r w:rsidRPr="002E7410">
        <w:rPr>
          <w:b/>
          <w:bCs/>
        </w:rPr>
        <w:t>Life Cycle Assessment (LCA)</w:t>
      </w:r>
    </w:p>
    <w:p w14:paraId="5E8A8028" w14:textId="53FA4FFD" w:rsidR="002E7410" w:rsidRDefault="002E7410" w:rsidP="002E7410">
      <w:r w:rsidRPr="002E7410">
        <w:t>With the goal to assess the building's environmental performance from the extraction of raw materials through production, construction, operation, maintenance, and eventual decommissioning, a comprehensive Life Cycle Assessment (LCA) was conducted.  Throughout the building's lifecycle, this method finds possibilities to reduce carbon emissions and promotes sustainable decision-making.</w:t>
      </w:r>
    </w:p>
    <w:p w14:paraId="7800AA6B" w14:textId="77777777" w:rsidR="002E7410" w:rsidRPr="00006E5A" w:rsidRDefault="002E7410" w:rsidP="002E7410">
      <w:pPr>
        <w:pStyle w:val="ListParagraph"/>
        <w:numPr>
          <w:ilvl w:val="0"/>
          <w:numId w:val="1"/>
        </w:numPr>
      </w:pPr>
      <w:r w:rsidRPr="00006E5A">
        <w:t xml:space="preserve">Steel Frame: Selected for its structural efficiency, long service life, and high recyclability. Over 95% of steel used in UK construction is recycled (SCI, 2023), significantly reducing embodied carbon. </w:t>
      </w:r>
      <w:proofErr w:type="gramStart"/>
      <w:r w:rsidRPr="00006E5A">
        <w:t>Its</w:t>
      </w:r>
      <w:proofErr w:type="gramEnd"/>
      <w:r w:rsidRPr="00006E5A">
        <w:t xml:space="preserve"> demount ability also </w:t>
      </w:r>
      <w:r w:rsidRPr="00006E5A">
        <w:lastRenderedPageBreak/>
        <w:t>aligns with circular economy principles (UKGBC, 2023), facilitating future disassembly and reuse.</w:t>
      </w:r>
    </w:p>
    <w:p w14:paraId="4C96B1D2" w14:textId="77777777" w:rsidR="002E7410" w:rsidRPr="00006E5A" w:rsidRDefault="002E7410" w:rsidP="002E7410"/>
    <w:p w14:paraId="4C30B54E" w14:textId="77777777" w:rsidR="002E7410" w:rsidRPr="00006E5A" w:rsidRDefault="002E7410" w:rsidP="002E7410">
      <w:pPr>
        <w:pStyle w:val="ListParagraph"/>
        <w:numPr>
          <w:ilvl w:val="0"/>
          <w:numId w:val="1"/>
        </w:numPr>
      </w:pPr>
      <w:r w:rsidRPr="00006E5A">
        <w:t>Concrete Substructure: Designed with 20% recycled aggregates and Ground Granulated Blast Furnace Slag (GGBS), cutting embodied emissions by approximately 40% compared to traditional mixes (Concrete Centre, 2022). This enhances durability and aligns with ISO 14001 sustainability protocols.</w:t>
      </w:r>
    </w:p>
    <w:p w14:paraId="03A86062" w14:textId="77777777" w:rsidR="002E7410" w:rsidRPr="00006E5A" w:rsidRDefault="002E7410" w:rsidP="002E7410"/>
    <w:p w14:paraId="6D864A6B" w14:textId="77777777" w:rsidR="002E7410" w:rsidRPr="00006E5A" w:rsidRDefault="002E7410" w:rsidP="002E7410">
      <w:pPr>
        <w:pStyle w:val="ListParagraph"/>
        <w:numPr>
          <w:ilvl w:val="0"/>
          <w:numId w:val="1"/>
        </w:numPr>
      </w:pPr>
      <w:r w:rsidRPr="00006E5A">
        <w:t>Interior Finishes: Specified materials include low-VOC paints, adhesives, and finishes, all verified through Environmental Product Declarations (EPDs). These contribute to BREEAM HEA 02 credits by ensuring safe indoor air quality and occupant wellbeing.</w:t>
      </w:r>
    </w:p>
    <w:p w14:paraId="53E1DB43" w14:textId="77777777" w:rsidR="002E7410" w:rsidRPr="00006E5A" w:rsidRDefault="002E7410" w:rsidP="002E7410"/>
    <w:p w14:paraId="1AA584DD" w14:textId="77777777" w:rsidR="002E7410" w:rsidRPr="00006E5A" w:rsidRDefault="002E7410" w:rsidP="002E7410">
      <w:pPr>
        <w:pStyle w:val="ListParagraph"/>
        <w:numPr>
          <w:ilvl w:val="0"/>
          <w:numId w:val="1"/>
        </w:numPr>
      </w:pPr>
      <w:r w:rsidRPr="00006E5A">
        <w:t xml:space="preserve">Operational Energy: Energy use is minimised via a well-insulated and airtight building envelope, supplemented by air-source heat pumps and rooftop PV. SAP 10.2 modelling confirms primary energy consumption at 95 kWh/m²/year and CO₂ emissions at 14 </w:t>
      </w:r>
      <w:proofErr w:type="spellStart"/>
      <w:r w:rsidRPr="00006E5A">
        <w:t>kgCO</w:t>
      </w:r>
      <w:proofErr w:type="spellEnd"/>
      <w:r w:rsidRPr="00006E5A">
        <w:t>₂/m²/year—well below regulatory thresholds (DLUHC, 2021).</w:t>
      </w:r>
    </w:p>
    <w:p w14:paraId="5AE6DEDC" w14:textId="77777777" w:rsidR="002E7410" w:rsidRPr="00006E5A" w:rsidRDefault="002E7410" w:rsidP="002E7410"/>
    <w:p w14:paraId="6600902F" w14:textId="77777777" w:rsidR="002E7410" w:rsidRPr="00006E5A" w:rsidRDefault="002E7410" w:rsidP="002E7410">
      <w:pPr>
        <w:pStyle w:val="ListParagraph"/>
        <w:numPr>
          <w:ilvl w:val="0"/>
          <w:numId w:val="1"/>
        </w:numPr>
      </w:pPr>
      <w:r w:rsidRPr="00006E5A">
        <w:t>End-of-Life Strategy: Modular en-suite pods are designed for disassembly and potential reuse. The adoption of material passports supports transparency in material origin, composition, and recyclability, as promoted by the EU Level(s) framework (European Commission, 2021).</w:t>
      </w:r>
    </w:p>
    <w:p w14:paraId="340E0269" w14:textId="1831F82B" w:rsidR="002E7410" w:rsidRDefault="002E7410" w:rsidP="002E7410">
      <w:r w:rsidRPr="002E7410">
        <w:t>All things considered, the life cycle assessment (LCA) method guarantees a low environmental impact during the building's anticipated 60-year lifespan, providing long-term resilience, resource efficiency, and regulatory compliance.</w:t>
      </w:r>
    </w:p>
    <w:p w14:paraId="14504328" w14:textId="121755F3" w:rsidR="002E7410" w:rsidRDefault="002E7410" w:rsidP="002E7410">
      <w:pPr>
        <w:pStyle w:val="Heading1"/>
        <w:rPr>
          <w:color w:val="83CAEB" w:themeColor="accent1" w:themeTint="66"/>
        </w:rPr>
      </w:pPr>
      <w:bookmarkStart w:id="4" w:name="_Toc197980614"/>
      <w:r w:rsidRPr="002E7410">
        <w:rPr>
          <w:color w:val="83CAEB" w:themeColor="accent1" w:themeTint="66"/>
        </w:rPr>
        <w:t>Aesthetic Integration</w:t>
      </w:r>
      <w:bookmarkEnd w:id="4"/>
    </w:p>
    <w:p w14:paraId="5DB5FC2E" w14:textId="77777777" w:rsidR="002E7410" w:rsidRDefault="002E7410" w:rsidP="002E7410">
      <w:r w:rsidRPr="002E7410">
        <w:t xml:space="preserve">With blue-grey cladding panels that mimic the surrounding sea and sky's tones and red and brown brick detailing that pays tribute to the area's traditional dockland architecture, the façade is inspired by Swansea's maritime and industrial identity. The building is anchored in its local environment by the visual story created by the heavy use of steel components, which reflect Swansea's industrial background. </w:t>
      </w:r>
    </w:p>
    <w:p w14:paraId="5F0663AF" w14:textId="264FC7F0" w:rsidR="002E7410" w:rsidRDefault="002E7410" w:rsidP="002E7410">
      <w:r w:rsidRPr="002E7410">
        <w:lastRenderedPageBreak/>
        <w:br/>
        <w:t>Large glass community spaces that utilise natural light and promote social interaction are a highlight of the structure, especially on the south-facing elevation. These open areas promote passive surveillance in addition to improving connectivity with the outside world, which adds to the feeling of security and creates a friendly environment.</w:t>
      </w:r>
    </w:p>
    <w:p w14:paraId="1E7A19ED" w14:textId="77777777" w:rsidR="002E7410" w:rsidRPr="002E7410" w:rsidRDefault="002E7410" w:rsidP="002E7410">
      <w:r w:rsidRPr="002E7410">
        <w:t xml:space="preserve">By maximising views of natural areas, the shoreline, and the sky, biophilic design concepts are used, enhancing the mental health of building residents. According to studies, having visual access to natural components can improve cognitive function and reduce stress (Natural England, 2023). This relationship with nature is further strengthened by landscaping features like planters, green roofs, and vegetated courtyards. </w:t>
      </w:r>
      <w:proofErr w:type="gramStart"/>
      <w:r w:rsidRPr="002E7410">
        <w:t>In order to</w:t>
      </w:r>
      <w:proofErr w:type="gramEnd"/>
      <w:r w:rsidRPr="002E7410">
        <w:t xml:space="preserve"> preserve aesthetic appeal all year round, seasonal planting plans are also </w:t>
      </w:r>
      <w:proofErr w:type="gramStart"/>
      <w:r w:rsidRPr="002E7410">
        <w:t>taken into account</w:t>
      </w:r>
      <w:proofErr w:type="gramEnd"/>
      <w:r w:rsidRPr="002E7410">
        <w:t xml:space="preserve">. </w:t>
      </w:r>
      <w:r w:rsidRPr="002E7410">
        <w:br/>
      </w:r>
      <w:r w:rsidRPr="002E7410">
        <w:br/>
      </w:r>
      <w:proofErr w:type="gramStart"/>
      <w:r w:rsidRPr="002E7410">
        <w:t>In order to</w:t>
      </w:r>
      <w:proofErr w:type="gramEnd"/>
      <w:r w:rsidRPr="002E7410">
        <w:t xml:space="preserve"> promote long-term user pleasure, community cohesiveness, and architectural heritage, aesthetic decisions have been carefully synchronised with functional sustainability goals—balancing beauty, contextual sensitivity, and environmental performance.</w:t>
      </w:r>
    </w:p>
    <w:p w14:paraId="12A27598" w14:textId="240289E6" w:rsidR="002E7410" w:rsidRDefault="002E7410" w:rsidP="002E7410">
      <w:pPr>
        <w:pStyle w:val="Heading1"/>
        <w:rPr>
          <w:color w:val="83CAEB" w:themeColor="accent1" w:themeTint="66"/>
        </w:rPr>
      </w:pPr>
      <w:bookmarkStart w:id="5" w:name="_Toc197980615"/>
      <w:r w:rsidRPr="002E7410">
        <w:rPr>
          <w:color w:val="83CAEB" w:themeColor="accent1" w:themeTint="66"/>
        </w:rPr>
        <w:t>Sustainable Urban Drainage Systems (SUDS)</w:t>
      </w:r>
      <w:bookmarkEnd w:id="5"/>
    </w:p>
    <w:p w14:paraId="132EFAA1" w14:textId="77777777" w:rsidR="002E7410" w:rsidRPr="002E7410" w:rsidRDefault="002E7410" w:rsidP="002E7410">
      <w:r w:rsidRPr="002E7410">
        <w:t>A thorough Sustainable Urban Drainage System (SUDS) has been incorporated into the site design to meet Swansea's significant yearly rainfall and reduce localised flood threats. This strategy seeks to improve biodiversity and amenity value while managing surface water in a sustainable manner.</w:t>
      </w:r>
    </w:p>
    <w:p w14:paraId="31E245DF" w14:textId="3141D168" w:rsidR="002E7410" w:rsidRDefault="002E7410" w:rsidP="002E7410">
      <w:pPr>
        <w:pStyle w:val="ListParagraph"/>
        <w:numPr>
          <w:ilvl w:val="0"/>
          <w:numId w:val="2"/>
        </w:numPr>
      </w:pPr>
      <w:r>
        <w:t>Green Roofs: Installed over more than 50% of the roof area, these systems delay runoff, provide thermal insulation, and create habitats for pollinators and native species.</w:t>
      </w:r>
    </w:p>
    <w:p w14:paraId="1CDB9C71" w14:textId="77777777" w:rsidR="002E7410" w:rsidRDefault="002E7410" w:rsidP="002E7410">
      <w:pPr>
        <w:pStyle w:val="ListParagraph"/>
      </w:pPr>
    </w:p>
    <w:p w14:paraId="4BD66479" w14:textId="56BEE8D2" w:rsidR="002E7410" w:rsidRDefault="002E7410" w:rsidP="002E7410">
      <w:pPr>
        <w:pStyle w:val="ListParagraph"/>
        <w:numPr>
          <w:ilvl w:val="0"/>
          <w:numId w:val="2"/>
        </w:numPr>
      </w:pPr>
      <w:r>
        <w:t>Permeable Pavements: Applied to all pedestrian zones and access routes, these surfaces allow water to infiltrate the ground, reducing surface runoff volumes and peak flow rates.</w:t>
      </w:r>
    </w:p>
    <w:p w14:paraId="0BF1870B" w14:textId="77777777" w:rsidR="002E7410" w:rsidRDefault="002E7410" w:rsidP="002E7410">
      <w:pPr>
        <w:pStyle w:val="ListParagraph"/>
      </w:pPr>
    </w:p>
    <w:p w14:paraId="0871831E" w14:textId="762B03BC" w:rsidR="002E7410" w:rsidRDefault="002E7410" w:rsidP="002E7410">
      <w:pPr>
        <w:pStyle w:val="ListParagraph"/>
        <w:numPr>
          <w:ilvl w:val="0"/>
          <w:numId w:val="2"/>
        </w:numPr>
      </w:pPr>
      <w:r>
        <w:t>Swales: Shallow, vegetated drainage channels collect and convey stormwater while filtering pollutants through natural vegetation and soil layers before water reaches formal drainage systems or soakaways.</w:t>
      </w:r>
    </w:p>
    <w:p w14:paraId="68C106AA" w14:textId="77777777" w:rsidR="002E7410" w:rsidRDefault="002E7410" w:rsidP="002E7410">
      <w:pPr>
        <w:pStyle w:val="ListParagraph"/>
      </w:pPr>
    </w:p>
    <w:p w14:paraId="5B86889B" w14:textId="1094E3A1" w:rsidR="002E7410" w:rsidRDefault="002E7410" w:rsidP="002E7410">
      <w:pPr>
        <w:pStyle w:val="ListParagraph"/>
        <w:numPr>
          <w:ilvl w:val="0"/>
          <w:numId w:val="2"/>
        </w:numPr>
      </w:pPr>
      <w:r>
        <w:lastRenderedPageBreak/>
        <w:t>Rainwater Harvesting: Roof runoff is collected in underground tanks, with treated greywater reused for non-potable purposes such as toilet flushing and landscape irrigation, thus reducing mains water consumption.</w:t>
      </w:r>
    </w:p>
    <w:p w14:paraId="3EB8AE3E" w14:textId="77E813E8" w:rsidR="00B04B90" w:rsidRDefault="00B04B90" w:rsidP="00B04B90">
      <w:r w:rsidRPr="00B04B90">
        <w:t xml:space="preserve">Long-term functioning, environmental protection, and legal alignment are ensured by the SUDS design's adherence to CIRIA's </w:t>
      </w:r>
      <w:proofErr w:type="spellStart"/>
      <w:r w:rsidRPr="00B04B90">
        <w:t>SuDS</w:t>
      </w:r>
      <w:proofErr w:type="spellEnd"/>
      <w:r w:rsidRPr="00B04B90">
        <w:t xml:space="preserve"> Manual (C753) and the Welsh Government's (2022) legislative criteria.</w:t>
      </w:r>
    </w:p>
    <w:p w14:paraId="38FAFACD" w14:textId="77777777" w:rsidR="00B04B90" w:rsidRDefault="00B04B90" w:rsidP="00B04B90"/>
    <w:p w14:paraId="7C5663F8" w14:textId="77777777" w:rsidR="00B04B90" w:rsidRDefault="00B04B90" w:rsidP="00B04B90"/>
    <w:p w14:paraId="30252D0E" w14:textId="62A2B874" w:rsidR="00B04B90" w:rsidRDefault="00B04B90" w:rsidP="00B04B90">
      <w:pPr>
        <w:pStyle w:val="Heading1"/>
        <w:rPr>
          <w:color w:val="83CAEB" w:themeColor="accent1" w:themeTint="66"/>
        </w:rPr>
      </w:pPr>
      <w:bookmarkStart w:id="6" w:name="_Toc197980616"/>
      <w:r w:rsidRPr="00B04B90">
        <w:rPr>
          <w:color w:val="83CAEB" w:themeColor="accent1" w:themeTint="66"/>
        </w:rPr>
        <w:t>Flexibility in Design and Use</w:t>
      </w:r>
      <w:bookmarkEnd w:id="6"/>
    </w:p>
    <w:p w14:paraId="4E172F85" w14:textId="382E985F" w:rsidR="00B04B90" w:rsidRDefault="00B04B90" w:rsidP="00B04B90">
      <w:pPr>
        <w:pStyle w:val="Heading2"/>
        <w:rPr>
          <w:color w:val="83CAEB" w:themeColor="accent1" w:themeTint="66"/>
        </w:rPr>
      </w:pPr>
      <w:bookmarkStart w:id="7" w:name="_Toc197980617"/>
      <w:r w:rsidRPr="00B04B90">
        <w:rPr>
          <w:color w:val="83CAEB" w:themeColor="accent1" w:themeTint="66"/>
        </w:rPr>
        <w:t>Flexible Design Features</w:t>
      </w:r>
      <w:bookmarkEnd w:id="7"/>
    </w:p>
    <w:p w14:paraId="61A651B4" w14:textId="4B3B4FD0" w:rsidR="00B04B90" w:rsidRDefault="00B04B90" w:rsidP="00B04B90">
      <w:r>
        <w:t>As user requirements and social expectations change over time, flexibility is a crucial design goal to guarantee the building's continued functionality and economic viability.  Because all internal walls are non-</w:t>
      </w:r>
      <w:proofErr w:type="gramStart"/>
      <w:r>
        <w:t>load-bearing</w:t>
      </w:r>
      <w:proofErr w:type="gramEnd"/>
      <w:r>
        <w:t>, using a steel frame framework allows interior layouts to be changed without the need for structural intervention.  This makes it possible to redesign the structure at a reasonable cost and future-proof it for different spatial layouts with little disturbance.</w:t>
      </w:r>
    </w:p>
    <w:p w14:paraId="639B2905" w14:textId="4499616C" w:rsidR="00B04B90" w:rsidRDefault="00B04B90" w:rsidP="00B04B90">
      <w:r>
        <w:t xml:space="preserve"> Modular ceiling grids and raised access floors make it simple to access vital building utilities like HVAC, lighting, electricity and ICT networks, enabling quick adaption during renovations or technology advancements.  These solutions reduce material waste and prevent intrusive interventions, which promote sustainable maintenance practices.</w:t>
      </w:r>
    </w:p>
    <w:p w14:paraId="098F99C2" w14:textId="77777777" w:rsidR="00B04B90" w:rsidRDefault="00B04B90" w:rsidP="00B04B90">
      <w:r>
        <w:t>By using off-site prefabricated toilet pods that can be disassembled, swapped out or repurposed as needs change, the hybrid building method promotes the circular economy and lowers retrofit waste.  Communal spaces are intentionally created to be adaptable spaces that may be used for social gatherings, group projects, quiet study, or as extra dwelling space.</w:t>
      </w:r>
    </w:p>
    <w:p w14:paraId="5677872E" w14:textId="650A4DC3" w:rsidR="00B04B90" w:rsidRDefault="00B04B90" w:rsidP="00B04B90">
      <w:r>
        <w:t xml:space="preserve"> Together, these design techniques increase the building's useful life, facilitate effective use of available space, and </w:t>
      </w:r>
      <w:proofErr w:type="gramStart"/>
      <w:r>
        <w:t>offer resistance to</w:t>
      </w:r>
      <w:proofErr w:type="gramEnd"/>
      <w:r>
        <w:t xml:space="preserve"> shifting commercial, academic, or demographic needs.  Every component complies with RIBA's recommendations for flexibility and deconstruction design (RIBA, 2021), guaranteeing long-term stakeholder value and sustainable lifespan performance.</w:t>
      </w:r>
    </w:p>
    <w:p w14:paraId="1FBF4DB3" w14:textId="27FCF8E0" w:rsidR="00B04B90" w:rsidRDefault="00B04B90" w:rsidP="00B04B90">
      <w:pPr>
        <w:pStyle w:val="Heading1"/>
        <w:rPr>
          <w:color w:val="83CAEB" w:themeColor="accent1" w:themeTint="66"/>
        </w:rPr>
      </w:pPr>
      <w:bookmarkStart w:id="8" w:name="_Toc197980618"/>
      <w:r w:rsidRPr="00B04B90">
        <w:rPr>
          <w:color w:val="83CAEB" w:themeColor="accent1" w:themeTint="66"/>
        </w:rPr>
        <w:lastRenderedPageBreak/>
        <w:t>Potential Future Uses</w:t>
      </w:r>
      <w:bookmarkEnd w:id="8"/>
    </w:p>
    <w:p w14:paraId="26397A82" w14:textId="77777777" w:rsidR="00B04B90" w:rsidRPr="00B04B90" w:rsidRDefault="00B04B90" w:rsidP="00B04B90">
      <w:r w:rsidRPr="00B04B90">
        <w:t>High levels of accessibility, fire safety, and user comfort are guaranteed by the building's design, which complies with important requirements including BS 8300, Approved Document M, and BS 9991. These guidelines serve as the cornerstone for adaptability, allowing the building to develop beyond its initial use as student housing and continue to be useful in the long run.</w:t>
      </w:r>
    </w:p>
    <w:p w14:paraId="647F259B" w14:textId="77777777" w:rsidR="00B04B90" w:rsidRPr="00B04B90" w:rsidRDefault="00B04B90" w:rsidP="00B04B90">
      <w:r w:rsidRPr="00B04B90">
        <w:t xml:space="preserve">Future applications include co-living programs or shared housing for young professionals, which would only need minor adjustments because of the building's current design, which consists of private rooms with private bathrooms and shared common areas. Internal re-partitioning can result in bigger living units with improved kitchen and living areas created utilising the flexible floorplate, supporting affordable family housing. The building is perfect for educational or vocational training facilities because of its high ceilings, natural light, and communal facilities, which foster inclusive learning settings. </w:t>
      </w:r>
      <w:r w:rsidRPr="00B04B90">
        <w:br/>
      </w:r>
      <w:r w:rsidRPr="00B04B90">
        <w:br/>
        <w:t xml:space="preserve">The building might also be used as commercial office space, especially for the creative or digital industries, taking use of its </w:t>
      </w:r>
      <w:proofErr w:type="gramStart"/>
      <w:r w:rsidRPr="00B04B90">
        <w:t>close proximity</w:t>
      </w:r>
      <w:proofErr w:type="gramEnd"/>
      <w:r w:rsidRPr="00B04B90">
        <w:t xml:space="preserve"> to Swansea University and first-rate transit connections. IT and M&amp;E installations may be easily altered thanks to the incorporation of elevated floors and modular service systems.</w:t>
      </w:r>
    </w:p>
    <w:p w14:paraId="42B9CB6A" w14:textId="77777777" w:rsidR="00B04B90" w:rsidRDefault="00B04B90" w:rsidP="00B04B90">
      <w:r w:rsidRPr="00B04B90">
        <w:t>In addition to extending the building's lifespan, this long-term flexibility reduces the embodied carbon involved in destruction or rebuilding. It strengthens the site's economic resilience, promotes the circular economy, and fits in with Swansea's larger objectives for low-carbon growth and sustainable urban renewal.</w:t>
      </w:r>
    </w:p>
    <w:p w14:paraId="0E09F72F" w14:textId="6F099DEE" w:rsidR="00B04B90" w:rsidRDefault="00B04B90" w:rsidP="00B04B90">
      <w:pPr>
        <w:pStyle w:val="Heading1"/>
        <w:rPr>
          <w:color w:val="83CAEB" w:themeColor="accent1" w:themeTint="66"/>
        </w:rPr>
      </w:pPr>
      <w:bookmarkStart w:id="9" w:name="_Toc197980619"/>
      <w:r w:rsidRPr="00B04B90">
        <w:rPr>
          <w:color w:val="83CAEB" w:themeColor="accent1" w:themeTint="66"/>
        </w:rPr>
        <w:t>Calculations and Performance Modelling</w:t>
      </w:r>
      <w:bookmarkEnd w:id="9"/>
    </w:p>
    <w:p w14:paraId="41D0F438" w14:textId="77777777" w:rsidR="00B04B90" w:rsidRPr="00B04B90" w:rsidRDefault="00B04B90" w:rsidP="00B04B90">
      <w:r w:rsidRPr="00B04B90">
        <w:t>Using SAP 10.2 software, thorough thermal and energy modelling was done to guarantee high levels of energy efficiency and regulatory compliance. The building satisfies and surpasses the standards of Part L 2021 of the Building Regulations, which regulates energy saving in new residential projects, according to this evaluation.</w:t>
      </w:r>
    </w:p>
    <w:p w14:paraId="2883EA3E" w14:textId="77777777" w:rsidR="00B04B90" w:rsidRDefault="00B04B90" w:rsidP="00B04B90">
      <w:r>
        <w:t>Thermal Envelope Performance</w:t>
      </w:r>
    </w:p>
    <w:p w14:paraId="67BE0637" w14:textId="27DE56D3" w:rsidR="00B04B90" w:rsidRPr="00B04B90" w:rsidRDefault="00B04B90" w:rsidP="00B04B90">
      <w:pPr>
        <w:rPr>
          <w:b/>
          <w:bCs/>
        </w:rPr>
      </w:pPr>
      <w:r w:rsidRPr="00B04B90">
        <w:rPr>
          <w:b/>
          <w:bCs/>
        </w:rPr>
        <w:t>Element</w:t>
      </w:r>
      <w:r w:rsidRPr="00B04B90">
        <w:rPr>
          <w:b/>
          <w:bCs/>
        </w:rPr>
        <w:tab/>
        <w:t xml:space="preserve">U-Value </w:t>
      </w:r>
      <w:r>
        <w:rPr>
          <w:b/>
          <w:bCs/>
        </w:rPr>
        <w:t xml:space="preserve">      </w:t>
      </w:r>
      <w:proofErr w:type="gramStart"/>
      <w:r>
        <w:rPr>
          <w:b/>
          <w:bCs/>
        </w:rPr>
        <w:t xml:space="preserve">   </w:t>
      </w:r>
      <w:r w:rsidRPr="00B04B90">
        <w:rPr>
          <w:b/>
          <w:bCs/>
        </w:rPr>
        <w:t>(</w:t>
      </w:r>
      <w:proofErr w:type="gramEnd"/>
      <w:r w:rsidRPr="00B04B90">
        <w:rPr>
          <w:b/>
          <w:bCs/>
        </w:rPr>
        <w:t>W/m²K)</w:t>
      </w:r>
    </w:p>
    <w:p w14:paraId="000166F1" w14:textId="05341A4E" w:rsidR="00B04B90" w:rsidRDefault="00B04B90" w:rsidP="00B04B90">
      <w:r>
        <w:t>Walls</w:t>
      </w:r>
      <w:r>
        <w:tab/>
        <w:t xml:space="preserve">                  0.18</w:t>
      </w:r>
    </w:p>
    <w:p w14:paraId="50D6E1CC" w14:textId="68AD9358" w:rsidR="00B04B90" w:rsidRDefault="00B04B90" w:rsidP="00B04B90">
      <w:r>
        <w:lastRenderedPageBreak/>
        <w:t>Roof</w:t>
      </w:r>
      <w:r>
        <w:tab/>
        <w:t xml:space="preserve">                  0.13</w:t>
      </w:r>
    </w:p>
    <w:p w14:paraId="1EAADC56" w14:textId="2CE43FD8" w:rsidR="00B04B90" w:rsidRPr="00B04B90" w:rsidRDefault="00B04B90" w:rsidP="00B04B90">
      <w:r>
        <w:t>Windows</w:t>
      </w:r>
      <w:r>
        <w:tab/>
        <w:t xml:space="preserve">     1.1</w:t>
      </w:r>
    </w:p>
    <w:p w14:paraId="0CBEE6DC" w14:textId="77777777" w:rsidR="00B04B90" w:rsidRPr="00B04B90" w:rsidRDefault="00B04B90" w:rsidP="00B04B90"/>
    <w:p w14:paraId="7711C4CC" w14:textId="77777777" w:rsidR="00B04B90" w:rsidRDefault="00B04B90" w:rsidP="00B04B90">
      <w:r>
        <w:t xml:space="preserve">Furthermore, at 50 Pa, the building's air permeability rate is less than 3 m³/m²/hr, greatly reducing heat loss from uncontrolled air infiltration.  The estimated yearly CO₂ emissions are 14 </w:t>
      </w:r>
      <w:proofErr w:type="spellStart"/>
      <w:r>
        <w:t>kgCO</w:t>
      </w:r>
      <w:proofErr w:type="spellEnd"/>
      <w:r>
        <w:t>₂/m²/year, and the primary energy usage is 95 kWh/m²/year, both of which are much below legal levels.</w:t>
      </w:r>
    </w:p>
    <w:p w14:paraId="203C79F5" w14:textId="7FB7B958" w:rsidR="002E7410" w:rsidRDefault="00B04B90" w:rsidP="00B04B90">
      <w:r>
        <w:t xml:space="preserve"> These numbers show how well the suggested fabric-first strategy, which prioritises airtightness, insulation, and high-performance glazing to lower demand before implementing low-carbon technology, works.  The building's potential for a BREEAM grade of "Very Good" is also supported by the modelling results, which might result in long-term operating cost savings and improved occupant comfort.</w:t>
      </w:r>
    </w:p>
    <w:p w14:paraId="6FD32A1E" w14:textId="77777777" w:rsidR="00B04B90" w:rsidRDefault="00B04B90" w:rsidP="00B04B90"/>
    <w:p w14:paraId="4AA8826B" w14:textId="15260D26" w:rsidR="00B04B90" w:rsidRDefault="00B04B90" w:rsidP="00B04B90">
      <w:pPr>
        <w:pStyle w:val="Heading1"/>
        <w:rPr>
          <w:color w:val="83CAEB" w:themeColor="accent1" w:themeTint="66"/>
        </w:rPr>
      </w:pPr>
      <w:bookmarkStart w:id="10" w:name="_Toc197980620"/>
      <w:r w:rsidRPr="00B04B90">
        <w:rPr>
          <w:color w:val="83CAEB" w:themeColor="accent1" w:themeTint="66"/>
        </w:rPr>
        <w:t>Renewable Energy Systems</w:t>
      </w:r>
      <w:bookmarkEnd w:id="10"/>
    </w:p>
    <w:p w14:paraId="0B7F322E" w14:textId="1471F620" w:rsidR="00B04B90" w:rsidRDefault="00B04B90" w:rsidP="00B04B90">
      <w:r>
        <w:t xml:space="preserve">To lower operating carbon emissions and enhance long-term energy performance, the building integrates a variety of renewable technology.  Approximately 20% of the building's yearly power needs are met by a 60 </w:t>
      </w:r>
      <w:proofErr w:type="spellStart"/>
      <w:r>
        <w:t>kWp</w:t>
      </w:r>
      <w:proofErr w:type="spellEnd"/>
      <w:r>
        <w:t xml:space="preserve"> rooftop solar (PV) system.  The panels' ideal orientation for sun exposure greatly enhances energy self-sufficiency and lessens need on grid electricity.</w:t>
      </w:r>
    </w:p>
    <w:p w14:paraId="6FE5B313" w14:textId="29B4B8E6" w:rsidR="00B04B90" w:rsidRDefault="00B04B90" w:rsidP="00B04B90">
      <w:r>
        <w:t xml:space="preserve"> With a coefficient of performance (COP) of 3.2, or 3.2 units of heat produced for every unit of energy used, air source heat pumps (ASHPs) are the main source of heating and hot water.  This high efficiency lowers lifespan carbon emissions and enables Part L 2021 compliance.</w:t>
      </w:r>
    </w:p>
    <w:p w14:paraId="3CFE1EB8" w14:textId="77777777" w:rsidR="00B04B90" w:rsidRPr="00B04B90" w:rsidRDefault="00B04B90" w:rsidP="00B04B90">
      <w:r w:rsidRPr="00B04B90">
        <w:t>Each residential unit has smart meters installed to monitor energy usage in real time and to promote energy-efficient behaviour. All common areas also have sensor-controlled LED lighting, which ensures that the lights only turn on when necessary and significantly reduces energy use in accordance with Carbon Trust guidelines (2022).</w:t>
      </w:r>
    </w:p>
    <w:p w14:paraId="7AA8E1A0" w14:textId="110D2877" w:rsidR="00B04B90" w:rsidRDefault="00B04B90" w:rsidP="00B04B90">
      <w:pPr>
        <w:pStyle w:val="Heading1"/>
        <w:rPr>
          <w:color w:val="83CAEB" w:themeColor="accent1" w:themeTint="66"/>
        </w:rPr>
      </w:pPr>
      <w:bookmarkStart w:id="11" w:name="_Toc197980621"/>
      <w:r w:rsidRPr="00B04B90">
        <w:rPr>
          <w:color w:val="83CAEB" w:themeColor="accent1" w:themeTint="66"/>
        </w:rPr>
        <w:t>Compliance with Standards</w:t>
      </w:r>
      <w:bookmarkEnd w:id="11"/>
    </w:p>
    <w:p w14:paraId="676512CB" w14:textId="053F95A6" w:rsidR="00B04B90" w:rsidRDefault="00B04B90" w:rsidP="00B04B90">
      <w:r w:rsidRPr="00B04B90">
        <w:br/>
      </w:r>
      <w:proofErr w:type="gramStart"/>
      <w:r w:rsidRPr="00B04B90">
        <w:t>In order to</w:t>
      </w:r>
      <w:proofErr w:type="gramEnd"/>
      <w:r w:rsidRPr="00B04B90">
        <w:t xml:space="preserve"> guarantee environmental performance, occupant safety, and long-term operational resilience, the project has been planned and specified to adhere to a wide variety of UK and international requirements. One of the most important </w:t>
      </w:r>
      <w:r w:rsidRPr="00B04B90">
        <w:lastRenderedPageBreak/>
        <w:t>of them is BS EN ISO 14001:2015, which directs the environmental management procedures of the project and helps to limit the ecological effect during both building and operation. Residential building fire safety is covered by BS 9991:2021, which makes sure life safety precautions are included without sacrificing adaptability.</w:t>
      </w:r>
      <w:r w:rsidRPr="00B04B90">
        <w:br/>
      </w:r>
      <w:r w:rsidRPr="00B04B90">
        <w:br/>
        <w:t>Part L 2021 governs energy performance, which the building surpasses thanks to renewable technology, airtightness, and effective insulation. Dynamic thermal modelling was used to address the thermal comfort and overheating risk standards provided by CIBSE TM52 and TM59.</w:t>
      </w:r>
    </w:p>
    <w:p w14:paraId="46461924" w14:textId="77777777" w:rsidR="00B04B90" w:rsidRPr="00B04B90" w:rsidRDefault="00B04B90" w:rsidP="00B04B90">
      <w:r w:rsidRPr="00B04B90">
        <w:t>Its comprehensive sustainability strategy reflects the scheme's aim for a BREEAM New Construction 2018 grade of 'Very Good'. While ISO 14006:2020 encourages eco-design techniques throughout the building lifetime, encouraging resource efficiency and the concepts of the circular economy, Approved Document M (2020) guarantees inclusive access.</w:t>
      </w:r>
    </w:p>
    <w:p w14:paraId="3F8BF5F3" w14:textId="6D43C71B" w:rsidR="00B04B90" w:rsidRDefault="00B04B90" w:rsidP="00B04B90">
      <w:pPr>
        <w:pStyle w:val="Heading1"/>
      </w:pPr>
      <w:bookmarkStart w:id="12" w:name="_Toc197980622"/>
      <w:r w:rsidRPr="00B04B90">
        <w:t>Conclusion</w:t>
      </w:r>
      <w:bookmarkEnd w:id="12"/>
    </w:p>
    <w:p w14:paraId="3A6C814F" w14:textId="77777777" w:rsidR="00B04B90" w:rsidRPr="00B04B90" w:rsidRDefault="00B04B90" w:rsidP="00B04B90">
      <w:r w:rsidRPr="00B04B90">
        <w:t>According to this sustainability assessment, the suggested student housing in SA1 Swansea successfully combines cutting-edge building techniques with sound environmental design principles. A thorough SUDS plan, low-impact material selection, façade greening, and optimal building orientation are all important components that work together to minimise carbon emissions, enhance occupant well-being, and save operating expenses.</w:t>
      </w:r>
      <w:r w:rsidRPr="00B04B90">
        <w:br/>
      </w:r>
      <w:r w:rsidRPr="00B04B90">
        <w:br/>
        <w:t>The building's long-term profitability is increased by including adaptable design, modular components, and future-proof building services, which guarantee adaptation to shifting societal and economic demands. While surpassing minimal performance requirements, advanced modelling and lifecycle analysis verify complete compliance with current UK regulatory frameworks, including as Part L, BREEAM, and CIBSE recommendations.</w:t>
      </w:r>
    </w:p>
    <w:p w14:paraId="4E691E4B" w14:textId="77777777" w:rsidR="00B04B90" w:rsidRPr="00B04B90" w:rsidRDefault="00B04B90" w:rsidP="00B04B90">
      <w:r w:rsidRPr="00B04B90">
        <w:t>This project is a prime example of how careful planning can result in a robust, effective, and flexible structure that supports both the broader objective of net-zero construction and Swansea's aspirations for urban renewal. The project offers a scalable, replicable concept for sustainable student living in urban settings, not only meeting present environmental regulations but also anticipating future needs.</w:t>
      </w:r>
    </w:p>
    <w:p w14:paraId="190924DB" w14:textId="672BE399" w:rsidR="00B04B90" w:rsidRPr="00006E5A" w:rsidRDefault="00B04B90" w:rsidP="00B04B90">
      <w:pPr>
        <w:pStyle w:val="Heading1"/>
        <w:rPr>
          <w:color w:val="83CAEB" w:themeColor="accent1" w:themeTint="66"/>
        </w:rPr>
      </w:pPr>
      <w:bookmarkStart w:id="13" w:name="_Toc197980623"/>
      <w:r w:rsidRPr="00B04B90">
        <w:rPr>
          <w:color w:val="83CAEB" w:themeColor="accent1" w:themeTint="66"/>
        </w:rPr>
        <w:lastRenderedPageBreak/>
        <w:t>References</w:t>
      </w:r>
      <w:bookmarkEnd w:id="13"/>
    </w:p>
    <w:p w14:paraId="1AE1A748" w14:textId="50CE48E9"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BRE (2019). </w:t>
      </w:r>
      <w:r w:rsidRPr="000F32EA">
        <w:rPr>
          <w:rFonts w:eastAsia="Times New Roman" w:cs="Times New Roman"/>
          <w:i/>
          <w:iCs/>
          <w:kern w:val="0"/>
          <w:lang w:eastAsia="en-GB"/>
          <w14:ligatures w14:val="none"/>
        </w:rPr>
        <w:t>BRE Group – Building a better world together</w:t>
      </w:r>
      <w:r w:rsidRPr="000F32EA">
        <w:rPr>
          <w:rFonts w:eastAsia="Times New Roman" w:cs="Times New Roman"/>
          <w:kern w:val="0"/>
          <w:lang w:eastAsia="en-GB"/>
          <w14:ligatures w14:val="none"/>
        </w:rPr>
        <w:t xml:space="preserve">. [online] BRE </w:t>
      </w:r>
      <w:proofErr w:type="gramStart"/>
      <w:r w:rsidRPr="000F32EA">
        <w:rPr>
          <w:rFonts w:eastAsia="Times New Roman" w:cs="Times New Roman"/>
          <w:kern w:val="0"/>
          <w:lang w:eastAsia="en-GB"/>
          <w14:ligatures w14:val="none"/>
        </w:rPr>
        <w:t>Group .</w:t>
      </w:r>
      <w:proofErr w:type="gramEnd"/>
      <w:r w:rsidRPr="000F32EA">
        <w:rPr>
          <w:rFonts w:eastAsia="Times New Roman" w:cs="Times New Roman"/>
          <w:kern w:val="0"/>
          <w:lang w:eastAsia="en-GB"/>
          <w14:ligatures w14:val="none"/>
        </w:rPr>
        <w:t xml:space="preserve"> Available at: </w:t>
      </w:r>
      <w:hyperlink r:id="rId7" w:history="1">
        <w:r w:rsidRPr="000F32EA">
          <w:rPr>
            <w:rStyle w:val="Hyperlink"/>
            <w:rFonts w:eastAsia="Times New Roman" w:cs="Times New Roman"/>
            <w:kern w:val="0"/>
            <w:lang w:eastAsia="en-GB"/>
            <w14:ligatures w14:val="none"/>
          </w:rPr>
          <w:t>https://www.bregroup.com/</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5DDB4148" w14:textId="2478557C"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CIRIA (2015). </w:t>
      </w:r>
      <w:r w:rsidRPr="000F32EA">
        <w:rPr>
          <w:rFonts w:eastAsia="Times New Roman" w:cs="Times New Roman"/>
          <w:i/>
          <w:iCs/>
          <w:kern w:val="0"/>
          <w:lang w:eastAsia="en-GB"/>
          <w14:ligatures w14:val="none"/>
        </w:rPr>
        <w:t xml:space="preserve">The </w:t>
      </w:r>
      <w:proofErr w:type="spellStart"/>
      <w:r w:rsidRPr="000F32EA">
        <w:rPr>
          <w:rFonts w:eastAsia="Times New Roman" w:cs="Times New Roman"/>
          <w:i/>
          <w:iCs/>
          <w:kern w:val="0"/>
          <w:lang w:eastAsia="en-GB"/>
          <w14:ligatures w14:val="none"/>
        </w:rPr>
        <w:t>SuDS</w:t>
      </w:r>
      <w:proofErr w:type="spellEnd"/>
      <w:r w:rsidRPr="000F32EA">
        <w:rPr>
          <w:rFonts w:eastAsia="Times New Roman" w:cs="Times New Roman"/>
          <w:i/>
          <w:iCs/>
          <w:kern w:val="0"/>
          <w:lang w:eastAsia="en-GB"/>
          <w14:ligatures w14:val="none"/>
        </w:rPr>
        <w:t xml:space="preserve"> Manual</w:t>
      </w:r>
      <w:r w:rsidRPr="000F32EA">
        <w:rPr>
          <w:rFonts w:eastAsia="Times New Roman" w:cs="Times New Roman"/>
          <w:kern w:val="0"/>
          <w:lang w:eastAsia="en-GB"/>
          <w14:ligatures w14:val="none"/>
        </w:rPr>
        <w:t xml:space="preserve">. [online] Available at: </w:t>
      </w:r>
      <w:hyperlink r:id="rId8" w:history="1">
        <w:r w:rsidRPr="000F32EA">
          <w:rPr>
            <w:rStyle w:val="Hyperlink"/>
            <w:rFonts w:eastAsia="Times New Roman" w:cs="Times New Roman"/>
            <w:kern w:val="0"/>
            <w:lang w:eastAsia="en-GB"/>
            <w14:ligatures w14:val="none"/>
          </w:rPr>
          <w:t>https://www.calderdale.gov.uk/docs/planning/ciria-c753-the-suds-manual.pdf</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3F6455FA" w14:textId="391EC931"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Department for Business, Energy &amp; Industrial Strategy (2012). </w:t>
      </w:r>
      <w:r w:rsidRPr="000F32EA">
        <w:rPr>
          <w:rFonts w:eastAsia="Times New Roman" w:cs="Times New Roman"/>
          <w:i/>
          <w:iCs/>
          <w:kern w:val="0"/>
          <w:lang w:eastAsia="en-GB"/>
          <w14:ligatures w14:val="none"/>
        </w:rPr>
        <w:t>Energy consumption in the UK</w:t>
      </w:r>
      <w:r w:rsidRPr="000F32EA">
        <w:rPr>
          <w:rFonts w:eastAsia="Times New Roman" w:cs="Times New Roman"/>
          <w:kern w:val="0"/>
          <w:lang w:eastAsia="en-GB"/>
          <w14:ligatures w14:val="none"/>
        </w:rPr>
        <w:t xml:space="preserve">. [online] GOV.UK. Available at: </w:t>
      </w:r>
      <w:hyperlink r:id="rId9" w:history="1">
        <w:r w:rsidRPr="000F32EA">
          <w:rPr>
            <w:rStyle w:val="Hyperlink"/>
            <w:rFonts w:eastAsia="Times New Roman" w:cs="Times New Roman"/>
            <w:kern w:val="0"/>
            <w:lang w:eastAsia="en-GB"/>
            <w14:ligatures w14:val="none"/>
          </w:rPr>
          <w:t>https://www.gov.uk/government/statistics/energy-consumption-in-the-uk</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0743241A" w14:textId="59D31C17"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Design Council (2025). </w:t>
      </w:r>
      <w:r w:rsidRPr="000F32EA">
        <w:rPr>
          <w:rFonts w:eastAsia="Times New Roman" w:cs="Times New Roman"/>
          <w:i/>
          <w:iCs/>
          <w:kern w:val="0"/>
          <w:lang w:eastAsia="en-GB"/>
          <w14:ligatures w14:val="none"/>
        </w:rPr>
        <w:t>Urban green nation</w:t>
      </w:r>
      <w:r w:rsidRPr="000F32EA">
        <w:rPr>
          <w:rFonts w:eastAsia="Times New Roman" w:cs="Times New Roman"/>
          <w:kern w:val="0"/>
          <w:lang w:eastAsia="en-GB"/>
          <w14:ligatures w14:val="none"/>
        </w:rPr>
        <w:t xml:space="preserve">. [online] www.designcouncil.org.uk. Available at: </w:t>
      </w:r>
      <w:hyperlink r:id="rId10" w:history="1">
        <w:r w:rsidRPr="000F32EA">
          <w:rPr>
            <w:rStyle w:val="Hyperlink"/>
            <w:rFonts w:eastAsia="Times New Roman" w:cs="Times New Roman"/>
            <w:kern w:val="0"/>
            <w:lang w:eastAsia="en-GB"/>
            <w14:ligatures w14:val="none"/>
          </w:rPr>
          <w:t>https://www.designcouncil.org.uk/our-resources/archive/reports-resources/urban-green-nation/</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35CCA97A" w14:textId="5F311D57"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Directorate-General for Environment (2025). </w:t>
      </w:r>
      <w:r w:rsidRPr="000F32EA">
        <w:rPr>
          <w:rFonts w:eastAsia="Times New Roman" w:cs="Times New Roman"/>
          <w:i/>
          <w:iCs/>
          <w:kern w:val="0"/>
          <w:lang w:eastAsia="en-GB"/>
          <w14:ligatures w14:val="none"/>
        </w:rPr>
        <w:t>Level(s)</w:t>
      </w:r>
      <w:r w:rsidRPr="000F32EA">
        <w:rPr>
          <w:rFonts w:eastAsia="Times New Roman" w:cs="Times New Roman"/>
          <w:kern w:val="0"/>
          <w:lang w:eastAsia="en-GB"/>
          <w14:ligatures w14:val="none"/>
        </w:rPr>
        <w:t xml:space="preserve">. [online] Green Forum. Available at: </w:t>
      </w:r>
      <w:hyperlink r:id="rId11" w:history="1">
        <w:r w:rsidRPr="000F32EA">
          <w:rPr>
            <w:rStyle w:val="Hyperlink"/>
            <w:rFonts w:eastAsia="Times New Roman" w:cs="Times New Roman"/>
            <w:kern w:val="0"/>
            <w:lang w:eastAsia="en-GB"/>
            <w14:ligatures w14:val="none"/>
          </w:rPr>
          <w:t>https://green-forum.ec.europa.eu/levels_en</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078E715C" w14:textId="542A1F39"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Green, A. (2022). </w:t>
      </w:r>
      <w:r w:rsidRPr="000F32EA">
        <w:rPr>
          <w:rFonts w:eastAsia="Times New Roman" w:cs="Times New Roman"/>
          <w:i/>
          <w:iCs/>
          <w:kern w:val="0"/>
          <w:lang w:eastAsia="en-GB"/>
          <w14:ligatures w14:val="none"/>
        </w:rPr>
        <w:t>O: Dynamic thermal modelling | Achieve Green</w:t>
      </w:r>
      <w:r w:rsidRPr="000F32EA">
        <w:rPr>
          <w:rFonts w:eastAsia="Times New Roman" w:cs="Times New Roman"/>
          <w:kern w:val="0"/>
          <w:lang w:eastAsia="en-GB"/>
          <w14:ligatures w14:val="none"/>
        </w:rPr>
        <w:t xml:space="preserve">. [online] Achieve Green. Available at: </w:t>
      </w:r>
      <w:hyperlink r:id="rId12" w:history="1">
        <w:r w:rsidRPr="000F32EA">
          <w:rPr>
            <w:rStyle w:val="Hyperlink"/>
            <w:rFonts w:eastAsia="Times New Roman" w:cs="Times New Roman"/>
            <w:kern w:val="0"/>
            <w:lang w:eastAsia="en-GB"/>
            <w14:ligatures w14:val="none"/>
          </w:rPr>
          <w:t>https://achievegreen.co.uk/residential-services/o-dynamic-thermalmodelling/?gad_source=1&amp;gad_campaignid=17515853882&amp;gbraid=0AAAAAou8hpk_FmjXsJPHHarOY_nkR6Q6p&amp;gclid=CjwKCAjwuIbBBhBvEiwAsNypvVZreI-dfRUrM71Y4D-nUGad_VZDKc1EAOmtbEbaPWrVCt-vm0XjExoCsfkQAvD_BwE</w:t>
        </w:r>
      </w:hyperlink>
      <w:r>
        <w:rPr>
          <w:rFonts w:eastAsia="Times New Roman" w:cs="Times New Roman"/>
          <w:kern w:val="0"/>
          <w:lang w:eastAsia="en-GB"/>
          <w14:ligatures w14:val="none"/>
        </w:rPr>
        <w:t xml:space="preserve"> </w:t>
      </w:r>
      <w:r w:rsidRPr="000F32EA">
        <w:rPr>
          <w:rFonts w:eastAsia="Times New Roman" w:cs="Times New Roman"/>
          <w:kern w:val="0"/>
          <w:lang w:eastAsia="en-GB"/>
          <w14:ligatures w14:val="none"/>
        </w:rPr>
        <w:t xml:space="preserve"> </w:t>
      </w:r>
      <w:r>
        <w:rPr>
          <w:rFonts w:eastAsia="Times New Roman" w:cs="Times New Roman"/>
          <w:kern w:val="0"/>
          <w:lang w:eastAsia="en-GB"/>
          <w14:ligatures w14:val="none"/>
        </w:rPr>
        <w:t xml:space="preserve"> </w:t>
      </w:r>
    </w:p>
    <w:p w14:paraId="7E9F8732" w14:textId="58D3B2CB"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Harris, M. (2021). </w:t>
      </w:r>
      <w:r w:rsidRPr="000F32EA">
        <w:rPr>
          <w:rFonts w:eastAsia="Times New Roman" w:cs="Times New Roman"/>
          <w:i/>
          <w:iCs/>
          <w:kern w:val="0"/>
          <w:lang w:eastAsia="en-GB"/>
          <w14:ligatures w14:val="none"/>
        </w:rPr>
        <w:t xml:space="preserve">THE GRO GREEN ROOF CODE Green Roof Code of Best Practice incorporating Blue Roofs and </w:t>
      </w:r>
      <w:proofErr w:type="spellStart"/>
      <w:r w:rsidRPr="000F32EA">
        <w:rPr>
          <w:rFonts w:eastAsia="Times New Roman" w:cs="Times New Roman"/>
          <w:i/>
          <w:iCs/>
          <w:kern w:val="0"/>
          <w:lang w:eastAsia="en-GB"/>
          <w14:ligatures w14:val="none"/>
        </w:rPr>
        <w:t>BioSolar</w:t>
      </w:r>
      <w:proofErr w:type="spellEnd"/>
      <w:r w:rsidRPr="000F32EA">
        <w:rPr>
          <w:rFonts w:eastAsia="Times New Roman" w:cs="Times New Roman"/>
          <w:i/>
          <w:iCs/>
          <w:kern w:val="0"/>
          <w:lang w:eastAsia="en-GB"/>
          <w14:ligatures w14:val="none"/>
        </w:rPr>
        <w:t xml:space="preserve"> Applications Anniversary Edition 2021</w:t>
      </w:r>
      <w:r w:rsidRPr="000F32EA">
        <w:rPr>
          <w:rFonts w:eastAsia="Times New Roman" w:cs="Times New Roman"/>
          <w:kern w:val="0"/>
          <w:lang w:eastAsia="en-GB"/>
          <w14:ligatures w14:val="none"/>
        </w:rPr>
        <w:t xml:space="preserve">. [online] Available at: </w:t>
      </w:r>
      <w:hyperlink r:id="rId13" w:history="1">
        <w:r w:rsidRPr="000F32EA">
          <w:rPr>
            <w:rStyle w:val="Hyperlink"/>
            <w:rFonts w:eastAsia="Times New Roman" w:cs="Times New Roman"/>
            <w:kern w:val="0"/>
            <w:lang w:eastAsia="en-GB"/>
            <w14:ligatures w14:val="none"/>
          </w:rPr>
          <w:t>https://www.greenrooforganisation.org/wp-content/uploads/2023/06/The-GRO_Green-Roof-Code_June-23.pdf</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491292E2" w14:textId="3350B9BE"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HM Government (2014). </w:t>
      </w:r>
      <w:r w:rsidRPr="000F32EA">
        <w:rPr>
          <w:rFonts w:eastAsia="Times New Roman" w:cs="Times New Roman"/>
          <w:i/>
          <w:iCs/>
          <w:kern w:val="0"/>
          <w:lang w:eastAsia="en-GB"/>
          <w14:ligatures w14:val="none"/>
        </w:rPr>
        <w:t>Conservation of fuel and power: Approved Document L</w:t>
      </w:r>
      <w:r w:rsidRPr="000F32EA">
        <w:rPr>
          <w:rFonts w:eastAsia="Times New Roman" w:cs="Times New Roman"/>
          <w:kern w:val="0"/>
          <w:lang w:eastAsia="en-GB"/>
          <w14:ligatures w14:val="none"/>
        </w:rPr>
        <w:t xml:space="preserve">. [online] GOV.UK. Available at: </w:t>
      </w:r>
      <w:hyperlink r:id="rId14" w:history="1">
        <w:r w:rsidRPr="000F32EA">
          <w:rPr>
            <w:rStyle w:val="Hyperlink"/>
            <w:rFonts w:eastAsia="Times New Roman" w:cs="Times New Roman"/>
            <w:kern w:val="0"/>
            <w:lang w:eastAsia="en-GB"/>
            <w14:ligatures w14:val="none"/>
          </w:rPr>
          <w:t>https://www.gov.uk/government/publications/conservation-of-fuel-and-power-approved-document-l</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6899BC8B" w14:textId="07CE5403"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Modular building institute (2020). </w:t>
      </w:r>
      <w:r w:rsidRPr="000F32EA">
        <w:rPr>
          <w:rFonts w:eastAsia="Times New Roman" w:cs="Times New Roman"/>
          <w:i/>
          <w:iCs/>
          <w:kern w:val="0"/>
          <w:lang w:eastAsia="en-GB"/>
          <w14:ligatures w14:val="none"/>
        </w:rPr>
        <w:t>SUSTAINABILITY Making the Case for Modular Construction</w:t>
      </w:r>
      <w:r w:rsidRPr="000F32EA">
        <w:rPr>
          <w:rFonts w:eastAsia="Times New Roman" w:cs="Times New Roman"/>
          <w:kern w:val="0"/>
          <w:lang w:eastAsia="en-GB"/>
          <w14:ligatures w14:val="none"/>
        </w:rPr>
        <w:t xml:space="preserve">. [online] Available at: </w:t>
      </w:r>
      <w:hyperlink r:id="rId15" w:history="1">
        <w:r w:rsidRPr="000F32EA">
          <w:rPr>
            <w:rStyle w:val="Hyperlink"/>
            <w:rFonts w:eastAsia="Times New Roman" w:cs="Times New Roman"/>
            <w:kern w:val="0"/>
            <w:lang w:eastAsia="en-GB"/>
            <w14:ligatures w14:val="none"/>
          </w:rPr>
          <w:t>https://mbimodularbuildinginstitute.growthzoneapp.com/ap/CloudFile/Download/P3eR5jmr</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6CE31588" w14:textId="441AA05C"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MPA The Concrete Centre (2020). </w:t>
      </w:r>
      <w:r w:rsidRPr="000F32EA">
        <w:rPr>
          <w:rFonts w:eastAsia="Times New Roman" w:cs="Times New Roman"/>
          <w:i/>
          <w:iCs/>
          <w:kern w:val="0"/>
          <w:lang w:eastAsia="en-GB"/>
          <w14:ligatures w14:val="none"/>
        </w:rPr>
        <w:t>Specifying Sustainable Concrete</w:t>
      </w:r>
      <w:r w:rsidRPr="000F32EA">
        <w:rPr>
          <w:rFonts w:eastAsia="Times New Roman" w:cs="Times New Roman"/>
          <w:kern w:val="0"/>
          <w:lang w:eastAsia="en-GB"/>
          <w14:ligatures w14:val="none"/>
        </w:rPr>
        <w:t xml:space="preserve">. [online] www.concretecentre.com. Available at: </w:t>
      </w:r>
      <w:hyperlink r:id="rId16" w:history="1">
        <w:r w:rsidRPr="000F32EA">
          <w:rPr>
            <w:rStyle w:val="Hyperlink"/>
            <w:rFonts w:eastAsia="Times New Roman" w:cs="Times New Roman"/>
            <w:kern w:val="0"/>
            <w:lang w:eastAsia="en-GB"/>
            <w14:ligatures w14:val="none"/>
          </w:rPr>
          <w:t>https://www.concretecentre.com/Resources/Publications/Specifying-Sustainable-Concrete.aspx</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5EBDF7F8" w14:textId="6D23ED68"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QODA (n.d.). </w:t>
      </w:r>
      <w:r w:rsidRPr="000F32EA">
        <w:rPr>
          <w:rFonts w:eastAsia="Times New Roman" w:cs="Times New Roman"/>
          <w:i/>
          <w:iCs/>
          <w:kern w:val="0"/>
          <w:lang w:eastAsia="en-GB"/>
          <w14:ligatures w14:val="none"/>
        </w:rPr>
        <w:t>QODA</w:t>
      </w:r>
      <w:r w:rsidRPr="000F32EA">
        <w:rPr>
          <w:rFonts w:eastAsia="Times New Roman" w:cs="Times New Roman"/>
          <w:kern w:val="0"/>
          <w:lang w:eastAsia="en-GB"/>
          <w14:ligatures w14:val="none"/>
        </w:rPr>
        <w:t xml:space="preserve">. [online] Available at: </w:t>
      </w:r>
      <w:hyperlink r:id="rId17" w:history="1">
        <w:r w:rsidRPr="000F32EA">
          <w:rPr>
            <w:rStyle w:val="Hyperlink"/>
            <w:rFonts w:eastAsia="Times New Roman" w:cs="Times New Roman"/>
            <w:kern w:val="0"/>
            <w:lang w:eastAsia="en-GB"/>
            <w14:ligatures w14:val="none"/>
          </w:rPr>
          <w:t>https://www.qodaconsulting.com/wp-content/uploads/2017/03/CIBSE-TM52-6.pdf</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38DEBEC9" w14:textId="440AECCD"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RIBA (2020). </w:t>
      </w:r>
      <w:r w:rsidRPr="000F32EA">
        <w:rPr>
          <w:rFonts w:eastAsia="Times New Roman" w:cs="Times New Roman"/>
          <w:i/>
          <w:iCs/>
          <w:kern w:val="0"/>
          <w:lang w:eastAsia="en-GB"/>
          <w14:ligatures w14:val="none"/>
        </w:rPr>
        <w:t>RIBA Plan of Work 2020 Overview RIBA Plan of Work</w:t>
      </w:r>
      <w:r w:rsidRPr="000F32EA">
        <w:rPr>
          <w:rFonts w:eastAsia="Times New Roman" w:cs="Times New Roman"/>
          <w:kern w:val="0"/>
          <w:lang w:eastAsia="en-GB"/>
          <w14:ligatures w14:val="none"/>
        </w:rPr>
        <w:t xml:space="preserve">. [online] Available at: </w:t>
      </w:r>
      <w:hyperlink r:id="rId18" w:history="1">
        <w:r w:rsidRPr="000F32EA">
          <w:rPr>
            <w:rStyle w:val="Hyperlink"/>
            <w:rFonts w:eastAsia="Times New Roman" w:cs="Times New Roman"/>
            <w:kern w:val="0"/>
            <w:lang w:eastAsia="en-GB"/>
            <w14:ligatures w14:val="none"/>
          </w:rPr>
          <w:t>https://www.architecture.com/-/media/GatherContent/Test-resources-page/Additional-Documents/2020RIBAPlanofWorkoverviewpdf.pdf?srsltid=AfmBOooPVYaYTZzp9Ol4_rmkwCU0CUU8kCxkqG0w5sQwScDQJ0HalYGd</w:t>
        </w:r>
      </w:hyperlink>
      <w:r>
        <w:rPr>
          <w:rFonts w:eastAsia="Times New Roman" w:cs="Times New Roman"/>
          <w:kern w:val="0"/>
          <w:lang w:eastAsia="en-GB"/>
          <w14:ligatures w14:val="none"/>
        </w:rPr>
        <w:t xml:space="preserve"> </w:t>
      </w:r>
      <w:r w:rsidRPr="000F32EA">
        <w:rPr>
          <w:rFonts w:eastAsia="Times New Roman" w:cs="Times New Roman"/>
          <w:kern w:val="0"/>
          <w:lang w:eastAsia="en-GB"/>
          <w14:ligatures w14:val="none"/>
        </w:rPr>
        <w:t xml:space="preserve"> [Accessed 12 May 2025].</w:t>
      </w:r>
    </w:p>
    <w:p w14:paraId="5449E8C1" w14:textId="4AC98132" w:rsidR="000F32EA" w:rsidRPr="000F32EA" w:rsidRDefault="000F32EA" w:rsidP="000F32EA">
      <w:pPr>
        <w:spacing w:after="240" w:line="360" w:lineRule="auto"/>
        <w:rPr>
          <w:rFonts w:eastAsia="Times New Roman" w:cs="Times New Roman"/>
          <w:kern w:val="0"/>
          <w:lang w:eastAsia="en-GB"/>
          <w14:ligatures w14:val="none"/>
        </w:rPr>
      </w:pPr>
      <w:r w:rsidRPr="000F32EA">
        <w:rPr>
          <w:rFonts w:eastAsia="Times New Roman" w:cs="Times New Roman"/>
          <w:kern w:val="0"/>
          <w:lang w:eastAsia="en-GB"/>
          <w14:ligatures w14:val="none"/>
        </w:rPr>
        <w:t xml:space="preserve">The Carbon Trust (2020). </w:t>
      </w:r>
      <w:r w:rsidRPr="000F32EA">
        <w:rPr>
          <w:rFonts w:eastAsia="Times New Roman" w:cs="Times New Roman"/>
          <w:i/>
          <w:iCs/>
          <w:kern w:val="0"/>
          <w:lang w:eastAsia="en-GB"/>
          <w14:ligatures w14:val="none"/>
        </w:rPr>
        <w:t>Building fabric guide</w:t>
      </w:r>
      <w:r w:rsidRPr="000F32EA">
        <w:rPr>
          <w:rFonts w:eastAsia="Times New Roman" w:cs="Times New Roman"/>
          <w:kern w:val="0"/>
          <w:lang w:eastAsia="en-GB"/>
          <w14:ligatures w14:val="none"/>
        </w:rPr>
        <w:t xml:space="preserve">. [online] https://www.carbontrust.com/our-work-and-impact/guides-reports-and-tools/building-fabric-guide. Available at: </w:t>
      </w:r>
      <w:hyperlink r:id="rId19" w:history="1">
        <w:r w:rsidRPr="000F32EA">
          <w:rPr>
            <w:rStyle w:val="Hyperlink"/>
            <w:rFonts w:eastAsia="Times New Roman" w:cs="Times New Roman"/>
            <w:kern w:val="0"/>
            <w:lang w:eastAsia="en-GB"/>
            <w14:ligatures w14:val="none"/>
          </w:rPr>
          <w:t>https://www.carbontrust.com/our-work-and-impact/guides-reports-and-tools/building-fabric-guide</w:t>
        </w:r>
      </w:hyperlink>
      <w:r w:rsidRPr="000F32EA">
        <w:rPr>
          <w:rFonts w:eastAsia="Times New Roman" w:cs="Times New Roman"/>
          <w:kern w:val="0"/>
          <w:lang w:eastAsia="en-GB"/>
          <w14:ligatures w14:val="none"/>
        </w:rPr>
        <w:t>.</w:t>
      </w:r>
      <w:r>
        <w:rPr>
          <w:rFonts w:eastAsia="Times New Roman" w:cs="Times New Roman"/>
          <w:kern w:val="0"/>
          <w:lang w:eastAsia="en-GB"/>
          <w14:ligatures w14:val="none"/>
        </w:rPr>
        <w:t xml:space="preserve"> </w:t>
      </w:r>
    </w:p>
    <w:p w14:paraId="4C7A6280" w14:textId="77777777" w:rsidR="006D6A3F" w:rsidRPr="004C1A6D" w:rsidRDefault="006D6A3F" w:rsidP="004C1A6D"/>
    <w:p w14:paraId="413B3FBE" w14:textId="77777777" w:rsidR="00B04B90" w:rsidRPr="00B04B90" w:rsidRDefault="00B04B90" w:rsidP="00B04B90"/>
    <w:p w14:paraId="6E0CAFC7" w14:textId="77777777" w:rsidR="00B04B90" w:rsidRPr="00B04B90" w:rsidRDefault="00B04B90" w:rsidP="00B04B90"/>
    <w:p w14:paraId="1725E591" w14:textId="77777777" w:rsidR="00492E1D" w:rsidRDefault="00492E1D"/>
    <w:sectPr w:rsidR="00492E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FD0B7F"/>
    <w:multiLevelType w:val="hybridMultilevel"/>
    <w:tmpl w:val="5E24E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7B6226"/>
    <w:multiLevelType w:val="hybridMultilevel"/>
    <w:tmpl w:val="8BB06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070639">
    <w:abstractNumId w:val="0"/>
  </w:num>
  <w:num w:numId="2" w16cid:durableId="131950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10"/>
    <w:rsid w:val="000F32EA"/>
    <w:rsid w:val="002E7410"/>
    <w:rsid w:val="003C46CB"/>
    <w:rsid w:val="004314CA"/>
    <w:rsid w:val="00492E1D"/>
    <w:rsid w:val="004C1A6D"/>
    <w:rsid w:val="006D6A3F"/>
    <w:rsid w:val="0089664A"/>
    <w:rsid w:val="009747CE"/>
    <w:rsid w:val="009B322E"/>
    <w:rsid w:val="00B04B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C22283E"/>
  <w15:chartTrackingRefBased/>
  <w15:docId w15:val="{36808F44-E933-4A3F-A4CD-2A9CB31DD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410"/>
  </w:style>
  <w:style w:type="paragraph" w:styleId="Heading1">
    <w:name w:val="heading 1"/>
    <w:basedOn w:val="Normal"/>
    <w:next w:val="Normal"/>
    <w:link w:val="Heading1Char"/>
    <w:uiPriority w:val="9"/>
    <w:qFormat/>
    <w:rsid w:val="002E74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74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74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74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74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74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4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4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4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4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74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74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74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74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74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4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4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410"/>
    <w:rPr>
      <w:rFonts w:eastAsiaTheme="majorEastAsia" w:cstheme="majorBidi"/>
      <w:color w:val="272727" w:themeColor="text1" w:themeTint="D8"/>
    </w:rPr>
  </w:style>
  <w:style w:type="paragraph" w:styleId="Title">
    <w:name w:val="Title"/>
    <w:basedOn w:val="Normal"/>
    <w:next w:val="Normal"/>
    <w:link w:val="TitleChar"/>
    <w:uiPriority w:val="10"/>
    <w:qFormat/>
    <w:rsid w:val="002E74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4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4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4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410"/>
    <w:pPr>
      <w:spacing w:before="160"/>
      <w:jc w:val="center"/>
    </w:pPr>
    <w:rPr>
      <w:i/>
      <w:iCs/>
      <w:color w:val="404040" w:themeColor="text1" w:themeTint="BF"/>
    </w:rPr>
  </w:style>
  <w:style w:type="character" w:customStyle="1" w:styleId="QuoteChar">
    <w:name w:val="Quote Char"/>
    <w:basedOn w:val="DefaultParagraphFont"/>
    <w:link w:val="Quote"/>
    <w:uiPriority w:val="29"/>
    <w:rsid w:val="002E7410"/>
    <w:rPr>
      <w:i/>
      <w:iCs/>
      <w:color w:val="404040" w:themeColor="text1" w:themeTint="BF"/>
    </w:rPr>
  </w:style>
  <w:style w:type="paragraph" w:styleId="ListParagraph">
    <w:name w:val="List Paragraph"/>
    <w:basedOn w:val="Normal"/>
    <w:uiPriority w:val="34"/>
    <w:qFormat/>
    <w:rsid w:val="002E7410"/>
    <w:pPr>
      <w:ind w:left="720"/>
      <w:contextualSpacing/>
    </w:pPr>
  </w:style>
  <w:style w:type="character" w:styleId="IntenseEmphasis">
    <w:name w:val="Intense Emphasis"/>
    <w:basedOn w:val="DefaultParagraphFont"/>
    <w:uiPriority w:val="21"/>
    <w:qFormat/>
    <w:rsid w:val="002E7410"/>
    <w:rPr>
      <w:i/>
      <w:iCs/>
      <w:color w:val="0F4761" w:themeColor="accent1" w:themeShade="BF"/>
    </w:rPr>
  </w:style>
  <w:style w:type="paragraph" w:styleId="IntenseQuote">
    <w:name w:val="Intense Quote"/>
    <w:basedOn w:val="Normal"/>
    <w:next w:val="Normal"/>
    <w:link w:val="IntenseQuoteChar"/>
    <w:uiPriority w:val="30"/>
    <w:qFormat/>
    <w:rsid w:val="002E74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7410"/>
    <w:rPr>
      <w:i/>
      <w:iCs/>
      <w:color w:val="0F4761" w:themeColor="accent1" w:themeShade="BF"/>
    </w:rPr>
  </w:style>
  <w:style w:type="character" w:styleId="IntenseReference">
    <w:name w:val="Intense Reference"/>
    <w:basedOn w:val="DefaultParagraphFont"/>
    <w:uiPriority w:val="32"/>
    <w:qFormat/>
    <w:rsid w:val="002E7410"/>
    <w:rPr>
      <w:b/>
      <w:bCs/>
      <w:smallCaps/>
      <w:color w:val="0F4761" w:themeColor="accent1" w:themeShade="BF"/>
      <w:spacing w:val="5"/>
    </w:rPr>
  </w:style>
  <w:style w:type="character" w:styleId="Hyperlink">
    <w:name w:val="Hyperlink"/>
    <w:basedOn w:val="DefaultParagraphFont"/>
    <w:uiPriority w:val="99"/>
    <w:unhideWhenUsed/>
    <w:rsid w:val="004C1A6D"/>
    <w:rPr>
      <w:color w:val="467886" w:themeColor="hyperlink"/>
      <w:u w:val="single"/>
    </w:rPr>
  </w:style>
  <w:style w:type="character" w:styleId="UnresolvedMention">
    <w:name w:val="Unresolved Mention"/>
    <w:basedOn w:val="DefaultParagraphFont"/>
    <w:uiPriority w:val="99"/>
    <w:semiHidden/>
    <w:unhideWhenUsed/>
    <w:rsid w:val="004C1A6D"/>
    <w:rPr>
      <w:color w:val="605E5C"/>
      <w:shd w:val="clear" w:color="auto" w:fill="E1DFDD"/>
    </w:rPr>
  </w:style>
  <w:style w:type="character" w:styleId="FollowedHyperlink">
    <w:name w:val="FollowedHyperlink"/>
    <w:basedOn w:val="DefaultParagraphFont"/>
    <w:uiPriority w:val="99"/>
    <w:semiHidden/>
    <w:unhideWhenUsed/>
    <w:rsid w:val="004C1A6D"/>
    <w:rPr>
      <w:color w:val="96607D" w:themeColor="followedHyperlink"/>
      <w:u w:val="single"/>
    </w:rPr>
  </w:style>
  <w:style w:type="paragraph" w:styleId="TOCHeading">
    <w:name w:val="TOC Heading"/>
    <w:basedOn w:val="Heading1"/>
    <w:next w:val="Normal"/>
    <w:uiPriority w:val="39"/>
    <w:unhideWhenUsed/>
    <w:qFormat/>
    <w:rsid w:val="000F32EA"/>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F32EA"/>
    <w:pPr>
      <w:spacing w:after="100"/>
    </w:pPr>
  </w:style>
  <w:style w:type="paragraph" w:styleId="TOC2">
    <w:name w:val="toc 2"/>
    <w:basedOn w:val="Normal"/>
    <w:next w:val="Normal"/>
    <w:autoRedefine/>
    <w:uiPriority w:val="39"/>
    <w:unhideWhenUsed/>
    <w:rsid w:val="000F32E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940306">
      <w:bodyDiv w:val="1"/>
      <w:marLeft w:val="0"/>
      <w:marRight w:val="0"/>
      <w:marTop w:val="0"/>
      <w:marBottom w:val="0"/>
      <w:divBdr>
        <w:top w:val="none" w:sz="0" w:space="0" w:color="auto"/>
        <w:left w:val="none" w:sz="0" w:space="0" w:color="auto"/>
        <w:bottom w:val="none" w:sz="0" w:space="0" w:color="auto"/>
        <w:right w:val="none" w:sz="0" w:space="0" w:color="auto"/>
      </w:divBdr>
    </w:div>
    <w:div w:id="205720598">
      <w:bodyDiv w:val="1"/>
      <w:marLeft w:val="0"/>
      <w:marRight w:val="0"/>
      <w:marTop w:val="0"/>
      <w:marBottom w:val="0"/>
      <w:divBdr>
        <w:top w:val="none" w:sz="0" w:space="0" w:color="auto"/>
        <w:left w:val="none" w:sz="0" w:space="0" w:color="auto"/>
        <w:bottom w:val="none" w:sz="0" w:space="0" w:color="auto"/>
        <w:right w:val="none" w:sz="0" w:space="0" w:color="auto"/>
      </w:divBdr>
    </w:div>
    <w:div w:id="212548410">
      <w:bodyDiv w:val="1"/>
      <w:marLeft w:val="0"/>
      <w:marRight w:val="0"/>
      <w:marTop w:val="0"/>
      <w:marBottom w:val="0"/>
      <w:divBdr>
        <w:top w:val="none" w:sz="0" w:space="0" w:color="auto"/>
        <w:left w:val="none" w:sz="0" w:space="0" w:color="auto"/>
        <w:bottom w:val="none" w:sz="0" w:space="0" w:color="auto"/>
        <w:right w:val="none" w:sz="0" w:space="0" w:color="auto"/>
      </w:divBdr>
    </w:div>
    <w:div w:id="258375214">
      <w:bodyDiv w:val="1"/>
      <w:marLeft w:val="0"/>
      <w:marRight w:val="0"/>
      <w:marTop w:val="0"/>
      <w:marBottom w:val="0"/>
      <w:divBdr>
        <w:top w:val="none" w:sz="0" w:space="0" w:color="auto"/>
        <w:left w:val="none" w:sz="0" w:space="0" w:color="auto"/>
        <w:bottom w:val="none" w:sz="0" w:space="0" w:color="auto"/>
        <w:right w:val="none" w:sz="0" w:space="0" w:color="auto"/>
      </w:divBdr>
    </w:div>
    <w:div w:id="381709302">
      <w:bodyDiv w:val="1"/>
      <w:marLeft w:val="0"/>
      <w:marRight w:val="0"/>
      <w:marTop w:val="0"/>
      <w:marBottom w:val="0"/>
      <w:divBdr>
        <w:top w:val="none" w:sz="0" w:space="0" w:color="auto"/>
        <w:left w:val="none" w:sz="0" w:space="0" w:color="auto"/>
        <w:bottom w:val="none" w:sz="0" w:space="0" w:color="auto"/>
        <w:right w:val="none" w:sz="0" w:space="0" w:color="auto"/>
      </w:divBdr>
      <w:divsChild>
        <w:div w:id="2071490428">
          <w:marLeft w:val="0"/>
          <w:marRight w:val="0"/>
          <w:marTop w:val="0"/>
          <w:marBottom w:val="0"/>
          <w:divBdr>
            <w:top w:val="none" w:sz="0" w:space="0" w:color="auto"/>
            <w:left w:val="none" w:sz="0" w:space="0" w:color="auto"/>
            <w:bottom w:val="none" w:sz="0" w:space="0" w:color="auto"/>
            <w:right w:val="none" w:sz="0" w:space="0" w:color="auto"/>
          </w:divBdr>
        </w:div>
      </w:divsChild>
    </w:div>
    <w:div w:id="384373719">
      <w:bodyDiv w:val="1"/>
      <w:marLeft w:val="0"/>
      <w:marRight w:val="0"/>
      <w:marTop w:val="0"/>
      <w:marBottom w:val="0"/>
      <w:divBdr>
        <w:top w:val="none" w:sz="0" w:space="0" w:color="auto"/>
        <w:left w:val="none" w:sz="0" w:space="0" w:color="auto"/>
        <w:bottom w:val="none" w:sz="0" w:space="0" w:color="auto"/>
        <w:right w:val="none" w:sz="0" w:space="0" w:color="auto"/>
      </w:divBdr>
    </w:div>
    <w:div w:id="390809909">
      <w:bodyDiv w:val="1"/>
      <w:marLeft w:val="0"/>
      <w:marRight w:val="0"/>
      <w:marTop w:val="0"/>
      <w:marBottom w:val="0"/>
      <w:divBdr>
        <w:top w:val="none" w:sz="0" w:space="0" w:color="auto"/>
        <w:left w:val="none" w:sz="0" w:space="0" w:color="auto"/>
        <w:bottom w:val="none" w:sz="0" w:space="0" w:color="auto"/>
        <w:right w:val="none" w:sz="0" w:space="0" w:color="auto"/>
      </w:divBdr>
    </w:div>
    <w:div w:id="425930814">
      <w:bodyDiv w:val="1"/>
      <w:marLeft w:val="0"/>
      <w:marRight w:val="0"/>
      <w:marTop w:val="0"/>
      <w:marBottom w:val="0"/>
      <w:divBdr>
        <w:top w:val="none" w:sz="0" w:space="0" w:color="auto"/>
        <w:left w:val="none" w:sz="0" w:space="0" w:color="auto"/>
        <w:bottom w:val="none" w:sz="0" w:space="0" w:color="auto"/>
        <w:right w:val="none" w:sz="0" w:space="0" w:color="auto"/>
      </w:divBdr>
      <w:divsChild>
        <w:div w:id="1376151973">
          <w:marLeft w:val="0"/>
          <w:marRight w:val="0"/>
          <w:marTop w:val="0"/>
          <w:marBottom w:val="0"/>
          <w:divBdr>
            <w:top w:val="none" w:sz="0" w:space="0" w:color="auto"/>
            <w:left w:val="none" w:sz="0" w:space="0" w:color="auto"/>
            <w:bottom w:val="none" w:sz="0" w:space="0" w:color="auto"/>
            <w:right w:val="none" w:sz="0" w:space="0" w:color="auto"/>
          </w:divBdr>
        </w:div>
      </w:divsChild>
    </w:div>
    <w:div w:id="450591895">
      <w:bodyDiv w:val="1"/>
      <w:marLeft w:val="0"/>
      <w:marRight w:val="0"/>
      <w:marTop w:val="0"/>
      <w:marBottom w:val="0"/>
      <w:divBdr>
        <w:top w:val="none" w:sz="0" w:space="0" w:color="auto"/>
        <w:left w:val="none" w:sz="0" w:space="0" w:color="auto"/>
        <w:bottom w:val="none" w:sz="0" w:space="0" w:color="auto"/>
        <w:right w:val="none" w:sz="0" w:space="0" w:color="auto"/>
      </w:divBdr>
    </w:div>
    <w:div w:id="470757101">
      <w:bodyDiv w:val="1"/>
      <w:marLeft w:val="0"/>
      <w:marRight w:val="0"/>
      <w:marTop w:val="0"/>
      <w:marBottom w:val="0"/>
      <w:divBdr>
        <w:top w:val="none" w:sz="0" w:space="0" w:color="auto"/>
        <w:left w:val="none" w:sz="0" w:space="0" w:color="auto"/>
        <w:bottom w:val="none" w:sz="0" w:space="0" w:color="auto"/>
        <w:right w:val="none" w:sz="0" w:space="0" w:color="auto"/>
      </w:divBdr>
    </w:div>
    <w:div w:id="496775549">
      <w:bodyDiv w:val="1"/>
      <w:marLeft w:val="0"/>
      <w:marRight w:val="0"/>
      <w:marTop w:val="0"/>
      <w:marBottom w:val="0"/>
      <w:divBdr>
        <w:top w:val="none" w:sz="0" w:space="0" w:color="auto"/>
        <w:left w:val="none" w:sz="0" w:space="0" w:color="auto"/>
        <w:bottom w:val="none" w:sz="0" w:space="0" w:color="auto"/>
        <w:right w:val="none" w:sz="0" w:space="0" w:color="auto"/>
      </w:divBdr>
    </w:div>
    <w:div w:id="509684337">
      <w:bodyDiv w:val="1"/>
      <w:marLeft w:val="0"/>
      <w:marRight w:val="0"/>
      <w:marTop w:val="0"/>
      <w:marBottom w:val="0"/>
      <w:divBdr>
        <w:top w:val="none" w:sz="0" w:space="0" w:color="auto"/>
        <w:left w:val="none" w:sz="0" w:space="0" w:color="auto"/>
        <w:bottom w:val="none" w:sz="0" w:space="0" w:color="auto"/>
        <w:right w:val="none" w:sz="0" w:space="0" w:color="auto"/>
      </w:divBdr>
    </w:div>
    <w:div w:id="516239955">
      <w:bodyDiv w:val="1"/>
      <w:marLeft w:val="0"/>
      <w:marRight w:val="0"/>
      <w:marTop w:val="0"/>
      <w:marBottom w:val="0"/>
      <w:divBdr>
        <w:top w:val="none" w:sz="0" w:space="0" w:color="auto"/>
        <w:left w:val="none" w:sz="0" w:space="0" w:color="auto"/>
        <w:bottom w:val="none" w:sz="0" w:space="0" w:color="auto"/>
        <w:right w:val="none" w:sz="0" w:space="0" w:color="auto"/>
      </w:divBdr>
    </w:div>
    <w:div w:id="516702266">
      <w:bodyDiv w:val="1"/>
      <w:marLeft w:val="0"/>
      <w:marRight w:val="0"/>
      <w:marTop w:val="0"/>
      <w:marBottom w:val="0"/>
      <w:divBdr>
        <w:top w:val="none" w:sz="0" w:space="0" w:color="auto"/>
        <w:left w:val="none" w:sz="0" w:space="0" w:color="auto"/>
        <w:bottom w:val="none" w:sz="0" w:space="0" w:color="auto"/>
        <w:right w:val="none" w:sz="0" w:space="0" w:color="auto"/>
      </w:divBdr>
    </w:div>
    <w:div w:id="584845867">
      <w:bodyDiv w:val="1"/>
      <w:marLeft w:val="0"/>
      <w:marRight w:val="0"/>
      <w:marTop w:val="0"/>
      <w:marBottom w:val="0"/>
      <w:divBdr>
        <w:top w:val="none" w:sz="0" w:space="0" w:color="auto"/>
        <w:left w:val="none" w:sz="0" w:space="0" w:color="auto"/>
        <w:bottom w:val="none" w:sz="0" w:space="0" w:color="auto"/>
        <w:right w:val="none" w:sz="0" w:space="0" w:color="auto"/>
      </w:divBdr>
    </w:div>
    <w:div w:id="610018762">
      <w:bodyDiv w:val="1"/>
      <w:marLeft w:val="0"/>
      <w:marRight w:val="0"/>
      <w:marTop w:val="0"/>
      <w:marBottom w:val="0"/>
      <w:divBdr>
        <w:top w:val="none" w:sz="0" w:space="0" w:color="auto"/>
        <w:left w:val="none" w:sz="0" w:space="0" w:color="auto"/>
        <w:bottom w:val="none" w:sz="0" w:space="0" w:color="auto"/>
        <w:right w:val="none" w:sz="0" w:space="0" w:color="auto"/>
      </w:divBdr>
    </w:div>
    <w:div w:id="668751164">
      <w:bodyDiv w:val="1"/>
      <w:marLeft w:val="0"/>
      <w:marRight w:val="0"/>
      <w:marTop w:val="0"/>
      <w:marBottom w:val="0"/>
      <w:divBdr>
        <w:top w:val="none" w:sz="0" w:space="0" w:color="auto"/>
        <w:left w:val="none" w:sz="0" w:space="0" w:color="auto"/>
        <w:bottom w:val="none" w:sz="0" w:space="0" w:color="auto"/>
        <w:right w:val="none" w:sz="0" w:space="0" w:color="auto"/>
      </w:divBdr>
    </w:div>
    <w:div w:id="823087626">
      <w:bodyDiv w:val="1"/>
      <w:marLeft w:val="0"/>
      <w:marRight w:val="0"/>
      <w:marTop w:val="0"/>
      <w:marBottom w:val="0"/>
      <w:divBdr>
        <w:top w:val="none" w:sz="0" w:space="0" w:color="auto"/>
        <w:left w:val="none" w:sz="0" w:space="0" w:color="auto"/>
        <w:bottom w:val="none" w:sz="0" w:space="0" w:color="auto"/>
        <w:right w:val="none" w:sz="0" w:space="0" w:color="auto"/>
      </w:divBdr>
    </w:div>
    <w:div w:id="833911415">
      <w:bodyDiv w:val="1"/>
      <w:marLeft w:val="0"/>
      <w:marRight w:val="0"/>
      <w:marTop w:val="0"/>
      <w:marBottom w:val="0"/>
      <w:divBdr>
        <w:top w:val="none" w:sz="0" w:space="0" w:color="auto"/>
        <w:left w:val="none" w:sz="0" w:space="0" w:color="auto"/>
        <w:bottom w:val="none" w:sz="0" w:space="0" w:color="auto"/>
        <w:right w:val="none" w:sz="0" w:space="0" w:color="auto"/>
      </w:divBdr>
    </w:div>
    <w:div w:id="990914057">
      <w:bodyDiv w:val="1"/>
      <w:marLeft w:val="0"/>
      <w:marRight w:val="0"/>
      <w:marTop w:val="0"/>
      <w:marBottom w:val="0"/>
      <w:divBdr>
        <w:top w:val="none" w:sz="0" w:space="0" w:color="auto"/>
        <w:left w:val="none" w:sz="0" w:space="0" w:color="auto"/>
        <w:bottom w:val="none" w:sz="0" w:space="0" w:color="auto"/>
        <w:right w:val="none" w:sz="0" w:space="0" w:color="auto"/>
      </w:divBdr>
    </w:div>
    <w:div w:id="1030689830">
      <w:bodyDiv w:val="1"/>
      <w:marLeft w:val="0"/>
      <w:marRight w:val="0"/>
      <w:marTop w:val="0"/>
      <w:marBottom w:val="0"/>
      <w:divBdr>
        <w:top w:val="none" w:sz="0" w:space="0" w:color="auto"/>
        <w:left w:val="none" w:sz="0" w:space="0" w:color="auto"/>
        <w:bottom w:val="none" w:sz="0" w:space="0" w:color="auto"/>
        <w:right w:val="none" w:sz="0" w:space="0" w:color="auto"/>
      </w:divBdr>
    </w:div>
    <w:div w:id="1083335748">
      <w:bodyDiv w:val="1"/>
      <w:marLeft w:val="0"/>
      <w:marRight w:val="0"/>
      <w:marTop w:val="0"/>
      <w:marBottom w:val="0"/>
      <w:divBdr>
        <w:top w:val="none" w:sz="0" w:space="0" w:color="auto"/>
        <w:left w:val="none" w:sz="0" w:space="0" w:color="auto"/>
        <w:bottom w:val="none" w:sz="0" w:space="0" w:color="auto"/>
        <w:right w:val="none" w:sz="0" w:space="0" w:color="auto"/>
      </w:divBdr>
    </w:div>
    <w:div w:id="1106386686">
      <w:bodyDiv w:val="1"/>
      <w:marLeft w:val="0"/>
      <w:marRight w:val="0"/>
      <w:marTop w:val="0"/>
      <w:marBottom w:val="0"/>
      <w:divBdr>
        <w:top w:val="none" w:sz="0" w:space="0" w:color="auto"/>
        <w:left w:val="none" w:sz="0" w:space="0" w:color="auto"/>
        <w:bottom w:val="none" w:sz="0" w:space="0" w:color="auto"/>
        <w:right w:val="none" w:sz="0" w:space="0" w:color="auto"/>
      </w:divBdr>
    </w:div>
    <w:div w:id="1107307118">
      <w:bodyDiv w:val="1"/>
      <w:marLeft w:val="0"/>
      <w:marRight w:val="0"/>
      <w:marTop w:val="0"/>
      <w:marBottom w:val="0"/>
      <w:divBdr>
        <w:top w:val="none" w:sz="0" w:space="0" w:color="auto"/>
        <w:left w:val="none" w:sz="0" w:space="0" w:color="auto"/>
        <w:bottom w:val="none" w:sz="0" w:space="0" w:color="auto"/>
        <w:right w:val="none" w:sz="0" w:space="0" w:color="auto"/>
      </w:divBdr>
    </w:div>
    <w:div w:id="1120297067">
      <w:bodyDiv w:val="1"/>
      <w:marLeft w:val="0"/>
      <w:marRight w:val="0"/>
      <w:marTop w:val="0"/>
      <w:marBottom w:val="0"/>
      <w:divBdr>
        <w:top w:val="none" w:sz="0" w:space="0" w:color="auto"/>
        <w:left w:val="none" w:sz="0" w:space="0" w:color="auto"/>
        <w:bottom w:val="none" w:sz="0" w:space="0" w:color="auto"/>
        <w:right w:val="none" w:sz="0" w:space="0" w:color="auto"/>
      </w:divBdr>
    </w:div>
    <w:div w:id="1134562016">
      <w:bodyDiv w:val="1"/>
      <w:marLeft w:val="0"/>
      <w:marRight w:val="0"/>
      <w:marTop w:val="0"/>
      <w:marBottom w:val="0"/>
      <w:divBdr>
        <w:top w:val="none" w:sz="0" w:space="0" w:color="auto"/>
        <w:left w:val="none" w:sz="0" w:space="0" w:color="auto"/>
        <w:bottom w:val="none" w:sz="0" w:space="0" w:color="auto"/>
        <w:right w:val="none" w:sz="0" w:space="0" w:color="auto"/>
      </w:divBdr>
    </w:div>
    <w:div w:id="1142114116">
      <w:bodyDiv w:val="1"/>
      <w:marLeft w:val="0"/>
      <w:marRight w:val="0"/>
      <w:marTop w:val="0"/>
      <w:marBottom w:val="0"/>
      <w:divBdr>
        <w:top w:val="none" w:sz="0" w:space="0" w:color="auto"/>
        <w:left w:val="none" w:sz="0" w:space="0" w:color="auto"/>
        <w:bottom w:val="none" w:sz="0" w:space="0" w:color="auto"/>
        <w:right w:val="none" w:sz="0" w:space="0" w:color="auto"/>
      </w:divBdr>
    </w:div>
    <w:div w:id="1184897769">
      <w:bodyDiv w:val="1"/>
      <w:marLeft w:val="0"/>
      <w:marRight w:val="0"/>
      <w:marTop w:val="0"/>
      <w:marBottom w:val="0"/>
      <w:divBdr>
        <w:top w:val="none" w:sz="0" w:space="0" w:color="auto"/>
        <w:left w:val="none" w:sz="0" w:space="0" w:color="auto"/>
        <w:bottom w:val="none" w:sz="0" w:space="0" w:color="auto"/>
        <w:right w:val="none" w:sz="0" w:space="0" w:color="auto"/>
      </w:divBdr>
    </w:div>
    <w:div w:id="1350715510">
      <w:bodyDiv w:val="1"/>
      <w:marLeft w:val="0"/>
      <w:marRight w:val="0"/>
      <w:marTop w:val="0"/>
      <w:marBottom w:val="0"/>
      <w:divBdr>
        <w:top w:val="none" w:sz="0" w:space="0" w:color="auto"/>
        <w:left w:val="none" w:sz="0" w:space="0" w:color="auto"/>
        <w:bottom w:val="none" w:sz="0" w:space="0" w:color="auto"/>
        <w:right w:val="none" w:sz="0" w:space="0" w:color="auto"/>
      </w:divBdr>
    </w:div>
    <w:div w:id="1378890533">
      <w:bodyDiv w:val="1"/>
      <w:marLeft w:val="0"/>
      <w:marRight w:val="0"/>
      <w:marTop w:val="0"/>
      <w:marBottom w:val="0"/>
      <w:divBdr>
        <w:top w:val="none" w:sz="0" w:space="0" w:color="auto"/>
        <w:left w:val="none" w:sz="0" w:space="0" w:color="auto"/>
        <w:bottom w:val="none" w:sz="0" w:space="0" w:color="auto"/>
        <w:right w:val="none" w:sz="0" w:space="0" w:color="auto"/>
      </w:divBdr>
    </w:div>
    <w:div w:id="1390961415">
      <w:bodyDiv w:val="1"/>
      <w:marLeft w:val="0"/>
      <w:marRight w:val="0"/>
      <w:marTop w:val="0"/>
      <w:marBottom w:val="0"/>
      <w:divBdr>
        <w:top w:val="none" w:sz="0" w:space="0" w:color="auto"/>
        <w:left w:val="none" w:sz="0" w:space="0" w:color="auto"/>
        <w:bottom w:val="none" w:sz="0" w:space="0" w:color="auto"/>
        <w:right w:val="none" w:sz="0" w:space="0" w:color="auto"/>
      </w:divBdr>
    </w:div>
    <w:div w:id="1457215463">
      <w:bodyDiv w:val="1"/>
      <w:marLeft w:val="0"/>
      <w:marRight w:val="0"/>
      <w:marTop w:val="0"/>
      <w:marBottom w:val="0"/>
      <w:divBdr>
        <w:top w:val="none" w:sz="0" w:space="0" w:color="auto"/>
        <w:left w:val="none" w:sz="0" w:space="0" w:color="auto"/>
        <w:bottom w:val="none" w:sz="0" w:space="0" w:color="auto"/>
        <w:right w:val="none" w:sz="0" w:space="0" w:color="auto"/>
      </w:divBdr>
    </w:div>
    <w:div w:id="1505512780">
      <w:bodyDiv w:val="1"/>
      <w:marLeft w:val="0"/>
      <w:marRight w:val="0"/>
      <w:marTop w:val="0"/>
      <w:marBottom w:val="0"/>
      <w:divBdr>
        <w:top w:val="none" w:sz="0" w:space="0" w:color="auto"/>
        <w:left w:val="none" w:sz="0" w:space="0" w:color="auto"/>
        <w:bottom w:val="none" w:sz="0" w:space="0" w:color="auto"/>
        <w:right w:val="none" w:sz="0" w:space="0" w:color="auto"/>
      </w:divBdr>
    </w:div>
    <w:div w:id="1516192108">
      <w:bodyDiv w:val="1"/>
      <w:marLeft w:val="0"/>
      <w:marRight w:val="0"/>
      <w:marTop w:val="0"/>
      <w:marBottom w:val="0"/>
      <w:divBdr>
        <w:top w:val="none" w:sz="0" w:space="0" w:color="auto"/>
        <w:left w:val="none" w:sz="0" w:space="0" w:color="auto"/>
        <w:bottom w:val="none" w:sz="0" w:space="0" w:color="auto"/>
        <w:right w:val="none" w:sz="0" w:space="0" w:color="auto"/>
      </w:divBdr>
    </w:div>
    <w:div w:id="1531870312">
      <w:bodyDiv w:val="1"/>
      <w:marLeft w:val="0"/>
      <w:marRight w:val="0"/>
      <w:marTop w:val="0"/>
      <w:marBottom w:val="0"/>
      <w:divBdr>
        <w:top w:val="none" w:sz="0" w:space="0" w:color="auto"/>
        <w:left w:val="none" w:sz="0" w:space="0" w:color="auto"/>
        <w:bottom w:val="none" w:sz="0" w:space="0" w:color="auto"/>
        <w:right w:val="none" w:sz="0" w:space="0" w:color="auto"/>
      </w:divBdr>
      <w:divsChild>
        <w:div w:id="321156777">
          <w:marLeft w:val="0"/>
          <w:marRight w:val="0"/>
          <w:marTop w:val="0"/>
          <w:marBottom w:val="0"/>
          <w:divBdr>
            <w:top w:val="none" w:sz="0" w:space="0" w:color="auto"/>
            <w:left w:val="none" w:sz="0" w:space="0" w:color="auto"/>
            <w:bottom w:val="none" w:sz="0" w:space="0" w:color="auto"/>
            <w:right w:val="none" w:sz="0" w:space="0" w:color="auto"/>
          </w:divBdr>
        </w:div>
      </w:divsChild>
    </w:div>
    <w:div w:id="1534072219">
      <w:bodyDiv w:val="1"/>
      <w:marLeft w:val="0"/>
      <w:marRight w:val="0"/>
      <w:marTop w:val="0"/>
      <w:marBottom w:val="0"/>
      <w:divBdr>
        <w:top w:val="none" w:sz="0" w:space="0" w:color="auto"/>
        <w:left w:val="none" w:sz="0" w:space="0" w:color="auto"/>
        <w:bottom w:val="none" w:sz="0" w:space="0" w:color="auto"/>
        <w:right w:val="none" w:sz="0" w:space="0" w:color="auto"/>
      </w:divBdr>
    </w:div>
    <w:div w:id="1678967994">
      <w:bodyDiv w:val="1"/>
      <w:marLeft w:val="0"/>
      <w:marRight w:val="0"/>
      <w:marTop w:val="0"/>
      <w:marBottom w:val="0"/>
      <w:divBdr>
        <w:top w:val="none" w:sz="0" w:space="0" w:color="auto"/>
        <w:left w:val="none" w:sz="0" w:space="0" w:color="auto"/>
        <w:bottom w:val="none" w:sz="0" w:space="0" w:color="auto"/>
        <w:right w:val="none" w:sz="0" w:space="0" w:color="auto"/>
      </w:divBdr>
    </w:div>
    <w:div w:id="1725134018">
      <w:bodyDiv w:val="1"/>
      <w:marLeft w:val="0"/>
      <w:marRight w:val="0"/>
      <w:marTop w:val="0"/>
      <w:marBottom w:val="0"/>
      <w:divBdr>
        <w:top w:val="none" w:sz="0" w:space="0" w:color="auto"/>
        <w:left w:val="none" w:sz="0" w:space="0" w:color="auto"/>
        <w:bottom w:val="none" w:sz="0" w:space="0" w:color="auto"/>
        <w:right w:val="none" w:sz="0" w:space="0" w:color="auto"/>
      </w:divBdr>
    </w:div>
    <w:div w:id="1747649817">
      <w:bodyDiv w:val="1"/>
      <w:marLeft w:val="0"/>
      <w:marRight w:val="0"/>
      <w:marTop w:val="0"/>
      <w:marBottom w:val="0"/>
      <w:divBdr>
        <w:top w:val="none" w:sz="0" w:space="0" w:color="auto"/>
        <w:left w:val="none" w:sz="0" w:space="0" w:color="auto"/>
        <w:bottom w:val="none" w:sz="0" w:space="0" w:color="auto"/>
        <w:right w:val="none" w:sz="0" w:space="0" w:color="auto"/>
      </w:divBdr>
    </w:div>
    <w:div w:id="1757554565">
      <w:bodyDiv w:val="1"/>
      <w:marLeft w:val="0"/>
      <w:marRight w:val="0"/>
      <w:marTop w:val="0"/>
      <w:marBottom w:val="0"/>
      <w:divBdr>
        <w:top w:val="none" w:sz="0" w:space="0" w:color="auto"/>
        <w:left w:val="none" w:sz="0" w:space="0" w:color="auto"/>
        <w:bottom w:val="none" w:sz="0" w:space="0" w:color="auto"/>
        <w:right w:val="none" w:sz="0" w:space="0" w:color="auto"/>
      </w:divBdr>
    </w:div>
    <w:div w:id="1791433369">
      <w:bodyDiv w:val="1"/>
      <w:marLeft w:val="0"/>
      <w:marRight w:val="0"/>
      <w:marTop w:val="0"/>
      <w:marBottom w:val="0"/>
      <w:divBdr>
        <w:top w:val="none" w:sz="0" w:space="0" w:color="auto"/>
        <w:left w:val="none" w:sz="0" w:space="0" w:color="auto"/>
        <w:bottom w:val="none" w:sz="0" w:space="0" w:color="auto"/>
        <w:right w:val="none" w:sz="0" w:space="0" w:color="auto"/>
      </w:divBdr>
    </w:div>
    <w:div w:id="1823539860">
      <w:bodyDiv w:val="1"/>
      <w:marLeft w:val="0"/>
      <w:marRight w:val="0"/>
      <w:marTop w:val="0"/>
      <w:marBottom w:val="0"/>
      <w:divBdr>
        <w:top w:val="none" w:sz="0" w:space="0" w:color="auto"/>
        <w:left w:val="none" w:sz="0" w:space="0" w:color="auto"/>
        <w:bottom w:val="none" w:sz="0" w:space="0" w:color="auto"/>
        <w:right w:val="none" w:sz="0" w:space="0" w:color="auto"/>
      </w:divBdr>
    </w:div>
    <w:div w:id="1933973913">
      <w:bodyDiv w:val="1"/>
      <w:marLeft w:val="0"/>
      <w:marRight w:val="0"/>
      <w:marTop w:val="0"/>
      <w:marBottom w:val="0"/>
      <w:divBdr>
        <w:top w:val="none" w:sz="0" w:space="0" w:color="auto"/>
        <w:left w:val="none" w:sz="0" w:space="0" w:color="auto"/>
        <w:bottom w:val="none" w:sz="0" w:space="0" w:color="auto"/>
        <w:right w:val="none" w:sz="0" w:space="0" w:color="auto"/>
      </w:divBdr>
    </w:div>
    <w:div w:id="1941258998">
      <w:bodyDiv w:val="1"/>
      <w:marLeft w:val="0"/>
      <w:marRight w:val="0"/>
      <w:marTop w:val="0"/>
      <w:marBottom w:val="0"/>
      <w:divBdr>
        <w:top w:val="none" w:sz="0" w:space="0" w:color="auto"/>
        <w:left w:val="none" w:sz="0" w:space="0" w:color="auto"/>
        <w:bottom w:val="none" w:sz="0" w:space="0" w:color="auto"/>
        <w:right w:val="none" w:sz="0" w:space="0" w:color="auto"/>
      </w:divBdr>
    </w:div>
    <w:div w:id="1944217616">
      <w:bodyDiv w:val="1"/>
      <w:marLeft w:val="0"/>
      <w:marRight w:val="0"/>
      <w:marTop w:val="0"/>
      <w:marBottom w:val="0"/>
      <w:divBdr>
        <w:top w:val="none" w:sz="0" w:space="0" w:color="auto"/>
        <w:left w:val="none" w:sz="0" w:space="0" w:color="auto"/>
        <w:bottom w:val="none" w:sz="0" w:space="0" w:color="auto"/>
        <w:right w:val="none" w:sz="0" w:space="0" w:color="auto"/>
      </w:divBdr>
    </w:div>
    <w:div w:id="2135438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derdale.gov.uk/docs/planning/ciria-c753-the-suds-manual.pdf" TargetMode="External"/><Relationship Id="rId13" Type="http://schemas.openxmlformats.org/officeDocument/2006/relationships/hyperlink" Target="https://www.greenrooforganisation.org/wp-content/uploads/2023/06/The-GRO_Green-Roof-Code_June-23.pdf" TargetMode="External"/><Relationship Id="rId18" Type="http://schemas.openxmlformats.org/officeDocument/2006/relationships/hyperlink" Target="https://www.architecture.com/-/media/GatherContent/Test-resources-page/Additional-Documents/2020RIBAPlanofWorkoverviewpdf.pdf?srsltid=AfmBOooPVYaYTZzp9Ol4_rmkwCU0CUU8kCxkqG0w5sQwScDQJ0HalYG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regroup.com/" TargetMode="External"/><Relationship Id="rId12" Type="http://schemas.openxmlformats.org/officeDocument/2006/relationships/hyperlink" Target="https://achievegreen.co.uk/residential-services/o-dynamic-thermalmodelling/?gad_source=1&amp;gad_campaignid=17515853882&amp;gbraid=0AAAAAou8hpk_FmjXsJPHHarOY_nkR6Q6p&amp;gclid=CjwKCAjwuIbBBhBvEiwAsNypvVZreI-dfRUrM71Y4D-nUGad_VZDKc1EAOmtbEbaPWrVCt-vm0XjExoCsfkQAvD_BwE" TargetMode="External"/><Relationship Id="rId17" Type="http://schemas.openxmlformats.org/officeDocument/2006/relationships/hyperlink" Target="https://www.qodaconsulting.com/wp-content/uploads/2017/03/CIBSE-TM52-6.pdf" TargetMode="External"/><Relationship Id="rId2" Type="http://schemas.openxmlformats.org/officeDocument/2006/relationships/numbering" Target="numbering.xml"/><Relationship Id="rId16" Type="http://schemas.openxmlformats.org/officeDocument/2006/relationships/hyperlink" Target="https://www.concretecentre.com/Resources/Publications/Specifying-Sustainable-Concrete.asp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green-forum.ec.europa.eu/levels_en" TargetMode="External"/><Relationship Id="rId5" Type="http://schemas.openxmlformats.org/officeDocument/2006/relationships/webSettings" Target="webSettings.xml"/><Relationship Id="rId15" Type="http://schemas.openxmlformats.org/officeDocument/2006/relationships/hyperlink" Target="https://mbimodularbuildinginstitute.growthzoneapp.com/ap/CloudFile/Download/P3eR5jmr" TargetMode="External"/><Relationship Id="rId10" Type="http://schemas.openxmlformats.org/officeDocument/2006/relationships/hyperlink" Target="https://www.designcouncil.org.uk/our-resources/archive/reports-resources/urban-green-nation/" TargetMode="External"/><Relationship Id="rId19" Type="http://schemas.openxmlformats.org/officeDocument/2006/relationships/hyperlink" Target="https://www.carbontrust.com/our-work-and-impact/guides-reports-and-tools/building-fabric-guide" TargetMode="External"/><Relationship Id="rId4" Type="http://schemas.openxmlformats.org/officeDocument/2006/relationships/settings" Target="settings.xml"/><Relationship Id="rId9" Type="http://schemas.openxmlformats.org/officeDocument/2006/relationships/hyperlink" Target="https://www.gov.uk/government/statistics/energy-consumption-in-the-uk" TargetMode="External"/><Relationship Id="rId14" Type="http://schemas.openxmlformats.org/officeDocument/2006/relationships/hyperlink" Target="https://www.gov.uk/government/publications/conservation-of-fuel-and-power-approved-document-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C223-F5F6-4688-9FAE-891AC3BCB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12</Pages>
  <Words>3416</Words>
  <Characters>19476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Keaton Davies</dc:creator>
  <cp:keywords/>
  <dc:description/>
  <cp:lastModifiedBy>keaton davies</cp:lastModifiedBy>
  <cp:revision>2</cp:revision>
  <dcterms:created xsi:type="dcterms:W3CDTF">2025-05-12T10:27:00Z</dcterms:created>
  <dcterms:modified xsi:type="dcterms:W3CDTF">2025-05-12T21:25:00Z</dcterms:modified>
</cp:coreProperties>
</file>