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59"/>
        <w:jc w:val="center"/>
        <w:rPr>
          <w:b/>
          <w:bCs/>
          <w:sz w:val="32"/>
          <w:szCs w:val="28"/>
        </w:rPr>
      </w:pPr>
      <w:r>
        <w:rPr>
          <w:b/>
          <w:bCs/>
          <w:sz w:val="32"/>
          <w:szCs w:val="28"/>
        </w:rPr>
        <w:t xml:space="preserve"> </w:t>
      </w:r>
      <w:r>
        <w:rPr>
          <w:b/>
          <w:bCs/>
          <w:sz w:val="64"/>
          <w:szCs w:val="64"/>
        </w:rPr>
        <w:t>Leadership and management, theory and practice.</w:t>
      </w:r>
    </w:p>
    <w:p>
      <w:pPr>
        <w:pStyle w:val="Normal"/>
        <w:spacing w:lineRule="auto" w:line="259"/>
        <w:jc w:val="center"/>
        <w:rPr>
          <w:b/>
          <w:bCs/>
          <w:sz w:val="42"/>
          <w:szCs w:val="42"/>
        </w:rPr>
      </w:pPr>
      <w:r>
        <w:rPr/>
      </w:r>
    </w:p>
    <w:p>
      <w:pPr>
        <w:pStyle w:val="Normal"/>
        <w:spacing w:lineRule="auto" w:line="259"/>
        <w:jc w:val="center"/>
        <w:rPr>
          <w:sz w:val="48"/>
          <w:szCs w:val="48"/>
        </w:rPr>
      </w:pPr>
      <w:r>
        <w:rPr>
          <w:b/>
          <w:bCs/>
          <w:sz w:val="48"/>
          <w:szCs w:val="48"/>
        </w:rPr>
        <w:t>Assessment 1: Ess</w:t>
      </w:r>
      <w:r>
        <w:rPr>
          <w:b/>
          <w:bCs/>
          <w:sz w:val="48"/>
          <w:szCs w:val="48"/>
        </w:rPr>
        <w:t>ey</w:t>
      </w:r>
    </w:p>
    <w:p>
      <w:pPr>
        <w:pStyle w:val="Normal"/>
        <w:spacing w:lineRule="auto" w:line="259"/>
        <w:jc w:val="center"/>
        <w:rPr>
          <w:b/>
          <w:bCs/>
        </w:rPr>
      </w:pPr>
      <w:r>
        <w:rPr>
          <w:sz w:val="48"/>
          <w:szCs w:val="48"/>
        </w:rPr>
      </w:r>
    </w:p>
    <w:p>
      <w:pPr>
        <w:pStyle w:val="Normal"/>
        <w:spacing w:lineRule="auto" w:line="259"/>
        <w:jc w:val="center"/>
        <w:rPr>
          <w:b/>
          <w:bCs/>
        </w:rPr>
      </w:pPr>
      <w:r>
        <w:rPr>
          <w:sz w:val="48"/>
          <w:szCs w:val="48"/>
        </w:rPr>
      </w:r>
    </w:p>
    <w:p>
      <w:pPr>
        <w:pStyle w:val="Normal"/>
        <w:spacing w:lineRule="auto" w:line="259"/>
        <w:jc w:val="center"/>
        <w:rPr>
          <w:sz w:val="48"/>
          <w:szCs w:val="48"/>
        </w:rPr>
      </w:pPr>
      <w:r>
        <w:rPr>
          <w:b/>
          <w:bCs/>
          <w:sz w:val="48"/>
          <w:szCs w:val="48"/>
        </w:rPr>
        <w:t>Module Code:LCBB6003</w:t>
      </w:r>
    </w:p>
    <w:p>
      <w:pPr>
        <w:pStyle w:val="Normal"/>
        <w:spacing w:lineRule="auto" w:line="259"/>
        <w:jc w:val="center"/>
        <w:rPr>
          <w:sz w:val="72"/>
          <w:szCs w:val="72"/>
        </w:rPr>
      </w:pPr>
      <w:r>
        <w:rPr>
          <w:b/>
          <w:bCs/>
          <w:sz w:val="72"/>
          <w:szCs w:val="72"/>
        </w:rPr>
        <w:t>Student Name:Ecaterina Tartamus</w:t>
      </w:r>
    </w:p>
    <w:p>
      <w:pPr>
        <w:pStyle w:val="Normal"/>
        <w:spacing w:lineRule="auto" w:line="259"/>
        <w:jc w:val="center"/>
        <w:rPr>
          <w:sz w:val="72"/>
          <w:szCs w:val="72"/>
        </w:rPr>
      </w:pPr>
      <w:r>
        <w:rPr>
          <w:b/>
          <w:bCs/>
          <w:sz w:val="72"/>
          <w:szCs w:val="72"/>
        </w:rPr>
        <w:t>Student ID:2010309</w:t>
      </w:r>
    </w:p>
    <w:p>
      <w:pPr>
        <w:pStyle w:val="Normal"/>
        <w:spacing w:lineRule="auto" w:line="259"/>
        <w:jc w:val="center"/>
        <w:rPr>
          <w:b/>
          <w:bCs/>
          <w:sz w:val="42"/>
          <w:szCs w:val="42"/>
        </w:rPr>
      </w:pPr>
      <w:r>
        <w:rPr/>
      </w:r>
    </w:p>
    <w:p>
      <w:pPr>
        <w:pStyle w:val="Normal"/>
        <w:spacing w:lineRule="auto" w:line="259"/>
        <w:jc w:val="center"/>
        <w:rPr>
          <w:sz w:val="56"/>
          <w:szCs w:val="56"/>
        </w:rPr>
      </w:pPr>
      <w:r>
        <w:rPr>
          <w:b/>
          <w:bCs/>
          <w:sz w:val="56"/>
          <w:szCs w:val="56"/>
        </w:rPr>
        <w:t>Module Lecture’s Name:Mushfiqur Rahman</w:t>
      </w:r>
    </w:p>
    <w:p>
      <w:pPr>
        <w:pStyle w:val="Normal"/>
        <w:spacing w:lineRule="auto" w:line="259"/>
        <w:rPr>
          <w:b/>
          <w:bCs/>
          <w:sz w:val="56"/>
          <w:szCs w:val="56"/>
        </w:rPr>
      </w:pPr>
      <w:r>
        <w:rPr>
          <w:b/>
          <w:bCs/>
          <w:sz w:val="56"/>
          <w:szCs w:val="56"/>
        </w:rPr>
      </w:r>
    </w:p>
    <w:p>
      <w:pPr>
        <w:pStyle w:val="Normal"/>
        <w:spacing w:lineRule="auto" w:line="259"/>
        <w:rPr>
          <w:b/>
          <w:bCs/>
          <w:sz w:val="28"/>
          <w:szCs w:val="24"/>
        </w:rPr>
      </w:pPr>
      <w:r>
        <w:rPr>
          <w:b/>
          <w:bCs/>
          <w:sz w:val="28"/>
          <w:szCs w:val="24"/>
        </w:rPr>
      </w:r>
    </w:p>
    <w:p>
      <w:pPr>
        <w:pStyle w:val="Normal"/>
        <w:spacing w:lineRule="auto" w:line="259"/>
        <w:rPr>
          <w:b/>
          <w:bCs/>
          <w:sz w:val="28"/>
          <w:szCs w:val="24"/>
        </w:rPr>
      </w:pPr>
      <w:r>
        <w:rPr>
          <w:b/>
          <w:bCs/>
          <w:sz w:val="28"/>
          <w:szCs w:val="24"/>
        </w:rPr>
      </w:r>
    </w:p>
    <w:p>
      <w:pPr>
        <w:pStyle w:val="Normal"/>
        <w:spacing w:lineRule="auto" w:line="259"/>
        <w:rPr>
          <w:b/>
          <w:bCs/>
          <w:sz w:val="28"/>
          <w:szCs w:val="24"/>
        </w:rPr>
      </w:pPr>
      <w:r>
        <w:rPr>
          <w:b/>
          <w:bCs/>
          <w:sz w:val="28"/>
          <w:szCs w:val="24"/>
        </w:rPr>
      </w:r>
    </w:p>
    <w:p>
      <w:pPr>
        <w:pStyle w:val="Normal"/>
        <w:spacing w:lineRule="auto" w:line="259"/>
        <w:rPr>
          <w:b/>
          <w:bCs/>
          <w:sz w:val="28"/>
          <w:szCs w:val="24"/>
        </w:rPr>
      </w:pPr>
      <w:r>
        <w:rPr>
          <w:b/>
          <w:bCs/>
          <w:sz w:val="28"/>
          <w:szCs w:val="24"/>
        </w:rPr>
      </w:r>
    </w:p>
    <w:p>
      <w:pPr>
        <w:pStyle w:val="Heading1"/>
        <w:rPr/>
      </w:pPr>
      <w:r>
        <w:rPr/>
        <w:t>Reflect on your own experience of leadership, which could be evidence of your own leadership or the witnessing of leadership in action, and suggest areas for development on your chosen experience of leadership, including an Action Plan</w:t>
      </w:r>
    </w:p>
    <w:p>
      <w:pPr>
        <w:pStyle w:val="Normal"/>
        <w:rPr/>
      </w:pPr>
      <w:r>
        <w:rPr/>
        <w:t>Every business needs strong management and direction in the twenty-first century to thrive and gain an edge in the marketplace (</w:t>
      </w:r>
      <w:r>
        <w:rPr>
          <w:shd w:fill="FFFFFF" w:val="clear"/>
        </w:rPr>
        <w:t>Van Wart, 2014)</w:t>
      </w:r>
      <w:r>
        <w:rPr/>
        <w:t>. It is critical for global organisation executives to possess certain qualities that will help them steer their companies to success. The focus of this research is on the individual manager, with an emphasis on identifying problems with self-improvement and developing a plan for addressing such problems. Management theories and practises providing the basis for the analysis and evaluation of my unique viewpoint as a business manager. Based on my time spent in the role of business head, the following research may be interpreted as an analysis of governance in action.</w:t>
      </w:r>
    </w:p>
    <w:p>
      <w:pPr>
        <w:pStyle w:val="Normal"/>
        <w:rPr/>
      </w:pPr>
      <w:r>
        <w:rPr/>
        <w:t>Organizations cannot make headway toward their goals without competent leadership. Leaders are mostly responsible for managing employees and their output at work, underscoring the importance of humans to the success of businesses (</w:t>
      </w:r>
      <w:r>
        <w:rPr>
          <w:shd w:fill="FFFFFF" w:val="clear"/>
        </w:rPr>
        <w:t>Renz, 2016)</w:t>
      </w:r>
      <w:r>
        <w:rPr/>
        <w:t>. It seems that I have excellent listening skills since I was able to catch every single thing that the group representatives said or that my friends suggested doing better on the task. I was able to put into practise the ideas developed by my co-workers by drawing on our shared understanding and recommendations, treating all information as a serious dedication to the goals we share, and critically examining the obstacles we encountered along the way. Together, my team and I were able to accomplish our mission successfully, and it's worth noting that the ability to work well with others is an essential trait of a good leader.</w:t>
      </w:r>
    </w:p>
    <w:p>
      <w:pPr>
        <w:pStyle w:val="Normal"/>
        <w:rPr/>
      </w:pPr>
      <w:r>
        <w:rPr/>
        <w:t>Kolb's educational framework, which claims that the acquisition of complicated ideas may be applied successfully in a variety of circumstances, centres on the importance of the attempt to learn (</w:t>
      </w:r>
      <w:r>
        <w:rPr>
          <w:shd w:fill="FFFFFF" w:val="clear"/>
        </w:rPr>
        <w:t>Amanchukwu et al., 2015)</w:t>
      </w:r>
      <w:r>
        <w:rPr/>
        <w:t>. According to this theory, the motivation for developing new ideas has come from unusual opportunities. To this day, as the institution's leader, I am committed to the idea that teaching is fundamentally a process through which new knowledge is developed via the application of accumulated experience. I have tried to learn new things by doing things like thinking creatively, dealing with a wide range of situations, and building on my prior experience. Appropriate education can be defined as the culmination of four distinct phases, including acquiring foundational knowledge, applying that knowledge through observation and reflection, and developing abstract concepts that can be used to test hypotheses in situations requiring long-term governance (</w:t>
      </w:r>
      <w:r>
        <w:rPr>
          <w:shd w:fill="FFFFFF" w:val="clear"/>
        </w:rPr>
        <w:t>Bush, 2020)</w:t>
      </w:r>
      <w:r>
        <w:rPr/>
        <w:t>. I used a convergent research approach, looking at the involvement of my peers and supervisors in the workplace from a variety of perspectives, to bolster my theoretical knowledge of leadership responsibilities. I took a backseat and observed the goings-on so that I might gain understanding and solve issues with my own unique brand of ingenuity. Because of this, I have learned that I am really excellent at looking at significant situations from a variety of angles. I have developed an interesting method that employs a clear and sound approach to enhancing analytical thinking. Many sources were used to compile the data and expertise (</w:t>
      </w:r>
      <w:r>
        <w:rPr>
          <w:shd w:fill="FFFFFF" w:val="clear"/>
        </w:rPr>
        <w:t>Black, 2015)</w:t>
      </w:r>
      <w:r>
        <w:rPr/>
        <w:t>. In order to improve as a leader, I have stopped focusing so much on specific people and started listening to the collective wisdom of my colleagues. To hone my most important modes of thinking, I like reading authoritative scientific publications and trying out a wide variety of theoretical approaches.</w:t>
      </w:r>
    </w:p>
    <w:p>
      <w:pPr>
        <w:pStyle w:val="Normal"/>
        <w:rPr/>
      </w:pPr>
      <w:r>
        <w:rPr/>
        <w:t>Being a professional supervisor has allowed me to increase my organisational devotion via personal accountability and the satisfaction of a job well done (</w:t>
      </w:r>
      <w:r>
        <w:rPr>
          <w:shd w:fill="FFFFFF" w:val="clear"/>
        </w:rPr>
        <w:t>Lim et al., 2017)</w:t>
      </w:r>
      <w:r>
        <w:rPr/>
        <w:t>. I could also argue that I gave my all because I wanted the institution to have as much leeway as possible in terms of leadership and follower flexibility, and that is why I took on the duties I did. In such a situation, it is not crucial that the leadership be there to monitor the behaviour of the companion. Collective sharing techniques was an activity I accomplished in addition to problem-solving, and it needed the input of every single employee. The role of facilitators in administration is one that requires me to actively include everyone in making decisions. Therefore, I put in a lot of extra effort to achieve it. If managers provide many options for accomplishing the same objective, they may use the path-goal management concept (</w:t>
      </w:r>
      <w:r>
        <w:rPr>
          <w:shd w:fill="FFFFFF" w:val="clear"/>
        </w:rPr>
        <w:t>Chowdhury, 2014)</w:t>
      </w:r>
      <w:r>
        <w:rPr/>
        <w:t>. Under this theory, the leader is responsible for analysing the advice that must be given and inspiring the team to act in accordance with it via the use of praise, demands, and the provision of sound counsel.</w:t>
      </w:r>
    </w:p>
    <w:p>
      <w:pPr>
        <w:pStyle w:val="Normal"/>
        <w:rPr/>
      </w:pPr>
      <w:r>
        <w:rPr/>
        <w:t>Since I am less skilled in this area, it has been suggested that I delegate more decision-making authority to other members of the staff in order to develop as a leader. Resolving disputes and instilling a sense of agency in workers are two additional factors that support an environment that fosters decision-making (</w:t>
      </w:r>
      <w:r>
        <w:rPr>
          <w:shd w:fill="FFFFFF" w:val="clear"/>
        </w:rPr>
        <w:t>AlHashmi et al., 2019)</w:t>
      </w:r>
      <w:r>
        <w:rPr/>
        <w:t>. After I have given this some thought, I have concluded that possibly the task division helps alleviate or relieve the various executives from burnout and offers promotion opportunities. Since everyone on the team is involved in finding solutions, the authority has been spread. But it is important to note that the ability to make decisions helps employees maintain their enthusiasm for their jobs.</w:t>
      </w:r>
    </w:p>
    <w:p>
      <w:pPr>
        <w:pStyle w:val="Normal"/>
        <w:rPr/>
      </w:pPr>
      <w:r>
        <w:rPr/>
        <w:t>Furthermore, I have found that boosting workplace adaptability calls for workers to possess complementary skill sets related to the task at hand. This suggests that employees with high levels of adaptability take greater personal responsibility for their work's success or failure and actively seek out opportunities to increase their sense of fulfilment at work (</w:t>
      </w:r>
      <w:r>
        <w:rPr>
          <w:shd w:fill="FFFFFF" w:val="clear"/>
        </w:rPr>
        <w:t>Tourish, 2014)</w:t>
      </w:r>
      <w:r>
        <w:rPr/>
        <w:t>. My interpersonal skills are tied to the idea of flexibility essential to their industry, and I may obtain help from my employer in the form of tailored coaching and training to hone these skills and advance in my chosen career path.</w:t>
      </w:r>
    </w:p>
    <w:p>
      <w:pPr>
        <w:pStyle w:val="Normal"/>
        <w:rPr/>
      </w:pPr>
      <w:r>
        <w:rPr/>
        <w:t>Leonardo Hotels, an early adopter, has helped companies succeed because of its well-organized management structure. It is common to blame a company's fortunes on its management. Leonardo Hotels would benefit from David Fattal trying out a variety of leadership styles before settling on the most effective one (</w:t>
      </w:r>
      <w:r>
        <w:rPr>
          <w:shd w:fill="FFFFFF" w:val="clear"/>
        </w:rPr>
        <w:t>Alblooshi et al., 2021)</w:t>
      </w:r>
      <w:r>
        <w:rPr/>
        <w:t>. Leonardo Hotels’ definition of authoritarian leadership is a style in which the CEO makes decisions without consulting or consulting with staff. In the same vein as democratic leadership, giving employees more say over their job is an effective strategy for fostering a more appreciative and invested workforce. Only the views and personality of the commander, as expressed via aesthetic decisions made under authoritarian leadership, would convey the impression of a confident and well-run business.</w:t>
      </w:r>
    </w:p>
    <w:p>
      <w:pPr>
        <w:pStyle w:val="Normal"/>
        <w:rPr/>
      </w:pPr>
      <w:r>
        <w:rPr/>
        <w:t>David Fattal's leadership style, which evolves and adapts in reaction to changes in the business and the needs of the company, is likely responsible for some of Leonardo Hotel's success. David Fattal used a variety of tried-and-true management techniques, including exhibiting admirable attributes and acting professionally (</w:t>
      </w:r>
      <w:r>
        <w:rPr>
          <w:shd w:fill="FFFFFF" w:val="clear"/>
        </w:rPr>
        <w:t>Ramchunder and Martins, 2014)</w:t>
      </w:r>
      <w:r>
        <w:rPr/>
        <w:t>. The manager ought to be approachable, full of energy and optimism, and confident in his or her ability to inspire and motivate the team. The contextual contingencies strategy, which helps company management choose executives best suited to steer the company's efficacy, is also compatible with such circumstances. Given that Fiedler's Contingency idea indicates that a participant's organisational competence is maybe decided by her character and that it might again be changed after circumstances have moved, it is possible that I could apply this theory to my management (</w:t>
      </w:r>
      <w:r>
        <w:rPr>
          <w:shd w:fill="FFFFFF" w:val="clear"/>
        </w:rPr>
        <w:t>Hurduzeu, 2015)</w:t>
      </w:r>
      <w:r>
        <w:rPr/>
        <w:t>. According to this model, a leader's most distinctive qualities are concerned with people or the task at hand.</w:t>
      </w:r>
    </w:p>
    <w:p>
      <w:pPr>
        <w:pStyle w:val="Normal"/>
        <w:rPr/>
      </w:pPr>
      <w:r>
        <w:rPr/>
        <w:t>According to the contingency hypothesis framework, undertaking representatives are superior to partnership representatives in intricate concerns like joint ventures, procurement assignments, and manufacturing (</w:t>
      </w:r>
      <w:r>
        <w:rPr>
          <w:shd w:fill="FFFFFF" w:val="clear"/>
        </w:rPr>
        <w:t>Van Wart, 2014)</w:t>
      </w:r>
      <w:r>
        <w:rPr/>
        <w:t>. Relationship-oriented representatives outperform task-oriented representatives in intermediate fields such as financial services and sales. As a manager, I am relationship-oriented because I work to improve my relationships with each and every person on my team. Yet, in order to perform well in my most important roles, I need to learn the traits of a task-oriented commander. Yet, according to the situational hypothesis, there is no universally correct design for governance; rather, the circumstances in which leaders find themselves determine the design aesthetic that must be adopted by representatives in order to resolve a conflict (</w:t>
      </w:r>
      <w:r>
        <w:rPr>
          <w:shd w:fill="FFFFFF" w:val="clear"/>
        </w:rPr>
        <w:t>Renz, 2016)</w:t>
      </w:r>
      <w:r>
        <w:rPr/>
        <w:t>. I had always taken a cooperative approach to leadership, just as I do in a democratic situation. As a result, if I wanted to succeed as a manager, I would train myself to establish such command hierarchies and take a more authoritarian stance when necessary.</w:t>
      </w:r>
    </w:p>
    <w:p>
      <w:pPr>
        <w:pStyle w:val="Normal"/>
        <w:rPr/>
      </w:pPr>
      <w:r>
        <w:rPr/>
        <w:t>Because of this theory, I made more effective modifications and inspired more productivity from my staff. The term "scattered management" refers to using a company's finest talent to create novel solutions and develop its existing capabilities (</w:t>
      </w:r>
      <w:r>
        <w:rPr>
          <w:shd w:fill="FFFFFF" w:val="clear"/>
        </w:rPr>
        <w:t>Amanchukwu et al., 2015)</w:t>
      </w:r>
      <w:r>
        <w:rPr/>
        <w:t>. But not everyone is on board with the idea; new research has shown a link between collaborative management and increased productivity inside organisations. The manager is responsible for keeping an eye on morals and doing the right thing, in addition to their assigned tasks and network. A socially responsible figurehead exemplifies respect, fairness, honesty, group dynamics, ideals, and choices, promoting behaviour, raising valuation awareness and anticipation, and tolerating no morality infractions in the workplace.</w:t>
      </w:r>
    </w:p>
    <w:p>
      <w:pPr>
        <w:pStyle w:val="Normal"/>
        <w:rPr/>
      </w:pPr>
      <w:r>
        <w:rPr/>
        <w:t>Yet, significant management perspectives demonstrate how commercial promotions, like authority activity, are often a part of management in organisations (</w:t>
      </w:r>
      <w:r>
        <w:rPr>
          <w:shd w:fill="FFFFFF" w:val="clear"/>
        </w:rPr>
        <w:t>Bush, 2020)</w:t>
      </w:r>
      <w:r>
        <w:rPr/>
        <w:t>. When team members work together to strengthen the position of a leader or protect well-established authority figures and institutions, they engage in what is known as democratic structures. Strength also stems mostly from occupational authority. I need to start stealing from my co-workers to keep my power, govern resources, and control information. By working together, I might get support from members of the organisation and keep my employment while doing what I believe is right. But managers are not limited by their employees' activities and can assign responsibility to others (</w:t>
      </w:r>
      <w:r>
        <w:rPr>
          <w:shd w:fill="FFFFFF" w:val="clear"/>
        </w:rPr>
        <w:t>Black, 2015)</w:t>
      </w:r>
      <w:r>
        <w:rPr/>
        <w:t>. As part of my ambition to become a better leader, I want to put my strategy into practise. In the future, I want to use what I have learned about the company's structure and policies to fulfil my responsibilities and achieve my professional and personal objectives.</w:t>
      </w:r>
    </w:p>
    <w:p>
      <w:pPr>
        <w:pStyle w:val="Normal"/>
        <w:rPr/>
      </w:pPr>
      <w:r>
        <w:rPr/>
        <w:t>Managerial excellence is another name for the notion of management traits. The fact that a manager, by definition, oversees a group of people suggests that a person should have some innate aptitude for organising (</w:t>
      </w:r>
      <w:r>
        <w:rPr>
          <w:shd w:fill="FFFFFF" w:val="clear"/>
        </w:rPr>
        <w:t>Lim et al., 2017)</w:t>
      </w:r>
      <w:r>
        <w:rPr/>
        <w:t>. Upon closer inspection, it becomes clear that behavioural theorists place a premium on how executives behave; they believe that management positions are earned rather than inherited and that being a successful figurehead is predicated on observable, attainable behaviour. David Fattal's situation is a case study of how the characteristic hypothesis may be used to assess an effective leader's qualities, skills, and leadership styles. David Fattal believes that honesty is essential for a leader and that his own honesty has helped him build loyalty and provide the basis on which Leonardo Hotels has been able to grow (</w:t>
      </w:r>
      <w:r>
        <w:rPr>
          <w:shd w:fill="FFFFFF" w:val="clear"/>
        </w:rPr>
        <w:t>Chowdhury, 2014)</w:t>
      </w:r>
      <w:r>
        <w:rPr/>
        <w:t>.</w:t>
      </w:r>
    </w:p>
    <w:p>
      <w:pPr>
        <w:pStyle w:val="Normal"/>
        <w:rPr/>
      </w:pPr>
      <w:r>
        <w:rPr/>
        <w:t>The trait hypothesis also stresses the need to be creative. Although lacking in technical expertise, David Fattal runs a successful hotel business that has increased its market share. He shifts his focus to the customers and how they experience his services (</w:t>
      </w:r>
      <w:r>
        <w:rPr>
          <w:shd w:fill="FFFFFF" w:val="clear"/>
        </w:rPr>
        <w:t>AlHashmi et al., 2019)</w:t>
      </w:r>
      <w:r>
        <w:rPr/>
        <w:t xml:space="preserve">. This quality in management is a big reason why his organisation is able to provide decent products and services. David Fattal claims that a leader's job is to unite people around a common goal, but he has a hard time getting his friends, colleagues, and investors to buy into his ideas. Being able to see this and adapt his approach is another example of his remarkable skill and character that has led to his success. </w:t>
      </w:r>
    </w:p>
    <w:p>
      <w:pPr>
        <w:pStyle w:val="Normal"/>
        <w:rPr/>
      </w:pPr>
      <w:r>
        <w:rPr/>
        <w:t>So, the characteristic hypothesis suggests that a leader's primary responsibility is to unite his or her followers around a common goal. From what has been said above, it is clear that careful analysis and evaluation are required of a variety of factors before they can be relied upon to aid in the accomplishment of desired goals and objectives.</w:t>
      </w:r>
    </w:p>
    <w:p>
      <w:pPr>
        <w:pStyle w:val="Normal"/>
        <w:spacing w:lineRule="auto" w:line="259"/>
        <w:jc w:val="left"/>
        <w:rPr/>
      </w:pPr>
      <w:r>
        <w:rPr/>
      </w:r>
      <w:r>
        <w:br w:type="page"/>
      </w:r>
    </w:p>
    <w:p>
      <w:pPr>
        <w:pStyle w:val="Heading1"/>
        <w:rPr/>
      </w:pPr>
      <w:r>
        <w:rPr/>
        <w:t>References</w:t>
      </w:r>
    </w:p>
    <w:p>
      <w:pPr>
        <w:pStyle w:val="Normal"/>
        <w:ind w:left="720" w:hanging="720"/>
        <w:rPr>
          <w:shd w:fill="FFFFFF" w:val="clear"/>
        </w:rPr>
      </w:pPr>
      <w:r>
        <w:rPr>
          <w:shd w:fill="FFFFFF" w:val="clear"/>
        </w:rPr>
        <w:t>Alblooshi, M., Shamsuzzaman, M. and Haridy, S., 2021. The relationship between leadership styles and organisational innovation: A systematic literature review and narrative synthesis. </w:t>
      </w:r>
      <w:r>
        <w:rPr>
          <w:i/>
          <w:iCs/>
          <w:shd w:fill="FFFFFF" w:val="clear"/>
        </w:rPr>
        <w:t>European Journal of Innovation Management</w:t>
      </w:r>
      <w:r>
        <w:rPr>
          <w:shd w:fill="FFFFFF" w:val="clear"/>
        </w:rPr>
        <w:t>, </w:t>
      </w:r>
      <w:r>
        <w:rPr>
          <w:i/>
          <w:iCs/>
          <w:shd w:fill="FFFFFF" w:val="clear"/>
        </w:rPr>
        <w:t>24</w:t>
      </w:r>
      <w:r>
        <w:rPr>
          <w:shd w:fill="FFFFFF" w:val="clear"/>
        </w:rPr>
        <w:t>(2), pp.338-370.</w:t>
      </w:r>
    </w:p>
    <w:p>
      <w:pPr>
        <w:pStyle w:val="Normal"/>
        <w:ind w:left="720" w:hanging="720"/>
        <w:rPr>
          <w:shd w:fill="FFFFFF" w:val="clear"/>
        </w:rPr>
      </w:pPr>
      <w:r>
        <w:rPr>
          <w:shd w:fill="FFFFFF" w:val="clear"/>
        </w:rPr>
        <w:t>AlHashmi, M., Jabeen, F. and Papastathopoulos, A., 2019. Impact of leader–member exchange and perceived organisational support on turnover intention: The mediating effects of psychological stress. </w:t>
      </w:r>
      <w:r>
        <w:rPr>
          <w:i/>
          <w:iCs/>
          <w:shd w:fill="FFFFFF" w:val="clear"/>
        </w:rPr>
        <w:t>Policing: An International Journal</w:t>
      </w:r>
      <w:r>
        <w:rPr>
          <w:shd w:fill="FFFFFF" w:val="clear"/>
        </w:rPr>
        <w:t>, </w:t>
      </w:r>
      <w:r>
        <w:rPr>
          <w:i/>
          <w:iCs/>
          <w:shd w:fill="FFFFFF" w:val="clear"/>
        </w:rPr>
        <w:t>42</w:t>
      </w:r>
      <w:r>
        <w:rPr>
          <w:shd w:fill="FFFFFF" w:val="clear"/>
        </w:rPr>
        <w:t>(4), pp.520-536.</w:t>
      </w:r>
    </w:p>
    <w:p>
      <w:pPr>
        <w:pStyle w:val="Normal"/>
        <w:ind w:left="720" w:hanging="720"/>
        <w:rPr>
          <w:shd w:fill="FFFFFF" w:val="clear"/>
        </w:rPr>
      </w:pPr>
      <w:r>
        <w:rPr>
          <w:shd w:fill="FFFFFF" w:val="clear"/>
        </w:rPr>
        <w:t>Amanchukwu, R.N., Stanley, G.J. and Ololube, N.P., 2015. A review of leadership theories, principles and styles and their relevance to educational management. </w:t>
      </w:r>
      <w:r>
        <w:rPr>
          <w:i/>
          <w:iCs/>
          <w:shd w:fill="FFFFFF" w:val="clear"/>
        </w:rPr>
        <w:t>Management</w:t>
      </w:r>
      <w:r>
        <w:rPr>
          <w:shd w:fill="FFFFFF" w:val="clear"/>
        </w:rPr>
        <w:t>, </w:t>
      </w:r>
      <w:r>
        <w:rPr>
          <w:i/>
          <w:iCs/>
          <w:shd w:fill="FFFFFF" w:val="clear"/>
        </w:rPr>
        <w:t>5</w:t>
      </w:r>
      <w:r>
        <w:rPr>
          <w:shd w:fill="FFFFFF" w:val="clear"/>
        </w:rPr>
        <w:t>(1), pp.6-14.</w:t>
      </w:r>
    </w:p>
    <w:p>
      <w:pPr>
        <w:pStyle w:val="Normal"/>
        <w:ind w:left="720" w:hanging="720"/>
        <w:rPr>
          <w:shd w:fill="FFFFFF" w:val="clear"/>
        </w:rPr>
      </w:pPr>
      <w:r>
        <w:rPr>
          <w:shd w:fill="FFFFFF" w:val="clear"/>
        </w:rPr>
        <w:t>Black, S.A., 2015. Qualities of effective leadership in higher education. </w:t>
      </w:r>
      <w:r>
        <w:rPr>
          <w:i/>
          <w:iCs/>
          <w:shd w:fill="FFFFFF" w:val="clear"/>
        </w:rPr>
        <w:t>Open Journal of Leadership</w:t>
      </w:r>
      <w:r>
        <w:rPr>
          <w:shd w:fill="FFFFFF" w:val="clear"/>
        </w:rPr>
        <w:t>, </w:t>
      </w:r>
      <w:r>
        <w:rPr>
          <w:i/>
          <w:iCs/>
          <w:shd w:fill="FFFFFF" w:val="clear"/>
        </w:rPr>
        <w:t>4</w:t>
      </w:r>
      <w:r>
        <w:rPr>
          <w:shd w:fill="FFFFFF" w:val="clear"/>
        </w:rPr>
        <w:t>(02), p.54.</w:t>
      </w:r>
    </w:p>
    <w:p>
      <w:pPr>
        <w:pStyle w:val="Normal"/>
        <w:ind w:left="720" w:hanging="720"/>
        <w:rPr>
          <w:shd w:fill="FFFFFF" w:val="clear"/>
        </w:rPr>
      </w:pPr>
      <w:r>
        <w:rPr>
          <w:shd w:fill="FFFFFF" w:val="clear"/>
        </w:rPr>
        <w:t>Bush, T., 2020. Theories of educational leadership and management. </w:t>
      </w:r>
      <w:r>
        <w:rPr>
          <w:i/>
          <w:iCs/>
          <w:shd w:fill="FFFFFF" w:val="clear"/>
        </w:rPr>
        <w:t>Theories of Educational Leadership and Management</w:t>
      </w:r>
      <w:r>
        <w:rPr>
          <w:shd w:fill="FFFFFF" w:val="clear"/>
        </w:rPr>
        <w:t>, pp.1-208.</w:t>
      </w:r>
    </w:p>
    <w:p>
      <w:pPr>
        <w:pStyle w:val="Normal"/>
        <w:ind w:left="720" w:hanging="720"/>
        <w:rPr>
          <w:shd w:fill="FFFFFF" w:val="clear"/>
        </w:rPr>
      </w:pPr>
      <w:r>
        <w:rPr>
          <w:shd w:fill="FFFFFF" w:val="clear"/>
        </w:rPr>
        <w:t>Chowdhury, R.G., 2014. A study on the impact of leadership styles on employee motivation and commitment: An empirical study of selected organisations in corporate sector. </w:t>
      </w:r>
      <w:r>
        <w:rPr>
          <w:i/>
          <w:iCs/>
          <w:shd w:fill="FFFFFF" w:val="clear"/>
        </w:rPr>
        <w:t>Navi Mumbai: Padmashree Dr DY Patil University</w:t>
      </w:r>
      <w:r>
        <w:rPr>
          <w:shd w:fill="FFFFFF" w:val="clear"/>
        </w:rPr>
        <w:t>.</w:t>
      </w:r>
    </w:p>
    <w:p>
      <w:pPr>
        <w:pStyle w:val="Normal"/>
        <w:ind w:left="720" w:hanging="720"/>
        <w:rPr>
          <w:shd w:fill="FFFFFF" w:val="clear"/>
        </w:rPr>
      </w:pPr>
      <w:r>
        <w:rPr>
          <w:shd w:fill="FFFFFF" w:val="clear"/>
        </w:rPr>
        <w:t>Daniëls, E., Hondeghem, A. and Dochy, F., 2019. A review on leadership and leadership development in educational settings. </w:t>
      </w:r>
      <w:r>
        <w:rPr>
          <w:i/>
          <w:iCs/>
          <w:shd w:fill="FFFFFF" w:val="clear"/>
        </w:rPr>
        <w:t>Educational research review</w:t>
      </w:r>
      <w:r>
        <w:rPr>
          <w:shd w:fill="FFFFFF" w:val="clear"/>
        </w:rPr>
        <w:t>, </w:t>
      </w:r>
      <w:r>
        <w:rPr>
          <w:i/>
          <w:iCs/>
          <w:shd w:fill="FFFFFF" w:val="clear"/>
        </w:rPr>
        <w:t>27</w:t>
      </w:r>
      <w:r>
        <w:rPr>
          <w:shd w:fill="FFFFFF" w:val="clear"/>
        </w:rPr>
        <w:t>, pp.110-125.</w:t>
      </w:r>
    </w:p>
    <w:p>
      <w:pPr>
        <w:pStyle w:val="Normal"/>
        <w:ind w:left="720" w:hanging="720"/>
        <w:rPr>
          <w:shd w:fill="FFFFFF" w:val="clear"/>
        </w:rPr>
      </w:pPr>
      <w:r>
        <w:rPr>
          <w:shd w:fill="FFFFFF" w:val="clear"/>
        </w:rPr>
        <w:t>Day, C., Gu, Q. and Sammons, P., 2016. The impact of leadership on student outcomes: How successful school leaders use transformational and instructional strategies to make a difference. </w:t>
      </w:r>
      <w:r>
        <w:rPr>
          <w:i/>
          <w:iCs/>
          <w:shd w:fill="FFFFFF" w:val="clear"/>
        </w:rPr>
        <w:t>Educational administration quarterly</w:t>
      </w:r>
      <w:r>
        <w:rPr>
          <w:shd w:fill="FFFFFF" w:val="clear"/>
        </w:rPr>
        <w:t>, </w:t>
      </w:r>
      <w:r>
        <w:rPr>
          <w:i/>
          <w:iCs/>
          <w:shd w:fill="FFFFFF" w:val="clear"/>
        </w:rPr>
        <w:t>52</w:t>
      </w:r>
      <w:r>
        <w:rPr>
          <w:shd w:fill="FFFFFF" w:val="clear"/>
        </w:rPr>
        <w:t>(2), pp.221-258.</w:t>
      </w:r>
    </w:p>
    <w:p>
      <w:pPr>
        <w:pStyle w:val="Normal"/>
        <w:ind w:left="720" w:hanging="720"/>
        <w:rPr>
          <w:shd w:fill="FFFFFF" w:val="clear"/>
        </w:rPr>
      </w:pPr>
      <w:r>
        <w:rPr>
          <w:shd w:fill="FFFFFF" w:val="clear"/>
        </w:rPr>
        <w:t>Day, D.V., Fleenor, J.W., Atwater, L.E., Sturm, R.E. and McKee, R.A., 2014. Advances in leader and leadership development: A review of 25 years of research and theory. </w:t>
      </w:r>
      <w:r>
        <w:rPr>
          <w:i/>
          <w:iCs/>
          <w:shd w:fill="FFFFFF" w:val="clear"/>
        </w:rPr>
        <w:t>The leadership quarterly</w:t>
      </w:r>
      <w:r>
        <w:rPr>
          <w:shd w:fill="FFFFFF" w:val="clear"/>
        </w:rPr>
        <w:t>, </w:t>
      </w:r>
      <w:r>
        <w:rPr>
          <w:i/>
          <w:iCs/>
          <w:shd w:fill="FFFFFF" w:val="clear"/>
        </w:rPr>
        <w:t>25</w:t>
      </w:r>
      <w:r>
        <w:rPr>
          <w:shd w:fill="FFFFFF" w:val="clear"/>
        </w:rPr>
        <w:t>(1), pp.63-82.</w:t>
      </w:r>
    </w:p>
    <w:p>
      <w:pPr>
        <w:pStyle w:val="Normal"/>
        <w:ind w:left="720" w:hanging="720"/>
        <w:rPr>
          <w:shd w:fill="FFFFFF" w:val="clear"/>
        </w:rPr>
      </w:pPr>
      <w:r>
        <w:rPr>
          <w:shd w:fill="FFFFFF" w:val="clear"/>
        </w:rPr>
        <w:t>Hurduzeu, R.E., 2015. The impact of leadership on organizational performance. </w:t>
      </w:r>
      <w:r>
        <w:rPr>
          <w:i/>
          <w:iCs/>
          <w:shd w:fill="FFFFFF" w:val="clear"/>
        </w:rPr>
        <w:t>SEA–Practical Application of Science</w:t>
      </w:r>
      <w:r>
        <w:rPr>
          <w:shd w:fill="FFFFFF" w:val="clear"/>
        </w:rPr>
        <w:t>, </w:t>
      </w:r>
      <w:r>
        <w:rPr>
          <w:i/>
          <w:iCs/>
          <w:shd w:fill="FFFFFF" w:val="clear"/>
        </w:rPr>
        <w:t>3</w:t>
      </w:r>
      <w:r>
        <w:rPr>
          <w:shd w:fill="FFFFFF" w:val="clear"/>
        </w:rPr>
        <w:t>(07), pp.289-293.</w:t>
      </w:r>
    </w:p>
    <w:p>
      <w:pPr>
        <w:pStyle w:val="Normal"/>
        <w:ind w:left="720" w:hanging="720"/>
        <w:rPr>
          <w:shd w:fill="FFFFFF" w:val="clear"/>
        </w:rPr>
      </w:pPr>
      <w:r>
        <w:rPr>
          <w:shd w:fill="FFFFFF" w:val="clear"/>
        </w:rPr>
        <w:t>Lim, A.P., Loo, J.K. and Lee, P.H., 2017. The impact of leadership on turnover intention: The mediating role of organizational commitment and job satisfaction. </w:t>
      </w:r>
      <w:r>
        <w:rPr>
          <w:i/>
          <w:iCs/>
          <w:shd w:fill="FFFFFF" w:val="clear"/>
        </w:rPr>
        <w:t>Journal of Applied Structural Equation Modeling</w:t>
      </w:r>
      <w:r>
        <w:rPr>
          <w:shd w:fill="FFFFFF" w:val="clear"/>
        </w:rPr>
        <w:t>, </w:t>
      </w:r>
      <w:r>
        <w:rPr>
          <w:i/>
          <w:iCs/>
          <w:shd w:fill="FFFFFF" w:val="clear"/>
        </w:rPr>
        <w:t>1</w:t>
      </w:r>
      <w:r>
        <w:rPr>
          <w:shd w:fill="FFFFFF" w:val="clear"/>
        </w:rPr>
        <w:t>(1), pp.27-41.</w:t>
      </w:r>
    </w:p>
    <w:p>
      <w:pPr>
        <w:pStyle w:val="Normal"/>
        <w:ind w:left="720" w:hanging="720"/>
        <w:rPr>
          <w:shd w:fill="FFFFFF" w:val="clear"/>
        </w:rPr>
      </w:pPr>
      <w:r>
        <w:rPr>
          <w:shd w:fill="FFFFFF" w:val="clear"/>
        </w:rPr>
        <w:t>McDonald, I., Burke, C. and Stewart, K., 2018. </w:t>
      </w:r>
      <w:r>
        <w:rPr>
          <w:i/>
          <w:iCs/>
          <w:shd w:fill="FFFFFF" w:val="clear"/>
        </w:rPr>
        <w:t>Systems leadership: Creating positive organisations</w:t>
      </w:r>
      <w:r>
        <w:rPr>
          <w:shd w:fill="FFFFFF" w:val="clear"/>
        </w:rPr>
        <w:t>. Routledge.</w:t>
      </w:r>
    </w:p>
    <w:p>
      <w:pPr>
        <w:pStyle w:val="Normal"/>
        <w:ind w:left="720" w:hanging="720"/>
        <w:rPr>
          <w:shd w:fill="FFFFFF" w:val="clear"/>
        </w:rPr>
      </w:pPr>
      <w:r>
        <w:rPr>
          <w:shd w:fill="FFFFFF" w:val="clear"/>
        </w:rPr>
        <w:t>Ramchunder, Y. and Martins, N., 2014. The role of self-efficacy, emotional intelligence and leadership style as attributes of leadership effectiveness. </w:t>
      </w:r>
      <w:r>
        <w:rPr>
          <w:i/>
          <w:iCs/>
          <w:shd w:fill="FFFFFF" w:val="clear"/>
        </w:rPr>
        <w:t>SA Journal of Industrial Psychology</w:t>
      </w:r>
      <w:r>
        <w:rPr>
          <w:shd w:fill="FFFFFF" w:val="clear"/>
        </w:rPr>
        <w:t>, </w:t>
      </w:r>
      <w:r>
        <w:rPr>
          <w:i/>
          <w:iCs/>
          <w:shd w:fill="FFFFFF" w:val="clear"/>
        </w:rPr>
        <w:t>40</w:t>
      </w:r>
      <w:r>
        <w:rPr>
          <w:shd w:fill="FFFFFF" w:val="clear"/>
        </w:rPr>
        <w:t>(1), pp.1-11.</w:t>
      </w:r>
    </w:p>
    <w:p>
      <w:pPr>
        <w:pStyle w:val="Normal"/>
        <w:ind w:left="720" w:hanging="720"/>
        <w:rPr>
          <w:shd w:fill="FFFFFF" w:val="clear"/>
        </w:rPr>
      </w:pPr>
      <w:r>
        <w:rPr>
          <w:shd w:fill="FFFFFF" w:val="clear"/>
        </w:rPr>
        <w:t>Renz, D.O., 2016. The Jossey-Bass handbook of nonprofit leadership and management. John Wiley &amp; Sons.</w:t>
      </w:r>
    </w:p>
    <w:p>
      <w:pPr>
        <w:pStyle w:val="Normal"/>
        <w:ind w:left="720" w:hanging="720"/>
        <w:rPr>
          <w:shd w:fill="FFFFFF" w:val="clear"/>
        </w:rPr>
      </w:pPr>
      <w:r>
        <w:rPr>
          <w:shd w:fill="FFFFFF" w:val="clear"/>
        </w:rPr>
        <w:t>Tourish, D., 2014. Leadership, more or less? A processual, communication perspective on the role of agency in leadership theory. </w:t>
      </w:r>
      <w:r>
        <w:rPr>
          <w:i/>
          <w:iCs/>
          <w:shd w:fill="FFFFFF" w:val="clear"/>
        </w:rPr>
        <w:t>Leadership</w:t>
      </w:r>
      <w:r>
        <w:rPr>
          <w:shd w:fill="FFFFFF" w:val="clear"/>
        </w:rPr>
        <w:t>, </w:t>
      </w:r>
      <w:r>
        <w:rPr>
          <w:i/>
          <w:iCs/>
          <w:shd w:fill="FFFFFF" w:val="clear"/>
        </w:rPr>
        <w:t>10</w:t>
      </w:r>
      <w:r>
        <w:rPr>
          <w:shd w:fill="FFFFFF" w:val="clear"/>
        </w:rPr>
        <w:t>(1), pp.79-98.</w:t>
      </w:r>
    </w:p>
    <w:p>
      <w:pPr>
        <w:pStyle w:val="Normal"/>
        <w:ind w:left="720" w:hanging="720"/>
        <w:rPr>
          <w:shd w:fill="FFFFFF" w:val="clear"/>
        </w:rPr>
      </w:pPr>
      <w:r>
        <w:rPr>
          <w:shd w:fill="FFFFFF" w:val="clear"/>
        </w:rPr>
        <w:t>Van Wart, M., 2014. Dynamics of leadership in public service: Theory and practice. Routledge.</w:t>
      </w:r>
    </w:p>
    <w:p>
      <w:pPr>
        <w:pStyle w:val="Normal"/>
        <w:ind w:left="720" w:hanging="720"/>
        <w:rPr>
          <w:shd w:fill="FFFFFF" w:val="clear"/>
        </w:rPr>
      </w:pPr>
      <w:r>
        <w:rPr>
          <w:shd w:fill="FFFFFF" w:val="clear"/>
        </w:rPr>
      </w:r>
    </w:p>
    <w:p>
      <w:pPr>
        <w:pStyle w:val="Normal"/>
        <w:ind w:left="720" w:hanging="720"/>
        <w:rPr>
          <w:shd w:fill="FFFFFF" w:val="clear"/>
        </w:rPr>
      </w:pPr>
      <w:r>
        <w:rPr>
          <w:shd w:fill="FFFFFF" w:val="clear"/>
        </w:rPr>
      </w:r>
    </w:p>
    <w:p>
      <w:pPr>
        <w:pStyle w:val="Normal"/>
        <w:ind w:left="720" w:hanging="720"/>
        <w:rPr>
          <w:shd w:fill="FFFFFF" w:val="clear"/>
        </w:rPr>
      </w:pPr>
      <w:r>
        <w:rPr>
          <w:shd w:fill="FFFFFF" w:val="clear"/>
        </w:rPr>
      </w:r>
    </w:p>
    <w:p>
      <w:pPr>
        <w:pStyle w:val="Normal"/>
        <w:ind w:left="720" w:hanging="720"/>
        <w:rPr>
          <w:shd w:fill="FFFFFF" w:val="clear"/>
        </w:rPr>
      </w:pPr>
      <w:r>
        <w:rPr>
          <w:shd w:fill="FFFFFF" w:val="clear"/>
        </w:rPr>
      </w:r>
    </w:p>
    <w:p>
      <w:pPr>
        <w:pStyle w:val="Normal"/>
        <w:ind w:left="720" w:hanging="720"/>
        <w:rPr>
          <w:shd w:fill="FFFFFF" w:val="clear"/>
        </w:rPr>
      </w:pPr>
      <w:r>
        <w:rPr>
          <w:shd w:fill="FFFFFF" w:val="clear"/>
        </w:rPr>
      </w:r>
    </w:p>
    <w:p>
      <w:pPr>
        <w:pStyle w:val="Normal"/>
        <w:ind w:left="720" w:hanging="720"/>
        <w:rPr>
          <w:shd w:fill="FFFFFF" w:val="clear"/>
        </w:rPr>
      </w:pPr>
      <w:r>
        <w:rPr>
          <w:shd w:fill="FFFFFF" w:val="clear"/>
        </w:rPr>
      </w:r>
    </w:p>
    <w:p>
      <w:pPr>
        <w:pStyle w:val="Normal"/>
        <w:ind w:left="720" w:hanging="720"/>
        <w:rPr>
          <w:shd w:fill="FFFFFF" w:val="clear"/>
        </w:rPr>
      </w:pPr>
      <w:r>
        <w:rPr>
          <w:shd w:fill="FFFFFF" w:val="clear"/>
        </w:rPr>
      </w:r>
    </w:p>
    <w:p>
      <w:pPr>
        <w:pStyle w:val="Normal"/>
        <w:ind w:left="720" w:hanging="720"/>
        <w:rPr>
          <w:shd w:fill="FFFFFF" w:val="clear"/>
        </w:rPr>
      </w:pPr>
      <w:r>
        <w:rPr>
          <w:shd w:fill="FFFFFF" w:val="clear"/>
        </w:rPr>
      </w:r>
    </w:p>
    <w:p>
      <w:pPr>
        <w:pStyle w:val="Normal"/>
        <w:ind w:left="720" w:hanging="720"/>
        <w:rPr>
          <w:shd w:fill="FFFFFF" w:val="clear"/>
        </w:rPr>
      </w:pPr>
      <w:r>
        <w:rPr>
          <w:shd w:fill="FFFFFF" w:val="clear"/>
        </w:rPr>
      </w:r>
    </w:p>
    <w:p>
      <w:pPr>
        <w:pStyle w:val="Heading1"/>
        <w:rPr/>
      </w:pPr>
      <w:r>
        <w:rPr/>
        <w:t>Action Plan</w:t>
      </w:r>
    </w:p>
    <w:tbl>
      <w:tblPr>
        <w:tblStyle w:val="PlainTable1"/>
        <w:tblW w:w="935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37"/>
        <w:gridCol w:w="2337"/>
        <w:gridCol w:w="2338"/>
        <w:gridCol w:w="2337"/>
      </w:tblGrid>
      <w:tr>
        <w:trPr>
          <w:cnfStyle w:val="100000000000" w:firstRow="1" w:lastRow="0" w:firstColumn="0" w:lastColumn="0" w:oddVBand="0" w:evenVBand="0" w:oddHBand="0" w:evenHBand="0" w:firstRowFirstColumn="0" w:firstRowLastColumn="0" w:lastRowFirstColumn="0" w:lastRowLastColumn="0"/>
        </w:trPr>
        <w:tc>
          <w:tcPr>
            <w:tcW w:w="2337" w:type="dxa"/>
            <w:cnfStyle w:val="001000000000" w:firstRow="0" w:lastRow="0" w:firstColumn="1" w:lastColumn="0" w:oddVBand="0" w:evenVBand="0" w:oddHBand="0" w:evenHBand="0" w:firstRowFirstColumn="0" w:firstRowLastColumn="0" w:lastRowFirstColumn="0" w:lastRowLastColumn="0"/>
            <w:tcBorders/>
          </w:tcPr>
          <w:p>
            <w:pPr>
              <w:pStyle w:val="Normal"/>
              <w:widowControl/>
              <w:spacing w:before="0" w:after="0"/>
              <w:rPr>
                <w:rFonts w:eastAsia="Calibri" w:cs="Arial"/>
                <w:b/>
                <w:bCs/>
                <w:kern w:val="0"/>
                <w:szCs w:val="22"/>
                <w:lang w:val="en-GB" w:eastAsia="en-US" w:bidi="ar-SA"/>
              </w:rPr>
            </w:pPr>
            <w:r>
              <w:rPr>
                <w:rFonts w:eastAsia="Calibri" w:cs="Arial"/>
                <w:b/>
                <w:bCs/>
                <w:kern w:val="0"/>
                <w:szCs w:val="22"/>
                <w:lang w:val="en-GB" w:eastAsia="en-US" w:bidi="ar-SA"/>
              </w:rPr>
              <w:t>Areas of Improvement</w:t>
            </w:r>
          </w:p>
        </w:tc>
        <w:tc>
          <w:tcPr>
            <w:tcW w:w="2337" w:type="dxa"/>
            <w:tcBorders/>
          </w:tcPr>
          <w:p>
            <w:pPr>
              <w:pStyle w:val="Normal"/>
              <w:widowControl/>
              <w:spacing w:before="0" w:after="0"/>
              <w:cnfStyle w:val="100000000000" w:firstRow="1" w:lastRow="0" w:firstColumn="0" w:lastColumn="0" w:oddVBand="0" w:evenVBand="0" w:oddHBand="0" w:evenHBand="0" w:firstRowFirstColumn="0" w:firstRowLastColumn="0" w:lastRowFirstColumn="0" w:lastRowLastColumn="0"/>
              <w:rPr>
                <w:rFonts w:eastAsia="Calibri" w:cs="Arial"/>
                <w:b/>
                <w:bCs/>
                <w:kern w:val="0"/>
                <w:szCs w:val="22"/>
                <w:lang w:val="en-GB" w:eastAsia="en-US" w:bidi="ar-SA"/>
              </w:rPr>
            </w:pPr>
            <w:r>
              <w:rPr>
                <w:rFonts w:eastAsia="Calibri" w:cs="Arial"/>
                <w:b/>
                <w:bCs/>
                <w:kern w:val="0"/>
                <w:szCs w:val="22"/>
                <w:lang w:val="en-GB" w:eastAsia="en-US" w:bidi="ar-SA"/>
              </w:rPr>
              <w:t>Action</w:t>
            </w:r>
          </w:p>
        </w:tc>
        <w:tc>
          <w:tcPr>
            <w:tcW w:w="2338" w:type="dxa"/>
            <w:tcBorders/>
          </w:tcPr>
          <w:p>
            <w:pPr>
              <w:pStyle w:val="Normal"/>
              <w:widowControl/>
              <w:spacing w:before="0" w:after="0"/>
              <w:cnfStyle w:val="100000000000" w:firstRow="1" w:lastRow="0" w:firstColumn="0" w:lastColumn="0" w:oddVBand="0" w:evenVBand="0" w:oddHBand="0" w:evenHBand="0" w:firstRowFirstColumn="0" w:firstRowLastColumn="0" w:lastRowFirstColumn="0" w:lastRowLastColumn="0"/>
              <w:rPr>
                <w:rFonts w:eastAsia="Calibri" w:cs="Arial"/>
                <w:b/>
                <w:bCs/>
                <w:kern w:val="0"/>
                <w:szCs w:val="22"/>
                <w:lang w:val="en-GB" w:eastAsia="en-US" w:bidi="ar-SA"/>
              </w:rPr>
            </w:pPr>
            <w:r>
              <w:rPr>
                <w:rFonts w:eastAsia="Calibri" w:cs="Arial"/>
                <w:b/>
                <w:bCs/>
                <w:kern w:val="0"/>
                <w:szCs w:val="22"/>
                <w:lang w:val="en-GB" w:eastAsia="en-US" w:bidi="ar-SA"/>
              </w:rPr>
              <w:t>Place to attain</w:t>
            </w:r>
          </w:p>
        </w:tc>
        <w:tc>
          <w:tcPr>
            <w:tcW w:w="2337" w:type="dxa"/>
            <w:tcBorders/>
          </w:tcPr>
          <w:p>
            <w:pPr>
              <w:pStyle w:val="Normal"/>
              <w:widowControl/>
              <w:spacing w:before="0" w:after="0"/>
              <w:cnfStyle w:val="100000000000" w:firstRow="1" w:lastRow="0" w:firstColumn="0" w:lastColumn="0" w:oddVBand="0" w:evenVBand="0" w:oddHBand="0" w:evenHBand="0" w:firstRowFirstColumn="0" w:firstRowLastColumn="0" w:lastRowFirstColumn="0" w:lastRowLastColumn="0"/>
              <w:rPr>
                <w:rFonts w:eastAsia="Calibri" w:cs="Arial"/>
                <w:b/>
                <w:bCs/>
                <w:kern w:val="0"/>
                <w:szCs w:val="22"/>
                <w:lang w:val="en-GB" w:eastAsia="en-US" w:bidi="ar-SA"/>
              </w:rPr>
            </w:pPr>
            <w:r>
              <w:rPr>
                <w:rFonts w:eastAsia="Calibri" w:cs="Arial"/>
                <w:b/>
                <w:bCs/>
                <w:kern w:val="0"/>
                <w:szCs w:val="22"/>
                <w:lang w:val="en-GB" w:eastAsia="en-US" w:bidi="ar-SA"/>
              </w:rPr>
              <w:t>Timetable</w:t>
            </w:r>
          </w:p>
        </w:tc>
      </w:tr>
      <w:tr>
        <w:trPr>
          <w:cnfStyle w:val="000000100000" w:firstRow="0" w:lastRow="0" w:firstColumn="0" w:lastColumn="0" w:oddVBand="0" w:evenVBand="0" w:oddHBand="1" w:evenHBand="0" w:firstRowFirstColumn="0" w:firstRowLastColumn="0" w:lastRowFirstColumn="0" w:lastRowLastColumn="0"/>
        </w:trPr>
        <w:tc>
          <w:tcPr>
            <w:tcW w:w="2337" w:type="dxa"/>
            <w:cnfStyle w:val="001000000000" w:firstRow="0" w:lastRow="0" w:firstColumn="1" w:lastColumn="0" w:oddVBand="0" w:evenVBand="0" w:oddHBand="0" w:evenHBand="0" w:firstRowFirstColumn="0" w:firstRowLastColumn="0" w:lastRowFirstColumn="0" w:lastRowLastColumn="0"/>
            <w:tcBorders/>
            <w:shd w:color="auto" w:fill="F2F2F2" w:themeFill="background1" w:themeFillShade="f2" w:val="clear"/>
          </w:tcPr>
          <w:p>
            <w:pPr>
              <w:pStyle w:val="Normal"/>
              <w:widowControl/>
              <w:spacing w:before="0" w:after="0"/>
              <w:rPr>
                <w:rFonts w:eastAsia="Calibri" w:cs="Arial"/>
                <w:b/>
                <w:bCs/>
                <w:kern w:val="0"/>
                <w:szCs w:val="22"/>
                <w:lang w:val="en-GB" w:eastAsia="en-US" w:bidi="ar-SA"/>
              </w:rPr>
            </w:pPr>
            <w:r>
              <w:rPr>
                <w:rFonts w:eastAsia="Calibri" w:cs="Arial"/>
                <w:b/>
                <w:bCs/>
                <w:kern w:val="0"/>
                <w:szCs w:val="22"/>
                <w:lang w:val="en-GB" w:eastAsia="en-US" w:bidi="ar-SA"/>
              </w:rPr>
              <w:t>Decision-making Skills</w:t>
            </w:r>
          </w:p>
        </w:tc>
        <w:tc>
          <w:tcPr>
            <w:tcW w:w="2337" w:type="dxa"/>
            <w:tcBorders/>
            <w:shd w:color="auto" w:fill="F2F2F2" w:themeFill="background1" w:themeFillShade="f2" w:val="clear"/>
          </w:tcPr>
          <w:p>
            <w:pPr>
              <w:pStyle w:val="Normal"/>
              <w:widowControl/>
              <w:spacing w:before="0" w:after="0"/>
              <w:cnfStyle w:val="000000100000" w:firstRow="0" w:lastRow="0" w:firstColumn="0" w:lastColumn="0" w:oddVBand="0" w:evenVBand="0" w:oddHBand="1" w:evenHBand="0" w:firstRowFirstColumn="0" w:firstRowLastColumn="0" w:lastRowFirstColumn="0" w:lastRowLastColumn="0"/>
              <w:rPr>
                <w:rFonts w:eastAsia="Calibri" w:cs="Arial"/>
                <w:kern w:val="0"/>
                <w:szCs w:val="22"/>
                <w:lang w:val="en-GB" w:eastAsia="en-US" w:bidi="ar-SA"/>
              </w:rPr>
            </w:pPr>
            <w:r>
              <w:rPr>
                <w:rFonts w:eastAsia="Calibri" w:cs="Arial"/>
                <w:kern w:val="0"/>
                <w:szCs w:val="22"/>
                <w:lang w:val="en-GB" w:eastAsia="en-US" w:bidi="ar-SA"/>
              </w:rPr>
              <w:t>I plan to incorporate feedback from my co-workers and the suggestions of my boss into future decisions.</w:t>
            </w:r>
          </w:p>
        </w:tc>
        <w:tc>
          <w:tcPr>
            <w:tcW w:w="2338" w:type="dxa"/>
            <w:tcBorders/>
            <w:shd w:color="auto" w:fill="F2F2F2" w:themeFill="background1" w:themeFillShade="f2" w:val="clear"/>
          </w:tcPr>
          <w:p>
            <w:pPr>
              <w:pStyle w:val="Normal"/>
              <w:widowControl/>
              <w:spacing w:before="0" w:after="0"/>
              <w:cnfStyle w:val="000000100000" w:firstRow="0" w:lastRow="0" w:firstColumn="0" w:lastColumn="0" w:oddVBand="0" w:evenVBand="0" w:oddHBand="1" w:evenHBand="0" w:firstRowFirstColumn="0" w:firstRowLastColumn="0" w:lastRowFirstColumn="0" w:lastRowLastColumn="0"/>
              <w:rPr>
                <w:rFonts w:eastAsia="Calibri" w:cs="Arial"/>
                <w:kern w:val="0"/>
                <w:szCs w:val="22"/>
                <w:lang w:val="en-GB" w:eastAsia="en-US" w:bidi="ar-SA"/>
              </w:rPr>
            </w:pPr>
            <w:r>
              <w:rPr>
                <w:rFonts w:eastAsia="Calibri" w:cs="Arial"/>
                <w:kern w:val="0"/>
                <w:szCs w:val="22"/>
                <w:lang w:val="en-GB" w:eastAsia="en-US" w:bidi="ar-SA"/>
              </w:rPr>
              <w:t>At the workplace</w:t>
            </w:r>
          </w:p>
        </w:tc>
        <w:tc>
          <w:tcPr>
            <w:tcW w:w="2337" w:type="dxa"/>
            <w:tcBorders/>
            <w:shd w:color="auto" w:fill="F2F2F2" w:themeFill="background1" w:themeFillShade="f2" w:val="clear"/>
          </w:tcPr>
          <w:p>
            <w:pPr>
              <w:pStyle w:val="Normal"/>
              <w:widowControl/>
              <w:spacing w:before="0" w:after="0"/>
              <w:cnfStyle w:val="000000100000" w:firstRow="0" w:lastRow="0" w:firstColumn="0" w:lastColumn="0" w:oddVBand="0" w:evenVBand="0" w:oddHBand="1" w:evenHBand="0" w:firstRowFirstColumn="0" w:firstRowLastColumn="0" w:lastRowFirstColumn="0" w:lastRowLastColumn="0"/>
              <w:rPr>
                <w:rFonts w:eastAsia="Calibri" w:cs="Arial"/>
                <w:kern w:val="0"/>
                <w:szCs w:val="22"/>
                <w:lang w:val="en-GB" w:eastAsia="en-US" w:bidi="ar-SA"/>
              </w:rPr>
            </w:pPr>
            <w:r>
              <w:rPr>
                <w:rFonts w:eastAsia="Calibri" w:cs="Arial"/>
                <w:kern w:val="0"/>
                <w:szCs w:val="22"/>
                <w:lang w:val="en-GB" w:eastAsia="en-US" w:bidi="ar-SA"/>
              </w:rPr>
              <w:t>3 months.</w:t>
            </w:r>
          </w:p>
        </w:tc>
      </w:tr>
      <w:tr>
        <w:trPr/>
        <w:tc>
          <w:tcPr>
            <w:tcW w:w="2337" w:type="dxa"/>
            <w:cnfStyle w:val="001000000000" w:firstRow="0" w:lastRow="0" w:firstColumn="1" w:lastColumn="0" w:oddVBand="0" w:evenVBand="0" w:oddHBand="0" w:evenHBand="0" w:firstRowFirstColumn="0" w:firstRowLastColumn="0" w:lastRowFirstColumn="0" w:lastRowLastColumn="0"/>
            <w:tcBorders/>
          </w:tcPr>
          <w:p>
            <w:pPr>
              <w:pStyle w:val="Normal"/>
              <w:widowControl/>
              <w:spacing w:before="0" w:after="0"/>
              <w:rPr>
                <w:rFonts w:eastAsia="Calibri" w:cs="Arial"/>
                <w:b/>
                <w:bCs/>
                <w:kern w:val="0"/>
                <w:szCs w:val="22"/>
                <w:lang w:val="en-GB" w:eastAsia="en-US" w:bidi="ar-SA"/>
              </w:rPr>
            </w:pPr>
            <w:r>
              <w:rPr>
                <w:rFonts w:eastAsia="Calibri" w:cs="Arial"/>
                <w:b/>
                <w:bCs/>
                <w:kern w:val="0"/>
                <w:szCs w:val="22"/>
                <w:lang w:val="en-GB" w:eastAsia="en-US" w:bidi="ar-SA"/>
              </w:rPr>
              <w:t>Responsibility Skills</w:t>
            </w:r>
          </w:p>
        </w:tc>
        <w:tc>
          <w:tcPr>
            <w:tcW w:w="2337" w:type="dxa"/>
            <w:tcBorders/>
          </w:tcPr>
          <w:p>
            <w:pPr>
              <w:pStyle w:val="Normal"/>
              <w:widowControl/>
              <w:spacing w:before="0" w:after="0"/>
              <w:cnfStyle w:val="000000000000" w:firstRow="0" w:lastRow="0" w:firstColumn="0" w:lastColumn="0" w:oddVBand="0" w:evenVBand="0" w:oddHBand="0" w:evenHBand="0" w:firstRowFirstColumn="0" w:firstRowLastColumn="0" w:lastRowFirstColumn="0" w:lastRowLastColumn="0"/>
              <w:rPr>
                <w:rFonts w:eastAsia="Calibri" w:cs="Arial"/>
                <w:kern w:val="0"/>
                <w:szCs w:val="22"/>
                <w:lang w:val="en-GB" w:eastAsia="en-US" w:bidi="ar-SA"/>
              </w:rPr>
            </w:pPr>
            <w:r>
              <w:rPr>
                <w:rFonts w:eastAsia="Calibri" w:cs="Arial"/>
                <w:kern w:val="0"/>
                <w:szCs w:val="22"/>
                <w:lang w:val="en-GB" w:eastAsia="en-US" w:bidi="ar-SA"/>
              </w:rPr>
              <w:t>According to my own evaluations, my ability to delegate responsibilities is lacking. I plan on using the assimilation method of learning and conforming to authority figures in order to develop this skill.</w:t>
            </w:r>
          </w:p>
        </w:tc>
        <w:tc>
          <w:tcPr>
            <w:tcW w:w="2338" w:type="dxa"/>
            <w:tcBorders/>
          </w:tcPr>
          <w:p>
            <w:pPr>
              <w:pStyle w:val="Normal"/>
              <w:widowControl/>
              <w:spacing w:before="0" w:after="0"/>
              <w:cnfStyle w:val="000000000000" w:firstRow="0" w:lastRow="0" w:firstColumn="0" w:lastColumn="0" w:oddVBand="0" w:evenVBand="0" w:oddHBand="0" w:evenHBand="0" w:firstRowFirstColumn="0" w:firstRowLastColumn="0" w:lastRowFirstColumn="0" w:lastRowLastColumn="0"/>
              <w:rPr>
                <w:rFonts w:eastAsia="Calibri" w:cs="Arial"/>
                <w:kern w:val="0"/>
                <w:szCs w:val="22"/>
                <w:lang w:val="en-GB" w:eastAsia="en-US" w:bidi="ar-SA"/>
              </w:rPr>
            </w:pPr>
            <w:r>
              <w:rPr>
                <w:rFonts w:eastAsia="Calibri" w:cs="Arial"/>
                <w:kern w:val="0"/>
                <w:szCs w:val="22"/>
                <w:lang w:val="en-GB" w:eastAsia="en-US" w:bidi="ar-SA"/>
              </w:rPr>
              <w:t>At the workplace.</w:t>
            </w:r>
          </w:p>
        </w:tc>
        <w:tc>
          <w:tcPr>
            <w:tcW w:w="2337" w:type="dxa"/>
            <w:tcBorders/>
          </w:tcPr>
          <w:p>
            <w:pPr>
              <w:pStyle w:val="Normal"/>
              <w:widowControl/>
              <w:spacing w:before="0" w:after="0"/>
              <w:cnfStyle w:val="000000000000" w:firstRow="0" w:lastRow="0" w:firstColumn="0" w:lastColumn="0" w:oddVBand="0" w:evenVBand="0" w:oddHBand="0" w:evenHBand="0" w:firstRowFirstColumn="0" w:firstRowLastColumn="0" w:lastRowFirstColumn="0" w:lastRowLastColumn="0"/>
              <w:rPr>
                <w:rFonts w:eastAsia="Calibri" w:cs="Arial"/>
                <w:kern w:val="0"/>
                <w:szCs w:val="22"/>
                <w:lang w:val="en-GB" w:eastAsia="en-US" w:bidi="ar-SA"/>
              </w:rPr>
            </w:pPr>
            <w:r>
              <w:rPr>
                <w:rFonts w:eastAsia="Calibri" w:cs="Arial"/>
                <w:kern w:val="0"/>
                <w:szCs w:val="22"/>
                <w:lang w:val="en-GB" w:eastAsia="en-US" w:bidi="ar-SA"/>
              </w:rPr>
              <w:t>6 months.</w:t>
            </w:r>
          </w:p>
        </w:tc>
      </w:tr>
      <w:tr>
        <w:trPr>
          <w:cnfStyle w:val="000000100000" w:firstRow="0" w:lastRow="0" w:firstColumn="0" w:lastColumn="0" w:oddVBand="0" w:evenVBand="0" w:oddHBand="1" w:evenHBand="0" w:firstRowFirstColumn="0" w:firstRowLastColumn="0" w:lastRowFirstColumn="0" w:lastRowLastColumn="0"/>
        </w:trPr>
        <w:tc>
          <w:tcPr>
            <w:tcW w:w="2337" w:type="dxa"/>
            <w:cnfStyle w:val="001000000000" w:firstRow="0" w:lastRow="0" w:firstColumn="1" w:lastColumn="0" w:oddVBand="0" w:evenVBand="0" w:oddHBand="0" w:evenHBand="0" w:firstRowFirstColumn="0" w:firstRowLastColumn="0" w:lastRowFirstColumn="0" w:lastRowLastColumn="0"/>
            <w:tcBorders/>
            <w:shd w:color="auto" w:fill="F2F2F2" w:themeFill="background1" w:themeFillShade="f2" w:val="clear"/>
          </w:tcPr>
          <w:p>
            <w:pPr>
              <w:pStyle w:val="Normal"/>
              <w:widowControl/>
              <w:spacing w:before="0" w:after="0"/>
              <w:rPr>
                <w:rFonts w:eastAsia="Calibri" w:cs="Arial"/>
                <w:b/>
                <w:bCs/>
                <w:kern w:val="0"/>
                <w:szCs w:val="22"/>
                <w:lang w:val="en-GB" w:eastAsia="en-US" w:bidi="ar-SA"/>
              </w:rPr>
            </w:pPr>
            <w:r>
              <w:rPr>
                <w:rFonts w:eastAsia="Calibri" w:cs="Arial"/>
                <w:b/>
                <w:bCs/>
                <w:kern w:val="0"/>
                <w:szCs w:val="22"/>
                <w:lang w:val="en-GB" w:eastAsia="en-US" w:bidi="ar-SA"/>
              </w:rPr>
              <w:t>Critical thinking skills</w:t>
            </w:r>
          </w:p>
        </w:tc>
        <w:tc>
          <w:tcPr>
            <w:tcW w:w="2337" w:type="dxa"/>
            <w:tcBorders/>
            <w:shd w:color="auto" w:fill="F2F2F2" w:themeFill="background1" w:themeFillShade="f2" w:val="clear"/>
          </w:tcPr>
          <w:p>
            <w:pPr>
              <w:pStyle w:val="Normal"/>
              <w:widowControl/>
              <w:spacing w:before="0" w:after="0"/>
              <w:cnfStyle w:val="000000100000" w:firstRow="0" w:lastRow="0" w:firstColumn="0" w:lastColumn="0" w:oddVBand="0" w:evenVBand="0" w:oddHBand="1" w:evenHBand="0" w:firstRowFirstColumn="0" w:firstRowLastColumn="0" w:lastRowFirstColumn="0" w:lastRowLastColumn="0"/>
              <w:rPr>
                <w:rFonts w:eastAsia="Calibri" w:cs="Arial"/>
                <w:kern w:val="0"/>
                <w:szCs w:val="22"/>
                <w:lang w:val="en-GB" w:eastAsia="en-US" w:bidi="ar-SA"/>
              </w:rPr>
            </w:pPr>
            <w:r>
              <w:rPr>
                <w:rFonts w:eastAsia="Calibri" w:cs="Arial"/>
                <w:kern w:val="0"/>
                <w:szCs w:val="22"/>
                <w:lang w:val="en-GB" w:eastAsia="en-US" w:bidi="ar-SA"/>
              </w:rPr>
              <w:t>One way to sharpen these abilities is to take part in competitions, learn from the successes of others, and use a variety of perspectives while solving problems.</w:t>
            </w:r>
          </w:p>
        </w:tc>
        <w:tc>
          <w:tcPr>
            <w:tcW w:w="2338" w:type="dxa"/>
            <w:tcBorders/>
            <w:shd w:color="auto" w:fill="F2F2F2" w:themeFill="background1" w:themeFillShade="f2" w:val="clear"/>
          </w:tcPr>
          <w:p>
            <w:pPr>
              <w:pStyle w:val="Normal"/>
              <w:widowControl/>
              <w:spacing w:before="0" w:after="0"/>
              <w:cnfStyle w:val="000000100000" w:firstRow="0" w:lastRow="0" w:firstColumn="0" w:lastColumn="0" w:oddVBand="0" w:evenVBand="0" w:oddHBand="1" w:evenHBand="0" w:firstRowFirstColumn="0" w:firstRowLastColumn="0" w:lastRowFirstColumn="0" w:lastRowLastColumn="0"/>
              <w:rPr>
                <w:rFonts w:eastAsia="Calibri" w:cs="Arial"/>
                <w:kern w:val="0"/>
                <w:szCs w:val="22"/>
                <w:lang w:val="en-GB" w:eastAsia="en-US" w:bidi="ar-SA"/>
              </w:rPr>
            </w:pPr>
            <w:r>
              <w:rPr>
                <w:rFonts w:eastAsia="Calibri" w:cs="Arial"/>
                <w:kern w:val="0"/>
                <w:szCs w:val="22"/>
                <w:lang w:val="en-GB" w:eastAsia="en-US" w:bidi="ar-SA"/>
              </w:rPr>
              <w:t>At the workplace.</w:t>
            </w:r>
          </w:p>
        </w:tc>
        <w:tc>
          <w:tcPr>
            <w:tcW w:w="2337" w:type="dxa"/>
            <w:tcBorders/>
            <w:shd w:color="auto" w:fill="F2F2F2" w:themeFill="background1" w:themeFillShade="f2" w:val="clear"/>
          </w:tcPr>
          <w:p>
            <w:pPr>
              <w:pStyle w:val="Normal"/>
              <w:widowControl/>
              <w:spacing w:before="0" w:after="0"/>
              <w:cnfStyle w:val="000000100000" w:firstRow="0" w:lastRow="0" w:firstColumn="0" w:lastColumn="0" w:oddVBand="0" w:evenVBand="0" w:oddHBand="1" w:evenHBand="0" w:firstRowFirstColumn="0" w:firstRowLastColumn="0" w:lastRowFirstColumn="0" w:lastRowLastColumn="0"/>
              <w:rPr>
                <w:rFonts w:eastAsia="Calibri" w:cs="Arial"/>
                <w:kern w:val="0"/>
                <w:szCs w:val="22"/>
                <w:lang w:val="en-GB" w:eastAsia="en-US" w:bidi="ar-SA"/>
              </w:rPr>
            </w:pPr>
            <w:r>
              <w:rPr>
                <w:rFonts w:eastAsia="Calibri" w:cs="Arial"/>
                <w:kern w:val="0"/>
                <w:szCs w:val="22"/>
                <w:lang w:val="en-GB" w:eastAsia="en-US" w:bidi="ar-SA"/>
              </w:rPr>
              <w:t>3 months.</w:t>
            </w:r>
          </w:p>
        </w:tc>
      </w:tr>
    </w:tbl>
    <w:p>
      <w:pPr>
        <w:pStyle w:val="Normal"/>
        <w:widowControl/>
        <w:bidi w:val="0"/>
        <w:spacing w:lineRule="auto" w:line="360" w:before="0" w:after="160"/>
        <w:jc w:val="both"/>
        <w:rPr/>
      </w:pPr>
      <w:r>
        <w:rPr/>
      </w:r>
    </w:p>
    <w:sectPr>
      <w:footerReference w:type="default" r:id="rId2"/>
      <w:type w:val="nextPage"/>
      <w:pgSz w:w="12240" w:h="15840"/>
      <w:pgMar w:left="1440" w:right="1440" w:gutter="0" w:header="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526468802"/>
    </w:sdtPr>
    <w:sdtContent>
      <w:p>
        <w:pPr>
          <w:pStyle w:val="Footer"/>
          <w:jc w:val="right"/>
          <w:rPr/>
        </w:pPr>
        <w:r>
          <w:rPr/>
          <w:fldChar w:fldCharType="begin"/>
        </w:r>
        <w:r>
          <w:rPr/>
          <w:instrText xml:space="preserve"> PAGE </w:instrText>
        </w:r>
        <w:r>
          <w:rPr/>
          <w:fldChar w:fldCharType="separate"/>
        </w:r>
        <w:r>
          <w:rPr/>
          <w:t>9</w:t>
        </w:r>
        <w:r>
          <w:rPr/>
          <w:fldChar w:fldCharType="end"/>
        </w:r>
      </w:p>
    </w:sdtContent>
  </w:sdt>
  <w:p>
    <w:pPr>
      <w:pStyle w:val="Footer"/>
      <w:rPr/>
    </w:pPr>
    <w:r>
      <w:rPr/>
    </w:r>
  </w:p>
</w:ftr>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c50f5"/>
    <w:pPr>
      <w:widowControl/>
      <w:bidi w:val="0"/>
      <w:spacing w:lineRule="auto" w:line="360" w:before="0" w:after="160"/>
      <w:jc w:val="both"/>
    </w:pPr>
    <w:rPr>
      <w:rFonts w:ascii="Times New Roman" w:hAnsi="Times New Roman" w:eastAsia="Calibri" w:cs="Arial" w:cstheme="minorBidi" w:eastAsiaTheme="minorHAnsi"/>
      <w:color w:val="auto"/>
      <w:kern w:val="0"/>
      <w:sz w:val="24"/>
      <w:szCs w:val="22"/>
      <w:lang w:val="en-GB" w:eastAsia="en-US" w:bidi="ar-SA"/>
    </w:rPr>
  </w:style>
  <w:style w:type="paragraph" w:styleId="Heading1">
    <w:name w:val="Heading 1"/>
    <w:basedOn w:val="Normal"/>
    <w:next w:val="Normal"/>
    <w:link w:val="Heading1Char"/>
    <w:uiPriority w:val="9"/>
    <w:qFormat/>
    <w:rsid w:val="006b11b2"/>
    <w:pPr>
      <w:keepNext w:val="true"/>
      <w:keepLines/>
      <w:spacing w:before="240" w:after="0"/>
      <w:outlineLvl w:val="0"/>
    </w:pPr>
    <w:rPr>
      <w:rFonts w:eastAsia="" w:cs="Times New Roman" w:cstheme="majorBidi" w:eastAsiaTheme="majorEastAsia"/>
      <w:b/>
      <w:color w:val="2F5496" w:themeColor="accent1" w:themeShade="bf"/>
      <w:sz w:val="32"/>
      <w:szCs w:val="32"/>
    </w:rPr>
  </w:style>
  <w:style w:type="paragraph" w:styleId="Heading2">
    <w:name w:val="Heading 2"/>
    <w:basedOn w:val="Normal"/>
    <w:next w:val="Normal"/>
    <w:link w:val="Heading2Char"/>
    <w:uiPriority w:val="9"/>
    <w:unhideWhenUsed/>
    <w:qFormat/>
    <w:rsid w:val="0070257b"/>
    <w:pPr>
      <w:keepNext w:val="true"/>
      <w:keepLines/>
      <w:spacing w:before="40" w:after="0"/>
      <w:outlineLvl w:val="1"/>
    </w:pPr>
    <w:rPr>
      <w:rFonts w:eastAsia="" w:cs="Times New Roman" w:cstheme="majorBidi" w:eastAsiaTheme="majorEastAsia"/>
      <w:b/>
      <w:color w:val="2F5496" w:themeColor="accent1" w:themeShade="bf"/>
      <w:sz w:val="28"/>
      <w:szCs w:val="26"/>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70257b"/>
    <w:rPr>
      <w:rFonts w:ascii="Times New Roman" w:hAnsi="Times New Roman" w:eastAsia="" w:cs="Times New Roman" w:cstheme="majorBidi" w:eastAsiaTheme="majorEastAsia"/>
      <w:b/>
      <w:color w:val="2F5496" w:themeColor="accent1" w:themeShade="bf"/>
      <w:sz w:val="28"/>
      <w:szCs w:val="26"/>
    </w:rPr>
  </w:style>
  <w:style w:type="character" w:styleId="Heading1Char" w:customStyle="1">
    <w:name w:val="Heading 1 Char"/>
    <w:basedOn w:val="DefaultParagraphFont"/>
    <w:link w:val="Heading1"/>
    <w:uiPriority w:val="9"/>
    <w:qFormat/>
    <w:rsid w:val="006b11b2"/>
    <w:rPr>
      <w:rFonts w:ascii="Times New Roman" w:hAnsi="Times New Roman" w:eastAsia="" w:cs="Times New Roman" w:cstheme="majorBidi" w:eastAsiaTheme="majorEastAsia"/>
      <w:b/>
      <w:color w:val="2F5496" w:themeColor="accent1" w:themeShade="bf"/>
      <w:sz w:val="32"/>
      <w:szCs w:val="32"/>
    </w:rPr>
  </w:style>
  <w:style w:type="character" w:styleId="HeaderChar" w:customStyle="1">
    <w:name w:val="Header Char"/>
    <w:basedOn w:val="DefaultParagraphFont"/>
    <w:link w:val="Header"/>
    <w:uiPriority w:val="99"/>
    <w:qFormat/>
    <w:rsid w:val="00550764"/>
    <w:rPr>
      <w:rFonts w:ascii="Times New Roman" w:hAnsi="Times New Roman"/>
      <w:sz w:val="24"/>
    </w:rPr>
  </w:style>
  <w:style w:type="character" w:styleId="FooterChar" w:customStyle="1">
    <w:name w:val="Footer Char"/>
    <w:basedOn w:val="DefaultParagraphFont"/>
    <w:link w:val="Footer"/>
    <w:uiPriority w:val="99"/>
    <w:qFormat/>
    <w:rsid w:val="00550764"/>
    <w:rPr>
      <w:rFonts w:ascii="Times New Roman" w:hAnsi="Times New Roman"/>
      <w:sz w:val="24"/>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Header">
    <w:name w:val="Header"/>
    <w:basedOn w:val="Normal"/>
    <w:link w:val="HeaderChar"/>
    <w:uiPriority w:val="99"/>
    <w:unhideWhenUsed/>
    <w:rsid w:val="00550764"/>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550764"/>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b83e4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1">
    <w:name w:val="Plain Table 1"/>
    <w:basedOn w:val="TableNormal"/>
    <w:uiPriority w:val="41"/>
    <w:rsid w:val="00b83e4b"/>
    <w:pPr>
      <w:spacing w:after="0" w:line="240" w:lineRule="auto"/>
    </w:pPr>
    <w:tblPr>
      <w:tblStyleRowBandSize w:val="1"/>
      <w:tblStyleColBandSize w:val="1"/>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tblStylePr w:type="firstRow">
      <w:rPr>
        <w:b/>
        <w:bCs/>
      </w:rPr>
      <w:tblPr/>
    </w:tblStylePr>
    <w:tblStylePr w:type="lastRow">
      <w:rPr>
        <w:b/>
        <w:bCs/>
      </w:rPr>
      <w:tblPr/>
      <w:tcPr>
        <w:tcBorders>
          <w:top w:val="double" w:color="BFBFBF" w:themeColor="background1" w:sz="4" w:space="0"/>
        </w:tcBorders>
      </w:tcPr>
    </w:tblStylePr>
    <w:tblStylePr w:type="firstCol">
      <w:rPr>
        <w:b/>
        <w:bCs/>
      </w:rPr>
      <w:tblPr/>
    </w:tblStylePr>
    <w:tblStylePr w:type="lastCol">
      <w:rPr>
        <w:b/>
        <w:bCs/>
      </w:rPr>
      <w:tbl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Application>LibreOffice/7.5.0.3$Windows_X86_64 LibreOffice_project/c21113d003cd3efa8c53188764377a8272d9d6de</Application>
  <AppVersion>15.0000</AppVersion>
  <Pages>9</Pages>
  <Words>2546</Words>
  <Characters>14194</Characters>
  <CharactersWithSpaces>16684</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2023-03-04T06:25:00Z</dcterms:created>
  <dc:creator/>
  <dc:description/>
  <dc:language>en-GB</dc:language>
  <cp:lastModifiedBy/>
  <dcterms:modified xsi:type="dcterms:W3CDTF">2023-03-29T12:06:24Z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461724524d5e3dab901e68f1bd50af78faff8b115fe9fb39c9ec7348d1818e1a</vt:lpwstr>
  </property>
</Properties>
</file>