
<file path=[Content_Types].xml><?xml version="1.0" encoding="utf-8"?>
<Types xmlns="http://schemas.openxmlformats.org/package/2006/content-types">
  <Default Extension="xml" ContentType="application/xml"/>
  <Default Extension="png" ContentType="image/png"/>
  <Default Extension="jpeg" ContentType="image/jpe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footer1.xml" ContentType="application/vnd.openxmlformats-officedocument.wordprocessingml.footer+xml"/>
  <Override PartName="/customXml/itemProps1.xml" ContentType="application/vnd.openxmlformats-officedocument.customXmlProperties+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0"/>
        <w:jc w:val="center"/>
        <w:rPr>
          <w:rFonts w:ascii="Times New Roman" w:cs="Times New Roman" w:eastAsia="Times New Roman" w:hAnsi="Times New Roman"/>
          <w:b/>
          <w:bCs/>
          <w:sz w:val="32"/>
          <w:szCs w:val="32"/>
          <w:lang w:val="en-GB"/>
        </w:rPr>
      </w:pPr>
    </w:p>
    <w:p>
      <w:pPr>
        <w:pStyle w:val="style0"/>
        <w:jc w:val="center"/>
        <w:rPr>
          <w:rFonts w:ascii="Times New Roman" w:cs="Times New Roman" w:eastAsia="Times New Roman" w:hAnsi="Times New Roman"/>
          <w:b/>
          <w:bCs/>
          <w:sz w:val="32"/>
          <w:szCs w:val="32"/>
          <w:lang w:val="en-GB"/>
        </w:rPr>
      </w:pPr>
    </w:p>
    <w:p>
      <w:pPr>
        <w:pStyle w:val="style0"/>
        <w:jc w:val="center"/>
        <w:rPr>
          <w:rFonts w:eastAsia="Times New Roman"/>
          <w:b/>
          <w:bCs/>
          <w:sz w:val="32"/>
          <w:szCs w:val="32"/>
          <w:lang w:val="en-GB"/>
        </w:rPr>
      </w:pPr>
      <w:r>
        <w:rPr/>
        <w:drawing>
          <wp:inline distL="114300" distT="0" distB="0" distR="114300">
            <wp:extent cx="2857500" cy="1143726"/>
            <wp:effectExtent l="0" t="0" r="0" b="0"/>
            <wp:docPr id="1034" name="Image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8" name="Image"/>
                    <pic:cNvPicPr/>
                  </pic:nvPicPr>
                  <pic:blipFill>
                    <a:blip r:embed="rId2" cstate="print"/>
                    <a:srcRect l="0" t="0" r="0" b="0"/>
                    <a:stretch/>
                  </pic:blipFill>
                  <pic:spPr>
                    <a:xfrm rot="0">
                      <a:off x="0" y="0"/>
                      <a:ext cx="2857500" cy="1143726"/>
                    </a:xfrm>
                    <a:prstGeom prst="rect"/>
                  </pic:spPr>
                </pic:pic>
              </a:graphicData>
            </a:graphic>
          </wp:inline>
        </w:drawing>
      </w:r>
    </w:p>
    <w:p>
      <w:pPr>
        <w:pStyle w:val="style0"/>
        <w:jc w:val="center"/>
        <w:rPr>
          <w:rFonts w:eastAsia="Times New Roman"/>
          <w:b/>
          <w:bCs/>
          <w:sz w:val="32"/>
          <w:szCs w:val="32"/>
          <w:lang w:val="en-GB"/>
        </w:rPr>
      </w:pPr>
    </w:p>
    <w:p>
      <w:pPr>
        <w:pStyle w:val="style0"/>
        <w:jc w:val="center"/>
        <w:rPr>
          <w:rFonts w:eastAsia="Times New Roman"/>
          <w:b/>
          <w:bCs/>
          <w:sz w:val="32"/>
          <w:szCs w:val="32"/>
          <w:lang w:val="en-GB"/>
        </w:rPr>
      </w:pPr>
    </w:p>
    <w:p>
      <w:pPr>
        <w:pStyle w:val="style0"/>
        <w:jc w:val="center"/>
        <w:rPr>
          <w:rFonts w:eastAsia="Times New Roman"/>
          <w:b/>
          <w:bCs/>
          <w:sz w:val="32"/>
          <w:szCs w:val="32"/>
          <w:lang w:val="en-GB"/>
        </w:rPr>
      </w:pPr>
    </w:p>
    <w:p>
      <w:pPr>
        <w:pStyle w:val="style0"/>
        <w:jc w:val="center"/>
        <w:rPr>
          <w:rFonts w:eastAsia="Times New Roman"/>
          <w:b/>
          <w:bCs/>
          <w:sz w:val="32"/>
          <w:szCs w:val="32"/>
          <w:lang w:val="en-GB"/>
        </w:rPr>
      </w:pPr>
    </w:p>
    <w:p>
      <w:pPr>
        <w:pStyle w:val="style0"/>
        <w:jc w:val="center"/>
        <w:rPr>
          <w:rFonts w:eastAsia="Times New Roman"/>
          <w:b/>
          <w:bCs/>
          <w:sz w:val="32"/>
          <w:szCs w:val="32"/>
          <w:lang w:val="en-GB"/>
        </w:rPr>
      </w:pPr>
    </w:p>
    <w:p>
      <w:pPr>
        <w:pStyle w:val="style0"/>
        <w:jc w:val="center"/>
        <w:rPr>
          <w:rFonts w:eastAsia="Times New Roman"/>
          <w:b/>
          <w:bCs/>
          <w:sz w:val="32"/>
          <w:szCs w:val="32"/>
          <w:lang w:val="en-GB"/>
        </w:rPr>
      </w:pPr>
    </w:p>
    <w:p>
      <w:pPr>
        <w:pStyle w:val="style0"/>
        <w:jc w:val="center"/>
        <w:rPr>
          <w:rFonts w:eastAsia="Times New Roman"/>
          <w:b/>
          <w:bCs/>
          <w:sz w:val="32"/>
          <w:szCs w:val="32"/>
          <w:lang w:val="en-GB"/>
        </w:rPr>
      </w:pPr>
      <w:r>
        <w:rPr>
          <w:rFonts w:eastAsia="Times New Roman"/>
          <w:b/>
          <w:bCs/>
          <w:sz w:val="32"/>
          <w:szCs w:val="32"/>
          <w:lang w:val="en-GB"/>
        </w:rPr>
        <w:t>Master of Business Administration</w:t>
      </w:r>
    </w:p>
    <w:p>
      <w:pPr>
        <w:pStyle w:val="style0"/>
        <w:jc w:val="center"/>
        <w:rPr>
          <w:rFonts w:eastAsia="Times New Roman"/>
          <w:b/>
          <w:bCs/>
          <w:sz w:val="32"/>
          <w:szCs w:val="32"/>
          <w:lang w:val="en-GB"/>
        </w:rPr>
      </w:pPr>
      <w:r>
        <w:rPr>
          <w:rFonts w:eastAsia="Times New Roman"/>
          <w:b/>
          <w:bCs/>
          <w:sz w:val="32"/>
          <w:szCs w:val="32"/>
          <w:lang w:val="en-GB"/>
        </w:rPr>
        <w:t>Strategic Management</w:t>
      </w:r>
    </w:p>
    <w:p>
      <w:pPr>
        <w:pStyle w:val="style0"/>
        <w:jc w:val="center"/>
        <w:rPr>
          <w:rFonts w:eastAsia="Times New Roman"/>
          <w:b/>
          <w:bCs/>
          <w:sz w:val="32"/>
          <w:szCs w:val="32"/>
          <w:lang w:val="en-GB"/>
        </w:rPr>
      </w:pPr>
      <w:r>
        <w:rPr>
          <w:rFonts w:eastAsia="Times New Roman"/>
          <w:b/>
          <w:bCs/>
          <w:sz w:val="32"/>
          <w:szCs w:val="32"/>
          <w:lang w:val="en-GB"/>
        </w:rPr>
        <w:t xml:space="preserve">Student Name: </w:t>
      </w:r>
      <w:r>
        <w:rPr>
          <w:rFonts w:eastAsia="Times New Roman"/>
          <w:b/>
          <w:bCs/>
          <w:sz w:val="32"/>
          <w:szCs w:val="32"/>
          <w:lang w:val="en-US"/>
        </w:rPr>
        <w:t>Riya Yogesh patel</w:t>
      </w:r>
    </w:p>
    <w:p>
      <w:pPr>
        <w:pStyle w:val="style0"/>
        <w:jc w:val="center"/>
        <w:rPr>
          <w:rFonts w:eastAsia="Times New Roman"/>
          <w:b/>
          <w:bCs/>
          <w:sz w:val="32"/>
          <w:szCs w:val="32"/>
          <w:lang w:val="en-GB"/>
        </w:rPr>
      </w:pPr>
      <w:r>
        <w:rPr>
          <w:rFonts w:eastAsia="Times New Roman"/>
          <w:b/>
          <w:bCs/>
          <w:sz w:val="32"/>
          <w:szCs w:val="32"/>
          <w:lang w:val="en-GB"/>
        </w:rPr>
        <w:t xml:space="preserve">Student ID: </w:t>
      </w:r>
      <w:r>
        <w:rPr>
          <w:rFonts w:eastAsia="Times New Roman"/>
          <w:b/>
          <w:bCs/>
          <w:sz w:val="32"/>
          <w:szCs w:val="32"/>
          <w:lang w:val="en-US"/>
        </w:rPr>
        <w:t>2434472</w:t>
      </w:r>
    </w:p>
    <w:p>
      <w:pPr>
        <w:pStyle w:val="style0"/>
        <w:rPr>
          <w:rFonts w:ascii="Times New Roman" w:cs="Times New Roman" w:eastAsia="Times New Roman" w:hAnsi="Times New Roman"/>
          <w:b/>
          <w:bCs/>
          <w:sz w:val="32"/>
          <w:szCs w:val="32"/>
          <w:lang w:val="en-GB"/>
        </w:rPr>
      </w:pPr>
    </w:p>
    <w:p>
      <w:pPr>
        <w:pStyle w:val="style0"/>
        <w:rPr>
          <w:rFonts w:ascii="Times New Roman" w:cs="Times New Roman" w:eastAsia="Times New Roman" w:hAnsi="Times New Roman"/>
          <w:b/>
          <w:bCs/>
          <w:sz w:val="28"/>
          <w:szCs w:val="28"/>
          <w:lang w:val="en-GB"/>
        </w:rPr>
      </w:pPr>
    </w:p>
    <w:bookmarkStart w:id="0" w:name="_u1ahvr3oetyc" w:colFirst="0" w:colLast="0"/>
    <w:bookmarkEnd w:id="0"/>
    <w:p>
      <w:pPr>
        <w:pStyle w:val="style0"/>
        <w:rPr>
          <w:b/>
          <w:bCs/>
          <w:sz w:val="28"/>
          <w:szCs w:val="28"/>
          <w:lang w:val="en-GB"/>
        </w:rPr>
      </w:pPr>
      <w:r>
        <w:rPr>
          <w:lang w:val="en-GB"/>
        </w:rPr>
        <w:br w:type="page"/>
      </w:r>
    </w:p>
    <w:p>
      <w:pPr>
        <w:pStyle w:val="style266"/>
        <w:spacing w:lineRule="auto" w:line="360"/>
        <w:jc w:val="center"/>
        <w:rPr>
          <w:rFonts w:ascii="Arial" w:cs="Arial" w:hAnsi="Arial"/>
          <w:b/>
          <w:color w:val="auto"/>
          <w:sz w:val="28"/>
          <w:szCs w:val="28"/>
          <w:lang w:val="en-GB"/>
        </w:rPr>
      </w:pPr>
      <w:r>
        <w:rPr>
          <w:rFonts w:ascii="Arial" w:cs="Arial" w:hAnsi="Arial"/>
          <w:b/>
          <w:color w:val="auto"/>
          <w:sz w:val="28"/>
          <w:szCs w:val="28"/>
          <w:lang w:val="en-GB"/>
        </w:rPr>
        <w:t>Table of Contents</w:t>
      </w:r>
    </w:p>
    <w:p>
      <w:pPr>
        <w:pStyle w:val="style19"/>
        <w:tabs>
          <w:tab w:val="right" w:leader="dot" w:pos="9019"/>
        </w:tabs>
        <w:rPr>
          <w:lang w:val="en-GB"/>
        </w:rPr>
      </w:pPr>
      <w:r>
        <w:rPr>
          <w:lang w:val="en-GB"/>
        </w:rPr>
        <w:fldChar w:fldCharType="begin"/>
      </w:r>
      <w:r>
        <w:rPr>
          <w:lang w:val="en-GB"/>
        </w:rPr>
        <w:instrText xml:space="preserve"> TOC \o "1-3" \h \z \u </w:instrText>
      </w:r>
      <w:r>
        <w:rPr>
          <w:lang w:val="en-GB"/>
        </w:rPr>
        <w:fldChar w:fldCharType="separate"/>
      </w:r>
      <w:r>
        <w:rPr/>
        <w:fldChar w:fldCharType="begin"/>
      </w:r>
      <w:r>
        <w:instrText xml:space="preserve"> HYPERLINK \l "_Toc215672462" </w:instrText>
      </w:r>
      <w:r>
        <w:rPr/>
        <w:fldChar w:fldCharType="separate"/>
      </w:r>
      <w:r>
        <w:rPr>
          <w:rStyle w:val="style85"/>
          <w:lang w:val="en-GB"/>
        </w:rPr>
        <w:t>1. Introduction</w:t>
      </w:r>
      <w:r>
        <w:rPr>
          <w:webHidden/>
          <w:lang w:val="en-GB"/>
        </w:rPr>
        <w:tab/>
      </w:r>
      <w:r>
        <w:rPr>
          <w:webHidden/>
          <w:lang w:val="en-GB"/>
        </w:rPr>
        <w:fldChar w:fldCharType="begin"/>
      </w:r>
      <w:r>
        <w:rPr>
          <w:webHidden/>
          <w:lang w:val="en-GB"/>
        </w:rPr>
        <w:instrText xml:space="preserve"> PAGEREF _Toc215672462 \h </w:instrText>
      </w:r>
      <w:r>
        <w:rPr>
          <w:webHidden/>
          <w:lang w:val="en-GB"/>
        </w:rPr>
        <w:fldChar w:fldCharType="separate"/>
      </w:r>
      <w:r>
        <w:rPr>
          <w:webHidden/>
          <w:lang w:val="en-GB"/>
        </w:rPr>
        <w:t>3</w:t>
      </w:r>
      <w:r>
        <w:rPr>
          <w:webHidden/>
          <w:lang w:val="en-GB"/>
        </w:rPr>
        <w:fldChar w:fldCharType="end"/>
      </w:r>
      <w:r>
        <w:rPr/>
        <w:fldChar w:fldCharType="end"/>
      </w:r>
    </w:p>
    <w:p>
      <w:pPr>
        <w:pStyle w:val="style19"/>
        <w:tabs>
          <w:tab w:val="right" w:leader="dot" w:pos="9019"/>
        </w:tabs>
        <w:rPr>
          <w:lang w:val="en-GB"/>
        </w:rPr>
      </w:pPr>
      <w:r>
        <w:rPr/>
        <w:fldChar w:fldCharType="begin"/>
      </w:r>
      <w:r>
        <w:instrText xml:space="preserve"> HYPERLINK \l "_Toc215672463" </w:instrText>
      </w:r>
      <w:r>
        <w:rPr/>
        <w:fldChar w:fldCharType="separate"/>
      </w:r>
      <w:r>
        <w:rPr>
          <w:rStyle w:val="style85"/>
          <w:lang w:val="en-GB"/>
        </w:rPr>
        <w:t>2. Selection of Organisation and Target Market</w:t>
      </w:r>
      <w:r>
        <w:rPr>
          <w:webHidden/>
          <w:lang w:val="en-GB"/>
        </w:rPr>
        <w:tab/>
      </w:r>
      <w:r>
        <w:rPr>
          <w:webHidden/>
          <w:lang w:val="en-GB"/>
        </w:rPr>
        <w:fldChar w:fldCharType="begin"/>
      </w:r>
      <w:r>
        <w:rPr>
          <w:webHidden/>
          <w:lang w:val="en-GB"/>
        </w:rPr>
        <w:instrText xml:space="preserve"> PAGEREF _Toc215672463 \h </w:instrText>
      </w:r>
      <w:r>
        <w:rPr>
          <w:webHidden/>
          <w:lang w:val="en-GB"/>
        </w:rPr>
        <w:fldChar w:fldCharType="separate"/>
      </w:r>
      <w:r>
        <w:rPr>
          <w:webHidden/>
          <w:lang w:val="en-GB"/>
        </w:rPr>
        <w:t>4</w:t>
      </w:r>
      <w:r>
        <w:rPr>
          <w:webHidden/>
          <w:lang w:val="en-GB"/>
        </w:rPr>
        <w:fldChar w:fldCharType="end"/>
      </w:r>
      <w:r>
        <w:rPr/>
        <w:fldChar w:fldCharType="end"/>
      </w:r>
    </w:p>
    <w:p>
      <w:pPr>
        <w:pStyle w:val="style20"/>
        <w:tabs>
          <w:tab w:val="right" w:leader="dot" w:pos="9019"/>
        </w:tabs>
        <w:rPr>
          <w:lang w:val="en-GB"/>
        </w:rPr>
      </w:pPr>
      <w:r>
        <w:rPr/>
        <w:fldChar w:fldCharType="begin"/>
      </w:r>
      <w:r>
        <w:instrText xml:space="preserve"> HYPERLINK \l "_Toc215672464" </w:instrText>
      </w:r>
      <w:r>
        <w:rPr/>
        <w:fldChar w:fldCharType="separate"/>
      </w:r>
      <w:r>
        <w:rPr>
          <w:rStyle w:val="style85"/>
          <w:lang w:val="en-GB"/>
        </w:rPr>
        <w:t>2.1 Selection of Organisation</w:t>
      </w:r>
      <w:r>
        <w:rPr>
          <w:webHidden/>
          <w:lang w:val="en-GB"/>
        </w:rPr>
        <w:tab/>
      </w:r>
      <w:r>
        <w:rPr>
          <w:webHidden/>
          <w:lang w:val="en-GB"/>
        </w:rPr>
        <w:fldChar w:fldCharType="begin"/>
      </w:r>
      <w:r>
        <w:rPr>
          <w:webHidden/>
          <w:lang w:val="en-GB"/>
        </w:rPr>
        <w:instrText xml:space="preserve"> PAGEREF _Toc215672464 \h </w:instrText>
      </w:r>
      <w:r>
        <w:rPr>
          <w:webHidden/>
          <w:lang w:val="en-GB"/>
        </w:rPr>
        <w:fldChar w:fldCharType="separate"/>
      </w:r>
      <w:r>
        <w:rPr>
          <w:webHidden/>
          <w:lang w:val="en-GB"/>
        </w:rPr>
        <w:t>4</w:t>
      </w:r>
      <w:r>
        <w:rPr>
          <w:webHidden/>
          <w:lang w:val="en-GB"/>
        </w:rPr>
        <w:fldChar w:fldCharType="end"/>
      </w:r>
      <w:r>
        <w:rPr/>
        <w:fldChar w:fldCharType="end"/>
      </w:r>
    </w:p>
    <w:p>
      <w:pPr>
        <w:pStyle w:val="style20"/>
        <w:tabs>
          <w:tab w:val="right" w:leader="dot" w:pos="9019"/>
        </w:tabs>
        <w:rPr>
          <w:lang w:val="en-GB"/>
        </w:rPr>
      </w:pPr>
      <w:r>
        <w:rPr/>
        <w:fldChar w:fldCharType="begin"/>
      </w:r>
      <w:r>
        <w:instrText xml:space="preserve"> HYPERLINK \l "_Toc215672465" </w:instrText>
      </w:r>
      <w:r>
        <w:rPr/>
        <w:fldChar w:fldCharType="separate"/>
      </w:r>
      <w:r>
        <w:rPr>
          <w:rStyle w:val="style85"/>
          <w:lang w:val="en-GB"/>
        </w:rPr>
        <w:t>2.2 Analysis of Current Strategy</w:t>
      </w:r>
      <w:r>
        <w:rPr>
          <w:webHidden/>
          <w:lang w:val="en-GB"/>
        </w:rPr>
        <w:tab/>
      </w:r>
      <w:r>
        <w:rPr>
          <w:webHidden/>
          <w:lang w:val="en-GB"/>
        </w:rPr>
        <w:fldChar w:fldCharType="begin"/>
      </w:r>
      <w:r>
        <w:rPr>
          <w:webHidden/>
          <w:lang w:val="en-GB"/>
        </w:rPr>
        <w:instrText xml:space="preserve"> PAGEREF _Toc215672465 \h </w:instrText>
      </w:r>
      <w:r>
        <w:rPr>
          <w:webHidden/>
          <w:lang w:val="en-GB"/>
        </w:rPr>
        <w:fldChar w:fldCharType="separate"/>
      </w:r>
      <w:r>
        <w:rPr>
          <w:webHidden/>
          <w:lang w:val="en-GB"/>
        </w:rPr>
        <w:t>4</w:t>
      </w:r>
      <w:r>
        <w:rPr>
          <w:webHidden/>
          <w:lang w:val="en-GB"/>
        </w:rPr>
        <w:fldChar w:fldCharType="end"/>
      </w:r>
      <w:r>
        <w:rPr/>
        <w:fldChar w:fldCharType="end"/>
      </w:r>
    </w:p>
    <w:p>
      <w:pPr>
        <w:pStyle w:val="style20"/>
        <w:tabs>
          <w:tab w:val="right" w:leader="dot" w:pos="9019"/>
        </w:tabs>
        <w:rPr>
          <w:lang w:val="en-GB"/>
        </w:rPr>
      </w:pPr>
      <w:r>
        <w:rPr/>
        <w:fldChar w:fldCharType="begin"/>
      </w:r>
      <w:r>
        <w:instrText xml:space="preserve"> HYPERLINK \l "_Toc215672466" </w:instrText>
      </w:r>
      <w:r>
        <w:rPr/>
        <w:fldChar w:fldCharType="separate"/>
      </w:r>
      <w:r>
        <w:rPr>
          <w:rStyle w:val="style85"/>
          <w:lang w:val="en-GB"/>
        </w:rPr>
        <w:t>2.3 Selection of Target International Market</w:t>
      </w:r>
      <w:r>
        <w:rPr>
          <w:webHidden/>
          <w:lang w:val="en-GB"/>
        </w:rPr>
        <w:tab/>
      </w:r>
      <w:r>
        <w:rPr>
          <w:webHidden/>
          <w:lang w:val="en-GB"/>
        </w:rPr>
        <w:fldChar w:fldCharType="begin"/>
      </w:r>
      <w:r>
        <w:rPr>
          <w:webHidden/>
          <w:lang w:val="en-GB"/>
        </w:rPr>
        <w:instrText xml:space="preserve"> PAGEREF _Toc215672466 \h </w:instrText>
      </w:r>
      <w:r>
        <w:rPr>
          <w:webHidden/>
          <w:lang w:val="en-GB"/>
        </w:rPr>
        <w:fldChar w:fldCharType="separate"/>
      </w:r>
      <w:r>
        <w:rPr>
          <w:webHidden/>
          <w:lang w:val="en-GB"/>
        </w:rPr>
        <w:t>6</w:t>
      </w:r>
      <w:r>
        <w:rPr>
          <w:webHidden/>
          <w:lang w:val="en-GB"/>
        </w:rPr>
        <w:fldChar w:fldCharType="end"/>
      </w:r>
      <w:r>
        <w:rPr/>
        <w:fldChar w:fldCharType="end"/>
      </w:r>
    </w:p>
    <w:p>
      <w:pPr>
        <w:pStyle w:val="style20"/>
        <w:tabs>
          <w:tab w:val="right" w:leader="dot" w:pos="9019"/>
        </w:tabs>
        <w:rPr>
          <w:lang w:val="en-GB"/>
        </w:rPr>
      </w:pPr>
      <w:r>
        <w:rPr/>
        <w:fldChar w:fldCharType="begin"/>
      </w:r>
      <w:r>
        <w:instrText xml:space="preserve"> HYPERLINK \l "_Toc215672467" </w:instrText>
      </w:r>
      <w:r>
        <w:rPr/>
        <w:fldChar w:fldCharType="separate"/>
      </w:r>
      <w:r>
        <w:rPr>
          <w:rStyle w:val="style85"/>
          <w:lang w:val="en-GB"/>
        </w:rPr>
        <w:t>2.4 Justification for Market Selection</w:t>
      </w:r>
      <w:r>
        <w:rPr>
          <w:webHidden/>
          <w:lang w:val="en-GB"/>
        </w:rPr>
        <w:tab/>
      </w:r>
      <w:r>
        <w:rPr>
          <w:webHidden/>
          <w:lang w:val="en-GB"/>
        </w:rPr>
        <w:fldChar w:fldCharType="begin"/>
      </w:r>
      <w:r>
        <w:rPr>
          <w:webHidden/>
          <w:lang w:val="en-GB"/>
        </w:rPr>
        <w:instrText xml:space="preserve"> PAGEREF _Toc215672467 \h </w:instrText>
      </w:r>
      <w:r>
        <w:rPr>
          <w:webHidden/>
          <w:lang w:val="en-GB"/>
        </w:rPr>
        <w:fldChar w:fldCharType="separate"/>
      </w:r>
      <w:r>
        <w:rPr>
          <w:webHidden/>
          <w:lang w:val="en-GB"/>
        </w:rPr>
        <w:t>6</w:t>
      </w:r>
      <w:r>
        <w:rPr>
          <w:webHidden/>
          <w:lang w:val="en-GB"/>
        </w:rPr>
        <w:fldChar w:fldCharType="end"/>
      </w:r>
      <w:r>
        <w:rPr/>
        <w:fldChar w:fldCharType="end"/>
      </w:r>
    </w:p>
    <w:p>
      <w:pPr>
        <w:pStyle w:val="style19"/>
        <w:tabs>
          <w:tab w:val="right" w:leader="dot" w:pos="9019"/>
        </w:tabs>
        <w:rPr>
          <w:lang w:val="en-GB"/>
        </w:rPr>
      </w:pPr>
      <w:r>
        <w:rPr/>
        <w:fldChar w:fldCharType="begin"/>
      </w:r>
      <w:r>
        <w:instrText xml:space="preserve"> HYPERLINK \l "_Toc215672468" </w:instrText>
      </w:r>
      <w:r>
        <w:rPr/>
        <w:fldChar w:fldCharType="separate"/>
      </w:r>
      <w:r>
        <w:rPr>
          <w:rStyle w:val="style85"/>
          <w:lang w:val="en-GB"/>
        </w:rPr>
        <w:t>3. Comprehensive Strategic Analysis of Myanmar</w:t>
      </w:r>
      <w:r>
        <w:rPr>
          <w:webHidden/>
          <w:lang w:val="en-GB"/>
        </w:rPr>
        <w:tab/>
      </w:r>
      <w:r>
        <w:rPr>
          <w:webHidden/>
          <w:lang w:val="en-GB"/>
        </w:rPr>
        <w:fldChar w:fldCharType="begin"/>
      </w:r>
      <w:r>
        <w:rPr>
          <w:webHidden/>
          <w:lang w:val="en-GB"/>
        </w:rPr>
        <w:instrText xml:space="preserve"> PAGEREF _Toc215672468 \h </w:instrText>
      </w:r>
      <w:r>
        <w:rPr>
          <w:webHidden/>
          <w:lang w:val="en-GB"/>
        </w:rPr>
        <w:fldChar w:fldCharType="separate"/>
      </w:r>
      <w:r>
        <w:rPr>
          <w:webHidden/>
          <w:lang w:val="en-GB"/>
        </w:rPr>
        <w:t>8</w:t>
      </w:r>
      <w:r>
        <w:rPr>
          <w:webHidden/>
          <w:lang w:val="en-GB"/>
        </w:rPr>
        <w:fldChar w:fldCharType="end"/>
      </w:r>
      <w:r>
        <w:rPr/>
        <w:fldChar w:fldCharType="end"/>
      </w:r>
    </w:p>
    <w:p>
      <w:pPr>
        <w:pStyle w:val="style20"/>
        <w:tabs>
          <w:tab w:val="right" w:leader="dot" w:pos="9019"/>
        </w:tabs>
        <w:rPr>
          <w:lang w:val="en-GB"/>
        </w:rPr>
      </w:pPr>
      <w:r>
        <w:rPr/>
        <w:fldChar w:fldCharType="begin"/>
      </w:r>
      <w:r>
        <w:instrText xml:space="preserve"> HYPERLINK \l "_Toc215672469" </w:instrText>
      </w:r>
      <w:r>
        <w:rPr/>
        <w:fldChar w:fldCharType="separate"/>
      </w:r>
      <w:r>
        <w:rPr>
          <w:rStyle w:val="style85"/>
          <w:lang w:val="en-GB"/>
        </w:rPr>
        <w:t>3.1 Macro-Environmental Analysis – PESTLE</w:t>
      </w:r>
      <w:r>
        <w:rPr>
          <w:webHidden/>
          <w:lang w:val="en-GB"/>
        </w:rPr>
        <w:tab/>
      </w:r>
      <w:r>
        <w:rPr>
          <w:webHidden/>
          <w:lang w:val="en-GB"/>
        </w:rPr>
        <w:fldChar w:fldCharType="begin"/>
      </w:r>
      <w:r>
        <w:rPr>
          <w:webHidden/>
          <w:lang w:val="en-GB"/>
        </w:rPr>
        <w:instrText xml:space="preserve"> PAGEREF _Toc215672469 \h </w:instrText>
      </w:r>
      <w:r>
        <w:rPr>
          <w:webHidden/>
          <w:lang w:val="en-GB"/>
        </w:rPr>
        <w:fldChar w:fldCharType="separate"/>
      </w:r>
      <w:r>
        <w:rPr>
          <w:webHidden/>
          <w:lang w:val="en-GB"/>
        </w:rPr>
        <w:t>8</w:t>
      </w:r>
      <w:r>
        <w:rPr>
          <w:webHidden/>
          <w:lang w:val="en-GB"/>
        </w:rPr>
        <w:fldChar w:fldCharType="end"/>
      </w:r>
      <w:r>
        <w:rPr/>
        <w:fldChar w:fldCharType="end"/>
      </w:r>
    </w:p>
    <w:p>
      <w:pPr>
        <w:pStyle w:val="style20"/>
        <w:tabs>
          <w:tab w:val="right" w:leader="dot" w:pos="9019"/>
        </w:tabs>
        <w:rPr>
          <w:lang w:val="en-GB"/>
        </w:rPr>
      </w:pPr>
      <w:r>
        <w:rPr/>
        <w:fldChar w:fldCharType="begin"/>
      </w:r>
      <w:r>
        <w:instrText xml:space="preserve"> HYPERLINK \l "_Toc215672470" </w:instrText>
      </w:r>
      <w:r>
        <w:rPr/>
        <w:fldChar w:fldCharType="separate"/>
      </w:r>
      <w:r>
        <w:rPr>
          <w:rStyle w:val="style85"/>
          <w:lang w:val="en-GB"/>
        </w:rPr>
        <w:t>3.2 Industry Analysis – Porter’s Five Forces</w:t>
      </w:r>
      <w:r>
        <w:rPr>
          <w:webHidden/>
          <w:lang w:val="en-GB"/>
        </w:rPr>
        <w:tab/>
      </w:r>
      <w:r>
        <w:rPr>
          <w:webHidden/>
          <w:lang w:val="en-GB"/>
        </w:rPr>
        <w:fldChar w:fldCharType="begin"/>
      </w:r>
      <w:r>
        <w:rPr>
          <w:webHidden/>
          <w:lang w:val="en-GB"/>
        </w:rPr>
        <w:instrText xml:space="preserve"> PAGEREF _Toc215672470 \h </w:instrText>
      </w:r>
      <w:r>
        <w:rPr>
          <w:webHidden/>
          <w:lang w:val="en-GB"/>
        </w:rPr>
        <w:fldChar w:fldCharType="separate"/>
      </w:r>
      <w:r>
        <w:rPr>
          <w:webHidden/>
          <w:lang w:val="en-GB"/>
        </w:rPr>
        <w:t>11</w:t>
      </w:r>
      <w:r>
        <w:rPr>
          <w:webHidden/>
          <w:lang w:val="en-GB"/>
        </w:rPr>
        <w:fldChar w:fldCharType="end"/>
      </w:r>
      <w:r>
        <w:rPr/>
        <w:fldChar w:fldCharType="end"/>
      </w:r>
    </w:p>
    <w:p>
      <w:pPr>
        <w:pStyle w:val="style20"/>
        <w:tabs>
          <w:tab w:val="right" w:leader="dot" w:pos="9019"/>
        </w:tabs>
        <w:rPr>
          <w:lang w:val="en-GB"/>
        </w:rPr>
      </w:pPr>
      <w:r>
        <w:rPr/>
        <w:fldChar w:fldCharType="begin"/>
      </w:r>
      <w:r>
        <w:instrText xml:space="preserve"> HYPERLINK \l "_Toc215672471" </w:instrText>
      </w:r>
      <w:r>
        <w:rPr/>
        <w:fldChar w:fldCharType="separate"/>
      </w:r>
      <w:r>
        <w:rPr>
          <w:rStyle w:val="style85"/>
          <w:lang w:val="en-GB"/>
        </w:rPr>
        <w:t>3.3 Internal Strategic Fit – VRIO</w:t>
      </w:r>
      <w:r>
        <w:rPr>
          <w:webHidden/>
          <w:lang w:val="en-GB"/>
        </w:rPr>
        <w:tab/>
      </w:r>
      <w:r>
        <w:rPr>
          <w:webHidden/>
          <w:lang w:val="en-GB"/>
        </w:rPr>
        <w:fldChar w:fldCharType="begin"/>
      </w:r>
      <w:r>
        <w:rPr>
          <w:webHidden/>
          <w:lang w:val="en-GB"/>
        </w:rPr>
        <w:instrText xml:space="preserve"> PAGEREF _Toc215672471 \h </w:instrText>
      </w:r>
      <w:r>
        <w:rPr>
          <w:webHidden/>
          <w:lang w:val="en-GB"/>
        </w:rPr>
        <w:fldChar w:fldCharType="separate"/>
      </w:r>
      <w:r>
        <w:rPr>
          <w:webHidden/>
          <w:lang w:val="en-GB"/>
        </w:rPr>
        <w:t>15</w:t>
      </w:r>
      <w:r>
        <w:rPr>
          <w:webHidden/>
          <w:lang w:val="en-GB"/>
        </w:rPr>
        <w:fldChar w:fldCharType="end"/>
      </w:r>
      <w:r>
        <w:rPr/>
        <w:fldChar w:fldCharType="end"/>
      </w:r>
    </w:p>
    <w:p>
      <w:pPr>
        <w:pStyle w:val="style19"/>
        <w:tabs>
          <w:tab w:val="right" w:leader="dot" w:pos="9019"/>
        </w:tabs>
        <w:rPr>
          <w:lang w:val="en-GB"/>
        </w:rPr>
      </w:pPr>
      <w:r>
        <w:rPr/>
        <w:fldChar w:fldCharType="begin"/>
      </w:r>
      <w:r>
        <w:instrText xml:space="preserve"> HYPERLINK \l "_Toc215672472" </w:instrText>
      </w:r>
      <w:r>
        <w:rPr/>
        <w:fldChar w:fldCharType="separate"/>
      </w:r>
      <w:r>
        <w:rPr>
          <w:rStyle w:val="style85"/>
          <w:lang w:val="en-GB"/>
        </w:rPr>
        <w:t>4. Strategy Development and Formulation</w:t>
      </w:r>
      <w:r>
        <w:rPr>
          <w:webHidden/>
          <w:lang w:val="en-GB"/>
        </w:rPr>
        <w:tab/>
      </w:r>
      <w:r>
        <w:rPr>
          <w:webHidden/>
          <w:lang w:val="en-GB"/>
        </w:rPr>
        <w:fldChar w:fldCharType="begin"/>
      </w:r>
      <w:r>
        <w:rPr>
          <w:webHidden/>
          <w:lang w:val="en-GB"/>
        </w:rPr>
        <w:instrText xml:space="preserve"> PAGEREF _Toc215672472 \h </w:instrText>
      </w:r>
      <w:r>
        <w:rPr>
          <w:webHidden/>
          <w:lang w:val="en-GB"/>
        </w:rPr>
        <w:fldChar w:fldCharType="separate"/>
      </w:r>
      <w:r>
        <w:rPr>
          <w:webHidden/>
          <w:lang w:val="en-GB"/>
        </w:rPr>
        <w:t>16</w:t>
      </w:r>
      <w:r>
        <w:rPr>
          <w:webHidden/>
          <w:lang w:val="en-GB"/>
        </w:rPr>
        <w:fldChar w:fldCharType="end"/>
      </w:r>
      <w:r>
        <w:rPr/>
        <w:fldChar w:fldCharType="end"/>
      </w:r>
    </w:p>
    <w:p>
      <w:pPr>
        <w:pStyle w:val="style20"/>
        <w:tabs>
          <w:tab w:val="right" w:leader="dot" w:pos="9019"/>
        </w:tabs>
        <w:rPr>
          <w:lang w:val="en-GB"/>
        </w:rPr>
      </w:pPr>
      <w:r>
        <w:rPr/>
        <w:fldChar w:fldCharType="begin"/>
      </w:r>
      <w:r>
        <w:instrText xml:space="preserve"> HYPERLINK \l "_Toc215672473" </w:instrText>
      </w:r>
      <w:r>
        <w:rPr/>
        <w:fldChar w:fldCharType="separate"/>
      </w:r>
      <w:r>
        <w:rPr>
          <w:rStyle w:val="style85"/>
          <w:lang w:val="en-GB"/>
        </w:rPr>
        <w:t>4.1 Porter’s Generic Competitive Strategies</w:t>
      </w:r>
      <w:r>
        <w:rPr>
          <w:webHidden/>
          <w:lang w:val="en-GB"/>
        </w:rPr>
        <w:tab/>
      </w:r>
      <w:r>
        <w:rPr>
          <w:webHidden/>
          <w:lang w:val="en-GB"/>
        </w:rPr>
        <w:fldChar w:fldCharType="begin"/>
      </w:r>
      <w:r>
        <w:rPr>
          <w:webHidden/>
          <w:lang w:val="en-GB"/>
        </w:rPr>
        <w:instrText xml:space="preserve"> PAGEREF _Toc215672473 \h </w:instrText>
      </w:r>
      <w:r>
        <w:rPr>
          <w:webHidden/>
          <w:lang w:val="en-GB"/>
        </w:rPr>
        <w:fldChar w:fldCharType="separate"/>
      </w:r>
      <w:r>
        <w:rPr>
          <w:webHidden/>
          <w:lang w:val="en-GB"/>
        </w:rPr>
        <w:t>16</w:t>
      </w:r>
      <w:r>
        <w:rPr>
          <w:webHidden/>
          <w:lang w:val="en-GB"/>
        </w:rPr>
        <w:fldChar w:fldCharType="end"/>
      </w:r>
      <w:r>
        <w:rPr/>
        <w:fldChar w:fldCharType="end"/>
      </w:r>
    </w:p>
    <w:p>
      <w:pPr>
        <w:pStyle w:val="style20"/>
        <w:tabs>
          <w:tab w:val="right" w:leader="dot" w:pos="9019"/>
        </w:tabs>
        <w:rPr>
          <w:lang w:val="en-GB"/>
        </w:rPr>
      </w:pPr>
      <w:r>
        <w:rPr/>
        <w:fldChar w:fldCharType="begin"/>
      </w:r>
      <w:r>
        <w:instrText xml:space="preserve"> HYPERLINK \l "_Toc215672474" </w:instrText>
      </w:r>
      <w:r>
        <w:rPr/>
        <w:fldChar w:fldCharType="separate"/>
      </w:r>
      <w:r>
        <w:rPr>
          <w:rStyle w:val="style85"/>
          <w:lang w:val="en-GB"/>
        </w:rPr>
        <w:t>4.2 McKinsey 7S Framework</w:t>
      </w:r>
      <w:r>
        <w:rPr>
          <w:webHidden/>
          <w:lang w:val="en-GB"/>
        </w:rPr>
        <w:tab/>
      </w:r>
      <w:r>
        <w:rPr>
          <w:webHidden/>
          <w:lang w:val="en-GB"/>
        </w:rPr>
        <w:fldChar w:fldCharType="begin"/>
      </w:r>
      <w:r>
        <w:rPr>
          <w:webHidden/>
          <w:lang w:val="en-GB"/>
        </w:rPr>
        <w:instrText xml:space="preserve"> PAGEREF _Toc215672474 \h </w:instrText>
      </w:r>
      <w:r>
        <w:rPr>
          <w:webHidden/>
          <w:lang w:val="en-GB"/>
        </w:rPr>
        <w:fldChar w:fldCharType="separate"/>
      </w:r>
      <w:r>
        <w:rPr>
          <w:webHidden/>
          <w:lang w:val="en-GB"/>
        </w:rPr>
        <w:t>19</w:t>
      </w:r>
      <w:r>
        <w:rPr>
          <w:webHidden/>
          <w:lang w:val="en-GB"/>
        </w:rPr>
        <w:fldChar w:fldCharType="end"/>
      </w:r>
      <w:r>
        <w:rPr/>
        <w:fldChar w:fldCharType="end"/>
      </w:r>
    </w:p>
    <w:p>
      <w:pPr>
        <w:pStyle w:val="style19"/>
        <w:tabs>
          <w:tab w:val="right" w:leader="dot" w:pos="9019"/>
        </w:tabs>
        <w:rPr>
          <w:lang w:val="en-GB"/>
        </w:rPr>
      </w:pPr>
      <w:r>
        <w:rPr/>
        <w:fldChar w:fldCharType="begin"/>
      </w:r>
      <w:r>
        <w:instrText xml:space="preserve"> HYPERLINK \l "_Toc215672475" </w:instrText>
      </w:r>
      <w:r>
        <w:rPr/>
        <w:fldChar w:fldCharType="separate"/>
      </w:r>
      <w:r>
        <w:rPr>
          <w:rStyle w:val="style85"/>
          <w:lang w:val="en-GB"/>
        </w:rPr>
        <w:t>5. Performance Evaluation Framework</w:t>
      </w:r>
      <w:r>
        <w:rPr>
          <w:webHidden/>
          <w:lang w:val="en-GB"/>
        </w:rPr>
        <w:tab/>
      </w:r>
      <w:r>
        <w:rPr>
          <w:webHidden/>
          <w:lang w:val="en-GB"/>
        </w:rPr>
        <w:fldChar w:fldCharType="begin"/>
      </w:r>
      <w:r>
        <w:rPr>
          <w:webHidden/>
          <w:lang w:val="en-GB"/>
        </w:rPr>
        <w:instrText xml:space="preserve"> PAGEREF _Toc215672475 \h </w:instrText>
      </w:r>
      <w:r>
        <w:rPr>
          <w:webHidden/>
          <w:lang w:val="en-GB"/>
        </w:rPr>
        <w:fldChar w:fldCharType="separate"/>
      </w:r>
      <w:r>
        <w:rPr>
          <w:webHidden/>
          <w:lang w:val="en-GB"/>
        </w:rPr>
        <w:t>21</w:t>
      </w:r>
      <w:r>
        <w:rPr>
          <w:webHidden/>
          <w:lang w:val="en-GB"/>
        </w:rPr>
        <w:fldChar w:fldCharType="end"/>
      </w:r>
      <w:r>
        <w:rPr/>
        <w:fldChar w:fldCharType="end"/>
      </w:r>
    </w:p>
    <w:p>
      <w:pPr>
        <w:pStyle w:val="style20"/>
        <w:tabs>
          <w:tab w:val="right" w:leader="dot" w:pos="9019"/>
        </w:tabs>
        <w:rPr>
          <w:lang w:val="en-GB"/>
        </w:rPr>
      </w:pPr>
      <w:r>
        <w:rPr/>
        <w:fldChar w:fldCharType="begin"/>
      </w:r>
      <w:r>
        <w:instrText xml:space="preserve"> HYPERLINK \l "_Toc215672476" </w:instrText>
      </w:r>
      <w:r>
        <w:rPr/>
        <w:fldChar w:fldCharType="separate"/>
      </w:r>
      <w:r>
        <w:rPr>
          <w:rStyle w:val="style85"/>
          <w:lang w:val="en-GB"/>
        </w:rPr>
        <w:t>5.1 Triple Bottom Line</w:t>
      </w:r>
      <w:r>
        <w:rPr>
          <w:webHidden/>
          <w:lang w:val="en-GB"/>
        </w:rPr>
        <w:tab/>
      </w:r>
      <w:r>
        <w:rPr>
          <w:webHidden/>
          <w:lang w:val="en-GB"/>
        </w:rPr>
        <w:fldChar w:fldCharType="begin"/>
      </w:r>
      <w:r>
        <w:rPr>
          <w:webHidden/>
          <w:lang w:val="en-GB"/>
        </w:rPr>
        <w:instrText xml:space="preserve"> PAGEREF _Toc215672476 \h </w:instrText>
      </w:r>
      <w:r>
        <w:rPr>
          <w:webHidden/>
          <w:lang w:val="en-GB"/>
        </w:rPr>
        <w:fldChar w:fldCharType="separate"/>
      </w:r>
      <w:r>
        <w:rPr>
          <w:webHidden/>
          <w:lang w:val="en-GB"/>
        </w:rPr>
        <w:t>21</w:t>
      </w:r>
      <w:r>
        <w:rPr>
          <w:webHidden/>
          <w:lang w:val="en-GB"/>
        </w:rPr>
        <w:fldChar w:fldCharType="end"/>
      </w:r>
      <w:r>
        <w:rPr/>
        <w:fldChar w:fldCharType="end"/>
      </w:r>
    </w:p>
    <w:p>
      <w:pPr>
        <w:pStyle w:val="style19"/>
        <w:tabs>
          <w:tab w:val="right" w:leader="dot" w:pos="9019"/>
        </w:tabs>
        <w:rPr>
          <w:lang w:val="en-GB"/>
        </w:rPr>
      </w:pPr>
      <w:r>
        <w:rPr/>
        <w:fldChar w:fldCharType="begin"/>
      </w:r>
      <w:r>
        <w:instrText xml:space="preserve"> HYPERLINK \l "_Toc215672477" </w:instrText>
      </w:r>
      <w:r>
        <w:rPr/>
        <w:fldChar w:fldCharType="separate"/>
      </w:r>
      <w:r>
        <w:rPr>
          <w:rStyle w:val="style85"/>
          <w:lang w:val="en-GB"/>
        </w:rPr>
        <w:t>6. Conclusion</w:t>
      </w:r>
      <w:r>
        <w:rPr>
          <w:webHidden/>
          <w:lang w:val="en-GB"/>
        </w:rPr>
        <w:tab/>
      </w:r>
      <w:r>
        <w:rPr>
          <w:webHidden/>
          <w:lang w:val="en-GB"/>
        </w:rPr>
        <w:fldChar w:fldCharType="begin"/>
      </w:r>
      <w:r>
        <w:rPr>
          <w:webHidden/>
          <w:lang w:val="en-GB"/>
        </w:rPr>
        <w:instrText xml:space="preserve"> PAGEREF _Toc215672477 \h </w:instrText>
      </w:r>
      <w:r>
        <w:rPr>
          <w:webHidden/>
          <w:lang w:val="en-GB"/>
        </w:rPr>
        <w:fldChar w:fldCharType="separate"/>
      </w:r>
      <w:r>
        <w:rPr>
          <w:webHidden/>
          <w:lang w:val="en-GB"/>
        </w:rPr>
        <w:t>23</w:t>
      </w:r>
      <w:r>
        <w:rPr>
          <w:webHidden/>
          <w:lang w:val="en-GB"/>
        </w:rPr>
        <w:fldChar w:fldCharType="end"/>
      </w:r>
      <w:r>
        <w:rPr/>
        <w:fldChar w:fldCharType="end"/>
      </w:r>
    </w:p>
    <w:p>
      <w:pPr>
        <w:pStyle w:val="style19"/>
        <w:tabs>
          <w:tab w:val="right" w:leader="dot" w:pos="9019"/>
        </w:tabs>
        <w:rPr>
          <w:lang w:val="en-GB"/>
        </w:rPr>
      </w:pPr>
      <w:r>
        <w:rPr/>
        <w:fldChar w:fldCharType="begin"/>
      </w:r>
      <w:r>
        <w:instrText xml:space="preserve"> HYPERLINK \l "_Toc215672478" </w:instrText>
      </w:r>
      <w:r>
        <w:rPr/>
        <w:fldChar w:fldCharType="separate"/>
      </w:r>
      <w:r>
        <w:rPr>
          <w:rStyle w:val="style85"/>
          <w:lang w:val="en-GB"/>
        </w:rPr>
        <w:t>7. References</w:t>
      </w:r>
      <w:r>
        <w:rPr>
          <w:webHidden/>
          <w:lang w:val="en-GB"/>
        </w:rPr>
        <w:tab/>
      </w:r>
      <w:r>
        <w:rPr>
          <w:webHidden/>
          <w:lang w:val="en-GB"/>
        </w:rPr>
        <w:fldChar w:fldCharType="begin"/>
      </w:r>
      <w:r>
        <w:rPr>
          <w:webHidden/>
          <w:lang w:val="en-GB"/>
        </w:rPr>
        <w:instrText xml:space="preserve"> PAGEREF _Toc215672478 \h </w:instrText>
      </w:r>
      <w:r>
        <w:rPr>
          <w:webHidden/>
          <w:lang w:val="en-GB"/>
        </w:rPr>
        <w:fldChar w:fldCharType="separate"/>
      </w:r>
      <w:r>
        <w:rPr>
          <w:webHidden/>
          <w:lang w:val="en-GB"/>
        </w:rPr>
        <w:t>24</w:t>
      </w:r>
      <w:r>
        <w:rPr>
          <w:webHidden/>
          <w:lang w:val="en-GB"/>
        </w:rPr>
        <w:fldChar w:fldCharType="end"/>
      </w:r>
      <w:r>
        <w:rPr/>
        <w:fldChar w:fldCharType="end"/>
      </w:r>
    </w:p>
    <w:p>
      <w:pPr>
        <w:pStyle w:val="style0"/>
        <w:rPr>
          <w:lang w:val="en-GB"/>
        </w:rPr>
      </w:pPr>
      <w:r>
        <w:rPr>
          <w:b/>
          <w:bCs/>
          <w:lang w:val="en-GB"/>
        </w:rPr>
        <w:fldChar w:fldCharType="end"/>
      </w:r>
    </w:p>
    <w:p>
      <w:pPr>
        <w:pStyle w:val="style0"/>
        <w:rPr>
          <w:b/>
          <w:bCs/>
          <w:sz w:val="28"/>
          <w:szCs w:val="28"/>
          <w:lang w:val="en-GB"/>
        </w:rPr>
      </w:pPr>
      <w:r>
        <w:rPr>
          <w:lang w:val="en-GB"/>
        </w:rPr>
        <w:br w:type="page"/>
      </w:r>
    </w:p>
    <w:bookmarkStart w:id="1" w:name="_Toc215672462"/>
    <w:p>
      <w:pPr>
        <w:pStyle w:val="style1"/>
        <w:rPr>
          <w:lang w:val="en-GB"/>
        </w:rPr>
      </w:pPr>
      <w:r>
        <w:rPr>
          <w:lang w:val="en-GB"/>
        </w:rPr>
        <w:t>1. Introduction</w:t>
      </w:r>
      <w:bookmarkEnd w:id="1"/>
      <w:r>
        <w:rPr>
          <w:lang w:val="en-GB"/>
        </w:rPr>
        <w:t xml:space="preserve"> </w:t>
      </w:r>
    </w:p>
    <w:p>
      <w:pPr>
        <w:pStyle w:val="style0"/>
        <w:rPr>
          <w:lang w:val="en-GB"/>
        </w:rPr>
      </w:pPr>
      <w:r>
        <w:rPr>
          <w:lang w:val="en-GB"/>
        </w:rPr>
        <w:t>The purpose of this report is to plan for the strategic expansion of the JW Marriott into Myanmar. In a business world that is characterised by a high level of volatility and evolving consumer expectations, international expansion has emerged as a significant strategic tool that hospitality organisations can use to achieve sustainable growth. The digital platforms, mobile a</w:t>
      </w:r>
      <w:bookmarkStart w:id="2" w:name="_GoBack"/>
      <w:bookmarkEnd w:id="2"/>
      <w:r>
        <w:rPr>
          <w:lang w:val="en-GB"/>
        </w:rPr>
        <w:t>pplications, and data-driven service models have advanced the manner in which travellers compare, keep and interact with hotels, positioning them more competitively and moving customers globally faster. Strategic agility is a vital attribute that organisations such as JW Marriott need to exhibit to stay competitive; opening up in emerging markets that have potential and also adjusting to the changes caused by technology, socio-economic shifts. According to Figure 1, Myanmar offers such potential and is estimated to expand its tourism industry from USD 1.1 billion in 2025 to USD 1.7 billion in 2035. This is a good response to the forecast CAGR indicator of 4.5% between 2025-2035, indicative of the emerging international travel demands and the growing openness of its economy (Future Market Insights, 2024).</w:t>
      </w:r>
    </w:p>
    <w:p>
      <w:pPr>
        <w:pStyle w:val="style0"/>
        <w:jc w:val="center"/>
        <w:rPr>
          <w:lang w:val="en-GB"/>
        </w:rPr>
      </w:pPr>
      <w:r>
        <w:rPr>
          <w:lang w:val="en-GB" w:eastAsia="en-GB"/>
        </w:rPr>
        <w:drawing>
          <wp:inline distL="0" distT="0" distB="0" distR="0">
            <wp:extent cx="5731200" cy="2349500"/>
            <wp:effectExtent l="25400" t="25400" r="25400" b="25400"/>
            <wp:docPr id="1026" name="image2.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image2.png"/>
                    <pic:cNvPicPr/>
                  </pic:nvPicPr>
                  <pic:blipFill>
                    <a:blip r:embed="rId3" cstate="print"/>
                    <a:srcRect l="0" t="0" r="0" b="0"/>
                    <a:stretch/>
                  </pic:blipFill>
                  <pic:spPr>
                    <a:xfrm rot="0">
                      <a:off x="0" y="0"/>
                      <a:ext cx="5731200" cy="2349500"/>
                    </a:xfrm>
                    <a:prstGeom prst="rect"/>
                    <a:ln cmpd="sng" cap="flat" w="25400">
                      <a:solidFill>
                        <a:srgbClr val="000000"/>
                      </a:solidFill>
                      <a:prstDash val="solid"/>
                      <a:round/>
                      <a:headEnd len="med" w="med" type="none"/>
                      <a:tailEnd len="med" w="med" type="none"/>
                    </a:ln>
                  </pic:spPr>
                </pic:pic>
              </a:graphicData>
            </a:graphic>
          </wp:inline>
        </w:drawing>
      </w:r>
    </w:p>
    <w:p>
      <w:pPr>
        <w:pStyle w:val="style0"/>
        <w:jc w:val="center"/>
        <w:rPr>
          <w:b/>
          <w:bCs/>
          <w:lang w:val="en-GB"/>
        </w:rPr>
      </w:pPr>
      <w:r>
        <w:rPr>
          <w:b/>
          <w:bCs/>
          <w:lang w:val="en-GB"/>
        </w:rPr>
        <w:t xml:space="preserve">Figure 1: Trends, Growth and Opportunity Analysis of Tourism in Burma </w:t>
      </w:r>
    </w:p>
    <w:p>
      <w:pPr>
        <w:pStyle w:val="style0"/>
        <w:jc w:val="center"/>
        <w:rPr>
          <w:lang w:val="en-GB"/>
        </w:rPr>
      </w:pPr>
      <w:r>
        <w:rPr>
          <w:lang w:val="en-GB"/>
        </w:rPr>
        <w:t>(Source: Future Market Insights, 2024)</w:t>
      </w:r>
    </w:p>
    <w:p>
      <w:pPr>
        <w:pStyle w:val="style0"/>
        <w:rPr>
          <w:lang w:val="en-GB"/>
        </w:rPr>
      </w:pPr>
      <w:r>
        <w:rPr>
          <w:lang w:val="en-GB"/>
        </w:rPr>
        <w:t xml:space="preserve">Being a luxurious hotel brand under the parent brand of Marriott International, JW Marriott is placed strategically to provide high-end, mindful hospitality services to well-travelled and well-accommodated guests (JW Marriott, 2025). Focusing on Myanmar, a market that boasts of an increasing tourism potential, under-penetrated luxury </w:t>
      </w:r>
      <w:r>
        <w:rPr>
          <w:lang w:val="en-GB"/>
        </w:rPr>
        <w:t>accommodation, and increased interest among international travellers, is an opportunity to enjoy first-mover advantage and brand differentiation. The report will entail an initial justification of the choice of JW Marriott and Myanmar will be carried out, and a detailed discussion of a comprehensive strategic analysis of the macro-environment and industry structure of Myanmar will be conducted. A specific market-entry strategy and competitive strategy will be developed, and lastly, a performance evaluation system will be designed to evaluate and measure the success of the expansion initiative. In this systematic manner, the report attempts to propose how the strategic management tools in the academic scholarly literature can inform high-stakes international expansion choices that involve real-world situations.</w:t>
      </w:r>
    </w:p>
    <w:bookmarkStart w:id="3" w:name="_7ve9btgbjevk" w:colFirst="0" w:colLast="0"/>
    <w:bookmarkStart w:id="4" w:name="_Toc215672463"/>
    <w:bookmarkEnd w:id="3"/>
    <w:p>
      <w:pPr>
        <w:pStyle w:val="style1"/>
        <w:rPr>
          <w:lang w:val="en-GB"/>
        </w:rPr>
      </w:pPr>
      <w:r>
        <w:rPr>
          <w:lang w:val="en-GB"/>
        </w:rPr>
        <w:t>2. Selection of Organisation and Target Market</w:t>
      </w:r>
      <w:bookmarkEnd w:id="4"/>
    </w:p>
    <w:bookmarkStart w:id="5" w:name="_42jdz03as1nr" w:colFirst="0" w:colLast="0"/>
    <w:bookmarkStart w:id="6" w:name="_Toc215672464"/>
    <w:bookmarkEnd w:id="5"/>
    <w:p>
      <w:pPr>
        <w:pStyle w:val="style2"/>
        <w:rPr>
          <w:lang w:val="en-GB"/>
        </w:rPr>
      </w:pPr>
      <w:r>
        <w:rPr>
          <w:lang w:val="en-GB"/>
        </w:rPr>
        <w:t>2.1 Selection of Organisation</w:t>
      </w:r>
      <w:bookmarkEnd w:id="6"/>
    </w:p>
    <w:p>
      <w:pPr>
        <w:pStyle w:val="style0"/>
        <w:rPr>
          <w:lang w:val="en-GB"/>
        </w:rPr>
      </w:pPr>
      <w:r>
        <w:rPr>
          <w:lang w:val="en-GB"/>
        </w:rPr>
        <w:t>JW Marriott belongs to the luxury-brand division of Marriott International, the chain of one of the largest and most luxurious hotel chains in the world. By late 2024, the global system of Marriott International series had a total of more than 9,300 properties and about 1.7 million rooms in 144 countries and territories (Marriott, 2024). Among such holdings, JW Marriott is the only one that provides over 125 unique properties in over 38 countries and territories (Marriott, 2025).  The brand is based in the luxury hotel sector with promises of premium and conscious guest experiences that satisfy the needs of quality travellers, a value proposition that is highlighted on the official website.  JW Marriott has all the qualifications to venture into new markets due to its wide global reach, a diversified brand base, and robust financial resources that it has under Marriott International (Marriott, 2024). The resources and brand equity of the existing brand scale, international presence and luxurious positioning will enable it to enter a high-potential but underserved market like Myanmar successfully.</w:t>
      </w:r>
    </w:p>
    <w:bookmarkStart w:id="7" w:name="_gpjga9obx24y" w:colFirst="0" w:colLast="0"/>
    <w:bookmarkStart w:id="8" w:name="_Toc215672465"/>
    <w:bookmarkEnd w:id="7"/>
    <w:p>
      <w:pPr>
        <w:pStyle w:val="style2"/>
        <w:rPr>
          <w:lang w:val="en-GB"/>
        </w:rPr>
      </w:pPr>
      <w:r>
        <w:rPr>
          <w:lang w:val="en-GB"/>
        </w:rPr>
        <w:t>2.2 Analysis of Current Strategy</w:t>
      </w:r>
      <w:bookmarkEnd w:id="8"/>
    </w:p>
    <w:p>
      <w:pPr>
        <w:pStyle w:val="style0"/>
        <w:rPr>
          <w:lang w:val="en-GB"/>
        </w:rPr>
      </w:pPr>
      <w:r>
        <w:rPr>
          <w:lang w:val="en-GB"/>
        </w:rPr>
        <w:t>Ansoff Matrix refers to four generic growth strategies, which include Market Penetration, Market Development, Product Development, and Diversification (Ferreira and de Sa Moscoso, 2024).</w:t>
      </w:r>
    </w:p>
    <w:p>
      <w:pPr>
        <w:pStyle w:val="style0"/>
        <w:rPr>
          <w:b/>
          <w:bCs/>
          <w:lang w:val="en-GB"/>
        </w:rPr>
      </w:pPr>
      <w:r>
        <w:rPr>
          <w:b/>
          <w:bCs/>
          <w:lang w:val="en-GB"/>
        </w:rPr>
        <w:t xml:space="preserve">Market Penetration </w:t>
      </w:r>
    </w:p>
    <w:p>
      <w:pPr>
        <w:pStyle w:val="style0"/>
        <w:rPr>
          <w:lang w:val="en-GB"/>
        </w:rPr>
      </w:pPr>
      <w:r>
        <w:rPr>
          <w:b/>
          <w:bCs/>
          <w:i/>
          <w:iCs/>
          <w:lang w:val="en-GB"/>
        </w:rPr>
        <w:t xml:space="preserve">Market penetration </w:t>
      </w:r>
      <w:r>
        <w:rPr>
          <w:lang w:val="en-GB"/>
        </w:rPr>
        <w:t>would entail JW Marriott boosting occupancy, customer loyalty, or bookings in the markets where it is already present, without altering its product or geographic focus. Since JW Marriott already has an established presence in the world, with over 125 unique properties in over 38 countries and territories, it is not expected to achieve dramatic growth in saturated markets based on penetration (Marriott, 2025a). Localised activities such as loyalty programmes, upselling services can still be done.</w:t>
      </w:r>
    </w:p>
    <w:p>
      <w:pPr>
        <w:pStyle w:val="style0"/>
        <w:rPr>
          <w:b/>
          <w:bCs/>
          <w:lang w:val="en-GB"/>
        </w:rPr>
      </w:pPr>
      <w:r>
        <w:rPr>
          <w:b/>
          <w:bCs/>
          <w:lang w:val="en-GB"/>
        </w:rPr>
        <w:t xml:space="preserve">Market Development </w:t>
      </w:r>
    </w:p>
    <w:p>
      <w:pPr>
        <w:pStyle w:val="style0"/>
        <w:rPr>
          <w:lang w:val="en-GB"/>
        </w:rPr>
      </w:pPr>
      <w:r>
        <w:rPr>
          <w:lang w:val="en-GB"/>
        </w:rPr>
        <w:t xml:space="preserve">The prevailing approach to JW Marriott now is the </w:t>
      </w:r>
      <w:r>
        <w:rPr>
          <w:b/>
          <w:bCs/>
          <w:i/>
          <w:iCs/>
          <w:lang w:val="en-GB"/>
        </w:rPr>
        <w:t>Market Development</w:t>
      </w:r>
      <w:r>
        <w:rPr>
          <w:lang w:val="en-GB"/>
        </w:rPr>
        <w:t xml:space="preserve"> strategy. According to the 2025 quarterly report by Marriott, the parent organisation manages a business in excess of 9700 properties and approximately 1.75 million rooms across the globe (Marriott, 2025b). Through its standardised luxury-hotel product and brand image, JW Marriott is making a systematic entry into new geographies, introducing its high-end hospitality services to under-serviced or new markets which used to have less or no reputation for high-end international hotels.</w:t>
      </w:r>
    </w:p>
    <w:p>
      <w:pPr>
        <w:pStyle w:val="style0"/>
        <w:rPr>
          <w:b/>
          <w:bCs/>
          <w:lang w:val="en-GB"/>
        </w:rPr>
      </w:pPr>
      <w:r>
        <w:rPr>
          <w:b/>
          <w:bCs/>
          <w:lang w:val="en-GB"/>
        </w:rPr>
        <w:t xml:space="preserve">Product Development </w:t>
      </w:r>
    </w:p>
    <w:p>
      <w:pPr>
        <w:pStyle w:val="style0"/>
        <w:rPr>
          <w:lang w:val="en-GB"/>
        </w:rPr>
      </w:pPr>
      <w:r>
        <w:rPr>
          <w:b/>
          <w:bCs/>
          <w:i/>
          <w:iCs/>
          <w:lang w:val="en-GB"/>
        </w:rPr>
        <w:t>Product Development,</w:t>
      </w:r>
      <w:r>
        <w:rPr>
          <w:lang w:val="en-GB"/>
        </w:rPr>
        <w:t xml:space="preserve"> which is to provide new hotel services or other lodging ideas within already existing markets, seems to be of less importance at JW Marriott. The brand has yet to majorly deviate with its luxury-hotel product; its developmental focus has not been on major redesigning of its main product, but more on geographical expansion.</w:t>
      </w:r>
    </w:p>
    <w:p>
      <w:pPr>
        <w:pStyle w:val="style0"/>
        <w:rPr>
          <w:b/>
          <w:bCs/>
          <w:lang w:val="en-GB"/>
        </w:rPr>
      </w:pPr>
      <w:r>
        <w:rPr>
          <w:b/>
          <w:bCs/>
          <w:lang w:val="en-GB"/>
        </w:rPr>
        <w:t xml:space="preserve">Diversification </w:t>
      </w:r>
    </w:p>
    <w:p>
      <w:pPr>
        <w:pStyle w:val="style0"/>
        <w:rPr>
          <w:lang w:val="en-GB"/>
        </w:rPr>
      </w:pPr>
      <w:r>
        <w:rPr>
          <w:b/>
          <w:bCs/>
          <w:i/>
          <w:iCs/>
          <w:lang w:val="en-GB"/>
        </w:rPr>
        <w:t xml:space="preserve">Diversification - </w:t>
      </w:r>
      <w:r>
        <w:rPr>
          <w:lang w:val="en-GB"/>
        </w:rPr>
        <w:t xml:space="preserve">getting into new and entirely dissimilar business (not hospitality) - it does not seem to be presently a part of JW Marriott's strategic drive. </w:t>
      </w:r>
    </w:p>
    <w:p>
      <w:pPr>
        <w:pStyle w:val="style0"/>
        <w:jc w:val="center"/>
        <w:rPr>
          <w:lang w:val="en-GB"/>
        </w:rPr>
      </w:pPr>
      <w:r>
        <w:rPr>
          <w:lang w:val="en-GB" w:eastAsia="en-GB"/>
        </w:rPr>
        <w:drawing>
          <wp:inline distL="0" distT="0" distB="0" distR="0">
            <wp:extent cx="5731200" cy="3327400"/>
            <wp:effectExtent l="25400" t="25400" r="25400" b="25400"/>
            <wp:docPr id="1027" name="image6.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image6.png"/>
                    <pic:cNvPicPr/>
                  </pic:nvPicPr>
                  <pic:blipFill>
                    <a:blip r:embed="rId4" cstate="print"/>
                    <a:srcRect l="0" t="0" r="0" b="0"/>
                    <a:stretch/>
                  </pic:blipFill>
                  <pic:spPr>
                    <a:xfrm rot="0">
                      <a:off x="0" y="0"/>
                      <a:ext cx="5731200" cy="3327400"/>
                    </a:xfrm>
                    <a:prstGeom prst="rect"/>
                    <a:ln cmpd="sng" cap="flat" w="25400">
                      <a:solidFill>
                        <a:srgbClr val="000000"/>
                      </a:solidFill>
                      <a:prstDash val="solid"/>
                      <a:round/>
                      <a:headEnd len="med" w="med" type="none"/>
                      <a:tailEnd len="med" w="med" type="none"/>
                    </a:ln>
                  </pic:spPr>
                </pic:pic>
              </a:graphicData>
            </a:graphic>
          </wp:inline>
        </w:drawing>
      </w:r>
    </w:p>
    <w:p>
      <w:pPr>
        <w:pStyle w:val="style0"/>
        <w:jc w:val="center"/>
        <w:rPr>
          <w:b/>
          <w:bCs/>
          <w:lang w:val="en-GB"/>
        </w:rPr>
      </w:pPr>
      <w:r>
        <w:rPr>
          <w:b/>
          <w:bCs/>
          <w:lang w:val="en-GB"/>
        </w:rPr>
        <w:t>Figure 2: Ansoff Matrix</w:t>
      </w:r>
    </w:p>
    <w:p>
      <w:pPr>
        <w:pStyle w:val="style0"/>
        <w:jc w:val="center"/>
        <w:rPr>
          <w:lang w:val="en-GB"/>
        </w:rPr>
      </w:pPr>
      <w:r>
        <w:rPr>
          <w:lang w:val="en-GB"/>
        </w:rPr>
        <w:t xml:space="preserve">(Source: Self-created) </w:t>
      </w:r>
    </w:p>
    <w:bookmarkStart w:id="9" w:name="_ro5ljn1wl0hi" w:colFirst="0" w:colLast="0"/>
    <w:bookmarkStart w:id="10" w:name="_Toc215672466"/>
    <w:bookmarkEnd w:id="9"/>
    <w:p>
      <w:pPr>
        <w:pStyle w:val="style2"/>
        <w:rPr>
          <w:lang w:val="en-GB"/>
        </w:rPr>
      </w:pPr>
      <w:r>
        <w:rPr>
          <w:lang w:val="en-GB"/>
        </w:rPr>
        <w:t>2.3 Selection of Target International Market</w:t>
      </w:r>
      <w:bookmarkEnd w:id="10"/>
    </w:p>
    <w:p>
      <w:pPr>
        <w:pStyle w:val="style0"/>
        <w:rPr>
          <w:lang w:val="en-GB"/>
        </w:rPr>
      </w:pPr>
      <w:r>
        <w:rPr>
          <w:lang w:val="en-GB"/>
        </w:rPr>
        <w:t xml:space="preserve">Myanmar has a GDP value of USD 74.08 billion (2024), and GDP per capita is close to USD 1,359 (2024) in terms of the nominal data (World Bank 2024).  The publication of the recent United Nations data in the format of the details provided by the Worldometer gives the population of Myanmar (formerly Burma) as 54,996,962 as of Tuesday, December 2, 2025 (Worldometer, 2025). Despite the economic and political </w:t>
      </w:r>
      <w:r>
        <w:rPr>
          <w:lang w:val="en-GB"/>
        </w:rPr>
        <w:t>headwinds,</w:t>
      </w:r>
      <w:r>
        <w:rPr>
          <w:lang w:val="en-GB"/>
        </w:rPr>
        <w:t xml:space="preserve"> the country has been facing, its tourism sector is on a high note towards recovery: the number of incoming international tourists reached approximately 1.28 million in 2023, an impressive increase from approximately 233,000 in 2022 (MOI, 2024). This inflow implies an increase in demand for hospitality infrastructure. As an under-penetrated luxury-hotel market, Myanmar is a developing market with increased travel demand, a stronger economic foundation, and potential long-term expansion, making it an attractive market for an international luxury-hotel brand to expand into.</w:t>
      </w:r>
    </w:p>
    <w:bookmarkStart w:id="11" w:name="_pjrui9rlisv8" w:colFirst="0" w:colLast="0"/>
    <w:bookmarkStart w:id="12" w:name="_Toc215672467"/>
    <w:bookmarkEnd w:id="11"/>
    <w:p>
      <w:pPr>
        <w:pStyle w:val="style2"/>
        <w:rPr>
          <w:lang w:val="en-GB"/>
        </w:rPr>
      </w:pPr>
      <w:r>
        <w:rPr>
          <w:lang w:val="en-GB"/>
        </w:rPr>
        <w:t>2.4 Justification for Market Selection</w:t>
      </w:r>
      <w:bookmarkEnd w:id="12"/>
    </w:p>
    <w:p>
      <w:pPr>
        <w:pStyle w:val="style0"/>
        <w:rPr>
          <w:lang w:val="en-GB"/>
        </w:rPr>
      </w:pPr>
      <w:r>
        <w:rPr>
          <w:lang w:val="en-GB"/>
        </w:rPr>
        <w:t xml:space="preserve">The Diamond Model created by Porter evaluates the competitiveness of Myanmar through evaluating the nature of these factors, demand growth, supporting industries, </w:t>
      </w:r>
      <w:r>
        <w:rPr>
          <w:lang w:val="en-GB"/>
        </w:rPr>
        <w:t>and the low luxury-hotel rivalry. This shows why Myanmar offers favourable national conditions to JW Marriott in its expansion.</w:t>
      </w:r>
    </w:p>
    <w:p>
      <w:pPr>
        <w:pStyle w:val="style0"/>
        <w:rPr>
          <w:b/>
          <w:bCs/>
          <w:lang w:val="en-GB"/>
        </w:rPr>
      </w:pPr>
      <w:r>
        <w:rPr>
          <w:b/>
          <w:bCs/>
          <w:lang w:val="en-GB"/>
        </w:rPr>
        <w:t>Factor Conditions</w:t>
      </w:r>
    </w:p>
    <w:p>
      <w:pPr>
        <w:pStyle w:val="style0"/>
        <w:rPr>
          <w:lang w:val="en-GB"/>
        </w:rPr>
      </w:pPr>
      <w:r>
        <w:rPr>
          <w:lang w:val="en-GB"/>
        </w:rPr>
        <w:t>Myanmar has both natural as well as cultural tourism attractions, such as heritage cities to all types of landscapes, which are the basis of luxury hospitality. It is expected that the tourism industry will widen and expand greatly (Future Market Insights, 2024). Also, a new segment of the hospitality industry, the so-called smart hospitality, suggests the development of better infrastructure and the increased use of hotel-management technologies, including mobile check-in and IoT rooms, which suit the standards of the JW Marriott world (Sagar, 2025).</w:t>
      </w:r>
    </w:p>
    <w:p>
      <w:pPr>
        <w:pStyle w:val="style0"/>
        <w:rPr>
          <w:b/>
          <w:bCs/>
          <w:lang w:val="en-GB"/>
        </w:rPr>
      </w:pPr>
      <w:r>
        <w:rPr>
          <w:b/>
          <w:bCs/>
          <w:lang w:val="en-GB"/>
        </w:rPr>
        <w:t>Demand Conditions</w:t>
      </w:r>
    </w:p>
    <w:p>
      <w:pPr>
        <w:pStyle w:val="style0"/>
        <w:rPr>
          <w:lang w:val="en-GB"/>
        </w:rPr>
      </w:pPr>
      <w:r>
        <w:rPr>
          <w:lang w:val="en-GB"/>
        </w:rPr>
        <w:t>The level of demand in tourism is coming back: Myanmar welcomed more than 1.06 million foreigners in 2024, compared to 1.28 million in 2023 (Xinhua, 2024). Local tourism is also rising, and it provides almost 10 million domestic tourists in 2024 (MOI, 2024b). This development points to the growing willingness to upscale accommodation.</w:t>
      </w:r>
    </w:p>
    <w:p>
      <w:pPr>
        <w:pStyle w:val="style0"/>
        <w:rPr>
          <w:b/>
          <w:bCs/>
          <w:lang w:val="en-GB"/>
        </w:rPr>
      </w:pPr>
      <w:r>
        <w:rPr>
          <w:b/>
          <w:bCs/>
          <w:lang w:val="en-GB"/>
        </w:rPr>
        <w:t>Su</w:t>
      </w:r>
      <w:r>
        <w:rPr>
          <w:b/>
          <w:bCs/>
          <w:lang w:val="en-GB"/>
        </w:rPr>
        <w:t>pporting and related industries</w:t>
      </w:r>
    </w:p>
    <w:p>
      <w:pPr>
        <w:pStyle w:val="style0"/>
        <w:rPr>
          <w:lang w:val="en-GB"/>
        </w:rPr>
      </w:pPr>
      <w:r>
        <w:rPr>
          <w:lang w:val="en-GB"/>
        </w:rPr>
        <w:t>Travel services and transport, and digital hotel-management platforms are strengthened. Emerging investments in smart-hospitality technology and digital booking/payment technologies can facilitate modernised service provision and decrease entry barriers for the luxury industry personnel (Sagar, 2025).</w:t>
      </w:r>
    </w:p>
    <w:p>
      <w:pPr>
        <w:pStyle w:val="style0"/>
        <w:rPr>
          <w:b/>
          <w:bCs/>
          <w:lang w:val="en-GB"/>
        </w:rPr>
      </w:pPr>
      <w:r>
        <w:rPr>
          <w:b/>
          <w:bCs/>
          <w:lang w:val="en-GB"/>
        </w:rPr>
        <w:t>Fir</w:t>
      </w:r>
      <w:r>
        <w:rPr>
          <w:b/>
          <w:bCs/>
          <w:lang w:val="en-GB"/>
        </w:rPr>
        <w:t>m Strategy, Structure &amp; Rivalry</w:t>
      </w:r>
    </w:p>
    <w:p>
      <w:pPr>
        <w:pStyle w:val="style0"/>
        <w:rPr>
          <w:lang w:val="en-GB"/>
        </w:rPr>
      </w:pPr>
      <w:r>
        <w:rPr>
          <w:lang w:val="en-GB"/>
        </w:rPr>
        <w:t>The supply of luxury hotels in Myanmar is limited, which provides JW Marriott with first-mover prospects. The absence of successful branded rivals, as well as operational competence and international recognition of JW Marriott, sets the brand in a position to capture the major market share.</w:t>
      </w:r>
    </w:p>
    <w:p>
      <w:pPr>
        <w:pStyle w:val="style0"/>
        <w:jc w:val="center"/>
        <w:rPr>
          <w:lang w:val="en-GB"/>
        </w:rPr>
      </w:pPr>
      <w:r>
        <w:rPr>
          <w:lang w:val="en-GB" w:eastAsia="en-GB"/>
        </w:rPr>
        <w:drawing>
          <wp:inline distL="0" distT="0" distB="0" distR="0">
            <wp:extent cx="4568825" cy="3981145"/>
            <wp:effectExtent l="19050" t="19050" r="22225" b="19685"/>
            <wp:docPr id="1028" name="image3.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2" name="image3.png"/>
                    <pic:cNvPicPr/>
                  </pic:nvPicPr>
                  <pic:blipFill>
                    <a:blip r:embed="rId5" cstate="print"/>
                    <a:srcRect l="0" t="0" r="0" b="0"/>
                    <a:stretch/>
                  </pic:blipFill>
                  <pic:spPr>
                    <a:xfrm rot="0">
                      <a:off x="0" y="0"/>
                      <a:ext cx="4568825" cy="3981145"/>
                    </a:xfrm>
                    <a:prstGeom prst="rect"/>
                    <a:ln cmpd="sng" cap="flat" w="25400">
                      <a:solidFill>
                        <a:srgbClr val="000000"/>
                      </a:solidFill>
                      <a:prstDash val="solid"/>
                      <a:round/>
                      <a:headEnd len="med" w="med" type="none"/>
                      <a:tailEnd len="med" w="med" type="none"/>
                    </a:ln>
                  </pic:spPr>
                </pic:pic>
              </a:graphicData>
            </a:graphic>
          </wp:inline>
        </w:drawing>
      </w:r>
    </w:p>
    <w:p>
      <w:pPr>
        <w:pStyle w:val="style0"/>
        <w:jc w:val="center"/>
        <w:rPr>
          <w:b/>
          <w:bCs/>
          <w:lang w:val="en-GB"/>
        </w:rPr>
      </w:pPr>
      <w:r>
        <w:rPr>
          <w:b/>
          <w:bCs/>
          <w:lang w:val="en-GB"/>
        </w:rPr>
        <w:t>Figure 3: Porter’s Diamond</w:t>
      </w:r>
    </w:p>
    <w:p>
      <w:pPr>
        <w:pStyle w:val="style0"/>
        <w:jc w:val="center"/>
        <w:rPr>
          <w:lang w:val="en-GB"/>
        </w:rPr>
      </w:pPr>
      <w:r>
        <w:rPr>
          <w:lang w:val="en-GB"/>
        </w:rPr>
        <w:t xml:space="preserve">(Source: self-created) </w:t>
      </w:r>
    </w:p>
    <w:bookmarkStart w:id="13" w:name="_7ts0rta6as43" w:colFirst="0" w:colLast="0"/>
    <w:bookmarkStart w:id="14" w:name="_Toc215672468"/>
    <w:bookmarkEnd w:id="13"/>
    <w:p>
      <w:pPr>
        <w:pStyle w:val="style1"/>
        <w:rPr>
          <w:lang w:val="en-GB"/>
        </w:rPr>
      </w:pPr>
      <w:r>
        <w:rPr>
          <w:lang w:val="en-GB"/>
        </w:rPr>
        <w:t>3. Comprehensive Strategic Analysis of Myanmar</w:t>
      </w:r>
      <w:bookmarkEnd w:id="14"/>
      <w:r>
        <w:rPr>
          <w:lang w:val="en-GB"/>
        </w:rPr>
        <w:t xml:space="preserve"> </w:t>
      </w:r>
    </w:p>
    <w:bookmarkStart w:id="15" w:name="_r5180ufwqigp" w:colFirst="0" w:colLast="0"/>
    <w:bookmarkStart w:id="16" w:name="_Toc215672469"/>
    <w:bookmarkEnd w:id="15"/>
    <w:p>
      <w:pPr>
        <w:pStyle w:val="style2"/>
        <w:rPr>
          <w:lang w:val="en-GB"/>
        </w:rPr>
      </w:pPr>
      <w:r>
        <w:rPr>
          <w:lang w:val="en-GB"/>
        </w:rPr>
        <w:t>3.1 Macro-Environmental Analysis – PESTLE</w:t>
      </w:r>
      <w:bookmarkEnd w:id="16"/>
      <w:r>
        <w:rPr>
          <w:lang w:val="en-GB"/>
        </w:rPr>
        <w:t xml:space="preserve"> </w:t>
      </w:r>
    </w:p>
    <w:tbl>
      <w:tblPr>
        <w:tblStyle w:val="style4098"/>
        <w:tblW w:w="902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746"/>
        <w:gridCol w:w="3881"/>
        <w:gridCol w:w="3398"/>
      </w:tblGrid>
      <w:tr>
        <w:trPr>
          <w:trHeight w:val="770" w:hRule="atLeast"/>
        </w:trPr>
        <w:tc>
          <w:tcPr>
            <w:tcW w:w="1745" w:type="dxa"/>
            <w:tcBorders>
              <w:top w:val="single" w:sz="8" w:space="0" w:color="000000"/>
              <w:left w:val="single" w:sz="8" w:space="0" w:color="000000"/>
              <w:bottom w:val="single" w:sz="8" w:space="0" w:color="000000"/>
              <w:right w:val="single" w:sz="8" w:space="0" w:color="000000"/>
            </w:tcBorders>
            <w:shd w:val="clear" w:color="auto" w:fill="ffd966"/>
            <w:tcMar>
              <w:top w:w="100" w:type="dxa"/>
              <w:left w:w="100" w:type="dxa"/>
              <w:bottom w:w="100" w:type="dxa"/>
              <w:right w:w="100" w:type="dxa"/>
            </w:tcMar>
          </w:tcPr>
          <w:p>
            <w:pPr>
              <w:pStyle w:val="style0"/>
              <w:jc w:val="center"/>
              <w:rPr>
                <w:lang w:val="en-GB"/>
              </w:rPr>
            </w:pPr>
            <w:r>
              <w:rPr>
                <w:b/>
                <w:bCs/>
                <w:lang w:val="en-GB"/>
              </w:rPr>
              <w:t>Factor</w:t>
            </w:r>
          </w:p>
        </w:tc>
        <w:tc>
          <w:tcPr>
            <w:tcW w:w="3881" w:type="dxa"/>
            <w:tcBorders>
              <w:top w:val="single" w:sz="8" w:space="0" w:color="000000"/>
              <w:left w:val="single" w:sz="8" w:space="0" w:color="000000"/>
              <w:bottom w:val="single" w:sz="8" w:space="0" w:color="000000"/>
              <w:right w:val="single" w:sz="8" w:space="0" w:color="000000"/>
            </w:tcBorders>
            <w:shd w:val="clear" w:color="auto" w:fill="ffd966"/>
            <w:tcMar>
              <w:top w:w="100" w:type="dxa"/>
              <w:left w:w="100" w:type="dxa"/>
              <w:bottom w:w="100" w:type="dxa"/>
              <w:right w:w="100" w:type="dxa"/>
            </w:tcMar>
          </w:tcPr>
          <w:p>
            <w:pPr>
              <w:pStyle w:val="style0"/>
              <w:jc w:val="center"/>
              <w:rPr>
                <w:lang w:val="en-GB"/>
              </w:rPr>
            </w:pPr>
            <w:r>
              <w:rPr>
                <w:b/>
                <w:bCs/>
                <w:lang w:val="en-GB"/>
              </w:rPr>
              <w:t>Description</w:t>
            </w:r>
          </w:p>
        </w:tc>
        <w:tc>
          <w:tcPr>
            <w:tcW w:w="3398" w:type="dxa"/>
            <w:tcBorders>
              <w:top w:val="single" w:sz="8" w:space="0" w:color="000000"/>
              <w:left w:val="single" w:sz="8" w:space="0" w:color="000000"/>
              <w:bottom w:val="single" w:sz="8" w:space="0" w:color="000000"/>
              <w:right w:val="single" w:sz="8" w:space="0" w:color="000000"/>
            </w:tcBorders>
            <w:shd w:val="clear" w:color="auto" w:fill="ffd966"/>
            <w:tcMar>
              <w:top w:w="100" w:type="dxa"/>
              <w:left w:w="100" w:type="dxa"/>
              <w:bottom w:w="100" w:type="dxa"/>
              <w:right w:w="100" w:type="dxa"/>
            </w:tcMar>
          </w:tcPr>
          <w:p>
            <w:pPr>
              <w:pStyle w:val="style0"/>
              <w:jc w:val="center"/>
              <w:rPr>
                <w:lang w:val="en-GB"/>
              </w:rPr>
            </w:pPr>
            <w:r>
              <w:rPr>
                <w:b/>
                <w:bCs/>
                <w:lang w:val="en-GB"/>
              </w:rPr>
              <w:t>Impact on JW Marriott’s Expansion</w:t>
            </w:r>
          </w:p>
        </w:tc>
      </w:tr>
      <w:tr>
        <w:tblPrEx/>
        <w:trPr>
          <w:trHeight w:val="2390" w:hRule="atLeast"/>
        </w:trPr>
        <w:tc>
          <w:tcPr>
            <w:tcW w:w="1745"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pPr>
              <w:pStyle w:val="style0"/>
              <w:rPr>
                <w:lang w:val="en-GB"/>
              </w:rPr>
            </w:pPr>
            <w:r>
              <w:rPr>
                <w:b/>
                <w:bCs/>
                <w:lang w:val="en-GB"/>
              </w:rPr>
              <w:t>Political</w:t>
            </w:r>
          </w:p>
        </w:tc>
        <w:tc>
          <w:tcPr>
            <w:tcW w:w="3881"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pPr>
              <w:pStyle w:val="style0"/>
              <w:rPr>
                <w:lang w:val="en-GB"/>
              </w:rPr>
            </w:pPr>
            <w:r>
              <w:rPr>
                <w:lang w:val="en-GB"/>
              </w:rPr>
              <w:t xml:space="preserve">Myanmar remains politically fragile: ongoing conflict, regulatory uncertainty, and economic disruption. The latest forecast by the World Bank estimates a </w:t>
            </w:r>
            <w:r>
              <w:rPr>
                <w:b/>
                <w:bCs/>
                <w:lang w:val="en-GB"/>
              </w:rPr>
              <w:t>2.5% contraction of GDP in 2025/26</w:t>
            </w:r>
            <w:r>
              <w:rPr>
                <w:lang w:val="en-GB"/>
              </w:rPr>
              <w:t xml:space="preserve"> following natural disasters and </w:t>
            </w:r>
            <w:r>
              <w:rPr>
                <w:lang w:val="en-GB"/>
              </w:rPr>
              <w:t xml:space="preserve">political instability (World Bank Group, 2025). </w:t>
            </w:r>
          </w:p>
        </w:tc>
        <w:tc>
          <w:tcPr>
            <w:tcW w:w="3398"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pPr>
              <w:pStyle w:val="style0"/>
              <w:rPr>
                <w:lang w:val="en-GB"/>
              </w:rPr>
            </w:pPr>
            <w:r>
              <w:rPr>
                <w:b/>
                <w:bCs/>
                <w:lang w:val="en-GB"/>
              </w:rPr>
              <w:t>High Risk / Negative</w:t>
            </w:r>
            <w:r>
              <w:rPr>
                <w:lang w:val="en-GB"/>
              </w:rPr>
              <w:t xml:space="preserve"> — Political instability and economic contraction significantly raise investment risk and undermine demand for luxury hospitality.</w:t>
            </w:r>
          </w:p>
        </w:tc>
      </w:tr>
      <w:tr>
        <w:tblPrEx/>
        <w:trPr>
          <w:trHeight w:val="3200" w:hRule="atLeast"/>
        </w:trPr>
        <w:tc>
          <w:tcPr>
            <w:tcW w:w="1745"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pPr>
              <w:pStyle w:val="style0"/>
              <w:rPr>
                <w:lang w:val="en-GB"/>
              </w:rPr>
            </w:pPr>
            <w:r>
              <w:rPr>
                <w:b/>
                <w:bCs/>
                <w:lang w:val="en-GB"/>
              </w:rPr>
              <w:t>Economic</w:t>
            </w:r>
          </w:p>
        </w:tc>
        <w:tc>
          <w:tcPr>
            <w:tcW w:w="3881"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pPr>
              <w:pStyle w:val="style0"/>
              <w:rPr>
                <w:lang w:val="en-GB"/>
              </w:rPr>
            </w:pPr>
            <w:r>
              <w:rPr>
                <w:lang w:val="en-GB"/>
              </w:rPr>
              <w:t xml:space="preserve">Key macroeconomic indicators show strain: nominal GDP of USD 74.08 billion (2024) and GDP per capita of about </w:t>
            </w:r>
            <w:r>
              <w:rPr>
                <w:b/>
                <w:bCs/>
                <w:lang w:val="en-GB"/>
              </w:rPr>
              <w:t>USD 1,359.3</w:t>
            </w:r>
            <w:r>
              <w:rPr>
                <w:lang w:val="en-GB"/>
              </w:rPr>
              <w:t xml:space="preserve"> (World Bank, 2024). The labour force unemployment rate is low (approx. </w:t>
            </w:r>
            <w:r>
              <w:rPr>
                <w:b/>
                <w:bCs/>
                <w:lang w:val="en-GB"/>
              </w:rPr>
              <w:t>3.0% in 2024</w:t>
            </w:r>
            <w:r>
              <w:rPr>
                <w:lang w:val="en-GB"/>
              </w:rPr>
              <w:t xml:space="preserve">) (Trading Economics, 2024). However, inflation is high: consumer prices surged (2025 forecast shows inflation/consumer price increase around </w:t>
            </w:r>
            <w:r>
              <w:rPr>
                <w:b/>
                <w:bCs/>
                <w:lang w:val="en-GB"/>
              </w:rPr>
              <w:t>30–31%</w:t>
            </w:r>
            <w:r>
              <w:rPr>
                <w:lang w:val="en-GB"/>
              </w:rPr>
              <w:t xml:space="preserve">) (IMF, 2024). </w:t>
            </w:r>
          </w:p>
        </w:tc>
        <w:tc>
          <w:tcPr>
            <w:tcW w:w="3398"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pPr>
              <w:pStyle w:val="style0"/>
              <w:rPr>
                <w:lang w:val="en-GB"/>
              </w:rPr>
            </w:pPr>
            <w:r>
              <w:rPr>
                <w:b/>
                <w:bCs/>
                <w:lang w:val="en-GB"/>
              </w:rPr>
              <w:t>Moderate-High Risk / Mixed</w:t>
            </w:r>
            <w:r>
              <w:rPr>
                <w:lang w:val="en-GB"/>
              </w:rPr>
              <w:t xml:space="preserve"> — Low unemployment suggests some labour availability, but high inflation and stagnant or contracting GDP reduce disposable income and suppress demand for high-end lodging. Foreign-exchange constraints may also complicate pricing and imports.</w:t>
            </w:r>
          </w:p>
        </w:tc>
      </w:tr>
      <w:tr>
        <w:tblPrEx/>
        <w:trPr>
          <w:trHeight w:val="3200" w:hRule="atLeast"/>
        </w:trPr>
        <w:tc>
          <w:tcPr>
            <w:tcW w:w="1745"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pPr>
              <w:pStyle w:val="style0"/>
              <w:rPr>
                <w:lang w:val="en-GB"/>
              </w:rPr>
            </w:pPr>
            <w:r>
              <w:rPr>
                <w:b/>
                <w:bCs/>
                <w:lang w:val="en-GB"/>
              </w:rPr>
              <w:t>Social</w:t>
            </w:r>
          </w:p>
        </w:tc>
        <w:tc>
          <w:tcPr>
            <w:tcW w:w="3881"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pPr>
              <w:pStyle w:val="style0"/>
              <w:rPr>
                <w:lang w:val="en-GB"/>
              </w:rPr>
            </w:pPr>
            <w:r>
              <w:rPr>
                <w:lang w:val="en-GB"/>
              </w:rPr>
              <w:t xml:space="preserve">The population is 55.18 million (2025 estimate per IMF) (IMF, 2024). Internet usage is growing: about </w:t>
            </w:r>
            <w:r>
              <w:rPr>
                <w:b/>
                <w:bCs/>
                <w:lang w:val="en-GB"/>
              </w:rPr>
              <w:t>59% of the population used the Internet in 2023</w:t>
            </w:r>
            <w:r>
              <w:rPr>
                <w:lang w:val="en-GB"/>
              </w:rPr>
              <w:t xml:space="preserve"> (World Bank, 2024). Nevertheless, ongoing conflict, internal displacement, and declining living standards (per World Bank reports) have dampened consumer confidence and tourist inflows (World Bank Group, 2023). </w:t>
            </w:r>
          </w:p>
        </w:tc>
        <w:tc>
          <w:tcPr>
            <w:tcW w:w="3398"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pPr>
              <w:pStyle w:val="style0"/>
              <w:rPr>
                <w:lang w:val="en-GB"/>
              </w:rPr>
            </w:pPr>
            <w:r>
              <w:rPr>
                <w:b/>
                <w:bCs/>
                <w:lang w:val="en-GB"/>
              </w:rPr>
              <w:t>Moderate Risk</w:t>
            </w:r>
            <w:r>
              <w:rPr>
                <w:lang w:val="en-GB"/>
              </w:rPr>
              <w:t xml:space="preserve"> — While a sizeable population and rising internet penetration could support hospitality demand, socio-economic stress and security concerns limit overall attractiveness for luxury tourism and business travel.</w:t>
            </w:r>
          </w:p>
        </w:tc>
      </w:tr>
      <w:tr>
        <w:tblPrEx/>
        <w:trPr>
          <w:trHeight w:val="2930" w:hRule="atLeast"/>
        </w:trPr>
        <w:tc>
          <w:tcPr>
            <w:tcW w:w="1745"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pPr>
              <w:pStyle w:val="style0"/>
              <w:rPr>
                <w:lang w:val="en-GB"/>
              </w:rPr>
            </w:pPr>
            <w:r>
              <w:rPr>
                <w:b/>
                <w:bCs/>
                <w:lang w:val="en-GB"/>
              </w:rPr>
              <w:t>Technological</w:t>
            </w:r>
          </w:p>
        </w:tc>
        <w:tc>
          <w:tcPr>
            <w:tcW w:w="3881"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pPr>
              <w:pStyle w:val="style0"/>
              <w:rPr>
                <w:lang w:val="en-GB"/>
              </w:rPr>
            </w:pPr>
            <w:r>
              <w:rPr>
                <w:lang w:val="en-GB"/>
              </w:rPr>
              <w:t xml:space="preserve">Internet penetration is moderate ( 59% in 2023) (World Bank, 2024).  Yet digital infrastructure suffers: many firms report frequent power outages (per 2025 World Bank survey) (World Bank, 2025). Additionally, the new 2025 cybersecurity law increases state control over digital communications. </w:t>
            </w:r>
          </w:p>
        </w:tc>
        <w:tc>
          <w:tcPr>
            <w:tcW w:w="3398"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pPr>
              <w:pStyle w:val="style0"/>
              <w:rPr>
                <w:lang w:val="en-GB"/>
              </w:rPr>
            </w:pPr>
            <w:r>
              <w:rPr>
                <w:b/>
                <w:bCs/>
                <w:lang w:val="en-GB"/>
              </w:rPr>
              <w:t>Moderate Risk</w:t>
            </w:r>
            <w:r>
              <w:rPr>
                <w:lang w:val="en-GB"/>
              </w:rPr>
              <w:t xml:space="preserve"> — Insufficient/difficult digital infrastructure and regulatory uncertainty in the digital space could hamper online bookings, global-standard hotel services, and digital guest experiences critical for a luxury hotel brand.</w:t>
            </w:r>
          </w:p>
        </w:tc>
      </w:tr>
      <w:tr>
        <w:tblPrEx/>
        <w:trPr>
          <w:trHeight w:val="3740" w:hRule="atLeast"/>
        </w:trPr>
        <w:tc>
          <w:tcPr>
            <w:tcW w:w="1745"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pPr>
              <w:pStyle w:val="style0"/>
              <w:rPr>
                <w:lang w:val="en-GB"/>
              </w:rPr>
            </w:pPr>
            <w:r>
              <w:rPr>
                <w:b/>
                <w:bCs/>
                <w:lang w:val="en-GB"/>
              </w:rPr>
              <w:t>Legal / Regulatory</w:t>
            </w:r>
          </w:p>
        </w:tc>
        <w:tc>
          <w:tcPr>
            <w:tcW w:w="3881"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pPr>
              <w:pStyle w:val="style0"/>
              <w:rPr>
                <w:lang w:val="en-GB"/>
              </w:rPr>
            </w:pPr>
            <w:r>
              <w:rPr>
                <w:lang w:val="en-GB"/>
              </w:rPr>
              <w:t>Foreign direct investment (FDI) appears limited: net inflows are modest (</w:t>
            </w:r>
            <w:r>
              <w:rPr>
                <w:b/>
                <w:bCs/>
                <w:lang w:val="en-GB"/>
              </w:rPr>
              <w:t>1.5% of GDP in 2024</w:t>
            </w:r>
            <w:r>
              <w:rPr>
                <w:lang w:val="en-GB"/>
              </w:rPr>
              <w:t xml:space="preserve">) (World Bank, 2024). The regulatory environment is unstable, with inconsistent enforcement of laws and widespread corruption (per international indices). Recent legislation (2025 Cybersecurity Law) adds regulatory risk and uncertainty for foreign companies operating in the digital and hospitality sectors (Tilleke &amp; Gibbins, 2025). </w:t>
            </w:r>
          </w:p>
        </w:tc>
        <w:tc>
          <w:tcPr>
            <w:tcW w:w="3398"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pPr>
              <w:pStyle w:val="style0"/>
              <w:rPr>
                <w:lang w:val="en-GB"/>
              </w:rPr>
            </w:pPr>
            <w:r>
              <w:rPr>
                <w:b/>
                <w:bCs/>
                <w:lang w:val="en-GB"/>
              </w:rPr>
              <w:t>High Risk</w:t>
            </w:r>
            <w:r>
              <w:rPr>
                <w:lang w:val="en-GB"/>
              </w:rPr>
              <w:t xml:space="preserve"> — Regulatory instability, weak enforcement, and corruption increase the risk of doing business, property rights issues, and unpredictable operational/legal costs.</w:t>
            </w:r>
          </w:p>
        </w:tc>
      </w:tr>
      <w:tr>
        <w:tblPrEx/>
        <w:trPr>
          <w:trHeight w:val="3470" w:hRule="atLeast"/>
        </w:trPr>
        <w:tc>
          <w:tcPr>
            <w:tcW w:w="1745"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pPr>
              <w:pStyle w:val="style0"/>
              <w:rPr>
                <w:lang w:val="en-GB"/>
              </w:rPr>
            </w:pPr>
            <w:r>
              <w:rPr>
                <w:b/>
                <w:bCs/>
                <w:lang w:val="en-GB"/>
              </w:rPr>
              <w:t>Environmental</w:t>
            </w:r>
          </w:p>
        </w:tc>
        <w:tc>
          <w:tcPr>
            <w:tcW w:w="3881"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pPr>
              <w:pStyle w:val="style0"/>
              <w:rPr>
                <w:lang w:val="en-GB"/>
              </w:rPr>
            </w:pPr>
            <w:r>
              <w:rPr>
                <w:lang w:val="en-GB"/>
              </w:rPr>
              <w:t xml:space="preserve">Myanmar’s infrastructure is vulnerable: the latest natural disasters (earthquake, floods) have caused major economic and physical damage — estimates suggest structural losses around </w:t>
            </w:r>
            <w:r>
              <w:rPr>
                <w:b/>
                <w:bCs/>
                <w:lang w:val="en-GB"/>
              </w:rPr>
              <w:t>US$11 billion</w:t>
            </w:r>
            <w:r>
              <w:rPr>
                <w:lang w:val="en-GB"/>
              </w:rPr>
              <w:t xml:space="preserve"> (14% of GDP) from a 2025 earthquake (World Bank Group, 2025).  Access to reliable electricity and utilities remains limited; </w:t>
            </w:r>
            <w:r>
              <w:rPr>
                <w:lang w:val="en-GB"/>
              </w:rPr>
              <w:t>only 76.8</w:t>
            </w:r>
            <w:r>
              <w:rPr>
                <w:lang w:val="en-GB"/>
              </w:rPr>
              <w:t xml:space="preserve"> of % population had electricity access in 2023 (World Bank, 2024). </w:t>
            </w:r>
          </w:p>
        </w:tc>
        <w:tc>
          <w:tcPr>
            <w:tcW w:w="3398"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pPr>
              <w:pStyle w:val="style0"/>
              <w:rPr>
                <w:lang w:val="en-GB"/>
              </w:rPr>
            </w:pPr>
            <w:r>
              <w:rPr>
                <w:b/>
                <w:bCs/>
                <w:lang w:val="en-GB"/>
              </w:rPr>
              <w:t>Moderate-High Risk</w:t>
            </w:r>
            <w:r>
              <w:rPr>
                <w:lang w:val="en-GB"/>
              </w:rPr>
              <w:t xml:space="preserve"> — Environmental hazards, weak infrastructure, and disaster vulnerability pose operational, safety, and reputational risks for a luxury hotel, which relies on stable utilities and high-quality facilities.</w:t>
            </w:r>
          </w:p>
        </w:tc>
      </w:tr>
    </w:tbl>
    <w:p>
      <w:pPr>
        <w:pStyle w:val="style0"/>
        <w:jc w:val="center"/>
        <w:rPr>
          <w:b/>
          <w:bCs/>
          <w:lang w:val="en-GB"/>
        </w:rPr>
      </w:pPr>
      <w:r>
        <w:rPr>
          <w:b/>
          <w:bCs/>
          <w:lang w:val="en-GB"/>
        </w:rPr>
        <w:t xml:space="preserve">Table 1: PESTLE Analysis </w:t>
      </w:r>
    </w:p>
    <w:p>
      <w:pPr>
        <w:pStyle w:val="style0"/>
        <w:jc w:val="center"/>
        <w:rPr>
          <w:lang w:val="en-GB"/>
        </w:rPr>
      </w:pPr>
      <w:r>
        <w:rPr>
          <w:lang w:val="en-GB"/>
        </w:rPr>
        <w:t xml:space="preserve">(Source: Self-created) </w:t>
      </w:r>
    </w:p>
    <w:p>
      <w:pPr>
        <w:pStyle w:val="style0"/>
        <w:jc w:val="center"/>
        <w:rPr>
          <w:lang w:val="en-GB"/>
        </w:rPr>
      </w:pPr>
      <w:r>
        <w:rPr>
          <w:lang w:val="en-GB" w:eastAsia="en-GB"/>
        </w:rPr>
        <w:drawing>
          <wp:inline distL="0" distT="0" distB="0" distR="0">
            <wp:extent cx="5731200" cy="2324100"/>
            <wp:effectExtent l="25400" t="25400" r="25400" b="25400"/>
            <wp:docPr id="1029" name="image8.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3" name="image8.png"/>
                    <pic:cNvPicPr/>
                  </pic:nvPicPr>
                  <pic:blipFill>
                    <a:blip r:embed="rId6" cstate="print"/>
                    <a:srcRect l="0" t="0" r="0" b="0"/>
                    <a:stretch/>
                  </pic:blipFill>
                  <pic:spPr>
                    <a:xfrm rot="0">
                      <a:off x="0" y="0"/>
                      <a:ext cx="5731200" cy="2324100"/>
                    </a:xfrm>
                    <a:prstGeom prst="rect"/>
                    <a:ln cmpd="sng" cap="flat" w="25400">
                      <a:solidFill>
                        <a:srgbClr val="000000"/>
                      </a:solidFill>
                      <a:prstDash val="solid"/>
                      <a:round/>
                      <a:headEnd len="med" w="med" type="none"/>
                      <a:tailEnd len="med" w="med" type="none"/>
                    </a:ln>
                  </pic:spPr>
                </pic:pic>
              </a:graphicData>
            </a:graphic>
          </wp:inline>
        </w:drawing>
      </w:r>
    </w:p>
    <w:p>
      <w:pPr>
        <w:pStyle w:val="style0"/>
        <w:jc w:val="center"/>
        <w:rPr>
          <w:b/>
          <w:bCs/>
          <w:lang w:val="en-GB"/>
        </w:rPr>
      </w:pPr>
      <w:r>
        <w:rPr>
          <w:b/>
          <w:bCs/>
          <w:lang w:val="en-GB"/>
        </w:rPr>
        <w:t>Figure 4: Unemployment Rate</w:t>
      </w:r>
    </w:p>
    <w:p>
      <w:pPr>
        <w:pStyle w:val="style0"/>
        <w:jc w:val="center"/>
        <w:rPr>
          <w:lang w:val="en-GB"/>
        </w:rPr>
      </w:pPr>
      <w:r>
        <w:rPr>
          <w:lang w:val="en-GB"/>
        </w:rPr>
        <w:t>(Source: Trading Economics, 2024)</w:t>
      </w:r>
    </w:p>
    <w:p>
      <w:pPr>
        <w:pStyle w:val="style0"/>
        <w:rPr>
          <w:lang w:val="en-GB"/>
        </w:rPr>
      </w:pPr>
      <w:r>
        <w:rPr>
          <w:lang w:val="en-GB"/>
        </w:rPr>
        <w:t xml:space="preserve">PESTLE is a useful macro-environment tool which allows organisations to systematically refer to the external political, economic, social, technological, legal and environmental variables that can affect strategic decisions (CIPD, 2025). The wide </w:t>
      </w:r>
      <w:r>
        <w:rPr>
          <w:lang w:val="en-GB"/>
        </w:rPr>
        <w:t xml:space="preserve">lens can be used in dynamic and uncertain markets to enable firms to look ahead of external risks and opportunities, and to be strategic in responding to market changes. </w:t>
      </w:r>
    </w:p>
    <w:p>
      <w:pPr>
        <w:pStyle w:val="style0"/>
        <w:rPr>
          <w:lang w:val="en-GB"/>
        </w:rPr>
      </w:pPr>
      <w:r>
        <w:rPr>
          <w:lang w:val="en-GB"/>
        </w:rPr>
        <w:t xml:space="preserve">Nevertheless, critics have the limitation that PESTLE may have a narrow usefulness because of its qualitative and static nature. A 2021 examination of PESTLE by Buye (2021) makes each of them independent of one another, and the interactions are not considered between factors, making the model less good at revealing the complexity of the system. According to Anderson (2025), PESTLE is more of a checklist model, which is not analytical and does not provide the rigorous and quantitative information required to make sound decisions. </w:t>
      </w:r>
    </w:p>
    <w:p>
      <w:pPr>
        <w:pStyle w:val="style0"/>
        <w:rPr>
          <w:lang w:val="en-GB"/>
        </w:rPr>
      </w:pPr>
      <w:r>
        <w:rPr>
          <w:lang w:val="en-GB"/>
        </w:rPr>
        <w:t>Therefore, PESTLE can be a good tool to use when trying to think strategically because the initial scan of the environment, but when applied alone, can result in simplified findings. Its weaknesses imply that it works better with other analytic tools.</w:t>
      </w:r>
    </w:p>
    <w:bookmarkStart w:id="17" w:name="_qo27uatxffj" w:colFirst="0" w:colLast="0"/>
    <w:bookmarkStart w:id="18" w:name="_Toc215672470"/>
    <w:bookmarkEnd w:id="17"/>
    <w:p>
      <w:pPr>
        <w:pStyle w:val="style2"/>
        <w:rPr>
          <w:lang w:val="en-GB"/>
        </w:rPr>
      </w:pPr>
      <w:r>
        <w:rPr>
          <w:lang w:val="en-GB"/>
        </w:rPr>
        <w:t>3.2 Industry Analysis – Porter’s Five Forces</w:t>
      </w:r>
      <w:bookmarkEnd w:id="18"/>
    </w:p>
    <w:tbl>
      <w:tblPr>
        <w:tblStyle w:val="style4099"/>
        <w:tblW w:w="902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526"/>
        <w:gridCol w:w="4854"/>
        <w:gridCol w:w="2645"/>
      </w:tblGrid>
      <w:tr>
        <w:trPr>
          <w:trHeight w:val="770" w:hRule="atLeast"/>
        </w:trPr>
        <w:tc>
          <w:tcPr>
            <w:tcW w:w="1526" w:type="dxa"/>
            <w:tcBorders>
              <w:top w:val="single" w:sz="8" w:space="0" w:color="000000"/>
              <w:left w:val="single" w:sz="8" w:space="0" w:color="000000"/>
              <w:bottom w:val="single" w:sz="8" w:space="0" w:color="000000"/>
              <w:right w:val="single" w:sz="8" w:space="0" w:color="000000"/>
            </w:tcBorders>
            <w:shd w:val="clear" w:color="auto" w:fill="6fa8dc"/>
            <w:tcMar>
              <w:top w:w="100" w:type="dxa"/>
              <w:left w:w="100" w:type="dxa"/>
              <w:bottom w:w="100" w:type="dxa"/>
              <w:right w:w="100" w:type="dxa"/>
            </w:tcMar>
          </w:tcPr>
          <w:p>
            <w:pPr>
              <w:pStyle w:val="style0"/>
              <w:jc w:val="center"/>
              <w:rPr>
                <w:lang w:val="en-GB"/>
              </w:rPr>
            </w:pPr>
            <w:r>
              <w:rPr>
                <w:b/>
                <w:bCs/>
                <w:lang w:val="en-GB"/>
              </w:rPr>
              <w:t>Force</w:t>
            </w:r>
          </w:p>
        </w:tc>
        <w:tc>
          <w:tcPr>
            <w:tcW w:w="4854" w:type="dxa"/>
            <w:tcBorders>
              <w:top w:val="single" w:sz="8" w:space="0" w:color="000000"/>
              <w:left w:val="single" w:sz="8" w:space="0" w:color="000000"/>
              <w:bottom w:val="single" w:sz="8" w:space="0" w:color="000000"/>
              <w:right w:val="single" w:sz="8" w:space="0" w:color="000000"/>
            </w:tcBorders>
            <w:shd w:val="clear" w:color="auto" w:fill="6fa8dc"/>
            <w:tcMar>
              <w:top w:w="100" w:type="dxa"/>
              <w:left w:w="100" w:type="dxa"/>
              <w:bottom w:w="100" w:type="dxa"/>
              <w:right w:w="100" w:type="dxa"/>
            </w:tcMar>
          </w:tcPr>
          <w:p>
            <w:pPr>
              <w:pStyle w:val="style0"/>
              <w:jc w:val="center"/>
              <w:rPr>
                <w:lang w:val="en-GB"/>
              </w:rPr>
            </w:pPr>
            <w:r>
              <w:rPr>
                <w:b/>
                <w:bCs/>
                <w:lang w:val="en-GB"/>
              </w:rPr>
              <w:t xml:space="preserve">Analysis </w:t>
            </w:r>
          </w:p>
        </w:tc>
        <w:tc>
          <w:tcPr>
            <w:tcW w:w="2645" w:type="dxa"/>
            <w:tcBorders>
              <w:top w:val="single" w:sz="8" w:space="0" w:color="000000"/>
              <w:left w:val="single" w:sz="8" w:space="0" w:color="000000"/>
              <w:bottom w:val="single" w:sz="8" w:space="0" w:color="000000"/>
              <w:right w:val="single" w:sz="8" w:space="0" w:color="000000"/>
            </w:tcBorders>
            <w:shd w:val="clear" w:color="auto" w:fill="6fa8dc"/>
            <w:tcMar>
              <w:top w:w="100" w:type="dxa"/>
              <w:left w:w="100" w:type="dxa"/>
              <w:bottom w:w="100" w:type="dxa"/>
              <w:right w:w="100" w:type="dxa"/>
            </w:tcMar>
          </w:tcPr>
          <w:p>
            <w:pPr>
              <w:pStyle w:val="style0"/>
              <w:jc w:val="center"/>
              <w:rPr>
                <w:lang w:val="en-GB"/>
              </w:rPr>
            </w:pPr>
            <w:r>
              <w:rPr>
                <w:b/>
                <w:bCs/>
                <w:lang w:val="en-GB"/>
              </w:rPr>
              <w:t xml:space="preserve">Implication for JW Marriott </w:t>
            </w:r>
          </w:p>
        </w:tc>
      </w:tr>
      <w:tr>
        <w:tblPrEx/>
        <w:trPr>
          <w:trHeight w:val="3470" w:hRule="atLeast"/>
        </w:trPr>
        <w:tc>
          <w:tcPr>
            <w:tcW w:w="1526" w:type="dxa"/>
            <w:tcBorders>
              <w:top w:val="single" w:sz="8" w:space="0" w:color="000000"/>
              <w:left w:val="single" w:sz="8" w:space="0" w:color="000000"/>
              <w:bottom w:val="single" w:sz="8" w:space="0" w:color="000000"/>
              <w:right w:val="single" w:sz="8" w:space="0" w:color="000000"/>
            </w:tcBorders>
            <w:shd w:val="clear" w:color="auto" w:fill="efefef"/>
            <w:tcMar>
              <w:top w:w="100" w:type="dxa"/>
              <w:left w:w="100" w:type="dxa"/>
              <w:bottom w:w="100" w:type="dxa"/>
              <w:right w:w="100" w:type="dxa"/>
            </w:tcMar>
          </w:tcPr>
          <w:p>
            <w:pPr>
              <w:pStyle w:val="style0"/>
              <w:rPr>
                <w:lang w:val="en-GB"/>
              </w:rPr>
            </w:pPr>
            <w:r>
              <w:rPr>
                <w:b/>
                <w:bCs/>
                <w:lang w:val="en-GB"/>
              </w:rPr>
              <w:t>1. Threat of New Entrants</w:t>
            </w:r>
          </w:p>
        </w:tc>
        <w:tc>
          <w:tcPr>
            <w:tcW w:w="4854" w:type="dxa"/>
            <w:tcBorders>
              <w:top w:val="single" w:sz="8" w:space="0" w:color="000000"/>
              <w:left w:val="single" w:sz="8" w:space="0" w:color="000000"/>
              <w:bottom w:val="single" w:sz="8" w:space="0" w:color="000000"/>
              <w:right w:val="single" w:sz="8" w:space="0" w:color="000000"/>
            </w:tcBorders>
            <w:shd w:val="clear" w:color="auto" w:fill="efefef"/>
            <w:tcMar>
              <w:top w:w="100" w:type="dxa"/>
              <w:left w:w="100" w:type="dxa"/>
              <w:bottom w:w="100" w:type="dxa"/>
              <w:right w:w="100" w:type="dxa"/>
            </w:tcMar>
          </w:tcPr>
          <w:p>
            <w:pPr>
              <w:pStyle w:val="style0"/>
              <w:rPr>
                <w:lang w:val="en-GB"/>
              </w:rPr>
            </w:pPr>
            <w:r>
              <w:rPr>
                <w:lang w:val="en-GB"/>
              </w:rPr>
              <w:t xml:space="preserve">Entry barriers are moderate. The infrastructure cost of building a luxury hotel is high. In Myanmar, tourism revenue is estimated at </w:t>
            </w:r>
            <w:r>
              <w:rPr>
                <w:b/>
                <w:bCs/>
                <w:lang w:val="en-GB"/>
              </w:rPr>
              <w:t>USD 1.1 billion (2025)</w:t>
            </w:r>
            <w:r>
              <w:rPr>
                <w:lang w:val="en-GB"/>
              </w:rPr>
              <w:t xml:space="preserve"> and forecast to reach </w:t>
            </w:r>
            <w:r>
              <w:rPr>
                <w:b/>
                <w:bCs/>
                <w:lang w:val="en-GB"/>
              </w:rPr>
              <w:t>USD 1.7 billion by 2035</w:t>
            </w:r>
            <w:r>
              <w:rPr>
                <w:lang w:val="en-GB"/>
              </w:rPr>
              <w:t xml:space="preserve">, at a CAGR of </w:t>
            </w:r>
            <w:r>
              <w:rPr>
                <w:b/>
                <w:bCs/>
                <w:lang w:val="en-GB"/>
              </w:rPr>
              <w:t>4.5% (Future Market Insights, 2024)</w:t>
            </w:r>
            <w:r>
              <w:rPr>
                <w:lang w:val="en-GB"/>
              </w:rPr>
              <w:t xml:space="preserve">. Meanwhile, many smaller or local hotels lack luxury standards or global branding. According to industry-level hotel-market analyses, achieving global-standard hotel operations requires substantial capital, expertise, and compliance (e.g. smart-hospitality systems) (Sagar, 2025). </w:t>
            </w:r>
          </w:p>
        </w:tc>
        <w:tc>
          <w:tcPr>
            <w:tcW w:w="2645" w:type="dxa"/>
            <w:tcBorders>
              <w:top w:val="single" w:sz="8" w:space="0" w:color="000000"/>
              <w:left w:val="single" w:sz="8" w:space="0" w:color="000000"/>
              <w:bottom w:val="single" w:sz="8" w:space="0" w:color="000000"/>
              <w:right w:val="single" w:sz="8" w:space="0" w:color="000000"/>
            </w:tcBorders>
            <w:shd w:val="clear" w:color="auto" w:fill="efefef"/>
            <w:tcMar>
              <w:top w:w="100" w:type="dxa"/>
              <w:left w:w="100" w:type="dxa"/>
              <w:bottom w:w="100" w:type="dxa"/>
              <w:right w:w="100" w:type="dxa"/>
            </w:tcMar>
          </w:tcPr>
          <w:p>
            <w:pPr>
              <w:pStyle w:val="style0"/>
              <w:rPr>
                <w:lang w:val="en-GB"/>
              </w:rPr>
            </w:pPr>
            <w:r>
              <w:rPr>
                <w:b/>
                <w:bCs/>
                <w:lang w:val="en-GB"/>
              </w:rPr>
              <w:t>Low–Moderate Threat</w:t>
            </w:r>
            <w:r>
              <w:rPr>
                <w:lang w:val="en-GB"/>
              </w:rPr>
              <w:t xml:space="preserve"> — The high capital requirement and need for global-level operations create strong entry barriers. JW Marriott’s established brand and resources provide a competitive advantage against new entrants lacking scale or global standards.</w:t>
            </w:r>
          </w:p>
        </w:tc>
      </w:tr>
      <w:tr>
        <w:tblPrEx/>
        <w:trPr>
          <w:trHeight w:val="3740" w:hRule="atLeast"/>
        </w:trPr>
        <w:tc>
          <w:tcPr>
            <w:tcW w:w="1526" w:type="dxa"/>
            <w:tcBorders>
              <w:top w:val="single" w:sz="8" w:space="0" w:color="000000"/>
              <w:left w:val="single" w:sz="8" w:space="0" w:color="000000"/>
              <w:bottom w:val="single" w:sz="8" w:space="0" w:color="000000"/>
              <w:right w:val="single" w:sz="8" w:space="0" w:color="000000"/>
            </w:tcBorders>
            <w:shd w:val="clear" w:color="auto" w:fill="efefef"/>
            <w:tcMar>
              <w:top w:w="100" w:type="dxa"/>
              <w:left w:w="100" w:type="dxa"/>
              <w:bottom w:w="100" w:type="dxa"/>
              <w:right w:w="100" w:type="dxa"/>
            </w:tcMar>
          </w:tcPr>
          <w:p>
            <w:pPr>
              <w:pStyle w:val="style0"/>
              <w:rPr>
                <w:lang w:val="en-GB"/>
              </w:rPr>
            </w:pPr>
            <w:r>
              <w:rPr>
                <w:b/>
                <w:bCs/>
                <w:lang w:val="en-GB"/>
              </w:rPr>
              <w:t>2. Bargaining Power of Suppliers</w:t>
            </w:r>
          </w:p>
        </w:tc>
        <w:tc>
          <w:tcPr>
            <w:tcW w:w="4854" w:type="dxa"/>
            <w:tcBorders>
              <w:top w:val="single" w:sz="8" w:space="0" w:color="000000"/>
              <w:left w:val="single" w:sz="8" w:space="0" w:color="000000"/>
              <w:bottom w:val="single" w:sz="8" w:space="0" w:color="000000"/>
              <w:right w:val="single" w:sz="8" w:space="0" w:color="000000"/>
            </w:tcBorders>
            <w:shd w:val="clear" w:color="auto" w:fill="efefef"/>
            <w:tcMar>
              <w:top w:w="100" w:type="dxa"/>
              <w:left w:w="100" w:type="dxa"/>
              <w:bottom w:w="100" w:type="dxa"/>
              <w:right w:w="100" w:type="dxa"/>
            </w:tcMar>
          </w:tcPr>
          <w:p>
            <w:pPr>
              <w:pStyle w:val="style0"/>
              <w:rPr>
                <w:lang w:val="en-GB"/>
              </w:rPr>
            </w:pPr>
            <w:r>
              <w:rPr>
                <w:lang w:val="en-GB"/>
              </w:rPr>
              <w:t>Key suppliers include real estate (land, construction), local labour, building materials, utilities, and technology/infrastructure providers. In Myanmar, the “smart hospitality” segment is still growing; adoption of advanced hotel-management systems, IoT-based rooms, digital booking and payment platforms is nascent (Sagar, 2025). Local labour and materials may be available, but quality and reliability may vary, increasing supply-side risk.</w:t>
            </w:r>
          </w:p>
        </w:tc>
        <w:tc>
          <w:tcPr>
            <w:tcW w:w="2645" w:type="dxa"/>
            <w:tcBorders>
              <w:top w:val="single" w:sz="8" w:space="0" w:color="000000"/>
              <w:left w:val="single" w:sz="8" w:space="0" w:color="000000"/>
              <w:bottom w:val="single" w:sz="8" w:space="0" w:color="000000"/>
              <w:right w:val="single" w:sz="8" w:space="0" w:color="000000"/>
            </w:tcBorders>
            <w:shd w:val="clear" w:color="auto" w:fill="efefef"/>
            <w:tcMar>
              <w:top w:w="100" w:type="dxa"/>
              <w:left w:w="100" w:type="dxa"/>
              <w:bottom w:w="100" w:type="dxa"/>
              <w:right w:w="100" w:type="dxa"/>
            </w:tcMar>
          </w:tcPr>
          <w:p>
            <w:pPr>
              <w:pStyle w:val="style0"/>
              <w:rPr>
                <w:lang w:val="en-GB"/>
              </w:rPr>
            </w:pPr>
            <w:r>
              <w:rPr>
                <w:b/>
                <w:bCs/>
                <w:lang w:val="en-GB"/>
              </w:rPr>
              <w:t>Moderate Risk</w:t>
            </w:r>
            <w:r>
              <w:rPr>
                <w:lang w:val="en-GB"/>
              </w:rPr>
              <w:t xml:space="preserve"> — Supplier power is non-trivial: limited availability of luxury-grade construction or reliable infrastructure (electricity, services) may raise costs or delay operations. </w:t>
            </w:r>
          </w:p>
        </w:tc>
      </w:tr>
      <w:tr>
        <w:tblPrEx/>
        <w:trPr>
          <w:trHeight w:val="4010" w:hRule="atLeast"/>
        </w:trPr>
        <w:tc>
          <w:tcPr>
            <w:tcW w:w="1526" w:type="dxa"/>
            <w:tcBorders>
              <w:top w:val="single" w:sz="8" w:space="0" w:color="000000"/>
              <w:left w:val="single" w:sz="8" w:space="0" w:color="000000"/>
              <w:bottom w:val="single" w:sz="8" w:space="0" w:color="000000"/>
              <w:right w:val="single" w:sz="8" w:space="0" w:color="000000"/>
            </w:tcBorders>
            <w:shd w:val="clear" w:color="auto" w:fill="efefef"/>
            <w:tcMar>
              <w:top w:w="100" w:type="dxa"/>
              <w:left w:w="100" w:type="dxa"/>
              <w:bottom w:w="100" w:type="dxa"/>
              <w:right w:w="100" w:type="dxa"/>
            </w:tcMar>
          </w:tcPr>
          <w:p>
            <w:pPr>
              <w:pStyle w:val="style0"/>
              <w:rPr>
                <w:lang w:val="en-GB"/>
              </w:rPr>
            </w:pPr>
            <w:r>
              <w:rPr>
                <w:b/>
                <w:bCs/>
                <w:lang w:val="en-GB"/>
              </w:rPr>
              <w:t>3. Bargaining Power of Buyers</w:t>
            </w:r>
          </w:p>
        </w:tc>
        <w:tc>
          <w:tcPr>
            <w:tcW w:w="4854" w:type="dxa"/>
            <w:tcBorders>
              <w:top w:val="single" w:sz="8" w:space="0" w:color="000000"/>
              <w:left w:val="single" w:sz="8" w:space="0" w:color="000000"/>
              <w:bottom w:val="single" w:sz="8" w:space="0" w:color="000000"/>
              <w:right w:val="single" w:sz="8" w:space="0" w:color="000000"/>
            </w:tcBorders>
            <w:shd w:val="clear" w:color="auto" w:fill="efefef"/>
            <w:tcMar>
              <w:top w:w="100" w:type="dxa"/>
              <w:left w:w="100" w:type="dxa"/>
              <w:bottom w:w="100" w:type="dxa"/>
              <w:right w:w="100" w:type="dxa"/>
            </w:tcMar>
          </w:tcPr>
          <w:p>
            <w:pPr>
              <w:pStyle w:val="style0"/>
              <w:rPr>
                <w:lang w:val="en-GB"/>
              </w:rPr>
            </w:pPr>
            <w:r>
              <w:rPr>
                <w:lang w:val="en-GB"/>
              </w:rPr>
              <w:t xml:space="preserve">Buyers (guests) include both international tourists and domestic travellers. In recent years, Myanmar saw </w:t>
            </w:r>
            <w:r>
              <w:rPr>
                <w:b/>
                <w:bCs/>
                <w:lang w:val="en-GB"/>
              </w:rPr>
              <w:t>over 1.06 million foreign arrivals in 2024</w:t>
            </w:r>
            <w:r>
              <w:rPr>
                <w:lang w:val="en-GB"/>
              </w:rPr>
              <w:t xml:space="preserve"> (Xinhua, 2025). However, overall per-capita income in Myanmar remains relatively low </w:t>
            </w:r>
            <w:r>
              <w:rPr>
                <w:b/>
                <w:bCs/>
                <w:lang w:val="en-GB"/>
              </w:rPr>
              <w:t>(USD 1,907.47),</w:t>
            </w:r>
            <w:r>
              <w:rPr>
                <w:lang w:val="en-GB"/>
              </w:rPr>
              <w:t xml:space="preserve"> which may constrain domestic demand for high-end luxury hotels (O’Neill, 2025). </w:t>
            </w:r>
          </w:p>
        </w:tc>
        <w:tc>
          <w:tcPr>
            <w:tcW w:w="2645" w:type="dxa"/>
            <w:tcBorders>
              <w:top w:val="single" w:sz="8" w:space="0" w:color="000000"/>
              <w:left w:val="single" w:sz="8" w:space="0" w:color="000000"/>
              <w:bottom w:val="single" w:sz="8" w:space="0" w:color="000000"/>
              <w:right w:val="single" w:sz="8" w:space="0" w:color="000000"/>
            </w:tcBorders>
            <w:shd w:val="clear" w:color="auto" w:fill="efefef"/>
            <w:tcMar>
              <w:top w:w="100" w:type="dxa"/>
              <w:left w:w="100" w:type="dxa"/>
              <w:bottom w:w="100" w:type="dxa"/>
              <w:right w:w="100" w:type="dxa"/>
            </w:tcMar>
          </w:tcPr>
          <w:p>
            <w:pPr>
              <w:pStyle w:val="style0"/>
              <w:rPr>
                <w:lang w:val="en-GB"/>
              </w:rPr>
            </w:pPr>
            <w:r>
              <w:rPr>
                <w:b/>
                <w:bCs/>
                <w:lang w:val="en-GB"/>
              </w:rPr>
              <w:t>Moderate Buyer Power</w:t>
            </w:r>
            <w:r>
              <w:rPr>
                <w:lang w:val="en-GB"/>
              </w:rPr>
              <w:t xml:space="preserve"> — Guests (especially price-sensitive domestic travellers) may exert pricing pressure, especially during economic downturns or periods of instability. </w:t>
            </w:r>
          </w:p>
        </w:tc>
      </w:tr>
      <w:tr>
        <w:tblPrEx/>
        <w:trPr>
          <w:trHeight w:val="780" w:hRule="atLeast"/>
        </w:trPr>
        <w:tc>
          <w:tcPr>
            <w:tcW w:w="1526" w:type="dxa"/>
            <w:tcBorders>
              <w:top w:val="single" w:sz="8" w:space="0" w:color="000000"/>
              <w:left w:val="single" w:sz="8" w:space="0" w:color="000000"/>
              <w:bottom w:val="single" w:sz="8" w:space="0" w:color="000000"/>
              <w:right w:val="single" w:sz="8" w:space="0" w:color="000000"/>
            </w:tcBorders>
            <w:shd w:val="clear" w:color="auto" w:fill="efefef"/>
            <w:tcMar>
              <w:top w:w="100" w:type="dxa"/>
              <w:left w:w="100" w:type="dxa"/>
              <w:bottom w:w="100" w:type="dxa"/>
              <w:right w:w="100" w:type="dxa"/>
            </w:tcMar>
          </w:tcPr>
          <w:p>
            <w:pPr>
              <w:pStyle w:val="style0"/>
              <w:rPr>
                <w:lang w:val="en-GB"/>
              </w:rPr>
            </w:pPr>
            <w:r>
              <w:rPr>
                <w:b/>
                <w:bCs/>
                <w:lang w:val="en-GB"/>
              </w:rPr>
              <w:t>4. Threat of Substitutes</w:t>
            </w:r>
          </w:p>
        </w:tc>
        <w:tc>
          <w:tcPr>
            <w:tcW w:w="4854" w:type="dxa"/>
            <w:tcBorders>
              <w:top w:val="single" w:sz="8" w:space="0" w:color="000000"/>
              <w:left w:val="single" w:sz="8" w:space="0" w:color="000000"/>
              <w:bottom w:val="single" w:sz="8" w:space="0" w:color="000000"/>
              <w:right w:val="single" w:sz="8" w:space="0" w:color="000000"/>
            </w:tcBorders>
            <w:shd w:val="clear" w:color="auto" w:fill="efefef"/>
            <w:tcMar>
              <w:top w:w="100" w:type="dxa"/>
              <w:left w:w="100" w:type="dxa"/>
              <w:bottom w:w="100" w:type="dxa"/>
              <w:right w:w="100" w:type="dxa"/>
            </w:tcMar>
          </w:tcPr>
          <w:p>
            <w:pPr>
              <w:pStyle w:val="style0"/>
              <w:rPr>
                <w:lang w:val="en-GB"/>
              </w:rPr>
            </w:pPr>
            <w:r>
              <w:rPr>
                <w:lang w:val="en-GB"/>
              </w:rPr>
              <w:t xml:space="preserve">Substitutes include mid-range hotels, guesthouses, Airbnb / short-term rentals, domestic eco-tourism stays, or even travel to alternative destinations. Given Myanmar’s economic situation, many travellers might opt for lower-cost accommodation. Additionally, for domestic </w:t>
            </w:r>
            <w:r>
              <w:rPr>
                <w:lang w:val="en-GB"/>
              </w:rPr>
              <w:t>travellers, local guesthouses could serve as substitutes.</w:t>
            </w:r>
          </w:p>
        </w:tc>
        <w:tc>
          <w:tcPr>
            <w:tcW w:w="2645" w:type="dxa"/>
            <w:tcBorders>
              <w:top w:val="single" w:sz="8" w:space="0" w:color="000000"/>
              <w:left w:val="single" w:sz="8" w:space="0" w:color="000000"/>
              <w:bottom w:val="single" w:sz="8" w:space="0" w:color="000000"/>
              <w:right w:val="single" w:sz="8" w:space="0" w:color="000000"/>
            </w:tcBorders>
            <w:shd w:val="clear" w:color="auto" w:fill="efefef"/>
            <w:tcMar>
              <w:top w:w="100" w:type="dxa"/>
              <w:left w:w="100" w:type="dxa"/>
              <w:bottom w:w="100" w:type="dxa"/>
              <w:right w:w="100" w:type="dxa"/>
            </w:tcMar>
          </w:tcPr>
          <w:p>
            <w:pPr>
              <w:pStyle w:val="style0"/>
              <w:rPr>
                <w:lang w:val="en-GB"/>
              </w:rPr>
            </w:pPr>
            <w:r>
              <w:rPr>
                <w:b/>
                <w:bCs/>
                <w:lang w:val="en-GB"/>
              </w:rPr>
              <w:t>Moderate Threat</w:t>
            </w:r>
            <w:r>
              <w:rPr>
                <w:lang w:val="en-GB"/>
              </w:rPr>
              <w:t xml:space="preserve"> — The presence of lower-cost accommodation and alternative lodging options may draw price-conscious travellers away from luxury hotels. </w:t>
            </w:r>
          </w:p>
        </w:tc>
      </w:tr>
      <w:tr>
        <w:tblPrEx/>
        <w:trPr>
          <w:trHeight w:val="3740" w:hRule="atLeast"/>
        </w:trPr>
        <w:tc>
          <w:tcPr>
            <w:tcW w:w="1526" w:type="dxa"/>
            <w:tcBorders>
              <w:top w:val="single" w:sz="8" w:space="0" w:color="000000"/>
              <w:left w:val="single" w:sz="8" w:space="0" w:color="000000"/>
              <w:bottom w:val="single" w:sz="8" w:space="0" w:color="000000"/>
              <w:right w:val="single" w:sz="8" w:space="0" w:color="000000"/>
            </w:tcBorders>
            <w:shd w:val="clear" w:color="auto" w:fill="efefef"/>
            <w:tcMar>
              <w:top w:w="100" w:type="dxa"/>
              <w:left w:w="100" w:type="dxa"/>
              <w:bottom w:w="100" w:type="dxa"/>
              <w:right w:w="100" w:type="dxa"/>
            </w:tcMar>
          </w:tcPr>
          <w:p>
            <w:pPr>
              <w:pStyle w:val="style0"/>
              <w:rPr>
                <w:lang w:val="en-GB"/>
              </w:rPr>
            </w:pPr>
            <w:r>
              <w:rPr>
                <w:b/>
                <w:bCs/>
                <w:lang w:val="en-GB"/>
              </w:rPr>
              <w:t>5. Competitive Rivalry</w:t>
            </w:r>
          </w:p>
        </w:tc>
        <w:tc>
          <w:tcPr>
            <w:tcW w:w="4854" w:type="dxa"/>
            <w:tcBorders>
              <w:top w:val="single" w:sz="8" w:space="0" w:color="000000"/>
              <w:left w:val="single" w:sz="8" w:space="0" w:color="000000"/>
              <w:bottom w:val="single" w:sz="8" w:space="0" w:color="000000"/>
              <w:right w:val="single" w:sz="8" w:space="0" w:color="000000"/>
            </w:tcBorders>
            <w:shd w:val="clear" w:color="auto" w:fill="efefef"/>
            <w:tcMar>
              <w:top w:w="100" w:type="dxa"/>
              <w:left w:w="100" w:type="dxa"/>
              <w:bottom w:w="100" w:type="dxa"/>
              <w:right w:w="100" w:type="dxa"/>
            </w:tcMar>
          </w:tcPr>
          <w:p>
            <w:pPr>
              <w:pStyle w:val="style0"/>
              <w:rPr>
                <w:lang w:val="en-GB"/>
              </w:rPr>
            </w:pPr>
            <w:r>
              <w:rPr>
                <w:lang w:val="en-GB"/>
              </w:rPr>
              <w:t>Currently, the international branded luxury hotel presence in Myanmar remains limited. Although there have been many local hotels historically, few meet global luxury standards. Growth in tourist arrivals (approximately 5.6 million by 2028 forecast) suggests rising competition as other foreign or regional hotel groups may enter if initial entrants succeed (Report Linker, 2024).</w:t>
            </w:r>
          </w:p>
        </w:tc>
        <w:tc>
          <w:tcPr>
            <w:tcW w:w="2645" w:type="dxa"/>
            <w:tcBorders>
              <w:top w:val="single" w:sz="8" w:space="0" w:color="000000"/>
              <w:left w:val="single" w:sz="8" w:space="0" w:color="000000"/>
              <w:bottom w:val="single" w:sz="8" w:space="0" w:color="000000"/>
              <w:right w:val="single" w:sz="8" w:space="0" w:color="000000"/>
            </w:tcBorders>
            <w:shd w:val="clear" w:color="auto" w:fill="efefef"/>
            <w:tcMar>
              <w:top w:w="100" w:type="dxa"/>
              <w:left w:w="100" w:type="dxa"/>
              <w:bottom w:w="100" w:type="dxa"/>
              <w:right w:w="100" w:type="dxa"/>
            </w:tcMar>
          </w:tcPr>
          <w:p>
            <w:pPr>
              <w:pStyle w:val="style0"/>
              <w:rPr>
                <w:lang w:val="en-GB"/>
              </w:rPr>
            </w:pPr>
            <w:r>
              <w:rPr>
                <w:b/>
                <w:bCs/>
                <w:lang w:val="en-GB"/>
              </w:rPr>
              <w:t>Low–Moderate Rivalry (Currently)</w:t>
            </w:r>
            <w:r>
              <w:rPr>
                <w:lang w:val="en-GB"/>
              </w:rPr>
              <w:t xml:space="preserve"> — JW Marriott could enjoy a first-mover advantage in the luxury segment, with limited direct international competition immediately. </w:t>
            </w:r>
          </w:p>
        </w:tc>
      </w:tr>
    </w:tbl>
    <w:p>
      <w:pPr>
        <w:pStyle w:val="style0"/>
        <w:rPr>
          <w:lang w:val="en-GB"/>
        </w:rPr>
      </w:pPr>
    </w:p>
    <w:p>
      <w:pPr>
        <w:pStyle w:val="style0"/>
        <w:jc w:val="center"/>
        <w:rPr>
          <w:b/>
          <w:bCs/>
          <w:lang w:val="en-GB"/>
        </w:rPr>
      </w:pPr>
      <w:r>
        <w:rPr>
          <w:b/>
          <w:bCs/>
          <w:lang w:val="en-GB"/>
        </w:rPr>
        <w:t xml:space="preserve">Table 2: Porter's Five Forces Analysis </w:t>
      </w:r>
    </w:p>
    <w:p>
      <w:pPr>
        <w:pStyle w:val="style0"/>
        <w:jc w:val="center"/>
        <w:rPr>
          <w:lang w:val="en-GB"/>
        </w:rPr>
      </w:pPr>
      <w:r>
        <w:rPr>
          <w:lang w:val="en-GB"/>
        </w:rPr>
        <w:t xml:space="preserve">(Source: Self-created) </w:t>
      </w:r>
    </w:p>
    <w:p>
      <w:pPr>
        <w:pStyle w:val="style0"/>
        <w:jc w:val="center"/>
        <w:rPr>
          <w:lang w:val="en-GB"/>
        </w:rPr>
      </w:pPr>
      <w:r>
        <w:rPr>
          <w:lang w:val="en-GB" w:eastAsia="en-GB"/>
        </w:rPr>
        <w:drawing>
          <wp:inline distL="0" distT="0" distB="0" distR="0">
            <wp:extent cx="5731200" cy="4165599"/>
            <wp:effectExtent l="25400" t="25400" r="25400" b="25400"/>
            <wp:docPr id="1030" name="image5.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4" name="image5.png"/>
                    <pic:cNvPicPr/>
                  </pic:nvPicPr>
                  <pic:blipFill>
                    <a:blip r:embed="rId7" cstate="print"/>
                    <a:srcRect l="0" t="0" r="0" b="0"/>
                    <a:stretch/>
                  </pic:blipFill>
                  <pic:spPr>
                    <a:xfrm rot="0">
                      <a:off x="0" y="0"/>
                      <a:ext cx="5731200" cy="4165599"/>
                    </a:xfrm>
                    <a:prstGeom prst="rect"/>
                    <a:ln cmpd="sng" cap="flat" w="25400">
                      <a:solidFill>
                        <a:srgbClr val="000000"/>
                      </a:solidFill>
                      <a:prstDash val="solid"/>
                      <a:round/>
                      <a:headEnd len="med" w="med" type="none"/>
                      <a:tailEnd len="med" w="med" type="none"/>
                    </a:ln>
                  </pic:spPr>
                </pic:pic>
              </a:graphicData>
            </a:graphic>
          </wp:inline>
        </w:drawing>
      </w:r>
    </w:p>
    <w:p>
      <w:pPr>
        <w:pStyle w:val="style0"/>
        <w:jc w:val="center"/>
        <w:rPr>
          <w:b/>
          <w:bCs/>
          <w:lang w:val="en-GB"/>
        </w:rPr>
      </w:pPr>
      <w:r>
        <w:rPr>
          <w:b/>
          <w:bCs/>
          <w:lang w:val="en-GB"/>
        </w:rPr>
        <w:t>Figure 5: Gross domestic product (GDP) per capita in Myanmar (Burma) 1998-2030</w:t>
      </w:r>
    </w:p>
    <w:p>
      <w:pPr>
        <w:pStyle w:val="style0"/>
        <w:jc w:val="center"/>
        <w:rPr>
          <w:lang w:val="en-GB"/>
        </w:rPr>
      </w:pPr>
      <w:r>
        <w:rPr>
          <w:lang w:val="en-GB"/>
        </w:rPr>
        <w:t>(Source: O’Neill, 2025)</w:t>
      </w:r>
    </w:p>
    <w:p>
      <w:pPr>
        <w:pStyle w:val="style0"/>
        <w:rPr>
          <w:lang w:val="en-GB"/>
        </w:rPr>
      </w:pPr>
      <w:r>
        <w:rPr>
          <w:lang w:val="en-GB"/>
        </w:rPr>
        <w:t xml:space="preserve">Simonova, Malindzakova and Malindzak (2024) reveal that the model used assists firms to carefully diagnose industry competitiveness, supplier and buyer power, as well as entry/substitution threats, which supports strategic positioning and entry-mode decision-making. In the meantime, Baird, Nuhu and Jiao (2024) state that, as companies enhance the Five Forces analysis with sound management-accounting and strategic practices, the level of competitive force can be linked to a stronger competitive advantage and performance. </w:t>
      </w:r>
    </w:p>
    <w:p>
      <w:pPr>
        <w:pStyle w:val="style0"/>
        <w:rPr>
          <w:lang w:val="en-GB"/>
        </w:rPr>
      </w:pPr>
      <w:r>
        <w:rPr>
          <w:lang w:val="en-GB"/>
        </w:rPr>
        <w:t xml:space="preserve">According to Goyal (2021), the model is excessively rigid and too structural. It does not consider dynamic factors, internal resources of the firms, or cooperative strategies, which can include alliances or integration of digital platforms. This provides a narrow perspective of the competitive threats in the modern and fast-evolving markets.  On the same note, s Kohnova and Salajova (2023) mention that Porter's model does not address innovation, technological disruption, and networked value-chains, which are of growing significance in globalised and technology-intensive industries such as hospitality. </w:t>
      </w:r>
    </w:p>
    <w:p>
      <w:pPr>
        <w:pStyle w:val="style0"/>
        <w:rPr>
          <w:lang w:val="en-GB"/>
        </w:rPr>
      </w:pPr>
      <w:r>
        <w:rPr>
          <w:lang w:val="en-GB"/>
        </w:rPr>
        <w:t>In this way, although Five Forces may offer an informative industry overview and initiate the development of the strategy. Its structure-based, static nature implies that it has to be supplemented by other instruments in order to have sound and reliable decision-making capabilities in a fluctuating and ever-changing environment.</w:t>
      </w:r>
    </w:p>
    <w:bookmarkStart w:id="19" w:name="_ikje9v99ftie" w:colFirst="0" w:colLast="0"/>
    <w:bookmarkStart w:id="20" w:name="_Toc215672471"/>
    <w:bookmarkEnd w:id="19"/>
    <w:p>
      <w:pPr>
        <w:pStyle w:val="style2"/>
        <w:rPr>
          <w:lang w:val="en-GB"/>
        </w:rPr>
      </w:pPr>
      <w:r>
        <w:rPr>
          <w:lang w:val="en-GB"/>
        </w:rPr>
        <w:t>3.3 Internal Strategic Fit – VRIO</w:t>
      </w:r>
      <w:bookmarkEnd w:id="20"/>
      <w:r>
        <w:rPr>
          <w:lang w:val="en-GB"/>
        </w:rPr>
        <w:t xml:space="preserve"> </w:t>
      </w:r>
    </w:p>
    <w:tbl>
      <w:tblPr>
        <w:tblStyle w:val="style4100"/>
        <w:tblW w:w="902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747"/>
        <w:gridCol w:w="1195"/>
        <w:gridCol w:w="821"/>
        <w:gridCol w:w="1153"/>
        <w:gridCol w:w="1458"/>
        <w:gridCol w:w="1651"/>
      </w:tblGrid>
      <w:tr>
        <w:trPr>
          <w:trHeight w:val="1310" w:hRule="atLeast"/>
        </w:trPr>
        <w:tc>
          <w:tcPr>
            <w:tcW w:w="2745" w:type="dxa"/>
            <w:tcBorders>
              <w:top w:val="single" w:sz="8" w:space="0" w:color="000000"/>
              <w:left w:val="single" w:sz="8" w:space="0" w:color="000000"/>
              <w:bottom w:val="single" w:sz="8" w:space="0" w:color="000000"/>
              <w:right w:val="single" w:sz="8" w:space="0" w:color="000000"/>
            </w:tcBorders>
            <w:shd w:val="clear" w:color="auto" w:fill="f1c232"/>
            <w:tcMar>
              <w:top w:w="100" w:type="dxa"/>
              <w:left w:w="100" w:type="dxa"/>
              <w:bottom w:w="100" w:type="dxa"/>
              <w:right w:w="100" w:type="dxa"/>
            </w:tcMar>
          </w:tcPr>
          <w:p>
            <w:pPr>
              <w:pStyle w:val="style0"/>
              <w:jc w:val="center"/>
              <w:rPr>
                <w:lang w:val="en-GB"/>
              </w:rPr>
            </w:pPr>
            <w:r>
              <w:rPr>
                <w:b/>
                <w:bCs/>
                <w:lang w:val="en-GB"/>
              </w:rPr>
              <w:t>Internal Factor / Resource</w:t>
            </w:r>
          </w:p>
        </w:tc>
        <w:tc>
          <w:tcPr>
            <w:tcW w:w="1195" w:type="dxa"/>
            <w:tcBorders>
              <w:top w:val="single" w:sz="8" w:space="0" w:color="000000"/>
              <w:left w:val="single" w:sz="8" w:space="0" w:color="000000"/>
              <w:bottom w:val="single" w:sz="8" w:space="0" w:color="000000"/>
              <w:right w:val="single" w:sz="8" w:space="0" w:color="000000"/>
            </w:tcBorders>
            <w:shd w:val="clear" w:color="auto" w:fill="f1c232"/>
            <w:tcMar>
              <w:top w:w="100" w:type="dxa"/>
              <w:left w:w="100" w:type="dxa"/>
              <w:bottom w:w="100" w:type="dxa"/>
              <w:right w:w="100" w:type="dxa"/>
            </w:tcMar>
          </w:tcPr>
          <w:p>
            <w:pPr>
              <w:pStyle w:val="style0"/>
              <w:jc w:val="center"/>
              <w:rPr>
                <w:lang w:val="en-GB"/>
              </w:rPr>
            </w:pPr>
            <w:r>
              <w:rPr>
                <w:b/>
                <w:bCs/>
                <w:lang w:val="en-GB"/>
              </w:rPr>
              <w:t>Valuable</w:t>
            </w:r>
          </w:p>
        </w:tc>
        <w:tc>
          <w:tcPr>
            <w:tcW w:w="821" w:type="dxa"/>
            <w:tcBorders>
              <w:top w:val="single" w:sz="8" w:space="0" w:color="000000"/>
              <w:left w:val="single" w:sz="8" w:space="0" w:color="000000"/>
              <w:bottom w:val="single" w:sz="8" w:space="0" w:color="000000"/>
              <w:right w:val="single" w:sz="8" w:space="0" w:color="000000"/>
            </w:tcBorders>
            <w:shd w:val="clear" w:color="auto" w:fill="f1c232"/>
            <w:tcMar>
              <w:top w:w="100" w:type="dxa"/>
              <w:left w:w="100" w:type="dxa"/>
              <w:bottom w:w="100" w:type="dxa"/>
              <w:right w:w="100" w:type="dxa"/>
            </w:tcMar>
          </w:tcPr>
          <w:p>
            <w:pPr>
              <w:pStyle w:val="style0"/>
              <w:jc w:val="center"/>
              <w:rPr>
                <w:lang w:val="en-GB"/>
              </w:rPr>
            </w:pPr>
            <w:r>
              <w:rPr>
                <w:b/>
                <w:bCs/>
                <w:lang w:val="en-GB"/>
              </w:rPr>
              <w:t>Rare</w:t>
            </w:r>
          </w:p>
        </w:tc>
        <w:tc>
          <w:tcPr>
            <w:tcW w:w="1153" w:type="dxa"/>
            <w:tcBorders>
              <w:top w:val="single" w:sz="8" w:space="0" w:color="000000"/>
              <w:left w:val="single" w:sz="8" w:space="0" w:color="000000"/>
              <w:bottom w:val="single" w:sz="8" w:space="0" w:color="000000"/>
              <w:right w:val="single" w:sz="8" w:space="0" w:color="000000"/>
            </w:tcBorders>
            <w:shd w:val="clear" w:color="auto" w:fill="f1c232"/>
            <w:tcMar>
              <w:top w:w="100" w:type="dxa"/>
              <w:left w:w="100" w:type="dxa"/>
              <w:bottom w:w="100" w:type="dxa"/>
              <w:right w:w="100" w:type="dxa"/>
            </w:tcMar>
          </w:tcPr>
          <w:p>
            <w:pPr>
              <w:pStyle w:val="style0"/>
              <w:jc w:val="center"/>
              <w:rPr>
                <w:lang w:val="en-GB"/>
              </w:rPr>
            </w:pPr>
            <w:r>
              <w:rPr>
                <w:b/>
                <w:bCs/>
                <w:lang w:val="en-GB"/>
              </w:rPr>
              <w:t>Imitate</w:t>
            </w:r>
          </w:p>
        </w:tc>
        <w:tc>
          <w:tcPr>
            <w:tcW w:w="1458" w:type="dxa"/>
            <w:tcBorders>
              <w:top w:val="single" w:sz="8" w:space="0" w:color="000000"/>
              <w:left w:val="single" w:sz="8" w:space="0" w:color="000000"/>
              <w:bottom w:val="single" w:sz="8" w:space="0" w:color="000000"/>
              <w:right w:val="single" w:sz="8" w:space="0" w:color="000000"/>
            </w:tcBorders>
            <w:shd w:val="clear" w:color="auto" w:fill="f1c232"/>
            <w:tcMar>
              <w:top w:w="100" w:type="dxa"/>
              <w:left w:w="100" w:type="dxa"/>
              <w:bottom w:w="100" w:type="dxa"/>
              <w:right w:w="100" w:type="dxa"/>
            </w:tcMar>
          </w:tcPr>
          <w:p>
            <w:pPr>
              <w:pStyle w:val="style0"/>
              <w:jc w:val="center"/>
              <w:rPr>
                <w:lang w:val="en-GB"/>
              </w:rPr>
            </w:pPr>
            <w:r>
              <w:rPr>
                <w:b/>
                <w:bCs/>
                <w:lang w:val="en-GB"/>
              </w:rPr>
              <w:t xml:space="preserve">Organized </w:t>
            </w:r>
          </w:p>
        </w:tc>
        <w:tc>
          <w:tcPr>
            <w:tcW w:w="1651" w:type="dxa"/>
            <w:tcBorders>
              <w:top w:val="single" w:sz="8" w:space="0" w:color="000000"/>
              <w:left w:val="single" w:sz="8" w:space="0" w:color="000000"/>
              <w:bottom w:val="single" w:sz="8" w:space="0" w:color="000000"/>
              <w:right w:val="single" w:sz="8" w:space="0" w:color="000000"/>
            </w:tcBorders>
            <w:shd w:val="clear" w:color="auto" w:fill="f1c232"/>
            <w:tcMar>
              <w:top w:w="100" w:type="dxa"/>
              <w:left w:w="100" w:type="dxa"/>
              <w:bottom w:w="100" w:type="dxa"/>
              <w:right w:w="100" w:type="dxa"/>
            </w:tcMar>
          </w:tcPr>
          <w:p>
            <w:pPr>
              <w:pStyle w:val="style0"/>
              <w:jc w:val="center"/>
              <w:rPr>
                <w:lang w:val="en-GB"/>
              </w:rPr>
            </w:pPr>
            <w:r>
              <w:rPr>
                <w:b/>
                <w:bCs/>
                <w:lang w:val="en-GB"/>
              </w:rPr>
              <w:t>Result</w:t>
            </w:r>
          </w:p>
        </w:tc>
      </w:tr>
      <w:tr>
        <w:tblPrEx/>
        <w:trPr>
          <w:trHeight w:val="1040" w:hRule="atLeast"/>
        </w:trPr>
        <w:tc>
          <w:tcPr>
            <w:tcW w:w="27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lang w:val="en-GB"/>
              </w:rPr>
            </w:pPr>
            <w:r>
              <w:rPr>
                <w:lang w:val="en-GB"/>
              </w:rPr>
              <w:t>Global brand reputation and luxury positioning</w:t>
            </w:r>
          </w:p>
        </w:tc>
        <w:tc>
          <w:tcPr>
            <w:tcW w:w="11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lang w:val="en-GB"/>
              </w:rPr>
            </w:pPr>
            <w:r>
              <w:rPr>
                <w:rFonts w:ascii="Arial Unicode MS" w:cs="Arial Unicode MS" w:eastAsia="Arial Unicode MS" w:hAnsi="Arial Unicode MS"/>
                <w:lang w:val="en-GB"/>
              </w:rPr>
              <w:t>Yes</w:t>
            </w:r>
          </w:p>
        </w:tc>
        <w:tc>
          <w:tcPr>
            <w:tcW w:w="82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lang w:val="en-GB"/>
              </w:rPr>
            </w:pPr>
            <w:r>
              <w:rPr>
                <w:rFonts w:ascii="Arial Unicode MS" w:cs="Arial Unicode MS" w:eastAsia="Arial Unicode MS" w:hAnsi="Arial Unicode MS"/>
                <w:lang w:val="en-GB"/>
              </w:rPr>
              <w:t>Yes</w:t>
            </w:r>
          </w:p>
        </w:tc>
        <w:tc>
          <w:tcPr>
            <w:tcW w:w="11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lang w:val="en-GB"/>
              </w:rPr>
            </w:pPr>
            <w:r>
              <w:rPr>
                <w:rFonts w:ascii="Arial Unicode MS" w:cs="Arial Unicode MS" w:eastAsia="Arial Unicode MS" w:hAnsi="Arial Unicode MS"/>
                <w:lang w:val="en-GB"/>
              </w:rPr>
              <w:t>Yes</w:t>
            </w:r>
          </w:p>
        </w:tc>
        <w:tc>
          <w:tcPr>
            <w:tcW w:w="14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lang w:val="en-GB"/>
              </w:rPr>
            </w:pPr>
            <w:r>
              <w:rPr>
                <w:rFonts w:ascii="Arial Unicode MS" w:cs="Arial Unicode MS" w:eastAsia="Arial Unicode MS" w:hAnsi="Arial Unicode MS"/>
                <w:lang w:val="en-GB"/>
              </w:rPr>
              <w:t>Yes</w:t>
            </w:r>
          </w:p>
        </w:tc>
        <w:tc>
          <w:tcPr>
            <w:tcW w:w="165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lang w:val="en-GB"/>
              </w:rPr>
            </w:pPr>
            <w:r>
              <w:rPr>
                <w:b/>
                <w:bCs/>
                <w:lang w:val="en-GB"/>
              </w:rPr>
              <w:t>Long-term Competitive Advantage</w:t>
            </w:r>
          </w:p>
        </w:tc>
      </w:tr>
      <w:tr>
        <w:tblPrEx/>
        <w:trPr>
          <w:trHeight w:val="1040" w:hRule="atLeast"/>
        </w:trPr>
        <w:tc>
          <w:tcPr>
            <w:tcW w:w="27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lang w:val="en-GB"/>
              </w:rPr>
            </w:pPr>
            <w:r>
              <w:rPr>
                <w:lang w:val="en-GB"/>
              </w:rPr>
              <w:t>Global-scale operations &amp; capital (ability to build high-end hotels)</w:t>
            </w:r>
          </w:p>
        </w:tc>
        <w:tc>
          <w:tcPr>
            <w:tcW w:w="11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lang w:val="en-GB"/>
              </w:rPr>
            </w:pPr>
            <w:r>
              <w:rPr>
                <w:rFonts w:ascii="Arial Unicode MS" w:cs="Arial Unicode MS" w:eastAsia="Arial Unicode MS" w:hAnsi="Arial Unicode MS"/>
                <w:lang w:val="en-GB"/>
              </w:rPr>
              <w:t>Yes</w:t>
            </w:r>
          </w:p>
        </w:tc>
        <w:tc>
          <w:tcPr>
            <w:tcW w:w="82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lang w:val="en-GB"/>
              </w:rPr>
            </w:pPr>
            <w:r>
              <w:rPr>
                <w:rFonts w:ascii="Arial Unicode MS" w:cs="Arial Unicode MS" w:eastAsia="Arial Unicode MS" w:hAnsi="Arial Unicode MS"/>
                <w:lang w:val="en-GB"/>
              </w:rPr>
              <w:t>No</w:t>
            </w:r>
          </w:p>
        </w:tc>
        <w:tc>
          <w:tcPr>
            <w:tcW w:w="11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lang w:val="en-GB"/>
              </w:rPr>
            </w:pPr>
            <w:r>
              <w:rPr>
                <w:rFonts w:ascii="Arial Unicode MS" w:cs="Arial Unicode MS" w:eastAsia="Arial Unicode MS" w:hAnsi="Arial Unicode MS"/>
                <w:lang w:val="en-GB"/>
              </w:rPr>
              <w:t>No</w:t>
            </w:r>
          </w:p>
        </w:tc>
        <w:tc>
          <w:tcPr>
            <w:tcW w:w="14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lang w:val="en-GB"/>
              </w:rPr>
            </w:pPr>
            <w:r>
              <w:rPr>
                <w:rFonts w:ascii="Arial Unicode MS" w:cs="Arial Unicode MS" w:eastAsia="Arial Unicode MS" w:hAnsi="Arial Unicode MS"/>
                <w:lang w:val="en-GB"/>
              </w:rPr>
              <w:t>Yes</w:t>
            </w:r>
          </w:p>
        </w:tc>
        <w:tc>
          <w:tcPr>
            <w:tcW w:w="165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lang w:val="en-GB"/>
              </w:rPr>
            </w:pPr>
            <w:r>
              <w:rPr>
                <w:b/>
                <w:bCs/>
                <w:lang w:val="en-GB"/>
              </w:rPr>
              <w:t>Competitive Parity</w:t>
            </w:r>
          </w:p>
        </w:tc>
      </w:tr>
      <w:tr>
        <w:tblPrEx/>
        <w:trPr>
          <w:trHeight w:val="1040" w:hRule="atLeast"/>
        </w:trPr>
        <w:tc>
          <w:tcPr>
            <w:tcW w:w="27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lang w:val="en-GB"/>
              </w:rPr>
            </w:pPr>
            <w:r>
              <w:rPr>
                <w:lang w:val="en-GB"/>
              </w:rPr>
              <w:t>Standardised global training &amp; service processes</w:t>
            </w:r>
          </w:p>
        </w:tc>
        <w:tc>
          <w:tcPr>
            <w:tcW w:w="11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lang w:val="en-GB"/>
              </w:rPr>
            </w:pPr>
            <w:r>
              <w:rPr>
                <w:rFonts w:ascii="Arial Unicode MS" w:cs="Arial Unicode MS" w:eastAsia="Arial Unicode MS" w:hAnsi="Arial Unicode MS"/>
                <w:lang w:val="en-GB"/>
              </w:rPr>
              <w:t>Yes</w:t>
            </w:r>
          </w:p>
        </w:tc>
        <w:tc>
          <w:tcPr>
            <w:tcW w:w="82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lang w:val="en-GB"/>
              </w:rPr>
            </w:pPr>
            <w:r>
              <w:rPr>
                <w:rFonts w:ascii="Arial Unicode MS" w:cs="Arial Unicode MS" w:eastAsia="Arial Unicode MS" w:hAnsi="Arial Unicode MS"/>
                <w:lang w:val="en-GB"/>
              </w:rPr>
              <w:t>Yes</w:t>
            </w:r>
          </w:p>
        </w:tc>
        <w:tc>
          <w:tcPr>
            <w:tcW w:w="11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lang w:val="en-GB"/>
              </w:rPr>
            </w:pPr>
            <w:r>
              <w:rPr>
                <w:rFonts w:ascii="Arial Unicode MS" w:cs="Arial Unicode MS" w:eastAsia="Arial Unicode MS" w:hAnsi="Arial Unicode MS"/>
                <w:lang w:val="en-GB"/>
              </w:rPr>
              <w:t>No</w:t>
            </w:r>
          </w:p>
        </w:tc>
        <w:tc>
          <w:tcPr>
            <w:tcW w:w="14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lang w:val="en-GB"/>
              </w:rPr>
            </w:pPr>
            <w:r>
              <w:rPr>
                <w:rFonts w:ascii="Arial Unicode MS" w:cs="Arial Unicode MS" w:eastAsia="Arial Unicode MS" w:hAnsi="Arial Unicode MS"/>
                <w:lang w:val="en-GB"/>
              </w:rPr>
              <w:t>Yes</w:t>
            </w:r>
          </w:p>
        </w:tc>
        <w:tc>
          <w:tcPr>
            <w:tcW w:w="165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lang w:val="en-GB"/>
              </w:rPr>
            </w:pPr>
            <w:r>
              <w:rPr>
                <w:b/>
                <w:bCs/>
                <w:lang w:val="en-GB"/>
              </w:rPr>
              <w:t>Temporary Competitive Advantage</w:t>
            </w:r>
          </w:p>
        </w:tc>
      </w:tr>
      <w:tr>
        <w:tblPrEx/>
        <w:trPr>
          <w:trHeight w:val="1040" w:hRule="atLeast"/>
        </w:trPr>
        <w:tc>
          <w:tcPr>
            <w:tcW w:w="27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lang w:val="en-GB"/>
              </w:rPr>
            </w:pPr>
            <w:r>
              <w:rPr>
                <w:lang w:val="en-GB"/>
              </w:rPr>
              <w:t>Access to the global loyalty/reservation system &amp; digital booking platform</w:t>
            </w:r>
          </w:p>
        </w:tc>
        <w:tc>
          <w:tcPr>
            <w:tcW w:w="11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lang w:val="en-GB"/>
              </w:rPr>
            </w:pPr>
            <w:r>
              <w:rPr>
                <w:rFonts w:ascii="Arial Unicode MS" w:cs="Arial Unicode MS" w:eastAsia="Arial Unicode MS" w:hAnsi="Arial Unicode MS"/>
                <w:lang w:val="en-GB"/>
              </w:rPr>
              <w:t>Yes</w:t>
            </w:r>
          </w:p>
        </w:tc>
        <w:tc>
          <w:tcPr>
            <w:tcW w:w="82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lang w:val="en-GB"/>
              </w:rPr>
            </w:pPr>
            <w:r>
              <w:rPr>
                <w:rFonts w:ascii="Arial Unicode MS" w:cs="Arial Unicode MS" w:eastAsia="Arial Unicode MS" w:hAnsi="Arial Unicode MS"/>
                <w:lang w:val="en-GB"/>
              </w:rPr>
              <w:t>Yes</w:t>
            </w:r>
          </w:p>
        </w:tc>
        <w:tc>
          <w:tcPr>
            <w:tcW w:w="11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lang w:val="en-GB"/>
              </w:rPr>
            </w:pPr>
            <w:r>
              <w:rPr>
                <w:rFonts w:ascii="Arial Unicode MS" w:cs="Arial Unicode MS" w:eastAsia="Arial Unicode MS" w:hAnsi="Arial Unicode MS"/>
                <w:lang w:val="en-GB"/>
              </w:rPr>
              <w:t>Yes</w:t>
            </w:r>
          </w:p>
        </w:tc>
        <w:tc>
          <w:tcPr>
            <w:tcW w:w="14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lang w:val="en-GB"/>
              </w:rPr>
            </w:pPr>
            <w:r>
              <w:rPr>
                <w:rFonts w:ascii="Arial Unicode MS" w:cs="Arial Unicode MS" w:eastAsia="Arial Unicode MS" w:hAnsi="Arial Unicode MS"/>
                <w:lang w:val="en-GB"/>
              </w:rPr>
              <w:t>Yes</w:t>
            </w:r>
          </w:p>
        </w:tc>
        <w:tc>
          <w:tcPr>
            <w:tcW w:w="165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lang w:val="en-GB"/>
              </w:rPr>
            </w:pPr>
            <w:r>
              <w:rPr>
                <w:b/>
                <w:bCs/>
                <w:lang w:val="en-GB"/>
              </w:rPr>
              <w:t>Long-term Competitive Advantage</w:t>
            </w:r>
          </w:p>
        </w:tc>
      </w:tr>
      <w:tr>
        <w:tblPrEx/>
        <w:trPr>
          <w:trHeight w:val="1310" w:hRule="atLeast"/>
        </w:trPr>
        <w:tc>
          <w:tcPr>
            <w:tcW w:w="27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lang w:val="en-GB"/>
              </w:rPr>
            </w:pPr>
            <w:r>
              <w:rPr>
                <w:lang w:val="en-GB"/>
              </w:rPr>
              <w:t>Local market-specific knowledge when entering new countries</w:t>
            </w:r>
          </w:p>
        </w:tc>
        <w:tc>
          <w:tcPr>
            <w:tcW w:w="11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lang w:val="en-GB"/>
              </w:rPr>
            </w:pPr>
            <w:r>
              <w:rPr>
                <w:rFonts w:ascii="Arial Unicode MS" w:cs="Arial Unicode MS" w:eastAsia="Arial Unicode MS" w:hAnsi="Arial Unicode MS"/>
                <w:lang w:val="en-GB"/>
              </w:rPr>
              <w:t>Yes</w:t>
            </w:r>
          </w:p>
        </w:tc>
        <w:tc>
          <w:tcPr>
            <w:tcW w:w="82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lang w:val="en-GB"/>
              </w:rPr>
            </w:pPr>
            <w:r>
              <w:rPr>
                <w:rFonts w:ascii="Arial Unicode MS" w:cs="Arial Unicode MS" w:eastAsia="Arial Unicode MS" w:hAnsi="Arial Unicode MS"/>
                <w:lang w:val="en-GB"/>
              </w:rPr>
              <w:t>No</w:t>
            </w:r>
          </w:p>
        </w:tc>
        <w:tc>
          <w:tcPr>
            <w:tcW w:w="11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lang w:val="en-GB"/>
              </w:rPr>
            </w:pPr>
            <w:r>
              <w:rPr>
                <w:rFonts w:ascii="Arial Unicode MS" w:cs="Arial Unicode MS" w:eastAsia="Arial Unicode MS" w:hAnsi="Arial Unicode MS"/>
                <w:lang w:val="en-GB"/>
              </w:rPr>
              <w:t>No</w:t>
            </w:r>
          </w:p>
        </w:tc>
        <w:tc>
          <w:tcPr>
            <w:tcW w:w="14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lang w:val="en-GB"/>
              </w:rPr>
            </w:pPr>
            <w:r>
              <w:rPr>
                <w:rFonts w:ascii="Arial Unicode MS" w:cs="Arial Unicode MS" w:eastAsia="Arial Unicode MS" w:hAnsi="Arial Unicode MS"/>
                <w:lang w:val="en-GB"/>
              </w:rPr>
              <w:t>No</w:t>
            </w:r>
          </w:p>
        </w:tc>
        <w:tc>
          <w:tcPr>
            <w:tcW w:w="165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lang w:val="en-GB"/>
              </w:rPr>
            </w:pPr>
            <w:r>
              <w:rPr>
                <w:b/>
                <w:bCs/>
                <w:lang w:val="en-GB"/>
              </w:rPr>
              <w:t>Competitive Parity / Unused Advantage</w:t>
            </w:r>
          </w:p>
        </w:tc>
      </w:tr>
      <w:tr>
        <w:tblPrEx/>
        <w:trPr>
          <w:trHeight w:val="1310" w:hRule="atLeast"/>
        </w:trPr>
        <w:tc>
          <w:tcPr>
            <w:tcW w:w="27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lang w:val="en-GB"/>
              </w:rPr>
            </w:pPr>
            <w:r>
              <w:rPr>
                <w:lang w:val="en-GB"/>
              </w:rPr>
              <w:t>Flexibility to franchise/management-contract rather than own property</w:t>
            </w:r>
          </w:p>
        </w:tc>
        <w:tc>
          <w:tcPr>
            <w:tcW w:w="11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lang w:val="en-GB"/>
              </w:rPr>
            </w:pPr>
            <w:r>
              <w:rPr>
                <w:rFonts w:ascii="Arial Unicode MS" w:cs="Arial Unicode MS" w:eastAsia="Arial Unicode MS" w:hAnsi="Arial Unicode MS"/>
                <w:lang w:val="en-GB"/>
              </w:rPr>
              <w:t>Yes</w:t>
            </w:r>
          </w:p>
        </w:tc>
        <w:tc>
          <w:tcPr>
            <w:tcW w:w="82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lang w:val="en-GB"/>
              </w:rPr>
            </w:pPr>
            <w:r>
              <w:rPr>
                <w:rFonts w:ascii="Arial Unicode MS" w:cs="Arial Unicode MS" w:eastAsia="Arial Unicode MS" w:hAnsi="Arial Unicode MS"/>
                <w:lang w:val="en-GB"/>
              </w:rPr>
              <w:t>No</w:t>
            </w:r>
          </w:p>
        </w:tc>
        <w:tc>
          <w:tcPr>
            <w:tcW w:w="11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lang w:val="en-GB"/>
              </w:rPr>
            </w:pPr>
            <w:r>
              <w:rPr>
                <w:rFonts w:ascii="Arial Unicode MS" w:cs="Arial Unicode MS" w:eastAsia="Arial Unicode MS" w:hAnsi="Arial Unicode MS"/>
                <w:lang w:val="en-GB"/>
              </w:rPr>
              <w:t>No</w:t>
            </w:r>
          </w:p>
        </w:tc>
        <w:tc>
          <w:tcPr>
            <w:tcW w:w="14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lang w:val="en-GB"/>
              </w:rPr>
            </w:pPr>
            <w:r>
              <w:rPr>
                <w:rFonts w:ascii="Arial Unicode MS" w:cs="Arial Unicode MS" w:eastAsia="Arial Unicode MS" w:hAnsi="Arial Unicode MS"/>
                <w:lang w:val="en-GB"/>
              </w:rPr>
              <w:t>Yes</w:t>
            </w:r>
          </w:p>
        </w:tc>
        <w:tc>
          <w:tcPr>
            <w:tcW w:w="165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lang w:val="en-GB"/>
              </w:rPr>
            </w:pPr>
            <w:r>
              <w:rPr>
                <w:b/>
                <w:bCs/>
                <w:lang w:val="en-GB"/>
              </w:rPr>
              <w:t>Competitive Parity</w:t>
            </w:r>
          </w:p>
        </w:tc>
      </w:tr>
    </w:tbl>
    <w:p>
      <w:pPr>
        <w:pStyle w:val="style0"/>
        <w:jc w:val="center"/>
        <w:rPr>
          <w:b/>
          <w:bCs/>
          <w:lang w:val="en-GB"/>
        </w:rPr>
      </w:pPr>
      <w:r>
        <w:rPr>
          <w:b/>
          <w:bCs/>
          <w:lang w:val="en-GB"/>
        </w:rPr>
        <w:t xml:space="preserve">Table 3: VRIO Table </w:t>
      </w:r>
    </w:p>
    <w:p>
      <w:pPr>
        <w:pStyle w:val="style0"/>
        <w:jc w:val="center"/>
        <w:rPr>
          <w:lang w:val="en-GB"/>
        </w:rPr>
      </w:pPr>
      <w:r>
        <w:rPr>
          <w:lang w:val="en-GB"/>
        </w:rPr>
        <w:t>(Source: Self-created)</w:t>
      </w:r>
    </w:p>
    <w:p>
      <w:pPr>
        <w:pStyle w:val="style0"/>
        <w:rPr>
          <w:lang w:val="en-GB"/>
        </w:rPr>
      </w:pPr>
      <w:r>
        <w:rPr>
          <w:lang w:val="en-GB"/>
        </w:rPr>
        <w:t xml:space="preserve">As opined by Murcia, Ferreira and Ferreira (2022), VRIO can be transformed into a multi-criteria decision model, where the degree of objectivity is enhanced in a scenario of evaluating resources towards competitive advantage. According to Ferreira, Fernandes and Ferreira (2022), VRIO elements are consistently effective in improving the performance of SMEs, characterised by the fact that the internal resources that are actually useful in gaining the benefit in a dynamic environment are indicated. </w:t>
      </w:r>
    </w:p>
    <w:p>
      <w:pPr>
        <w:pStyle w:val="style0"/>
        <w:rPr>
          <w:lang w:val="en-GB"/>
        </w:rPr>
      </w:pPr>
      <w:r>
        <w:rPr>
          <w:lang w:val="en-GB"/>
        </w:rPr>
        <w:t xml:space="preserve">Conversely, Larbi, Asare-Danquah and Akua (2024) state that VRIO is unable to determine the extent of competitive advantage determination, which will be high or sustainable, not because it does not measure the extent of the organisational capacity or willingness to change with time. In the same case, Verissimo et al. (2024) state that VRIO, based on its current conditions, does not reflect dynamic external activities or emergent abilities and, as such, does not have the capability of application in a shifting, innovation-based environment. Therefore, although VRIO offers a systematised internal audit to indicate possible competitive resources, its non-dynamic and qualitative values, and absence of dynamic context leave it to be desired to be used in combination with other instruments. </w:t>
      </w:r>
    </w:p>
    <w:bookmarkStart w:id="21" w:name="_uua6o44amgk" w:colFirst="0" w:colLast="0"/>
    <w:bookmarkStart w:id="22" w:name="_Toc215672472"/>
    <w:bookmarkEnd w:id="21"/>
    <w:p>
      <w:pPr>
        <w:pStyle w:val="style1"/>
        <w:rPr>
          <w:lang w:val="en-GB"/>
        </w:rPr>
      </w:pPr>
      <w:r>
        <w:rPr>
          <w:lang w:val="en-GB"/>
        </w:rPr>
        <w:t>4. Strategy Development and Formulation</w:t>
      </w:r>
      <w:bookmarkEnd w:id="22"/>
      <w:r>
        <w:rPr>
          <w:lang w:val="en-GB"/>
        </w:rPr>
        <w:t xml:space="preserve"> </w:t>
      </w:r>
    </w:p>
    <w:bookmarkStart w:id="23" w:name="_53uqf7trvo47" w:colFirst="0" w:colLast="0"/>
    <w:bookmarkStart w:id="24" w:name="_Toc215672473"/>
    <w:bookmarkEnd w:id="23"/>
    <w:p>
      <w:pPr>
        <w:pStyle w:val="style2"/>
        <w:rPr>
          <w:lang w:val="en-GB"/>
        </w:rPr>
      </w:pPr>
      <w:r>
        <w:rPr>
          <w:lang w:val="en-GB"/>
        </w:rPr>
        <w:t>4.1 Porter’s Generic Competitive Strategies</w:t>
      </w:r>
      <w:bookmarkEnd w:id="24"/>
    </w:p>
    <w:p>
      <w:pPr>
        <w:pStyle w:val="style0"/>
        <w:rPr>
          <w:lang w:val="en-GB"/>
        </w:rPr>
      </w:pPr>
      <w:r>
        <w:rPr>
          <w:lang w:val="en-GB"/>
        </w:rPr>
        <w:t>The set of Generic Strategies created by Porter assists JW Marriott in outlining how it ought to compete in Myanmar by a clear strategic direction, which is cost leadership, differentiation, or focus (Lee, Hoehn-Weiss and Karim, 2021). This framework can avoid strategic ambiguity, match resources with market position, and the firm can position itself to gain a competitive advantage through aligning internal resources with external market opportunities and threats in the market.</w:t>
      </w:r>
    </w:p>
    <w:p>
      <w:pPr>
        <w:pStyle w:val="style0"/>
        <w:rPr>
          <w:b/>
          <w:bCs/>
          <w:lang w:val="en-GB"/>
        </w:rPr>
      </w:pPr>
      <w:r>
        <w:rPr>
          <w:b/>
          <w:bCs/>
          <w:lang w:val="en-GB"/>
        </w:rPr>
        <w:t>Cost leadership</w:t>
      </w:r>
    </w:p>
    <w:p>
      <w:pPr>
        <w:pStyle w:val="style0"/>
        <w:rPr>
          <w:lang w:val="en-GB"/>
        </w:rPr>
      </w:pPr>
      <w:r>
        <w:rPr>
          <w:lang w:val="en-GB"/>
        </w:rPr>
        <w:t>Cost leadership refers to providing the rooms at the minimum price, while the basic quality is maintained. In the case of JW Marriott, this strategy in Myanmar would mean reducing operating costs, sourcing most of the supplies locally, controlling labour costs and attracting very price-sensitive customers. Studies indicate that this is a risky strategy for the luxury hotels. According to Theuri et al. (2021), despite the possibility of boosting the market share by cost leadership, it tends to decrease service quality and undermine a luxurious brand. The luxury-hotel market is also projected to grow globally due to the desire of travellers serving premium experiences and not an inexpensive place to stay. This is inappropriate because it makes cost leadership inappropriate to JW Marriott.</w:t>
      </w:r>
    </w:p>
    <w:p>
      <w:pPr>
        <w:pStyle w:val="style0"/>
        <w:rPr>
          <w:b/>
          <w:bCs/>
          <w:lang w:val="en-GB"/>
        </w:rPr>
      </w:pPr>
      <w:r>
        <w:rPr>
          <w:b/>
          <w:bCs/>
          <w:lang w:val="en-GB"/>
        </w:rPr>
        <w:t>Cost focus</w:t>
      </w:r>
    </w:p>
    <w:p>
      <w:pPr>
        <w:pStyle w:val="style0"/>
        <w:rPr>
          <w:lang w:val="en-GB"/>
        </w:rPr>
      </w:pPr>
      <w:r>
        <w:rPr>
          <w:lang w:val="en-GB"/>
        </w:rPr>
        <w:t>Cost focus targets a limited number of price-conscious customers, like the low-income travellers or domestic customers. In the case of JW Marriott, this would be simplified rooms, reduced services and overall cheaper design. As observed by Alejandro et al. (2024), cost-oriented efforts are very effective at working with particular hotels, whereas they rarely work when a hotel brand is characterised by high service levels. The income levels and infrastructure of Myanmar also work against the nation in terms of providing good quality at very low prices. Consequently, cost focus is not capable of JW Marriott.</w:t>
      </w:r>
    </w:p>
    <w:p>
      <w:pPr>
        <w:pStyle w:val="style0"/>
        <w:rPr>
          <w:b/>
          <w:bCs/>
          <w:lang w:val="en-GB"/>
        </w:rPr>
      </w:pPr>
      <w:r>
        <w:rPr>
          <w:b/>
          <w:bCs/>
          <w:lang w:val="en-GB"/>
        </w:rPr>
        <w:t>Differentiation</w:t>
      </w:r>
    </w:p>
    <w:p>
      <w:pPr>
        <w:pStyle w:val="style0"/>
        <w:rPr>
          <w:lang w:val="en-GB"/>
        </w:rPr>
      </w:pPr>
      <w:r>
        <w:rPr>
          <w:lang w:val="en-GB"/>
        </w:rPr>
        <w:t>Differentiation is aimed at offering differentiated, high-quality services that will be worth premium prices. It aligns with the global brand (JW Marriott), which is a luxury brand. According to Pirogova, Plotnikov and Gamidova (2023), hotels with high standards of service quality and innovations work better in the volatile markets. It was also established that differentiation increases revenue, occupancy, and loyal guests in the luxury hotels (Li and Ma 2025). JW Marriott in Myanmar is able to differentiate through its reputation, wellness and international standards, as well as through its loyalty programmes, since there is a limited high-end offering and the tourism industry is on the rise in Myanmar. This renders differentiation as a good strategy decision.</w:t>
      </w:r>
    </w:p>
    <w:p>
      <w:pPr>
        <w:pStyle w:val="style0"/>
        <w:rPr>
          <w:b/>
          <w:bCs/>
          <w:lang w:val="en-GB"/>
        </w:rPr>
      </w:pPr>
      <w:r>
        <w:rPr>
          <w:b/>
          <w:bCs/>
          <w:lang w:val="en-GB"/>
        </w:rPr>
        <w:t>Differentiation focus</w:t>
      </w:r>
    </w:p>
    <w:p>
      <w:pPr>
        <w:pStyle w:val="style0"/>
        <w:rPr>
          <w:lang w:val="en-GB"/>
        </w:rPr>
      </w:pPr>
      <w:r>
        <w:rPr>
          <w:lang w:val="en-GB"/>
        </w:rPr>
        <w:t xml:space="preserve">The differentiation focus is on a </w:t>
      </w:r>
      <w:r>
        <w:rPr>
          <w:lang w:val="en-GB"/>
        </w:rPr>
        <w:t>narrower</w:t>
      </w:r>
      <w:r>
        <w:rPr>
          <w:lang w:val="en-GB"/>
        </w:rPr>
        <w:t xml:space="preserve"> and specialised market segment, including wellness travellers, long stay business visitors, or cultural tourists. This strategy would enable JW Marriott to showcase the heritage of Myanmar and provide customised luxury services. As Kankam-Kwarteng, Osman and Acheampong (2020) discuss, focused differentiation is effective when the offering firms match the localities as well as the needs of guests. Nevertheless, the use of a small target audience can produce low occupancy during low seasons. It is also capable of cutting off the hotel expansion to a larger market. Due to the presence of the global sector of luxury hotels that has been growing across, over-dependence on a niche might limit future benefits.</w:t>
      </w:r>
    </w:p>
    <w:p>
      <w:pPr>
        <w:pStyle w:val="style0"/>
        <w:rPr>
          <w:lang w:val="en-GB"/>
        </w:rPr>
      </w:pPr>
      <w:r>
        <w:rPr>
          <w:lang w:val="en-GB"/>
        </w:rPr>
        <w:t xml:space="preserve">To sum up, the best approach would be broad differentiation that JW Marriott in Myanmar can adopt. It assists in promoting the luxury nature of the company, coincides with the trend of high-quality travel worldwide and corresponds to a scarcity of high-quality hotels in the country. The wide differentiation approach enables JW </w:t>
      </w:r>
      <w:r>
        <w:rPr>
          <w:lang w:val="en-GB"/>
        </w:rPr>
        <w:t>Marriott to provide good service, standard international services and memorable experiences to the guests. The strategy offers the most appropriate opportunity to develop a sustainable competitive advantage and conquer the emerging hospitality market of Myanmar. This gives it a competitive edge in a fast-developing regional tourism scene.</w:t>
      </w:r>
    </w:p>
    <w:p>
      <w:pPr>
        <w:pStyle w:val="style0"/>
        <w:jc w:val="center"/>
        <w:rPr>
          <w:lang w:val="en-GB"/>
        </w:rPr>
      </w:pPr>
      <w:r>
        <w:rPr>
          <w:lang w:val="en-GB" w:eastAsia="en-GB"/>
        </w:rPr>
        <w:drawing>
          <wp:inline distL="0" distT="0" distB="0" distR="0">
            <wp:extent cx="4857750" cy="4514850"/>
            <wp:effectExtent l="25400" t="25400" r="25400" b="25400"/>
            <wp:docPr id="1031" name="image7.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5" name="image7.png"/>
                    <pic:cNvPicPr/>
                  </pic:nvPicPr>
                  <pic:blipFill>
                    <a:blip r:embed="rId8" cstate="print"/>
                    <a:srcRect l="0" t="0" r="0" b="0"/>
                    <a:stretch/>
                  </pic:blipFill>
                  <pic:spPr>
                    <a:xfrm rot="0">
                      <a:off x="0" y="0"/>
                      <a:ext cx="4857750" cy="4514850"/>
                    </a:xfrm>
                    <a:prstGeom prst="rect"/>
                    <a:ln cmpd="sng" cap="flat" w="25400">
                      <a:solidFill>
                        <a:srgbClr val="000000"/>
                      </a:solidFill>
                      <a:prstDash val="solid"/>
                      <a:round/>
                      <a:headEnd len="med" w="med" type="none"/>
                      <a:tailEnd len="med" w="med" type="none"/>
                    </a:ln>
                  </pic:spPr>
                </pic:pic>
              </a:graphicData>
            </a:graphic>
          </wp:inline>
        </w:drawing>
      </w:r>
    </w:p>
    <w:p>
      <w:pPr>
        <w:pStyle w:val="style0"/>
        <w:jc w:val="center"/>
        <w:rPr>
          <w:b/>
          <w:bCs/>
          <w:lang w:val="en-GB"/>
        </w:rPr>
      </w:pPr>
      <w:r>
        <w:rPr>
          <w:b/>
          <w:bCs/>
          <w:lang w:val="en-GB"/>
        </w:rPr>
        <w:t xml:space="preserve">Figure 6: Porter’s Generic Strategy </w:t>
      </w:r>
    </w:p>
    <w:p>
      <w:pPr>
        <w:pStyle w:val="style0"/>
        <w:jc w:val="center"/>
        <w:rPr>
          <w:lang w:val="en-GB"/>
        </w:rPr>
      </w:pPr>
      <w:r>
        <w:rPr>
          <w:lang w:val="en-GB"/>
        </w:rPr>
        <w:t xml:space="preserve">(Source: Self-created) </w:t>
      </w:r>
    </w:p>
    <w:bookmarkStart w:id="25" w:name="_ndiv4p3eiiw" w:colFirst="0" w:colLast="0"/>
    <w:bookmarkStart w:id="26" w:name="_Toc215672474"/>
    <w:bookmarkEnd w:id="25"/>
    <w:p>
      <w:pPr>
        <w:pStyle w:val="style2"/>
        <w:rPr>
          <w:lang w:val="en-GB"/>
        </w:rPr>
      </w:pPr>
      <w:r>
        <w:rPr>
          <w:lang w:val="en-GB"/>
        </w:rPr>
        <w:t>4.2 McKinsey 7S Framework</w:t>
      </w:r>
      <w:bookmarkEnd w:id="26"/>
    </w:p>
    <w:p>
      <w:pPr>
        <w:pStyle w:val="style0"/>
        <w:rPr>
          <w:lang w:val="en-GB"/>
        </w:rPr>
      </w:pPr>
      <w:r>
        <w:rPr>
          <w:lang w:val="en-GB"/>
        </w:rPr>
        <w:t>The McKinsey 7S model is effectively used to develop the strategy by aligning all the internal components of the strategy, structure, systems, shared values, staff, skills, and style to be effectively realised (Chmielewska et al., 2022). In the Myanmar entry of JW Marriott, the entry assists in converting the strategic intent into the operational capability and minimising the risks, and permitting the provision of luxurious services in the unstable market environment.</w:t>
      </w:r>
    </w:p>
    <w:p>
      <w:pPr>
        <w:pStyle w:val="style0"/>
        <w:rPr>
          <w:b/>
          <w:bCs/>
          <w:lang w:val="en-GB"/>
        </w:rPr>
      </w:pPr>
      <w:r>
        <w:rPr>
          <w:b/>
          <w:bCs/>
          <w:lang w:val="en-GB"/>
        </w:rPr>
        <w:t>Strategy</w:t>
      </w:r>
    </w:p>
    <w:p>
      <w:pPr>
        <w:pStyle w:val="style0"/>
        <w:rPr>
          <w:lang w:val="en-GB"/>
        </w:rPr>
      </w:pPr>
      <w:r>
        <w:rPr>
          <w:lang w:val="en-GB"/>
        </w:rPr>
        <w:t>JW Marriott must venture into Myanmar through a differentiation-based luxury hospitality approach. This will be the provision of quality services, good branding and quality guest experience. The Myanmar market is expected to increase to USD 1.7 billion in the year 2035 at an average growth rate of 4.5%  in terms of hotel accommodation (Fortune Business Insights, 2024). A combination of its practice as an international luxury brand with excellent service level, global customer loyalty schemes, wellness products and comfortable amenities will enable JW Marriott to appeal to both international and high-end local customers. This plan also exploits this market gap in Myanmar, where there are only professional hotels. It is also consistent with international travel trends, according to which tourists are ready to pay for more experience-based and personalised luxurious stays.</w:t>
      </w:r>
    </w:p>
    <w:p>
      <w:pPr>
        <w:pStyle w:val="style0"/>
        <w:rPr>
          <w:b/>
          <w:bCs/>
          <w:lang w:val="en-GB"/>
        </w:rPr>
      </w:pPr>
      <w:r>
        <w:rPr>
          <w:b/>
          <w:bCs/>
          <w:lang w:val="en-GB"/>
        </w:rPr>
        <w:t>Structure</w:t>
      </w:r>
    </w:p>
    <w:p>
      <w:pPr>
        <w:pStyle w:val="style0"/>
        <w:rPr>
          <w:lang w:val="en-GB"/>
        </w:rPr>
      </w:pPr>
      <w:r>
        <w:rPr>
          <w:lang w:val="en-GB"/>
        </w:rPr>
        <w:t>JW Marriott deserves to adopt an organisational structure that integrates global control and local flexibility in order to facilitate this strategy. Myanmar operations can be monitored by a regional Asia-Pacific unit that makes sure that international brand standards have been adhered to. In Myanmar, it is possible to have a local management team that manages the daily operations of the business, adheres to the regulations of the local environment and local culture and tailors the services to meet the local business environment. This two-level structure provides great ability to control quality and remain flexible in the unpredictable market, as in Myanmar. According to research conducted by Chareanporn and Yoopetch (2025) with regard to the 7S framework in the hotel industry, the right structural alignment enhances the performance of hotels, the level of satisfaction among the guests and the efficiency in the operations.</w:t>
      </w:r>
    </w:p>
    <w:p>
      <w:pPr>
        <w:pStyle w:val="style0"/>
        <w:rPr>
          <w:b/>
          <w:bCs/>
          <w:lang w:val="en-GB"/>
        </w:rPr>
      </w:pPr>
      <w:r>
        <w:rPr>
          <w:b/>
          <w:bCs/>
          <w:lang w:val="en-GB"/>
        </w:rPr>
        <w:t>Systems</w:t>
      </w:r>
    </w:p>
    <w:p>
      <w:pPr>
        <w:pStyle w:val="style0"/>
        <w:rPr>
          <w:lang w:val="en-GB"/>
        </w:rPr>
      </w:pPr>
      <w:r>
        <w:rPr>
          <w:lang w:val="en-GB"/>
        </w:rPr>
        <w:t xml:space="preserve">JW Marriott has to adopt powerful operating systems to operate its Myanmar hotels. According to Kumar (2024), international hotel systems like reservation platforms, loyalty programmes, quality-control tools, digital booking channels, CRM systems, and back-office support assist in sustainability. These systems will be particularly relevant in the case of the recent rise in tourism, as no less than 809,000 foreign tourists will come to Myanmar in the first 10 months of the year (Xinhua, 2025). Proper booking, </w:t>
      </w:r>
      <w:r>
        <w:rPr>
          <w:lang w:val="en-GB"/>
        </w:rPr>
        <w:t>management and planning of guests and resources will aid JW Marriott in responding to sudden demand peaks and at the same time ensure services maintain a high level. It is also going to have strong systems that will support compliance, supply chain management, and HR operations.</w:t>
      </w:r>
    </w:p>
    <w:p>
      <w:pPr>
        <w:pStyle w:val="style0"/>
        <w:rPr>
          <w:b/>
          <w:bCs/>
          <w:lang w:val="en-GB"/>
        </w:rPr>
      </w:pPr>
      <w:r>
        <w:rPr>
          <w:b/>
          <w:bCs/>
          <w:lang w:val="en-GB"/>
        </w:rPr>
        <w:t>Shared Values</w:t>
      </w:r>
    </w:p>
    <w:p>
      <w:pPr>
        <w:pStyle w:val="style0"/>
        <w:rPr>
          <w:lang w:val="en-GB"/>
        </w:rPr>
      </w:pPr>
      <w:r>
        <w:rPr>
          <w:lang w:val="en-GB"/>
        </w:rPr>
        <w:t>The common values provide the cultural foundations of the McKinsey 7S model. Bounjerte et al. (2025) assert that they control behaviour and influence the relationship that staff have with the guests. JW Marriott should advertise its international ethics of mindful hospitality, excellence of services, respectfforo culture, inclusivity and quality guarantee. In Myanmar, there are numerous hotels with unstable services, and effective shared values can make JW Marriott a solid and ethical brand. This will create credibility for the guests who seek a safe, comfortable and respectful experience.</w:t>
      </w:r>
    </w:p>
    <w:p>
      <w:pPr>
        <w:pStyle w:val="style0"/>
        <w:rPr>
          <w:b/>
          <w:bCs/>
          <w:lang w:val="en-GB"/>
        </w:rPr>
      </w:pPr>
      <w:r>
        <w:rPr>
          <w:b/>
          <w:bCs/>
          <w:lang w:val="en-GB"/>
        </w:rPr>
        <w:t>Staff</w:t>
      </w:r>
    </w:p>
    <w:p>
      <w:pPr>
        <w:pStyle w:val="style0"/>
        <w:rPr>
          <w:lang w:val="en-GB"/>
        </w:rPr>
      </w:pPr>
      <w:r>
        <w:rPr>
          <w:lang w:val="en-GB"/>
        </w:rPr>
        <w:t>Hospitality industry success revolves around people. JW Marriott must develop a hybrid type of staffing where expatriate managers are combined with locally hired workers. Expatriates will assist in the preservation of the worldwide standards, whereas the local personnel will be a source of cultural knowledge and economic advantages. The education of the customer service, cross-cultural communication, hygiene and safety, language skills, and luxury hospitality practices should be trained (Muiri, 2024). As the domestic tourism is projected to reach 10 million local travellers in 2024 (MOI, 2024b), and there is a particularly vast talent pool to be trained according to the luxury service standards. It has also been found that staff alignment in the 7S model improves the performance of hotels.</w:t>
      </w:r>
    </w:p>
    <w:p>
      <w:pPr>
        <w:pStyle w:val="style0"/>
        <w:rPr>
          <w:b/>
          <w:bCs/>
          <w:lang w:val="en-GB"/>
        </w:rPr>
      </w:pPr>
      <w:r>
        <w:rPr>
          <w:b/>
          <w:bCs/>
          <w:lang w:val="en-GB"/>
        </w:rPr>
        <w:t>Skills</w:t>
      </w:r>
    </w:p>
    <w:p>
      <w:pPr>
        <w:pStyle w:val="style0"/>
        <w:rPr>
          <w:lang w:val="en-GB"/>
        </w:rPr>
      </w:pPr>
      <w:r>
        <w:rPr>
          <w:lang w:val="en-GB"/>
        </w:rPr>
        <w:t>Staff of JW Marriott should be equipped with the appropriate competencies to offer the luxury services. These are guest-experience management, digital hospitality tools, the wellness and spa operations, sustainability practices, and crisis management. According to Tuffe et al. (2024), hotels around the world are shifting to digitalisation and customised services for visitors. As a result of skills training and constant improvement, JW Marriott will be able to sustain high-quality service and attract loyal consumers.</w:t>
      </w:r>
    </w:p>
    <w:p>
      <w:pPr>
        <w:pStyle w:val="style0"/>
        <w:rPr>
          <w:b/>
          <w:bCs/>
          <w:lang w:val="en-GB"/>
        </w:rPr>
      </w:pPr>
      <w:r>
        <w:rPr>
          <w:b/>
          <w:bCs/>
          <w:lang w:val="en-GB"/>
        </w:rPr>
        <w:t>Style</w:t>
      </w:r>
    </w:p>
    <w:p>
      <w:pPr>
        <w:pStyle w:val="style0"/>
        <w:rPr>
          <w:lang w:val="en-GB"/>
        </w:rPr>
      </w:pPr>
      <w:r>
        <w:rPr>
          <w:lang w:val="en-GB"/>
        </w:rPr>
        <w:t>The leadership style must incorporate the best practices of the global hotel in combination with cultural knowledge at the local level. As mentioned by Zaghmout et al. (2024), leadership in emerging markets has to be dynamic and be consultative of the culture. A culturally sensitive and participative strategy will assist in encouraging the employees and ensuring the guests' satisfaction. In spite of the fact that leadership does not exhibit significant performance impact in the short run, it is significant in regard to long-term success and change management.</w:t>
      </w:r>
    </w:p>
    <w:p>
      <w:pPr>
        <w:pStyle w:val="style0"/>
        <w:rPr>
          <w:lang w:val="en-GB"/>
        </w:rPr>
      </w:pPr>
      <w:r>
        <w:rPr>
          <w:lang w:val="en-GB"/>
        </w:rPr>
        <w:t>The Strategy, Structure, Systems, Shared Values, Staff, Skills and Style should be aligned to enable JW Marriott to enter Myanmar successfully and establish a good competitive position.</w:t>
      </w:r>
    </w:p>
    <w:p>
      <w:pPr>
        <w:pStyle w:val="style0"/>
        <w:jc w:val="center"/>
        <w:rPr>
          <w:lang w:val="en-GB"/>
        </w:rPr>
      </w:pPr>
      <w:r>
        <w:rPr>
          <w:lang w:val="en-GB" w:eastAsia="en-GB"/>
        </w:rPr>
        <w:drawing>
          <wp:inline distL="0" distT="0" distB="0" distR="0">
            <wp:extent cx="4962525" cy="3695699"/>
            <wp:effectExtent l="25400" t="25400" r="25400" b="25400"/>
            <wp:docPr id="1032" name="image1.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6" name="image1.png"/>
                    <pic:cNvPicPr/>
                  </pic:nvPicPr>
                  <pic:blipFill>
                    <a:blip r:embed="rId9" cstate="print"/>
                    <a:srcRect l="0" t="0" r="0" b="0"/>
                    <a:stretch/>
                  </pic:blipFill>
                  <pic:spPr>
                    <a:xfrm rot="0">
                      <a:off x="0" y="0"/>
                      <a:ext cx="4962525" cy="3695699"/>
                    </a:xfrm>
                    <a:prstGeom prst="rect"/>
                    <a:ln cmpd="sng" cap="flat" w="25400">
                      <a:solidFill>
                        <a:srgbClr val="000000"/>
                      </a:solidFill>
                      <a:prstDash val="solid"/>
                      <a:round/>
                      <a:headEnd len="med" w="med" type="none"/>
                      <a:tailEnd len="med" w="med" type="none"/>
                    </a:ln>
                  </pic:spPr>
                </pic:pic>
              </a:graphicData>
            </a:graphic>
          </wp:inline>
        </w:drawing>
      </w:r>
    </w:p>
    <w:p>
      <w:pPr>
        <w:pStyle w:val="style0"/>
        <w:jc w:val="center"/>
        <w:rPr>
          <w:b/>
          <w:bCs/>
          <w:lang w:val="en-GB"/>
        </w:rPr>
      </w:pPr>
      <w:r>
        <w:rPr>
          <w:b/>
          <w:bCs/>
          <w:lang w:val="en-GB"/>
        </w:rPr>
        <w:t>Figure 7: McKinsey 7S model</w:t>
      </w:r>
    </w:p>
    <w:p>
      <w:pPr>
        <w:pStyle w:val="style0"/>
        <w:jc w:val="center"/>
        <w:rPr>
          <w:lang w:val="en-GB"/>
        </w:rPr>
      </w:pPr>
      <w:r>
        <w:rPr>
          <w:lang w:val="en-GB"/>
        </w:rPr>
        <w:t>(Source: Jurevicius, 2025)</w:t>
      </w:r>
    </w:p>
    <w:bookmarkStart w:id="27" w:name="_7bajcyrige5u" w:colFirst="0" w:colLast="0"/>
    <w:bookmarkStart w:id="28" w:name="_Toc215672475"/>
    <w:bookmarkEnd w:id="27"/>
    <w:p>
      <w:pPr>
        <w:pStyle w:val="style1"/>
        <w:rPr>
          <w:lang w:val="en-GB"/>
        </w:rPr>
      </w:pPr>
      <w:r>
        <w:rPr>
          <w:lang w:val="en-GB"/>
        </w:rPr>
        <w:t>5. Performance Evaluation Framework</w:t>
      </w:r>
      <w:bookmarkEnd w:id="28"/>
    </w:p>
    <w:bookmarkStart w:id="29" w:name="_iekdyl4surz8" w:colFirst="0" w:colLast="0"/>
    <w:bookmarkStart w:id="30" w:name="_Toc215672476"/>
    <w:bookmarkEnd w:id="29"/>
    <w:p>
      <w:pPr>
        <w:pStyle w:val="style2"/>
        <w:rPr>
          <w:lang w:val="en-GB"/>
        </w:rPr>
      </w:pPr>
      <w:r>
        <w:rPr>
          <w:lang w:val="en-GB"/>
        </w:rPr>
        <w:t>5.1 Triple Bottom Line</w:t>
      </w:r>
      <w:bookmarkEnd w:id="30"/>
    </w:p>
    <w:p>
      <w:pPr>
        <w:pStyle w:val="style0"/>
        <w:rPr>
          <w:b/>
          <w:bCs/>
          <w:lang w:val="en-GB"/>
        </w:rPr>
      </w:pPr>
      <w:r>
        <w:rPr>
          <w:b/>
          <w:bCs/>
          <w:lang w:val="en-GB"/>
        </w:rPr>
        <w:t>Economic (Profit) Performance.</w:t>
      </w:r>
    </w:p>
    <w:p>
      <w:pPr>
        <w:pStyle w:val="style0"/>
        <w:rPr>
          <w:lang w:val="en-GB"/>
        </w:rPr>
      </w:pPr>
      <w:r>
        <w:rPr>
          <w:lang w:val="en-GB"/>
        </w:rPr>
        <w:t>In the economic pillar, occupancy rate, average daily position (ADR), and revenue/per/available room (RevPAR) are the core financial and operational KPIs that the hotel should monitor. According to Nogueira, Gomes and Lope (2025), hotels with TBL-led management are more likely to have excellent financial performance in the long run than hotels that concentrate on cost or short-term profits. A study of hospitality firms conducted in 2024 reported a positive relationship between the sustainability practices and the business operations in terms of economic efficiency and profitability (Asraf et al., 2024).  Through a logical tracking of these economic indicators, JW Marriott will be able to capture the fact that their investment in luxury hotels is a viable one, despite its focus on social and environmental objectives.</w:t>
      </w:r>
    </w:p>
    <w:p>
      <w:pPr>
        <w:pStyle w:val="style0"/>
        <w:rPr>
          <w:b/>
          <w:bCs/>
          <w:lang w:val="en-GB"/>
        </w:rPr>
      </w:pPr>
      <w:r>
        <w:rPr>
          <w:b/>
          <w:bCs/>
          <w:lang w:val="en-GB"/>
        </w:rPr>
        <w:t>Social (People) Performance</w:t>
      </w:r>
    </w:p>
    <w:p>
      <w:pPr>
        <w:pStyle w:val="style0"/>
        <w:rPr>
          <w:lang w:val="en-GB"/>
        </w:rPr>
      </w:pPr>
      <w:r>
        <w:rPr>
          <w:lang w:val="en-GB"/>
        </w:rPr>
        <w:t xml:space="preserve">As far as the social pillar is concerned, one should consider such key metrics as guest satisfaction and loyalty, employee retention and hours of training, and local-employment ratio/community </w:t>
      </w:r>
      <w:r>
        <w:rPr>
          <w:lang w:val="en-GB"/>
        </w:rPr>
        <w:t>engagement.</w:t>
      </w:r>
      <w:r>
        <w:rPr>
          <w:lang w:val="en-GB"/>
        </w:rPr>
        <w:t xml:space="preserve"> Dedat and Rodrigues (2025) show that hotels that apply TBL practices, such as quality service and fair labour practices as well as community responsibility, record greater levels of guest loyalty and repeat visitation. The research has established that the perception of guests on the environmental and social responsibility has a positive impact on the intention of revisiting a destination mediated by brand loyalty. Therefore, social KPI measurement can be used to ensure that the expansion not only going to brings profit but also creates a devoted customer base and contributes to the local interests.</w:t>
      </w:r>
    </w:p>
    <w:p>
      <w:pPr>
        <w:pStyle w:val="style0"/>
        <w:rPr>
          <w:b/>
          <w:bCs/>
          <w:lang w:val="en-GB"/>
        </w:rPr>
      </w:pPr>
      <w:r>
        <w:rPr>
          <w:b/>
          <w:bCs/>
          <w:lang w:val="en-GB"/>
        </w:rPr>
        <w:t>Environmental (Planet) Performance.</w:t>
      </w:r>
    </w:p>
    <w:p>
      <w:pPr>
        <w:pStyle w:val="style0"/>
        <w:rPr>
          <w:lang w:val="en-GB"/>
        </w:rPr>
      </w:pPr>
      <w:r>
        <w:rPr>
          <w:lang w:val="en-GB"/>
        </w:rPr>
        <w:t xml:space="preserve">Some of the measures that should be monitored by the hotel under the environmental pillar include energy use per occupied room-night, water use per guest-night, waste production and recycling ratio, and carbon footprint per guest-night. Makoondlall-Chadee and Bokhoree, (2024) argue that the hotels that implement environmental sustainability policies, including energy efficiency, waste reduction, water conservation, and so on, are characterised by their greater effectiveness in their operations and lower costs on resources in the long run. According to Asraf et al. (2024), environmentally sustainable practices made a significant impact in enhancing the future long-term operational and financial outcomes. To a luxury brand venturing into an emerging market, open reporting of such environmental KPIs can win the brand </w:t>
      </w:r>
      <w:r>
        <w:rPr>
          <w:lang w:val="en-GB"/>
        </w:rPr>
        <w:t>a sustainable image, meet the rising global and guest-related demands, and incorporate the offering into the less responsible competitors, making sustainability a competitive edge.</w:t>
      </w:r>
    </w:p>
    <w:p>
      <w:pPr>
        <w:pStyle w:val="style0"/>
        <w:jc w:val="center"/>
        <w:rPr>
          <w:lang w:val="en-GB"/>
        </w:rPr>
      </w:pPr>
      <w:r>
        <w:rPr>
          <w:lang w:val="en-GB" w:eastAsia="en-GB"/>
        </w:rPr>
        <w:drawing>
          <wp:inline distL="0" distT="0" distB="0" distR="0">
            <wp:extent cx="5362575" cy="1962149"/>
            <wp:effectExtent l="25400" t="25400" r="25400" b="25400"/>
            <wp:docPr id="1033" name="image4.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7" name="image4.png"/>
                    <pic:cNvPicPr/>
                  </pic:nvPicPr>
                  <pic:blipFill>
                    <a:blip r:embed="rId10" cstate="print"/>
                    <a:srcRect l="0" t="0" r="0" b="0"/>
                    <a:stretch/>
                  </pic:blipFill>
                  <pic:spPr>
                    <a:xfrm rot="0">
                      <a:off x="0" y="0"/>
                      <a:ext cx="5362575" cy="1962149"/>
                    </a:xfrm>
                    <a:prstGeom prst="rect"/>
                    <a:ln cmpd="sng" cap="flat" w="25400">
                      <a:solidFill>
                        <a:srgbClr val="000000"/>
                      </a:solidFill>
                      <a:prstDash val="solid"/>
                      <a:round/>
                      <a:headEnd len="med" w="med" type="none"/>
                      <a:tailEnd len="med" w="med" type="none"/>
                    </a:ln>
                  </pic:spPr>
                </pic:pic>
              </a:graphicData>
            </a:graphic>
          </wp:inline>
        </w:drawing>
      </w:r>
    </w:p>
    <w:p>
      <w:pPr>
        <w:pStyle w:val="style0"/>
        <w:jc w:val="center"/>
        <w:rPr>
          <w:b/>
          <w:bCs/>
          <w:lang w:val="en-GB"/>
        </w:rPr>
      </w:pPr>
      <w:r>
        <w:rPr>
          <w:b/>
          <w:bCs/>
          <w:lang w:val="en-GB"/>
        </w:rPr>
        <w:t>Figure 8: Triple Bottom Line</w:t>
      </w:r>
    </w:p>
    <w:p>
      <w:pPr>
        <w:pStyle w:val="style0"/>
        <w:jc w:val="center"/>
        <w:rPr>
          <w:lang w:val="en-GB"/>
        </w:rPr>
      </w:pPr>
      <w:r>
        <w:rPr>
          <w:lang w:val="en-GB"/>
        </w:rPr>
        <w:t>(Source: Tamplin, 2021)</w:t>
      </w:r>
    </w:p>
    <w:bookmarkStart w:id="31" w:name="_qk16lhwlc989" w:colFirst="0" w:colLast="0"/>
    <w:bookmarkStart w:id="32" w:name="_Toc215672477"/>
    <w:bookmarkEnd w:id="31"/>
    <w:p>
      <w:pPr>
        <w:pStyle w:val="style1"/>
        <w:rPr>
          <w:lang w:val="en-GB"/>
        </w:rPr>
      </w:pPr>
      <w:r>
        <w:rPr>
          <w:lang w:val="en-GB"/>
        </w:rPr>
        <w:t>6. Conclusion</w:t>
      </w:r>
      <w:bookmarkEnd w:id="32"/>
      <w:r>
        <w:rPr>
          <w:lang w:val="en-GB"/>
        </w:rPr>
        <w:t xml:space="preserve"> </w:t>
      </w:r>
    </w:p>
    <w:p>
      <w:pPr>
        <w:pStyle w:val="style0"/>
        <w:rPr>
          <w:lang w:val="en-GB"/>
        </w:rPr>
      </w:pPr>
      <w:r>
        <w:rPr>
          <w:lang w:val="en-GB"/>
        </w:rPr>
        <w:t>This report demonstrates that the plan of JW Marriott to expand into Myanmar is strategic in nature and will have to be pursued with a well-coordinated approach that is evidence-based. The macro-environment analysis and the industry analysis demonstrate that there are great opportunities, including increased tourism demand, underdeveloped luxury accommodations, and future potential increases in the sector, in addition to high risks associated with political instabilities, uncertainty about regulatory structures, as well as infrastructural flaws. When applying the Generic Strategies developed by Porter, broad differentiation becomes a superior competitive strategy, which would allow JW Marriott to use its global luxury positioning and provide premium and experience-oriented hospitality. The McKinsey 7S model also emphasises internal alignment essential in the strategy, structure, systems, shared values, staff, skills and leadership style to make the emerging market volatile situation a success. Lastly, the Triple Bottom Line performance framework provides an analytical approach that is holistic and focuses on financial sustainability, the creation of social value, and environmental responsibility. All of these strategic instruments offer a strong basis of informed global expansion and long-term competitive edge in Myanmar.</w:t>
      </w:r>
      <w:bookmarkStart w:id="33" w:name="_ft0es5u9xe5o" w:colFirst="0" w:colLast="0"/>
      <w:bookmarkEnd w:id="33"/>
      <w:r>
        <w:rPr>
          <w:lang w:val="en-GB"/>
        </w:rPr>
        <w:br w:type="page"/>
      </w:r>
    </w:p>
    <w:bookmarkStart w:id="34" w:name="_bmp7id3pampj" w:colFirst="0" w:colLast="0"/>
    <w:bookmarkStart w:id="35" w:name="_Toc215672478"/>
    <w:bookmarkEnd w:id="34"/>
    <w:p>
      <w:pPr>
        <w:pStyle w:val="style1"/>
        <w:rPr>
          <w:lang w:val="en-GB"/>
        </w:rPr>
      </w:pPr>
      <w:r>
        <w:rPr>
          <w:lang w:val="en-GB"/>
        </w:rPr>
        <w:t>7. References</w:t>
      </w:r>
      <w:bookmarkEnd w:id="35"/>
      <w:r>
        <w:rPr>
          <w:lang w:val="en-GB"/>
        </w:rPr>
        <w:t xml:space="preserve"> </w:t>
      </w:r>
    </w:p>
    <w:p>
      <w:pPr>
        <w:pStyle w:val="style0"/>
        <w:spacing w:after="240"/>
        <w:rPr>
          <w:lang w:val="en-GB"/>
        </w:rPr>
      </w:pPr>
      <w:r>
        <w:rPr>
          <w:lang w:val="en-GB"/>
        </w:rPr>
        <w:t xml:space="preserve">Alejandro, D., Aníbal, J., Gabriel, J. and Alexandra, M. (2024) ‘Adaptation Strategies of the Colombian Hotel Industry During the Pandemic’, </w:t>
      </w:r>
      <w:r>
        <w:rPr>
          <w:i/>
          <w:iCs/>
          <w:lang w:val="en-GB"/>
        </w:rPr>
        <w:t>Apuntes del Cenes/Apuntes del CENES</w:t>
      </w:r>
      <w:r>
        <w:rPr>
          <w:lang w:val="en-GB"/>
        </w:rPr>
        <w:t xml:space="preserve">, 43(77), pp. 103–130. Available at: </w:t>
      </w:r>
      <w:r>
        <w:rPr/>
        <w:fldChar w:fldCharType="begin"/>
      </w:r>
      <w:r>
        <w:instrText xml:space="preserve"> HYPERLINK "https://doi.org/10.19053/uptc.01203053.v43.n77.2024.16500" </w:instrText>
      </w:r>
      <w:r>
        <w:rPr/>
        <w:fldChar w:fldCharType="separate"/>
      </w:r>
      <w:r>
        <w:rPr>
          <w:color w:val="1155cc"/>
          <w:u w:val="single"/>
          <w:lang w:val="en-GB"/>
        </w:rPr>
        <w:t>https://doi.org/10.19053/uptc.01203053.v43.n77.2024.16500</w:t>
      </w:r>
      <w:r>
        <w:rPr/>
        <w:fldChar w:fldCharType="end"/>
      </w:r>
      <w:r>
        <w:rPr>
          <w:lang w:val="en-GB"/>
        </w:rPr>
        <w:t>. (Accessed: 2 December 2025).</w:t>
      </w:r>
    </w:p>
    <w:p>
      <w:pPr>
        <w:pStyle w:val="style0"/>
        <w:spacing w:after="240"/>
        <w:rPr>
          <w:lang w:val="en-GB"/>
        </w:rPr>
      </w:pPr>
      <w:r>
        <w:rPr>
          <w:lang w:val="en-GB"/>
        </w:rPr>
        <w:t xml:space="preserve">Anderson, P. (2025) ‘The pestel framework and its variants for analysing the strategic environment: Evolution, limitations and adoption in energy policy research’, </w:t>
      </w:r>
      <w:r>
        <w:rPr>
          <w:i/>
          <w:iCs/>
          <w:lang w:val="en-GB"/>
        </w:rPr>
        <w:t>SSRN</w:t>
      </w:r>
      <w:r>
        <w:rPr>
          <w:lang w:val="en-GB"/>
        </w:rPr>
        <w:t xml:space="preserve"> [Preprint]. Available at: </w:t>
      </w:r>
      <w:r>
        <w:rPr/>
        <w:fldChar w:fldCharType="begin"/>
      </w:r>
      <w:r>
        <w:instrText xml:space="preserve"> HYPERLINK "https://doi.org/10.2139/ssrn.5266562" </w:instrText>
      </w:r>
      <w:r>
        <w:rPr/>
        <w:fldChar w:fldCharType="separate"/>
      </w:r>
      <w:r>
        <w:rPr>
          <w:color w:val="1155cc"/>
          <w:u w:val="single"/>
          <w:lang w:val="en-GB"/>
        </w:rPr>
        <w:t>https://doi.org/10.2139/ssrn.5266562</w:t>
      </w:r>
      <w:r>
        <w:rPr/>
        <w:fldChar w:fldCharType="end"/>
      </w:r>
      <w:r>
        <w:rPr>
          <w:lang w:val="en-GB"/>
        </w:rPr>
        <w:t>. (Accessed: 1 December 2025).</w:t>
      </w:r>
    </w:p>
    <w:p>
      <w:pPr>
        <w:pStyle w:val="style0"/>
        <w:spacing w:after="240"/>
        <w:rPr>
          <w:lang w:val="en-GB"/>
        </w:rPr>
      </w:pPr>
      <w:r>
        <w:rPr>
          <w:lang w:val="en-GB"/>
        </w:rPr>
        <w:t xml:space="preserve">Asraf, A., Hakim, A., Bagea, A. and Yasin, M. (2024) ‘Holistic Analysis of Triple Bottom Line on Performance and Sustainability of the Hospitality Industry in Kendari City’, </w:t>
      </w:r>
      <w:r>
        <w:rPr>
          <w:i/>
          <w:iCs/>
          <w:lang w:val="en-GB"/>
        </w:rPr>
        <w:t>Management Studies and Business Journal (PRODUCTIVITY)</w:t>
      </w:r>
      <w:r>
        <w:rPr>
          <w:lang w:val="en-GB"/>
        </w:rPr>
        <w:t xml:space="preserve">, 1(5), pp. 857–865. Available at: </w:t>
      </w:r>
      <w:r>
        <w:rPr/>
        <w:fldChar w:fldCharType="begin"/>
      </w:r>
      <w:r>
        <w:instrText xml:space="preserve"> HYPERLINK "https://doi.org/10.62207/xsff9636" </w:instrText>
      </w:r>
      <w:r>
        <w:rPr/>
        <w:fldChar w:fldCharType="separate"/>
      </w:r>
      <w:r>
        <w:rPr>
          <w:color w:val="1155cc"/>
          <w:u w:val="single"/>
          <w:lang w:val="en-GB"/>
        </w:rPr>
        <w:t>https://doi.org/10.62207/xsff9636</w:t>
      </w:r>
      <w:r>
        <w:rPr/>
        <w:fldChar w:fldCharType="end"/>
      </w:r>
      <w:r>
        <w:rPr>
          <w:lang w:val="en-GB"/>
        </w:rPr>
        <w:t>. (Accessed: 2 December 2025).</w:t>
      </w:r>
    </w:p>
    <w:p>
      <w:pPr>
        <w:pStyle w:val="style0"/>
        <w:spacing w:after="240"/>
        <w:rPr>
          <w:lang w:val="en-GB"/>
        </w:rPr>
      </w:pPr>
      <w:r>
        <w:rPr>
          <w:lang w:val="en-GB"/>
        </w:rPr>
        <w:t xml:space="preserve">Baird, K., Nuhu, N. and Jiao, L. (2024) ‘The effect of Porter’s competitive forces on competitive advantage and organisational performance and the moderating role of management accounting practices’, </w:t>
      </w:r>
      <w:r>
        <w:rPr>
          <w:i/>
          <w:iCs/>
          <w:lang w:val="en-GB"/>
        </w:rPr>
        <w:t>Journal of Management Control</w:t>
      </w:r>
      <w:r>
        <w:rPr>
          <w:lang w:val="en-GB"/>
        </w:rPr>
        <w:t xml:space="preserve">, 35, pp. 303–332. Available at: </w:t>
      </w:r>
      <w:r>
        <w:rPr/>
        <w:fldChar w:fldCharType="begin"/>
      </w:r>
      <w:r>
        <w:instrText xml:space="preserve"> HYPERLINK "https://doi.org/10.1007/s00187-024-00375-4" </w:instrText>
      </w:r>
      <w:r>
        <w:rPr/>
        <w:fldChar w:fldCharType="separate"/>
      </w:r>
      <w:r>
        <w:rPr>
          <w:color w:val="1155cc"/>
          <w:u w:val="single"/>
          <w:lang w:val="en-GB"/>
        </w:rPr>
        <w:t>https://doi.org/10.1007/s00187-024-00375-4</w:t>
      </w:r>
      <w:r>
        <w:rPr/>
        <w:fldChar w:fldCharType="end"/>
      </w:r>
      <w:r>
        <w:rPr>
          <w:lang w:val="en-GB"/>
        </w:rPr>
        <w:t>. (Accessed: 2 December 2025).</w:t>
      </w:r>
    </w:p>
    <w:p>
      <w:pPr>
        <w:pStyle w:val="style0"/>
        <w:spacing w:after="240"/>
        <w:rPr>
          <w:lang w:val="en-GB"/>
        </w:rPr>
      </w:pPr>
      <w:r>
        <w:rPr>
          <w:lang w:val="en-GB"/>
        </w:rPr>
        <w:t xml:space="preserve">Bounjerte, I., Khalidy, S., Mazouzy, I., Turk, J., Haidar, I., Kettani, A., Saile, R. and Bennani, H. (2025) ‘Evaluating organisational performance in healthcare: a mixed-method study using the McKinsey 7S framework’, </w:t>
      </w:r>
      <w:r>
        <w:rPr>
          <w:i/>
          <w:iCs/>
          <w:lang w:val="en-GB"/>
        </w:rPr>
        <w:t>BMJ Open Quality</w:t>
      </w:r>
      <w:r>
        <w:rPr>
          <w:lang w:val="en-GB"/>
        </w:rPr>
        <w:t xml:space="preserve">, 14(2), p. 3317. Available at: </w:t>
      </w:r>
      <w:r>
        <w:rPr/>
        <w:fldChar w:fldCharType="begin"/>
      </w:r>
      <w:r>
        <w:instrText xml:space="preserve"> HYPERLINK "https://doi.org/10.1136/bmjoq-2025-003317" </w:instrText>
      </w:r>
      <w:r>
        <w:rPr/>
        <w:fldChar w:fldCharType="separate"/>
      </w:r>
      <w:r>
        <w:rPr>
          <w:color w:val="1155cc"/>
          <w:u w:val="single"/>
          <w:lang w:val="en-GB"/>
        </w:rPr>
        <w:t>https://doi.org/10.1136/bmjoq-2025-003317</w:t>
      </w:r>
      <w:r>
        <w:rPr/>
        <w:fldChar w:fldCharType="end"/>
      </w:r>
      <w:r>
        <w:rPr>
          <w:lang w:val="en-GB"/>
        </w:rPr>
        <w:t>. (Accessed: 2 December 2025).</w:t>
      </w:r>
    </w:p>
    <w:p>
      <w:pPr>
        <w:pStyle w:val="style0"/>
        <w:spacing w:after="240"/>
        <w:rPr>
          <w:lang w:val="en-GB"/>
        </w:rPr>
      </w:pPr>
      <w:r>
        <w:rPr>
          <w:lang w:val="en-GB"/>
        </w:rPr>
        <w:t xml:space="preserve">Buye, R. (2021). </w:t>
      </w:r>
      <w:r>
        <w:rPr>
          <w:i/>
          <w:iCs/>
          <w:lang w:val="en-GB"/>
        </w:rPr>
        <w:t>Critical examination of the PESTEL Analysis Model</w:t>
      </w:r>
      <w:r>
        <w:rPr>
          <w:lang w:val="en-GB"/>
        </w:rPr>
        <w:t xml:space="preserve">. Available at: </w:t>
      </w:r>
      <w:r>
        <w:rPr/>
        <w:fldChar w:fldCharType="begin"/>
      </w:r>
      <w:r>
        <w:instrText xml:space="preserve"> HYPERLINK "https://www.researchgate.net/publication/349506325_Critical_examination_of_the_PESTEL_Analysis_Model" </w:instrText>
      </w:r>
      <w:r>
        <w:rPr/>
        <w:fldChar w:fldCharType="separate"/>
      </w:r>
      <w:r>
        <w:rPr>
          <w:color w:val="1155cc"/>
          <w:u w:val="single"/>
          <w:lang w:val="en-GB"/>
        </w:rPr>
        <w:t>https://www.researchgate.net/publication/349506325_Critical_examination_of_the_PESTEL_Analysis_Model</w:t>
      </w:r>
      <w:r>
        <w:rPr/>
        <w:fldChar w:fldCharType="end"/>
      </w:r>
      <w:r>
        <w:rPr>
          <w:lang w:val="en-GB"/>
        </w:rPr>
        <w:t xml:space="preserve"> (Accessed: 2 December 2025).</w:t>
      </w:r>
    </w:p>
    <w:p>
      <w:pPr>
        <w:pStyle w:val="style0"/>
        <w:spacing w:after="240"/>
        <w:rPr>
          <w:lang w:val="en-GB"/>
        </w:rPr>
      </w:pPr>
      <w:r>
        <w:rPr>
          <w:lang w:val="en-GB"/>
        </w:rPr>
        <w:t xml:space="preserve">Chareanporn, T. and Yoopetch, C. (2025) ‘The investigation of 7S framework and organizational performance in the context of the hotel industry’, </w:t>
      </w:r>
      <w:r>
        <w:rPr>
          <w:i/>
          <w:iCs/>
          <w:lang w:val="en-GB"/>
        </w:rPr>
        <w:t xml:space="preserve">Edelweiss Applied </w:t>
      </w:r>
      <w:r>
        <w:rPr>
          <w:i/>
          <w:iCs/>
          <w:lang w:val="en-GB"/>
        </w:rPr>
        <w:t>Science and Technology</w:t>
      </w:r>
      <w:r>
        <w:rPr>
          <w:lang w:val="en-GB"/>
        </w:rPr>
        <w:t xml:space="preserve">, 9(7), pp. 2193–2212. Available at: </w:t>
      </w:r>
      <w:r>
        <w:rPr/>
        <w:fldChar w:fldCharType="begin"/>
      </w:r>
      <w:r>
        <w:instrText xml:space="preserve"> HYPERLINK "https://doi.org/10.55214/2576-8484.v9i7.9133" </w:instrText>
      </w:r>
      <w:r>
        <w:rPr/>
        <w:fldChar w:fldCharType="separate"/>
      </w:r>
      <w:r>
        <w:rPr>
          <w:color w:val="1155cc"/>
          <w:u w:val="single"/>
          <w:lang w:val="en-GB"/>
        </w:rPr>
        <w:t>https://doi.org/10.55214/2576-8484.v9i7.9133</w:t>
      </w:r>
      <w:r>
        <w:rPr/>
        <w:fldChar w:fldCharType="end"/>
      </w:r>
      <w:r>
        <w:rPr>
          <w:lang w:val="en-GB"/>
        </w:rPr>
        <w:t>. (Accessed: 2 December 2025).</w:t>
      </w:r>
    </w:p>
    <w:p>
      <w:pPr>
        <w:pStyle w:val="style0"/>
        <w:spacing w:after="240"/>
        <w:rPr>
          <w:lang w:val="en-GB"/>
        </w:rPr>
      </w:pPr>
      <w:r>
        <w:rPr>
          <w:lang w:val="en-GB"/>
        </w:rPr>
        <w:t xml:space="preserve">Chmielewska, M., Stokwiszewski, J., Markowska, J. and Hermanowski, T. (2022) ‘Evaluating Organizational Performance of Public Hospitals using the McKinsey 7-S Framework’, </w:t>
      </w:r>
      <w:r>
        <w:rPr>
          <w:i/>
          <w:iCs/>
          <w:lang w:val="en-GB"/>
        </w:rPr>
        <w:t>BMC Health Services Research</w:t>
      </w:r>
      <w:r>
        <w:rPr>
          <w:lang w:val="en-GB"/>
        </w:rPr>
        <w:t xml:space="preserve">, 22(1). Available at: </w:t>
      </w:r>
      <w:r>
        <w:rPr/>
        <w:fldChar w:fldCharType="begin"/>
      </w:r>
      <w:r>
        <w:instrText xml:space="preserve"> HYPERLINK "https://doi.org/10.1186/s12913-021-07402-3" </w:instrText>
      </w:r>
      <w:r>
        <w:rPr/>
        <w:fldChar w:fldCharType="separate"/>
      </w:r>
      <w:r>
        <w:rPr>
          <w:color w:val="1155cc"/>
          <w:u w:val="single"/>
          <w:lang w:val="en-GB"/>
        </w:rPr>
        <w:t>https://doi.org/10.1186/s12913-021-07402-3</w:t>
      </w:r>
      <w:r>
        <w:rPr/>
        <w:fldChar w:fldCharType="end"/>
      </w:r>
      <w:r>
        <w:rPr>
          <w:lang w:val="en-GB"/>
        </w:rPr>
        <w:t>. (Accessed: 2 December 2025).</w:t>
      </w:r>
    </w:p>
    <w:p>
      <w:pPr>
        <w:pStyle w:val="style0"/>
        <w:spacing w:after="240"/>
        <w:rPr>
          <w:lang w:val="en-GB"/>
        </w:rPr>
      </w:pPr>
      <w:r>
        <w:rPr>
          <w:lang w:val="en-GB"/>
        </w:rPr>
        <w:t xml:space="preserve">CIPD (2025) </w:t>
      </w:r>
      <w:r>
        <w:rPr>
          <w:i/>
          <w:iCs/>
          <w:lang w:val="en-GB"/>
        </w:rPr>
        <w:t>CIPD | PESTLE analysis</w:t>
      </w:r>
      <w:r>
        <w:rPr>
          <w:lang w:val="en-GB"/>
        </w:rPr>
        <w:t xml:space="preserve">, </w:t>
      </w:r>
      <w:r>
        <w:rPr>
          <w:i/>
          <w:iCs/>
          <w:lang w:val="en-GB"/>
        </w:rPr>
        <w:t>CIPD</w:t>
      </w:r>
      <w:r>
        <w:rPr>
          <w:lang w:val="en-GB"/>
        </w:rPr>
        <w:t xml:space="preserve">. Available at: </w:t>
      </w:r>
      <w:r>
        <w:rPr/>
        <w:fldChar w:fldCharType="begin"/>
      </w:r>
      <w:r>
        <w:instrText xml:space="preserve"> HYPERLINK "https://www.cipd.org/en/knowledge/factsheets/pestle-analysis-factsheet/" </w:instrText>
      </w:r>
      <w:r>
        <w:rPr/>
        <w:fldChar w:fldCharType="separate"/>
      </w:r>
      <w:r>
        <w:rPr>
          <w:color w:val="1155cc"/>
          <w:u w:val="single"/>
          <w:lang w:val="en-GB"/>
        </w:rPr>
        <w:t>https://www.cipd.org/en/knowledge/factsheets/pestle-analysis-factsheet/</w:t>
      </w:r>
      <w:r>
        <w:rPr/>
        <w:fldChar w:fldCharType="end"/>
      </w:r>
      <w:r>
        <w:rPr>
          <w:lang w:val="en-GB"/>
        </w:rPr>
        <w:t xml:space="preserve"> (Accessed: 1 December 2025).</w:t>
      </w:r>
    </w:p>
    <w:p>
      <w:pPr>
        <w:pStyle w:val="style0"/>
        <w:spacing w:after="240"/>
        <w:rPr>
          <w:lang w:val="en-GB"/>
        </w:rPr>
      </w:pPr>
      <w:r>
        <w:rPr>
          <w:lang w:val="en-GB"/>
        </w:rPr>
        <w:t xml:space="preserve">Dedat, S. and Rodrigues, R.I. (2025) ‘Perceived sustainability improves guest loyalty in hospitality sector’, </w:t>
      </w:r>
      <w:r>
        <w:rPr>
          <w:i/>
          <w:iCs/>
          <w:lang w:val="en-GB"/>
        </w:rPr>
        <w:t>Frontiers in Sustainability</w:t>
      </w:r>
      <w:r>
        <w:rPr>
          <w:lang w:val="en-GB"/>
        </w:rPr>
        <w:t xml:space="preserve">, 6. Available at: </w:t>
      </w:r>
      <w:r>
        <w:rPr/>
        <w:fldChar w:fldCharType="begin"/>
      </w:r>
      <w:r>
        <w:instrText xml:space="preserve"> HYPERLINK "https://doi.org/10.3389/frsus.2025.1628871" </w:instrText>
      </w:r>
      <w:r>
        <w:rPr/>
        <w:fldChar w:fldCharType="separate"/>
      </w:r>
      <w:r>
        <w:rPr>
          <w:color w:val="1155cc"/>
          <w:u w:val="single"/>
          <w:lang w:val="en-GB"/>
        </w:rPr>
        <w:t>https://doi.org/10.3389/frsus.2025.1628871</w:t>
      </w:r>
      <w:r>
        <w:rPr/>
        <w:fldChar w:fldCharType="end"/>
      </w:r>
      <w:r>
        <w:rPr>
          <w:lang w:val="en-GB"/>
        </w:rPr>
        <w:t>. (Accessed: 2 December 2025).</w:t>
      </w:r>
    </w:p>
    <w:p>
      <w:pPr>
        <w:pStyle w:val="style0"/>
        <w:spacing w:after="240"/>
        <w:rPr>
          <w:lang w:val="en-GB"/>
        </w:rPr>
      </w:pPr>
      <w:r>
        <w:rPr>
          <w:lang w:val="en-GB"/>
        </w:rPr>
        <w:t xml:space="preserve">Ferreira, A.P.P.F.S. and de Sá Moscoso, M.M.B.P. (2024) ‘The importance of the Ansoff matrix for the study of the information services market’, </w:t>
      </w:r>
      <w:r>
        <w:rPr>
          <w:i/>
          <w:iCs/>
          <w:lang w:val="en-GB"/>
        </w:rPr>
        <w:t>The Canadian Journal of Information and Library Science</w:t>
      </w:r>
      <w:r>
        <w:rPr>
          <w:lang w:val="en-GB"/>
        </w:rPr>
        <w:t xml:space="preserve">, 47(2), pp. 78–84. Available at: </w:t>
      </w:r>
      <w:r>
        <w:rPr/>
        <w:fldChar w:fldCharType="begin"/>
      </w:r>
      <w:r>
        <w:instrText xml:space="preserve"> HYPERLINK "https://doi.org/10.5206/cjils-rcsib.v47i2.17432" </w:instrText>
      </w:r>
      <w:r>
        <w:rPr/>
        <w:fldChar w:fldCharType="separate"/>
      </w:r>
      <w:r>
        <w:rPr>
          <w:color w:val="1155cc"/>
          <w:u w:val="single"/>
          <w:lang w:val="en-GB"/>
        </w:rPr>
        <w:t>https://doi.org/10.5206/cjils-rcsib.v47i2.17432</w:t>
      </w:r>
      <w:r>
        <w:rPr/>
        <w:fldChar w:fldCharType="end"/>
      </w:r>
      <w:r>
        <w:rPr>
          <w:lang w:val="en-GB"/>
        </w:rPr>
        <w:t>. (Accessed: 2 December 2025).</w:t>
      </w:r>
    </w:p>
    <w:p>
      <w:pPr>
        <w:pStyle w:val="style0"/>
        <w:spacing w:after="240"/>
        <w:rPr>
          <w:lang w:val="en-GB"/>
        </w:rPr>
      </w:pPr>
      <w:r>
        <w:rPr>
          <w:lang w:val="en-GB"/>
        </w:rPr>
        <w:t xml:space="preserve">Ferreira, J.J.M., Fernandes, C.I. and Ferreira, F.A.F. (2022) ‘What makes organizations unique? Looking inside the box’, </w:t>
      </w:r>
      <w:r>
        <w:rPr>
          <w:i/>
          <w:iCs/>
          <w:lang w:val="en-GB"/>
        </w:rPr>
        <w:t>Journal of Business Research</w:t>
      </w:r>
      <w:r>
        <w:rPr>
          <w:lang w:val="en-GB"/>
        </w:rPr>
        <w:t xml:space="preserve">, 139, pp. 664–674. Available at: </w:t>
      </w:r>
      <w:r>
        <w:rPr/>
        <w:fldChar w:fldCharType="begin"/>
      </w:r>
      <w:r>
        <w:instrText xml:space="preserve"> HYPERLINK "https://doi.org/10.1016/j.jbusres.2021.10.017" </w:instrText>
      </w:r>
      <w:r>
        <w:rPr/>
        <w:fldChar w:fldCharType="separate"/>
      </w:r>
      <w:r>
        <w:rPr>
          <w:color w:val="1155cc"/>
          <w:u w:val="single"/>
          <w:lang w:val="en-GB"/>
        </w:rPr>
        <w:t>https://doi.org/10.1016/j.jbusres.2021.10.017</w:t>
      </w:r>
      <w:r>
        <w:rPr/>
        <w:fldChar w:fldCharType="end"/>
      </w:r>
      <w:r>
        <w:rPr>
          <w:lang w:val="en-GB"/>
        </w:rPr>
        <w:t>. (Accessed: 2 December 2025).</w:t>
      </w:r>
    </w:p>
    <w:p>
      <w:pPr>
        <w:pStyle w:val="style0"/>
        <w:spacing w:after="240"/>
        <w:rPr>
          <w:lang w:val="en-GB"/>
        </w:rPr>
      </w:pPr>
      <w:r>
        <w:rPr>
          <w:lang w:val="en-GB"/>
        </w:rPr>
        <w:t xml:space="preserve">Fortune Business Insights (2024) </w:t>
      </w:r>
      <w:r>
        <w:rPr>
          <w:i/>
          <w:iCs/>
          <w:lang w:val="en-GB"/>
        </w:rPr>
        <w:t>Luxury Hotel Market Size, Share | Growth Analysis Report, 2032</w:t>
      </w:r>
      <w:r>
        <w:rPr>
          <w:lang w:val="en-GB"/>
        </w:rPr>
        <w:t xml:space="preserve">, </w:t>
      </w:r>
      <w:r>
        <w:rPr>
          <w:i/>
          <w:iCs/>
          <w:lang w:val="en-GB"/>
        </w:rPr>
        <w:t>Fortunebusinessinsights.com</w:t>
      </w:r>
      <w:r>
        <w:rPr>
          <w:lang w:val="en-GB"/>
        </w:rPr>
        <w:t xml:space="preserve">. Available at: </w:t>
      </w:r>
      <w:r>
        <w:rPr/>
        <w:fldChar w:fldCharType="begin"/>
      </w:r>
      <w:r>
        <w:instrText xml:space="preserve"> HYPERLINK "https://www.fortunebusinessinsights.com/luxury-hotel-market-104408" </w:instrText>
      </w:r>
      <w:r>
        <w:rPr/>
        <w:fldChar w:fldCharType="separate"/>
      </w:r>
      <w:r>
        <w:rPr>
          <w:color w:val="1155cc"/>
          <w:u w:val="single"/>
          <w:lang w:val="en-GB"/>
        </w:rPr>
        <w:t>https://www.fortunebusinessinsights.com/luxury-hotel-market-104408</w:t>
      </w:r>
      <w:r>
        <w:rPr/>
        <w:fldChar w:fldCharType="end"/>
      </w:r>
      <w:r>
        <w:rPr>
          <w:lang w:val="en-GB"/>
        </w:rPr>
        <w:t xml:space="preserve"> (Accessed: 2 December 2025).</w:t>
      </w:r>
    </w:p>
    <w:p>
      <w:pPr>
        <w:pStyle w:val="style0"/>
        <w:spacing w:after="240"/>
        <w:rPr>
          <w:lang w:val="en-GB"/>
        </w:rPr>
      </w:pPr>
      <w:r>
        <w:rPr>
          <w:lang w:val="en-GB"/>
        </w:rPr>
        <w:t xml:space="preserve">Future Market Insights (2024) </w:t>
      </w:r>
      <w:r>
        <w:rPr>
          <w:i/>
          <w:iCs/>
          <w:lang w:val="en-GB"/>
        </w:rPr>
        <w:t>Burma Tourism Industry Analysis by Domestic and International Tourist Type through 2024 to 2034</w:t>
      </w:r>
      <w:r>
        <w:rPr>
          <w:lang w:val="en-GB"/>
        </w:rPr>
        <w:t xml:space="preserve">, </w:t>
      </w:r>
      <w:r>
        <w:rPr>
          <w:i/>
          <w:iCs/>
          <w:lang w:val="en-GB"/>
        </w:rPr>
        <w:t>Futuremarketinsights.com</w:t>
      </w:r>
      <w:r>
        <w:rPr>
          <w:lang w:val="en-GB"/>
        </w:rPr>
        <w:t xml:space="preserve">. Available at: </w:t>
      </w:r>
      <w:r>
        <w:rPr/>
        <w:fldChar w:fldCharType="begin"/>
      </w:r>
      <w:r>
        <w:instrText xml:space="preserve"> HYPERLINK "https://www.futuremarketinsights.com/reports/burma-tourism-sector-forecast-and-spend-analysis" </w:instrText>
      </w:r>
      <w:r>
        <w:rPr/>
        <w:fldChar w:fldCharType="separate"/>
      </w:r>
      <w:r>
        <w:rPr>
          <w:color w:val="1155cc"/>
          <w:u w:val="single"/>
          <w:lang w:val="en-GB"/>
        </w:rPr>
        <w:t>https://www.futuremarketinsights.com/reports/burma-tourism-sector-forecast-and-spend-analysis</w:t>
      </w:r>
      <w:r>
        <w:rPr/>
        <w:fldChar w:fldCharType="end"/>
      </w:r>
      <w:r>
        <w:rPr>
          <w:lang w:val="en-GB"/>
        </w:rPr>
        <w:t xml:space="preserve"> (Accessed: 2 December 2025).</w:t>
      </w:r>
    </w:p>
    <w:p>
      <w:pPr>
        <w:pStyle w:val="style0"/>
        <w:spacing w:after="240"/>
        <w:rPr>
          <w:lang w:val="en-GB"/>
        </w:rPr>
      </w:pPr>
      <w:r>
        <w:rPr>
          <w:lang w:val="en-GB"/>
        </w:rPr>
        <w:t xml:space="preserve">Goyal, A. (2020). </w:t>
      </w:r>
      <w:r>
        <w:rPr>
          <w:i/>
          <w:iCs/>
          <w:lang w:val="en-GB"/>
        </w:rPr>
        <w:t>A Critical Analysis of Porter’s 5 Forces Model of Competitive Advantage</w:t>
      </w:r>
      <w:r>
        <w:rPr>
          <w:lang w:val="en-GB"/>
        </w:rPr>
        <w:t xml:space="preserve">, </w:t>
      </w:r>
      <w:r>
        <w:rPr>
          <w:i/>
          <w:iCs/>
          <w:lang w:val="en-GB"/>
        </w:rPr>
        <w:t>Ssrn.com</w:t>
      </w:r>
      <w:r>
        <w:rPr>
          <w:lang w:val="en-GB"/>
        </w:rPr>
        <w:t xml:space="preserve">. Available at: </w:t>
      </w:r>
      <w:r>
        <w:rPr/>
        <w:fldChar w:fldCharType="begin"/>
      </w:r>
      <w:r>
        <w:instrText xml:space="preserve"> HYPERLINK "https://papers.ssrn.com/sol3/papers.cfm" </w:instrText>
      </w:r>
      <w:r>
        <w:rPr/>
        <w:fldChar w:fldCharType="separate"/>
      </w:r>
      <w:r>
        <w:rPr>
          <w:color w:val="1155cc"/>
          <w:u w:val="single"/>
          <w:lang w:val="en-GB"/>
        </w:rPr>
        <w:t>https://papers.ssrn.com/sol3/papers.cfm</w:t>
      </w:r>
      <w:r>
        <w:rPr/>
        <w:fldChar w:fldCharType="end"/>
      </w:r>
      <w:r>
        <w:rPr>
          <w:lang w:val="en-GB"/>
        </w:rPr>
        <w:t xml:space="preserve"> (Accessed: 2 December 2025).</w:t>
      </w:r>
    </w:p>
    <w:p>
      <w:pPr>
        <w:pStyle w:val="style0"/>
        <w:spacing w:after="240"/>
        <w:rPr>
          <w:lang w:val="en-GB"/>
        </w:rPr>
      </w:pPr>
      <w:r>
        <w:rPr>
          <w:lang w:val="en-GB"/>
        </w:rPr>
        <w:t xml:space="preserve">IMF (2024) </w:t>
      </w:r>
      <w:r>
        <w:rPr>
          <w:i/>
          <w:iCs/>
          <w:lang w:val="en-GB"/>
        </w:rPr>
        <w:t>Myanmar and the IMF</w:t>
      </w:r>
      <w:r>
        <w:rPr>
          <w:lang w:val="en-GB"/>
        </w:rPr>
        <w:t xml:space="preserve">, </w:t>
      </w:r>
      <w:r>
        <w:rPr>
          <w:i/>
          <w:iCs/>
          <w:lang w:val="en-GB"/>
        </w:rPr>
        <w:t>IMF</w:t>
      </w:r>
      <w:r>
        <w:rPr>
          <w:lang w:val="en-GB"/>
        </w:rPr>
        <w:t xml:space="preserve">. Available at: </w:t>
      </w:r>
      <w:r>
        <w:rPr/>
        <w:fldChar w:fldCharType="begin"/>
      </w:r>
      <w:r>
        <w:instrText xml:space="preserve"> HYPERLINK "https://www.imf.org/en/Countries/MMR" </w:instrText>
      </w:r>
      <w:r>
        <w:rPr/>
        <w:fldChar w:fldCharType="separate"/>
      </w:r>
      <w:r>
        <w:rPr>
          <w:color w:val="1155cc"/>
          <w:u w:val="single"/>
          <w:lang w:val="en-GB"/>
        </w:rPr>
        <w:t>https://www.imf.org/en/Countries/MMR</w:t>
      </w:r>
      <w:r>
        <w:rPr/>
        <w:fldChar w:fldCharType="end"/>
      </w:r>
      <w:r>
        <w:rPr>
          <w:lang w:val="en-GB"/>
        </w:rPr>
        <w:t xml:space="preserve"> (Accessed: 2 December 2025).</w:t>
      </w:r>
    </w:p>
    <w:p>
      <w:pPr>
        <w:pStyle w:val="style0"/>
        <w:spacing w:after="240"/>
        <w:rPr>
          <w:lang w:val="en-GB"/>
        </w:rPr>
      </w:pPr>
      <w:r>
        <w:rPr>
          <w:lang w:val="en-GB"/>
        </w:rPr>
        <w:t xml:space="preserve">Jurevicius, O. (2025) </w:t>
      </w:r>
      <w:r>
        <w:rPr>
          <w:i/>
          <w:iCs/>
          <w:lang w:val="en-GB"/>
        </w:rPr>
        <w:t>McKinsey 7S Model</w:t>
      </w:r>
      <w:r>
        <w:rPr>
          <w:lang w:val="en-GB"/>
        </w:rPr>
        <w:t xml:space="preserve">, </w:t>
      </w:r>
      <w:r>
        <w:rPr>
          <w:i/>
          <w:iCs/>
          <w:lang w:val="en-GB"/>
        </w:rPr>
        <w:t>Strategic Management Insight</w:t>
      </w:r>
      <w:r>
        <w:rPr>
          <w:lang w:val="en-GB"/>
        </w:rPr>
        <w:t xml:space="preserve">. Available at: </w:t>
      </w:r>
      <w:r>
        <w:rPr/>
        <w:fldChar w:fldCharType="begin"/>
      </w:r>
      <w:r>
        <w:instrText xml:space="preserve"> HYPERLINK "https://strategicmanagementinsight.com/tools/mckinsey-7s-model-framework/" </w:instrText>
      </w:r>
      <w:r>
        <w:rPr/>
        <w:fldChar w:fldCharType="separate"/>
      </w:r>
      <w:r>
        <w:rPr>
          <w:color w:val="1155cc"/>
          <w:u w:val="single"/>
          <w:lang w:val="en-GB"/>
        </w:rPr>
        <w:t>https://strategicmanagementinsight.com/tools/mckinsey-7s-model-framework/</w:t>
      </w:r>
      <w:r>
        <w:rPr/>
        <w:fldChar w:fldCharType="end"/>
      </w:r>
      <w:r>
        <w:rPr>
          <w:lang w:val="en-GB"/>
        </w:rPr>
        <w:t>. (Accessed: 2 December 2025).</w:t>
      </w:r>
    </w:p>
    <w:p>
      <w:pPr>
        <w:pStyle w:val="style0"/>
        <w:spacing w:after="240"/>
        <w:rPr>
          <w:lang w:val="en-GB"/>
        </w:rPr>
      </w:pPr>
      <w:r>
        <w:rPr>
          <w:lang w:val="en-GB"/>
        </w:rPr>
        <w:t xml:space="preserve">JW Marriott (2025) </w:t>
      </w:r>
      <w:r>
        <w:rPr>
          <w:i/>
          <w:iCs/>
          <w:lang w:val="en-GB"/>
        </w:rPr>
        <w:t>Luxury Hotels &amp; Resorts: Mindful Experiences | JW Marriott</w:t>
      </w:r>
      <w:r>
        <w:rPr>
          <w:lang w:val="en-GB"/>
        </w:rPr>
        <w:t xml:space="preserve">, </w:t>
      </w:r>
      <w:r>
        <w:rPr>
          <w:i/>
          <w:iCs/>
          <w:lang w:val="en-GB"/>
        </w:rPr>
        <w:t>JW Marriott</w:t>
      </w:r>
      <w:r>
        <w:rPr>
          <w:lang w:val="en-GB"/>
        </w:rPr>
        <w:t xml:space="preserve">. Available at: </w:t>
      </w:r>
      <w:r>
        <w:rPr/>
        <w:fldChar w:fldCharType="begin"/>
      </w:r>
      <w:r>
        <w:instrText xml:space="preserve"> HYPERLINK "https://jw-marriott.marriott.com/" </w:instrText>
      </w:r>
      <w:r>
        <w:rPr/>
        <w:fldChar w:fldCharType="separate"/>
      </w:r>
      <w:r>
        <w:rPr>
          <w:color w:val="1155cc"/>
          <w:u w:val="single"/>
          <w:lang w:val="en-GB"/>
        </w:rPr>
        <w:t>https://jw-marriott.marriott.com/</w:t>
      </w:r>
      <w:r>
        <w:rPr/>
        <w:fldChar w:fldCharType="end"/>
      </w:r>
      <w:r>
        <w:rPr>
          <w:lang w:val="en-GB"/>
        </w:rPr>
        <w:t xml:space="preserve"> (Accessed: 2 December 2025).</w:t>
      </w:r>
    </w:p>
    <w:p>
      <w:pPr>
        <w:pStyle w:val="style0"/>
        <w:spacing w:after="240"/>
        <w:rPr>
          <w:lang w:val="en-GB"/>
        </w:rPr>
      </w:pPr>
      <w:r>
        <w:rPr>
          <w:lang w:val="en-GB"/>
        </w:rPr>
        <w:t xml:space="preserve">Kankam-Kwarteng, C., Osman, B. and Acheampong, S. (2020) ‘Performance of restaurants: Recognizing competitive intensity and differentiation strategies’, </w:t>
      </w:r>
      <w:r>
        <w:rPr>
          <w:i/>
          <w:iCs/>
          <w:lang w:val="en-GB"/>
        </w:rPr>
        <w:t>Journal of Tourism, Heritage &amp; Services Marketing</w:t>
      </w:r>
      <w:r>
        <w:rPr>
          <w:lang w:val="en-GB"/>
        </w:rPr>
        <w:t xml:space="preserve">, 6(3), pp. 25–34. Available at: </w:t>
      </w:r>
      <w:r>
        <w:rPr/>
        <w:fldChar w:fldCharType="begin"/>
      </w:r>
      <w:r>
        <w:instrText xml:space="preserve"> HYPERLINK "https://doi.org/10.5281/zenodo.4059386" </w:instrText>
      </w:r>
      <w:r>
        <w:rPr/>
        <w:fldChar w:fldCharType="separate"/>
      </w:r>
      <w:r>
        <w:rPr>
          <w:color w:val="1155cc"/>
          <w:u w:val="single"/>
          <w:lang w:val="en-GB"/>
        </w:rPr>
        <w:t>https://doi.org/10.5281/zenodo.4059386</w:t>
      </w:r>
      <w:r>
        <w:rPr/>
        <w:fldChar w:fldCharType="end"/>
      </w:r>
      <w:r>
        <w:rPr>
          <w:lang w:val="en-GB"/>
        </w:rPr>
        <w:t>. (Accessed: 2 December 2025).</w:t>
      </w:r>
    </w:p>
    <w:p>
      <w:pPr>
        <w:pStyle w:val="style0"/>
        <w:spacing w:after="240"/>
        <w:rPr>
          <w:lang w:val="en-GB"/>
        </w:rPr>
      </w:pPr>
      <w:r>
        <w:rPr>
          <w:lang w:val="en-GB"/>
        </w:rPr>
        <w:t xml:space="preserve">Kohnová, L. and Salajová, N. (2023) ‘Re-Thinking Industry 4.0 Effect on Competitive Forces: Empirical Study on Innovation’, </w:t>
      </w:r>
      <w:r>
        <w:rPr>
          <w:i/>
          <w:iCs/>
          <w:lang w:val="en-GB"/>
        </w:rPr>
        <w:t>Sustainability</w:t>
      </w:r>
      <w:r>
        <w:rPr>
          <w:lang w:val="en-GB"/>
        </w:rPr>
        <w:t xml:space="preserve">, 15(3), p. 2637. Available at: </w:t>
      </w:r>
      <w:r>
        <w:rPr/>
        <w:fldChar w:fldCharType="begin"/>
      </w:r>
      <w:r>
        <w:instrText xml:space="preserve"> HYPERLINK "https://doi.org/10.3390/su15032637" </w:instrText>
      </w:r>
      <w:r>
        <w:rPr/>
        <w:fldChar w:fldCharType="separate"/>
      </w:r>
      <w:r>
        <w:rPr>
          <w:color w:val="1155cc"/>
          <w:u w:val="single"/>
          <w:lang w:val="en-GB"/>
        </w:rPr>
        <w:t>https://doi.org/10.3390/su15032637</w:t>
      </w:r>
      <w:r>
        <w:rPr/>
        <w:fldChar w:fldCharType="end"/>
      </w:r>
      <w:r>
        <w:rPr>
          <w:lang w:val="en-GB"/>
        </w:rPr>
        <w:t>. (Accessed: 2 December 2025).</w:t>
      </w:r>
    </w:p>
    <w:p>
      <w:pPr>
        <w:pStyle w:val="style0"/>
        <w:spacing w:after="240"/>
        <w:rPr>
          <w:lang w:val="en-GB"/>
        </w:rPr>
      </w:pPr>
      <w:r>
        <w:rPr>
          <w:lang w:val="en-GB"/>
        </w:rPr>
        <w:t xml:space="preserve">Kumar, S. (2024) ‘ICT in Hospitality: A textbook for PG students’, </w:t>
      </w:r>
      <w:r>
        <w:rPr>
          <w:i/>
          <w:iCs/>
          <w:lang w:val="en-GB"/>
        </w:rPr>
        <w:t>Social Science Research Network</w:t>
      </w:r>
      <w:r>
        <w:rPr>
          <w:lang w:val="en-GB"/>
        </w:rPr>
        <w:t xml:space="preserve"> [Preprint]. Available at: </w:t>
      </w:r>
      <w:r>
        <w:rPr/>
        <w:fldChar w:fldCharType="begin"/>
      </w:r>
      <w:r>
        <w:instrText xml:space="preserve"> HYPERLINK "https://doi.org/10.2139/ssrn.4835075" </w:instrText>
      </w:r>
      <w:r>
        <w:rPr/>
        <w:fldChar w:fldCharType="separate"/>
      </w:r>
      <w:r>
        <w:rPr>
          <w:color w:val="1155cc"/>
          <w:u w:val="single"/>
          <w:lang w:val="en-GB"/>
        </w:rPr>
        <w:t>https://doi.org/10.2139/ssrn.4835075</w:t>
      </w:r>
      <w:r>
        <w:rPr/>
        <w:fldChar w:fldCharType="end"/>
      </w:r>
      <w:r>
        <w:rPr>
          <w:lang w:val="en-GB"/>
        </w:rPr>
        <w:t xml:space="preserve">. </w:t>
      </w:r>
    </w:p>
    <w:p>
      <w:pPr>
        <w:pStyle w:val="style0"/>
        <w:spacing w:after="240"/>
        <w:rPr>
          <w:lang w:val="en-GB"/>
        </w:rPr>
      </w:pPr>
      <w:r>
        <w:rPr>
          <w:lang w:val="en-GB"/>
        </w:rPr>
        <w:t xml:space="preserve">Larbi, A.O., Asare-Danquah, G.A. and Akua, A. (2024) ‘Utilization of Internal Analysis with the VRIO Framework and Development of Scale for Resource and Capabilities of Fashion and Design Organization’, </w:t>
      </w:r>
      <w:r>
        <w:rPr>
          <w:i/>
          <w:iCs/>
          <w:lang w:val="en-GB"/>
        </w:rPr>
        <w:t>International journal of research and scientific innovation</w:t>
      </w:r>
      <w:r>
        <w:rPr>
          <w:lang w:val="en-GB"/>
        </w:rPr>
        <w:t xml:space="preserve">, XI(VI), pp. 63–70. Available at: </w:t>
      </w:r>
      <w:r>
        <w:rPr/>
        <w:fldChar w:fldCharType="begin"/>
      </w:r>
      <w:r>
        <w:instrText xml:space="preserve"> HYPERLINK "https://doi.org/10.51244/ijrsi.2024.1106006" </w:instrText>
      </w:r>
      <w:r>
        <w:rPr/>
        <w:fldChar w:fldCharType="separate"/>
      </w:r>
      <w:r>
        <w:rPr>
          <w:color w:val="1155cc"/>
          <w:u w:val="single"/>
          <w:lang w:val="en-GB"/>
        </w:rPr>
        <w:t>https://doi.org/10.51244/ijrsi.2024.1106006</w:t>
      </w:r>
      <w:r>
        <w:rPr/>
        <w:fldChar w:fldCharType="end"/>
      </w:r>
      <w:r>
        <w:rPr>
          <w:lang w:val="en-GB"/>
        </w:rPr>
        <w:t>. (Accessed: 2 December 2025).</w:t>
      </w:r>
    </w:p>
    <w:p>
      <w:pPr>
        <w:pStyle w:val="style0"/>
        <w:spacing w:after="240"/>
        <w:rPr>
          <w:lang w:val="en-GB"/>
        </w:rPr>
      </w:pPr>
      <w:r>
        <w:rPr>
          <w:lang w:val="en-GB"/>
        </w:rPr>
        <w:t xml:space="preserve">Lee, C.-H., Hoehn-Weiss, M. and Karim, S. (2021) </w:t>
      </w:r>
      <w:r>
        <w:rPr>
          <w:i/>
          <w:iCs/>
          <w:lang w:val="en-GB"/>
        </w:rPr>
        <w:t>Competing Both Ways: How Combining Porter’s Low-cost and Focus Strategies Hurts Firm Performance</w:t>
      </w:r>
      <w:r>
        <w:rPr>
          <w:lang w:val="en-GB"/>
        </w:rPr>
        <w:t xml:space="preserve">, </w:t>
      </w:r>
      <w:r>
        <w:rPr>
          <w:i/>
          <w:iCs/>
          <w:lang w:val="en-GB"/>
        </w:rPr>
        <w:t>Ssrn.com</w:t>
      </w:r>
      <w:r>
        <w:rPr>
          <w:lang w:val="en-GB"/>
        </w:rPr>
        <w:t xml:space="preserve">. Available at: </w:t>
      </w:r>
      <w:r>
        <w:rPr/>
        <w:fldChar w:fldCharType="begin"/>
      </w:r>
      <w:r>
        <w:instrText xml:space="preserve"> HYPERLINK "https://papers.ssrn.com/sol3/Delivery.cfm?abstractid=3912321" </w:instrText>
      </w:r>
      <w:r>
        <w:rPr/>
        <w:fldChar w:fldCharType="separate"/>
      </w:r>
      <w:r>
        <w:rPr>
          <w:color w:val="1155cc"/>
          <w:u w:val="single"/>
          <w:lang w:val="en-GB"/>
        </w:rPr>
        <w:t>https://papers.ssrn.com/sol3/Delivery.cfm?abstractid=3912321</w:t>
      </w:r>
      <w:r>
        <w:rPr/>
        <w:fldChar w:fldCharType="end"/>
      </w:r>
      <w:r>
        <w:rPr>
          <w:lang w:val="en-GB"/>
        </w:rPr>
        <w:t>. (Accessed: 2 December 2025).</w:t>
      </w:r>
    </w:p>
    <w:p>
      <w:pPr>
        <w:pStyle w:val="style0"/>
        <w:spacing w:after="240"/>
        <w:rPr>
          <w:lang w:val="en-GB"/>
        </w:rPr>
      </w:pPr>
      <w:r>
        <w:rPr>
          <w:lang w:val="en-GB"/>
        </w:rPr>
        <w:t xml:space="preserve">Li, M.-Y. and Ma, Y.-M. (2025) ‘Insights into your advantages: Hotel competitiveness evaluation considering competitor identification’, </w:t>
      </w:r>
      <w:r>
        <w:rPr>
          <w:i/>
          <w:iCs/>
          <w:lang w:val="en-GB"/>
        </w:rPr>
        <w:t>Tourism Management</w:t>
      </w:r>
      <w:r>
        <w:rPr>
          <w:lang w:val="en-GB"/>
        </w:rPr>
        <w:t xml:space="preserve">, 109, p. 105152. Available at: </w:t>
      </w:r>
      <w:r>
        <w:rPr/>
        <w:fldChar w:fldCharType="begin"/>
      </w:r>
      <w:r>
        <w:instrText xml:space="preserve"> HYPERLINK "https://doi.org/10.1016/j.tourman.2025.105152" </w:instrText>
      </w:r>
      <w:r>
        <w:rPr/>
        <w:fldChar w:fldCharType="separate"/>
      </w:r>
      <w:r>
        <w:rPr>
          <w:color w:val="1155cc"/>
          <w:u w:val="single"/>
          <w:lang w:val="en-GB"/>
        </w:rPr>
        <w:t>https://doi.org/10.1016/j.tourman.2025.105152</w:t>
      </w:r>
      <w:r>
        <w:rPr/>
        <w:fldChar w:fldCharType="end"/>
      </w:r>
      <w:r>
        <w:rPr>
          <w:lang w:val="en-GB"/>
        </w:rPr>
        <w:t>. (Accessed: 1 December 2025).</w:t>
      </w:r>
    </w:p>
    <w:p>
      <w:pPr>
        <w:pStyle w:val="style0"/>
        <w:spacing w:after="240"/>
        <w:rPr>
          <w:lang w:val="en-GB"/>
        </w:rPr>
      </w:pPr>
      <w:r>
        <w:rPr>
          <w:lang w:val="en-GB"/>
        </w:rPr>
        <w:t xml:space="preserve">Makoondlall-Chadee, T. and Bokhoree, C. (2024) ‘Environmental Sustainability in Hotels: A Review of the Relevance and Contributions of Assessment Tools and Techniques’, </w:t>
      </w:r>
      <w:r>
        <w:rPr>
          <w:i/>
          <w:iCs/>
          <w:lang w:val="en-GB"/>
        </w:rPr>
        <w:t>Administrative Sciences</w:t>
      </w:r>
      <w:r>
        <w:rPr>
          <w:lang w:val="en-GB"/>
        </w:rPr>
        <w:t xml:space="preserve">, 14(12), pp. 320–320. Available at: </w:t>
      </w:r>
      <w:r>
        <w:rPr/>
        <w:fldChar w:fldCharType="begin"/>
      </w:r>
      <w:r>
        <w:instrText xml:space="preserve"> HYPERLINK "https://doi.org/10.3390/admsci14120320" </w:instrText>
      </w:r>
      <w:r>
        <w:rPr/>
        <w:fldChar w:fldCharType="separate"/>
      </w:r>
      <w:r>
        <w:rPr>
          <w:color w:val="1155cc"/>
          <w:u w:val="single"/>
          <w:lang w:val="en-GB"/>
        </w:rPr>
        <w:t>https://doi.org/10.3390/admsci14120320</w:t>
      </w:r>
      <w:r>
        <w:rPr/>
        <w:fldChar w:fldCharType="end"/>
      </w:r>
      <w:r>
        <w:rPr>
          <w:lang w:val="en-GB"/>
        </w:rPr>
        <w:t>. (Accessed: 2 December 2025).</w:t>
      </w:r>
    </w:p>
    <w:p>
      <w:pPr>
        <w:pStyle w:val="style0"/>
        <w:spacing w:after="240"/>
        <w:rPr>
          <w:lang w:val="en-GB"/>
        </w:rPr>
      </w:pPr>
      <w:r>
        <w:rPr>
          <w:lang w:val="en-GB"/>
        </w:rPr>
        <w:t xml:space="preserve">Marriott (2024) </w:t>
      </w:r>
      <w:r>
        <w:rPr>
          <w:i/>
          <w:iCs/>
          <w:lang w:val="en-GB"/>
        </w:rPr>
        <w:t>2024 Annual Report</w:t>
      </w:r>
      <w:r>
        <w:rPr>
          <w:lang w:val="en-GB"/>
        </w:rPr>
        <w:t>. Available at: https://marriott.gcs-web.com/static-files/b82978a6-9d28-4e38-9855-fc4ae2cebe11</w:t>
      </w:r>
    </w:p>
    <w:p>
      <w:pPr>
        <w:pStyle w:val="style0"/>
        <w:spacing w:after="240"/>
        <w:rPr>
          <w:lang w:val="en-GB"/>
        </w:rPr>
      </w:pPr>
      <w:r>
        <w:rPr>
          <w:lang w:val="en-GB"/>
        </w:rPr>
        <w:t xml:space="preserve">Marriott (2024) </w:t>
      </w:r>
      <w:r>
        <w:rPr>
          <w:i/>
          <w:iCs/>
          <w:lang w:val="en-GB"/>
        </w:rPr>
        <w:t>Marriott International Reports Fourth Quarter and Full Year 2024 Results | Marriott International</w:t>
      </w:r>
      <w:r>
        <w:rPr>
          <w:lang w:val="en-GB"/>
        </w:rPr>
        <w:t xml:space="preserve">, </w:t>
      </w:r>
      <w:r>
        <w:rPr>
          <w:i/>
          <w:iCs/>
          <w:lang w:val="en-GB"/>
        </w:rPr>
        <w:t>Marriott International</w:t>
      </w:r>
      <w:r>
        <w:rPr>
          <w:lang w:val="en-GB"/>
        </w:rPr>
        <w:t xml:space="preserve">. Available at: </w:t>
      </w:r>
      <w:r>
        <w:rPr/>
        <w:fldChar w:fldCharType="begin"/>
      </w:r>
      <w:r>
        <w:instrText xml:space="preserve"> HYPERLINK "https://marriott.gcs-web.com/news-releases/news-release-details/marriott-international-reports-fourth-quarter-and-full-year-2024" </w:instrText>
      </w:r>
      <w:r>
        <w:rPr/>
        <w:fldChar w:fldCharType="separate"/>
      </w:r>
      <w:r>
        <w:rPr>
          <w:color w:val="1155cc"/>
          <w:u w:val="single"/>
          <w:lang w:val="en-GB"/>
        </w:rPr>
        <w:t>https://marriott.gcs-web.com/news-releases/news-release-details/marriott-international-reports-fourth-quarter-and-full-year-2024</w:t>
      </w:r>
      <w:r>
        <w:rPr/>
        <w:fldChar w:fldCharType="end"/>
      </w:r>
      <w:r>
        <w:rPr>
          <w:lang w:val="en-GB"/>
        </w:rPr>
        <w:t xml:space="preserve"> (Accessed: 2 December 2025).</w:t>
      </w:r>
    </w:p>
    <w:p>
      <w:pPr>
        <w:pStyle w:val="style0"/>
        <w:spacing w:after="240"/>
        <w:rPr>
          <w:lang w:val="en-GB"/>
        </w:rPr>
      </w:pPr>
      <w:r>
        <w:rPr>
          <w:lang w:val="en-GB"/>
        </w:rPr>
        <w:t xml:space="preserve">Marriott (2025a) </w:t>
      </w:r>
      <w:r>
        <w:rPr>
          <w:i/>
          <w:iCs/>
          <w:lang w:val="en-GB"/>
        </w:rPr>
        <w:t>Destinations | Explore Our Hotel Locations | JW Marriott</w:t>
      </w:r>
      <w:r>
        <w:rPr>
          <w:lang w:val="en-GB"/>
        </w:rPr>
        <w:t xml:space="preserve">, </w:t>
      </w:r>
      <w:r>
        <w:rPr>
          <w:i/>
          <w:iCs/>
          <w:lang w:val="en-GB"/>
        </w:rPr>
        <w:t>JW Marriott</w:t>
      </w:r>
      <w:r>
        <w:rPr>
          <w:lang w:val="en-GB"/>
        </w:rPr>
        <w:t xml:space="preserve">. Available at: </w:t>
      </w:r>
      <w:r>
        <w:rPr/>
        <w:fldChar w:fldCharType="begin"/>
      </w:r>
      <w:r>
        <w:instrText xml:space="preserve"> HYPERLINK "https://jw-marriott.marriott.com/destinations/" </w:instrText>
      </w:r>
      <w:r>
        <w:rPr/>
        <w:fldChar w:fldCharType="separate"/>
      </w:r>
      <w:r>
        <w:rPr>
          <w:color w:val="1155cc"/>
          <w:u w:val="single"/>
          <w:lang w:val="en-GB"/>
        </w:rPr>
        <w:t>https://jw-marriott.marriott.com/destinations/</w:t>
      </w:r>
      <w:r>
        <w:rPr/>
        <w:fldChar w:fldCharType="end"/>
      </w:r>
      <w:r>
        <w:rPr>
          <w:lang w:val="en-GB"/>
        </w:rPr>
        <w:t xml:space="preserve"> (Accessed: 2 December 2025).</w:t>
      </w:r>
    </w:p>
    <w:p>
      <w:pPr>
        <w:pStyle w:val="style0"/>
        <w:spacing w:after="240"/>
        <w:rPr>
          <w:lang w:val="en-GB"/>
        </w:rPr>
      </w:pPr>
      <w:r>
        <w:rPr>
          <w:lang w:val="en-GB"/>
        </w:rPr>
        <w:t xml:space="preserve">Marriott (2025b) </w:t>
      </w:r>
      <w:r>
        <w:rPr>
          <w:i/>
          <w:iCs/>
          <w:lang w:val="en-GB"/>
        </w:rPr>
        <w:t>Marriott International Reports Third Quarter 2025 Results | Marriott International</w:t>
      </w:r>
      <w:r>
        <w:rPr>
          <w:lang w:val="en-GB"/>
        </w:rPr>
        <w:t xml:space="preserve">, </w:t>
      </w:r>
      <w:r>
        <w:rPr>
          <w:i/>
          <w:iCs/>
          <w:lang w:val="en-GB"/>
        </w:rPr>
        <w:t>Marriott International</w:t>
      </w:r>
      <w:r>
        <w:rPr>
          <w:lang w:val="en-GB"/>
        </w:rPr>
        <w:t xml:space="preserve">. Available at: </w:t>
      </w:r>
      <w:r>
        <w:rPr/>
        <w:fldChar w:fldCharType="begin"/>
      </w:r>
      <w:r>
        <w:instrText xml:space="preserve"> HYPERLINK "https://marriott.gcs-web.com/news-releases/news-release-details/marriott-international-reports-third-quarter-2025-results" </w:instrText>
      </w:r>
      <w:r>
        <w:rPr/>
        <w:fldChar w:fldCharType="separate"/>
      </w:r>
      <w:r>
        <w:rPr>
          <w:color w:val="1155cc"/>
          <w:u w:val="single"/>
          <w:lang w:val="en-GB"/>
        </w:rPr>
        <w:t>https://marriott.gcs-web.com/news-releases/news-release-details/marriott-international-reports-third-quarter-2025-results</w:t>
      </w:r>
      <w:r>
        <w:rPr/>
        <w:fldChar w:fldCharType="end"/>
      </w:r>
      <w:r>
        <w:rPr>
          <w:lang w:val="en-GB"/>
        </w:rPr>
        <w:t xml:space="preserve"> (Accessed: 2 December 2025).</w:t>
      </w:r>
    </w:p>
    <w:p>
      <w:pPr>
        <w:pStyle w:val="style0"/>
        <w:spacing w:after="240"/>
        <w:rPr>
          <w:lang w:val="en-GB"/>
        </w:rPr>
      </w:pPr>
      <w:r>
        <w:rPr>
          <w:lang w:val="en-GB"/>
        </w:rPr>
        <w:t xml:space="preserve">MOI (2024a) </w:t>
      </w:r>
      <w:r>
        <w:rPr>
          <w:i/>
          <w:iCs/>
          <w:lang w:val="en-GB"/>
        </w:rPr>
        <w:t>Central Committee on National Tourism Development 1/2024 meeting held | Ministry of Information</w:t>
      </w:r>
      <w:r>
        <w:rPr>
          <w:lang w:val="en-GB"/>
        </w:rPr>
        <w:t xml:space="preserve">, </w:t>
      </w:r>
      <w:r>
        <w:rPr>
          <w:i/>
          <w:iCs/>
          <w:lang w:val="en-GB"/>
        </w:rPr>
        <w:t>Moi.gov.mm</w:t>
      </w:r>
      <w:r>
        <w:rPr>
          <w:lang w:val="en-GB"/>
        </w:rPr>
        <w:t xml:space="preserve">. Available at: </w:t>
      </w:r>
      <w:r>
        <w:rPr/>
        <w:fldChar w:fldCharType="begin"/>
      </w:r>
      <w:r>
        <w:instrText xml:space="preserve"> HYPERLINK "https://www.moi.gov.mm/moi%3Aeng/news/14397?utm_source=chatgpt.com" </w:instrText>
      </w:r>
      <w:r>
        <w:rPr/>
        <w:fldChar w:fldCharType="separate"/>
      </w:r>
      <w:r>
        <w:rPr>
          <w:color w:val="1155cc"/>
          <w:u w:val="single"/>
          <w:lang w:val="en-GB"/>
        </w:rPr>
        <w:t>https://www.moi.gov.mm/moi%3Aeng/news/14397</w:t>
      </w:r>
      <w:r>
        <w:rPr/>
        <w:fldChar w:fldCharType="end"/>
      </w:r>
      <w:r>
        <w:rPr>
          <w:lang w:val="en-GB"/>
        </w:rPr>
        <w:t xml:space="preserve"> (Accessed: 1 December 2025).</w:t>
      </w:r>
    </w:p>
    <w:p>
      <w:pPr>
        <w:pStyle w:val="style0"/>
        <w:spacing w:after="240"/>
        <w:rPr>
          <w:lang w:val="en-GB"/>
        </w:rPr>
      </w:pPr>
      <w:r>
        <w:rPr>
          <w:lang w:val="en-GB"/>
        </w:rPr>
        <w:t xml:space="preserve">MOI (2024b) </w:t>
      </w:r>
      <w:r>
        <w:rPr>
          <w:i/>
          <w:iCs/>
          <w:lang w:val="en-GB"/>
        </w:rPr>
        <w:t>Myanmar’s domestic tourism hits 10M in 2024 | Ministry of Information</w:t>
      </w:r>
      <w:r>
        <w:rPr>
          <w:lang w:val="en-GB"/>
        </w:rPr>
        <w:t xml:space="preserve">, </w:t>
      </w:r>
      <w:r>
        <w:rPr>
          <w:i/>
          <w:iCs/>
          <w:lang w:val="en-GB"/>
        </w:rPr>
        <w:t>Moi.gov.mm</w:t>
      </w:r>
      <w:r>
        <w:rPr>
          <w:lang w:val="en-GB"/>
        </w:rPr>
        <w:t xml:space="preserve">. Available at: </w:t>
      </w:r>
      <w:r>
        <w:rPr/>
        <w:fldChar w:fldCharType="begin"/>
      </w:r>
      <w:r>
        <w:instrText xml:space="preserve"> HYPERLINK "https://www.moi.gov.mm/moi%3Aeng/news/16834" </w:instrText>
      </w:r>
      <w:r>
        <w:rPr/>
        <w:fldChar w:fldCharType="separate"/>
      </w:r>
      <w:r>
        <w:rPr>
          <w:color w:val="1155cc"/>
          <w:u w:val="single"/>
          <w:lang w:val="en-GB"/>
        </w:rPr>
        <w:t>https://www.moi.gov.mm/moi%3Aeng/news/16834</w:t>
      </w:r>
      <w:r>
        <w:rPr/>
        <w:fldChar w:fldCharType="end"/>
      </w:r>
      <w:r>
        <w:rPr>
          <w:lang w:val="en-GB"/>
        </w:rPr>
        <w:t xml:space="preserve"> (Accessed: 2 December 2025).</w:t>
      </w:r>
    </w:p>
    <w:p>
      <w:pPr>
        <w:pStyle w:val="style0"/>
        <w:spacing w:after="240"/>
        <w:rPr>
          <w:lang w:val="en-GB"/>
        </w:rPr>
      </w:pPr>
      <w:r>
        <w:rPr>
          <w:lang w:val="en-GB"/>
        </w:rPr>
        <w:t xml:space="preserve">Muiri, N.A. (2024) ‘Relationship between Cultural Intelligence of Hotel Employees and Guest Satisfaction: A Cross-Cultural Study in Kenya’, </w:t>
      </w:r>
      <w:r>
        <w:rPr>
          <w:i/>
          <w:iCs/>
          <w:lang w:val="en-GB"/>
        </w:rPr>
        <w:t>Journal of hospitality and tourism</w:t>
      </w:r>
      <w:r>
        <w:rPr>
          <w:lang w:val="en-GB"/>
        </w:rPr>
        <w:t xml:space="preserve">, 4(1), pp. 46–56. Available at: </w:t>
      </w:r>
      <w:r>
        <w:rPr/>
        <w:fldChar w:fldCharType="begin"/>
      </w:r>
      <w:r>
        <w:instrText xml:space="preserve"> HYPERLINK "https://doi.org/10.47672/jht.1978" </w:instrText>
      </w:r>
      <w:r>
        <w:rPr/>
        <w:fldChar w:fldCharType="separate"/>
      </w:r>
      <w:r>
        <w:rPr>
          <w:color w:val="1155cc"/>
          <w:u w:val="single"/>
          <w:lang w:val="en-GB"/>
        </w:rPr>
        <w:t>https://doi.org/10.47672/jht.1978</w:t>
      </w:r>
      <w:r>
        <w:rPr/>
        <w:fldChar w:fldCharType="end"/>
      </w:r>
      <w:r>
        <w:rPr>
          <w:lang w:val="en-GB"/>
        </w:rPr>
        <w:t>. (Accessed: 2 December 2025).</w:t>
      </w:r>
    </w:p>
    <w:p>
      <w:pPr>
        <w:pStyle w:val="style0"/>
        <w:spacing w:after="240"/>
        <w:rPr>
          <w:lang w:val="en-GB"/>
        </w:rPr>
      </w:pPr>
      <w:r>
        <w:rPr>
          <w:lang w:val="en-GB"/>
        </w:rPr>
        <w:t xml:space="preserve">Murcia, N.N.S., Ferreira, F.A.F. and Ferreira, J.J.M. (2022) ‘Enhancing strategic management using a “quantified VRIO”: Adding value with the MCDA approach’, </w:t>
      </w:r>
      <w:r>
        <w:rPr>
          <w:i/>
          <w:iCs/>
          <w:lang w:val="en-GB"/>
        </w:rPr>
        <w:t>Technological Forecasting and Social Change</w:t>
      </w:r>
      <w:r>
        <w:rPr>
          <w:lang w:val="en-GB"/>
        </w:rPr>
        <w:t xml:space="preserve">, 174(1), p. 121251. Available at: </w:t>
      </w:r>
      <w:r>
        <w:rPr/>
        <w:fldChar w:fldCharType="begin"/>
      </w:r>
      <w:r>
        <w:instrText xml:space="preserve"> HYPERLINK "https://doi.org/10.1016/j.techfore.2021.121251" </w:instrText>
      </w:r>
      <w:r>
        <w:rPr/>
        <w:fldChar w:fldCharType="separate"/>
      </w:r>
      <w:r>
        <w:rPr>
          <w:color w:val="1155cc"/>
          <w:u w:val="single"/>
          <w:lang w:val="en-GB"/>
        </w:rPr>
        <w:t>https://doi.org/10.1016/j.techfore.2021.121251</w:t>
      </w:r>
      <w:r>
        <w:rPr/>
        <w:fldChar w:fldCharType="end"/>
      </w:r>
      <w:r>
        <w:rPr>
          <w:lang w:val="en-GB"/>
        </w:rPr>
        <w:t>. (Accessed: 2 December 2025).</w:t>
      </w:r>
    </w:p>
    <w:p>
      <w:pPr>
        <w:pStyle w:val="style0"/>
        <w:spacing w:after="240"/>
        <w:rPr>
          <w:lang w:val="en-GB"/>
        </w:rPr>
      </w:pPr>
      <w:r>
        <w:rPr>
          <w:lang w:val="en-GB"/>
        </w:rPr>
        <w:t xml:space="preserve">Nogueira, E., Gomes, S. and Lopes, J.M. (2025) ‘Unveiling triple bottom line’s influence on business performance’, </w:t>
      </w:r>
      <w:r>
        <w:rPr>
          <w:i/>
          <w:iCs/>
          <w:lang w:val="en-GB"/>
        </w:rPr>
        <w:t>Discover Sustainability</w:t>
      </w:r>
      <w:r>
        <w:rPr>
          <w:lang w:val="en-GB"/>
        </w:rPr>
        <w:t xml:space="preserve">, 6(1). Available at: </w:t>
      </w:r>
      <w:r>
        <w:rPr/>
        <w:fldChar w:fldCharType="begin"/>
      </w:r>
      <w:r>
        <w:instrText xml:space="preserve"> HYPERLINK "https://doi.org/10.1007/s43621-025-00804-x" </w:instrText>
      </w:r>
      <w:r>
        <w:rPr/>
        <w:fldChar w:fldCharType="separate"/>
      </w:r>
      <w:r>
        <w:rPr>
          <w:color w:val="1155cc"/>
          <w:u w:val="single"/>
          <w:lang w:val="en-GB"/>
        </w:rPr>
        <w:t>https://doi.org/10.1007/s43621-025-00804-x</w:t>
      </w:r>
      <w:r>
        <w:rPr/>
        <w:fldChar w:fldCharType="end"/>
      </w:r>
      <w:r>
        <w:rPr>
          <w:lang w:val="en-GB"/>
        </w:rPr>
        <w:t>. (Accessed: 2 December 2025).</w:t>
      </w:r>
    </w:p>
    <w:p>
      <w:pPr>
        <w:pStyle w:val="style0"/>
        <w:spacing w:after="240"/>
        <w:rPr>
          <w:lang w:val="en-GB"/>
        </w:rPr>
      </w:pPr>
      <w:r>
        <w:rPr>
          <w:lang w:val="en-GB"/>
        </w:rPr>
        <w:t xml:space="preserve">O’Neill, A. (2025) </w:t>
      </w:r>
      <w:r>
        <w:rPr>
          <w:i/>
          <w:iCs/>
          <w:lang w:val="en-GB"/>
        </w:rPr>
        <w:t>Gross domestic product (GDP) per capita Myanmar (Burma)| Statista</w:t>
      </w:r>
      <w:r>
        <w:rPr>
          <w:lang w:val="en-GB"/>
        </w:rPr>
        <w:t xml:space="preserve">, </w:t>
      </w:r>
      <w:r>
        <w:rPr>
          <w:i/>
          <w:iCs/>
          <w:lang w:val="en-GB"/>
        </w:rPr>
        <w:t>Statista</w:t>
      </w:r>
      <w:r>
        <w:rPr>
          <w:lang w:val="en-GB"/>
        </w:rPr>
        <w:t xml:space="preserve">. Available at: </w:t>
      </w:r>
      <w:r>
        <w:rPr/>
        <w:fldChar w:fldCharType="begin"/>
      </w:r>
      <w:r>
        <w:instrText xml:space="preserve"> HYPERLINK "https://www.statista.com/statistics/525761/gross-domestic-product-gdp-per-capita-in-myanmar/?srsltid=AfmBOorfZWYMe2zWxDuemXyLsl-bl1b4fj4-7ozz0gSbLLvkaWmdjr3_" </w:instrText>
      </w:r>
      <w:r>
        <w:rPr/>
        <w:fldChar w:fldCharType="separate"/>
      </w:r>
      <w:r>
        <w:rPr>
          <w:color w:val="1155cc"/>
          <w:u w:val="single"/>
          <w:lang w:val="en-GB"/>
        </w:rPr>
        <w:t>https://www.statista.com/statistics/525761/gross-domestic-product-gdp-per-capita-in-myanmar/?srsltid=AfmBOorfZWYMe2zWxDuemXyLsl-bl1b4fj4-7ozz0gSbLLvkaWmdjr3_</w:t>
      </w:r>
      <w:r>
        <w:rPr/>
        <w:fldChar w:fldCharType="end"/>
      </w:r>
      <w:r>
        <w:rPr>
          <w:lang w:val="en-GB"/>
        </w:rPr>
        <w:t xml:space="preserve"> (Accessed: 2 December 2025).</w:t>
      </w:r>
    </w:p>
    <w:p>
      <w:pPr>
        <w:pStyle w:val="style0"/>
        <w:spacing w:after="240"/>
        <w:rPr>
          <w:lang w:val="en-GB"/>
        </w:rPr>
      </w:pPr>
      <w:r>
        <w:rPr>
          <w:lang w:val="en-GB"/>
        </w:rPr>
        <w:t xml:space="preserve">Pirogova, O., Plotnikov, V. and Gamidova, A. (2023) ‘Competitiveness of enterprises in the hospitality industries: increasing mechanisms’, </w:t>
      </w:r>
      <w:r>
        <w:rPr>
          <w:i/>
          <w:iCs/>
          <w:lang w:val="en-GB"/>
        </w:rPr>
        <w:t>E3S web of conferences</w:t>
      </w:r>
      <w:r>
        <w:rPr>
          <w:lang w:val="en-GB"/>
        </w:rPr>
        <w:t xml:space="preserve">, 371, pp. 05050–05050. Available at: </w:t>
      </w:r>
      <w:r>
        <w:rPr/>
        <w:fldChar w:fldCharType="begin"/>
      </w:r>
      <w:r>
        <w:instrText xml:space="preserve"> HYPERLINK "https://doi.org/10.1051/e3sconf/202337105050" </w:instrText>
      </w:r>
      <w:r>
        <w:rPr/>
        <w:fldChar w:fldCharType="separate"/>
      </w:r>
      <w:r>
        <w:rPr>
          <w:color w:val="1155cc"/>
          <w:u w:val="single"/>
          <w:lang w:val="en-GB"/>
        </w:rPr>
        <w:t>https://doi.org/10.1051/e3sconf/202337105050</w:t>
      </w:r>
      <w:r>
        <w:rPr/>
        <w:fldChar w:fldCharType="end"/>
      </w:r>
      <w:r>
        <w:rPr>
          <w:lang w:val="en-GB"/>
        </w:rPr>
        <w:t>. (Accessed: 2 December 2025).</w:t>
      </w:r>
    </w:p>
    <w:p>
      <w:pPr>
        <w:pStyle w:val="style0"/>
        <w:spacing w:after="240"/>
        <w:rPr>
          <w:lang w:val="en-GB"/>
        </w:rPr>
      </w:pPr>
      <w:r>
        <w:rPr>
          <w:lang w:val="en-GB"/>
        </w:rPr>
        <w:t xml:space="preserve">Report Linker (2024) </w:t>
      </w:r>
      <w:r>
        <w:rPr>
          <w:i/>
          <w:iCs/>
          <w:lang w:val="en-GB"/>
        </w:rPr>
        <w:t>Myanmar Tourism Industry Outlook 2024 - 2028</w:t>
      </w:r>
      <w:r>
        <w:rPr>
          <w:lang w:val="en-GB"/>
        </w:rPr>
        <w:t xml:space="preserve">, </w:t>
      </w:r>
      <w:r>
        <w:rPr>
          <w:i/>
          <w:iCs/>
          <w:lang w:val="en-GB"/>
        </w:rPr>
        <w:t>Reportlinker.com</w:t>
      </w:r>
      <w:r>
        <w:rPr>
          <w:lang w:val="en-GB"/>
        </w:rPr>
        <w:t xml:space="preserve">. Available at: </w:t>
      </w:r>
      <w:r>
        <w:rPr/>
        <w:fldChar w:fldCharType="begin"/>
      </w:r>
      <w:r>
        <w:instrText xml:space="preserve"> HYPERLINK "https://www.reportlinker.com/clp/country/6226/726405" </w:instrText>
      </w:r>
      <w:r>
        <w:rPr/>
        <w:fldChar w:fldCharType="separate"/>
      </w:r>
      <w:r>
        <w:rPr>
          <w:color w:val="1155cc"/>
          <w:u w:val="single"/>
          <w:lang w:val="en-GB"/>
        </w:rPr>
        <w:t>https://www.reportlinker.com/clp/country/6226/726405</w:t>
      </w:r>
      <w:r>
        <w:rPr/>
        <w:fldChar w:fldCharType="end"/>
      </w:r>
      <w:r>
        <w:rPr>
          <w:lang w:val="en-GB"/>
        </w:rPr>
        <w:t xml:space="preserve">  (Accessed: 2 December 2025).</w:t>
      </w:r>
    </w:p>
    <w:p>
      <w:pPr>
        <w:pStyle w:val="style0"/>
        <w:spacing w:after="240"/>
        <w:rPr>
          <w:lang w:val="en-GB"/>
        </w:rPr>
      </w:pPr>
      <w:r>
        <w:rPr>
          <w:lang w:val="en-GB"/>
        </w:rPr>
        <w:t xml:space="preserve">Sagar, S. (2025) </w:t>
      </w:r>
      <w:r>
        <w:rPr>
          <w:i/>
          <w:iCs/>
          <w:lang w:val="en-GB"/>
        </w:rPr>
        <w:t>Myanmar Smart Hospitality Market (2025-2031) | Trends &amp; Forecast</w:t>
      </w:r>
      <w:r>
        <w:rPr>
          <w:lang w:val="en-GB"/>
        </w:rPr>
        <w:t xml:space="preserve">, </w:t>
      </w:r>
      <w:r>
        <w:rPr>
          <w:i/>
          <w:iCs/>
          <w:lang w:val="en-GB"/>
        </w:rPr>
        <w:t>6wresearch.com</w:t>
      </w:r>
      <w:r>
        <w:rPr>
          <w:lang w:val="en-GB"/>
        </w:rPr>
        <w:t xml:space="preserve">. Available at: </w:t>
      </w:r>
      <w:r>
        <w:rPr/>
        <w:fldChar w:fldCharType="begin"/>
      </w:r>
      <w:r>
        <w:instrText xml:space="preserve"> HYPERLINK "https://www.6wresearch.com/industry-report/myanmar-smart-hospitality-market" </w:instrText>
      </w:r>
      <w:r>
        <w:rPr/>
        <w:fldChar w:fldCharType="separate"/>
      </w:r>
      <w:r>
        <w:rPr>
          <w:color w:val="1155cc"/>
          <w:u w:val="single"/>
          <w:lang w:val="en-GB"/>
        </w:rPr>
        <w:t>https://www.6wresearch.com/industry-report/myanmar-smart-hospitality-market</w:t>
      </w:r>
      <w:r>
        <w:rPr/>
        <w:fldChar w:fldCharType="end"/>
      </w:r>
      <w:r>
        <w:rPr>
          <w:lang w:val="en-GB"/>
        </w:rPr>
        <w:t xml:space="preserve"> (Accessed: 2 December 2025).</w:t>
      </w:r>
    </w:p>
    <w:p>
      <w:pPr>
        <w:pStyle w:val="style0"/>
        <w:spacing w:after="240"/>
        <w:rPr>
          <w:lang w:val="en-GB"/>
        </w:rPr>
      </w:pPr>
      <w:r>
        <w:rPr>
          <w:lang w:val="en-GB"/>
        </w:rPr>
        <w:t xml:space="preserve">Šimonová, T., Malindzakova, M. and Malindzak, D. (2024) ‘Integrating Management Strategy and Porter’s Five Forces Model for the Sustainable Recycling of Textile Waste’, </w:t>
      </w:r>
      <w:r>
        <w:rPr>
          <w:i/>
          <w:iCs/>
          <w:lang w:val="en-GB"/>
        </w:rPr>
        <w:t>Sustainability</w:t>
      </w:r>
      <w:r>
        <w:rPr>
          <w:lang w:val="en-GB"/>
        </w:rPr>
        <w:t xml:space="preserve">, 16(21), pp. 9283–9283. Available at: </w:t>
      </w:r>
      <w:r>
        <w:rPr/>
        <w:fldChar w:fldCharType="begin"/>
      </w:r>
      <w:r>
        <w:instrText xml:space="preserve"> HYPERLINK "https://doi.org/10.3390/su16219283" </w:instrText>
      </w:r>
      <w:r>
        <w:rPr/>
        <w:fldChar w:fldCharType="separate"/>
      </w:r>
      <w:r>
        <w:rPr>
          <w:color w:val="1155cc"/>
          <w:u w:val="single"/>
          <w:lang w:val="en-GB"/>
        </w:rPr>
        <w:t>https://doi.org/10.3390/su16219283</w:t>
      </w:r>
      <w:r>
        <w:rPr/>
        <w:fldChar w:fldCharType="end"/>
      </w:r>
      <w:r>
        <w:rPr>
          <w:lang w:val="en-GB"/>
        </w:rPr>
        <w:t>. (Accessed: 1 December 2025).</w:t>
      </w:r>
    </w:p>
    <w:p>
      <w:pPr>
        <w:pStyle w:val="style0"/>
        <w:spacing w:after="240"/>
        <w:rPr>
          <w:lang w:val="en-GB"/>
        </w:rPr>
      </w:pPr>
      <w:r>
        <w:rPr>
          <w:lang w:val="en-GB"/>
        </w:rPr>
        <w:t xml:space="preserve">Tamplin, T. (2021) </w:t>
      </w:r>
      <w:r>
        <w:rPr>
          <w:i/>
          <w:iCs/>
          <w:lang w:val="en-GB"/>
        </w:rPr>
        <w:t>Triple Bottom Line (TBL) | Dimensions, Benefits, &amp; Frameworks</w:t>
      </w:r>
      <w:r>
        <w:rPr>
          <w:lang w:val="en-GB"/>
        </w:rPr>
        <w:t xml:space="preserve">, </w:t>
      </w:r>
      <w:r>
        <w:rPr>
          <w:i/>
          <w:iCs/>
          <w:lang w:val="en-GB"/>
        </w:rPr>
        <w:t>Finance Strategists</w:t>
      </w:r>
      <w:r>
        <w:rPr>
          <w:lang w:val="en-GB"/>
        </w:rPr>
        <w:t xml:space="preserve">. Available at: </w:t>
      </w:r>
      <w:r>
        <w:rPr/>
        <w:fldChar w:fldCharType="begin"/>
      </w:r>
      <w:r>
        <w:instrText xml:space="preserve"> HYPERLINK "https://www.financestrategists.com/wealth-management/esg/triple-bottom-line/?msclkid=ccb8210a1df014c64d74483a1057be1c" </w:instrText>
      </w:r>
      <w:r>
        <w:rPr/>
        <w:fldChar w:fldCharType="separate"/>
      </w:r>
      <w:r>
        <w:rPr>
          <w:color w:val="1155cc"/>
          <w:u w:val="single"/>
          <w:lang w:val="en-GB"/>
        </w:rPr>
        <w:t>https://www.financestrategists.com/wealth-management/esg/triple-bottom-line/?msclkid=ccb8210a1df014c64d74483a1057be1c</w:t>
      </w:r>
      <w:r>
        <w:rPr/>
        <w:fldChar w:fldCharType="end"/>
      </w:r>
      <w:r>
        <w:rPr>
          <w:lang w:val="en-GB"/>
        </w:rPr>
        <w:t xml:space="preserve"> (Accessed: 2 December 2025).</w:t>
      </w:r>
    </w:p>
    <w:p>
      <w:pPr>
        <w:pStyle w:val="style0"/>
        <w:spacing w:after="240"/>
        <w:rPr>
          <w:lang w:val="en-GB"/>
        </w:rPr>
      </w:pPr>
      <w:r>
        <w:rPr>
          <w:lang w:val="en-GB"/>
        </w:rPr>
        <w:t xml:space="preserve">Theuri, R.W. (2021) ‘Competitive Strategies and Market Share of Five-Star Hotels Operating in Nairobi County, Kenya’, </w:t>
      </w:r>
      <w:r>
        <w:rPr>
          <w:i/>
          <w:iCs/>
          <w:lang w:val="en-GB"/>
        </w:rPr>
        <w:t>Journal of Strategic Management</w:t>
      </w:r>
      <w:r>
        <w:rPr>
          <w:lang w:val="en-GB"/>
        </w:rPr>
        <w:t xml:space="preserve">, 5(2), pp. 104–128. Available at: </w:t>
      </w:r>
      <w:r>
        <w:rPr/>
        <w:fldChar w:fldCharType="begin"/>
      </w:r>
      <w:r>
        <w:instrText xml:space="preserve"> HYPERLINK "https://doi.org/10.53819/81018102t3006" </w:instrText>
      </w:r>
      <w:r>
        <w:rPr/>
        <w:fldChar w:fldCharType="separate"/>
      </w:r>
      <w:r>
        <w:rPr>
          <w:color w:val="1155cc"/>
          <w:u w:val="single"/>
          <w:lang w:val="en-GB"/>
        </w:rPr>
        <w:t>https://doi.org/10.53819/81018102t3006</w:t>
      </w:r>
      <w:r>
        <w:rPr/>
        <w:fldChar w:fldCharType="end"/>
      </w:r>
      <w:r>
        <w:rPr>
          <w:lang w:val="en-GB"/>
        </w:rPr>
        <w:t>. (Accessed: 2 December 2025).</w:t>
      </w:r>
    </w:p>
    <w:p>
      <w:pPr>
        <w:pStyle w:val="style0"/>
        <w:spacing w:after="240"/>
        <w:rPr>
          <w:lang w:val="en-GB"/>
        </w:rPr>
      </w:pPr>
      <w:r>
        <w:rPr>
          <w:lang w:val="en-GB"/>
        </w:rPr>
        <w:t xml:space="preserve">Tilleke &amp; Gibbins (2025) </w:t>
      </w:r>
      <w:r>
        <w:rPr>
          <w:i/>
          <w:iCs/>
          <w:lang w:val="en-GB"/>
        </w:rPr>
        <w:t>Myanmar Cybersecurity Law Takes Effect - Tilleke &amp; Gibbins</w:t>
      </w:r>
      <w:r>
        <w:rPr>
          <w:lang w:val="en-GB"/>
        </w:rPr>
        <w:t xml:space="preserve">, </w:t>
      </w:r>
      <w:r>
        <w:rPr>
          <w:i/>
          <w:iCs/>
          <w:lang w:val="en-GB"/>
        </w:rPr>
        <w:t>Tilleke &amp; Gibbins</w:t>
      </w:r>
      <w:r>
        <w:rPr>
          <w:lang w:val="en-GB"/>
        </w:rPr>
        <w:t xml:space="preserve">. Available at: </w:t>
      </w:r>
      <w:r>
        <w:rPr/>
        <w:fldChar w:fldCharType="begin"/>
      </w:r>
      <w:r>
        <w:instrText xml:space="preserve"> HYPERLINK "https://www.tilleke.com/insights/myanmar-cybersecurity-law-takes-effect/" </w:instrText>
      </w:r>
      <w:r>
        <w:rPr/>
        <w:fldChar w:fldCharType="separate"/>
      </w:r>
      <w:r>
        <w:rPr>
          <w:color w:val="1155cc"/>
          <w:u w:val="single"/>
          <w:lang w:val="en-GB"/>
        </w:rPr>
        <w:t>https://www.tilleke.com/insights/myanmar-cybersecurity-law-takes-effect/</w:t>
      </w:r>
      <w:r>
        <w:rPr/>
        <w:fldChar w:fldCharType="end"/>
      </w:r>
      <w:r>
        <w:rPr>
          <w:lang w:val="en-GB"/>
        </w:rPr>
        <w:t>. (Accessed: 2 December 2025).</w:t>
      </w:r>
    </w:p>
    <w:p>
      <w:pPr>
        <w:pStyle w:val="style0"/>
        <w:spacing w:after="240"/>
        <w:rPr>
          <w:lang w:val="en-GB"/>
        </w:rPr>
      </w:pPr>
      <w:r>
        <w:rPr>
          <w:lang w:val="en-GB"/>
        </w:rPr>
        <w:t xml:space="preserve">Trading Economics (2024) </w:t>
      </w:r>
      <w:r>
        <w:rPr>
          <w:i/>
          <w:iCs/>
          <w:lang w:val="en-GB"/>
        </w:rPr>
        <w:t>Myanmar Unemployment Rate</w:t>
      </w:r>
      <w:r>
        <w:rPr>
          <w:lang w:val="en-GB"/>
        </w:rPr>
        <w:t xml:space="preserve">, </w:t>
      </w:r>
      <w:r>
        <w:rPr>
          <w:i/>
          <w:iCs/>
          <w:lang w:val="en-GB"/>
        </w:rPr>
        <w:t>Tradingeconomics.com</w:t>
      </w:r>
      <w:r>
        <w:rPr>
          <w:lang w:val="en-GB"/>
        </w:rPr>
        <w:t xml:space="preserve">. Available at: </w:t>
      </w:r>
      <w:r>
        <w:rPr/>
        <w:fldChar w:fldCharType="begin"/>
      </w:r>
      <w:r>
        <w:instrText xml:space="preserve"> HYPERLINK "https://tradingeconomics.com/myanmar/unemployment-rate" </w:instrText>
      </w:r>
      <w:r>
        <w:rPr/>
        <w:fldChar w:fldCharType="separate"/>
      </w:r>
      <w:r>
        <w:rPr>
          <w:color w:val="1155cc"/>
          <w:u w:val="single"/>
          <w:lang w:val="en-GB"/>
        </w:rPr>
        <w:t>https://tradingeconomics.com/myanmar/unemployment-rate</w:t>
      </w:r>
      <w:r>
        <w:rPr/>
        <w:fldChar w:fldCharType="end"/>
      </w:r>
      <w:r>
        <w:rPr>
          <w:lang w:val="en-GB"/>
        </w:rPr>
        <w:t>. (Accessed: 1 December 2025).</w:t>
      </w:r>
    </w:p>
    <w:p>
      <w:pPr>
        <w:pStyle w:val="style0"/>
        <w:spacing w:after="240"/>
        <w:rPr>
          <w:lang w:val="en-GB"/>
        </w:rPr>
      </w:pPr>
      <w:r>
        <w:rPr>
          <w:lang w:val="en-GB"/>
        </w:rPr>
        <w:t xml:space="preserve">Tufft, C., Constantin, M., Pacca, M. and Mann, R. (2024) </w:t>
      </w:r>
      <w:r>
        <w:rPr>
          <w:i/>
          <w:iCs/>
          <w:lang w:val="en-GB"/>
        </w:rPr>
        <w:t>Six trends shaping new business models in tourism and hospitality</w:t>
      </w:r>
      <w:r>
        <w:rPr>
          <w:lang w:val="en-GB"/>
        </w:rPr>
        <w:t xml:space="preserve">, </w:t>
      </w:r>
      <w:r>
        <w:rPr>
          <w:i/>
          <w:iCs/>
          <w:lang w:val="en-GB"/>
        </w:rPr>
        <w:t>McKinsey &amp; Company</w:t>
      </w:r>
      <w:r>
        <w:rPr>
          <w:lang w:val="en-GB"/>
        </w:rPr>
        <w:t xml:space="preserve">. Available at: </w:t>
      </w:r>
      <w:r>
        <w:rPr/>
        <w:fldChar w:fldCharType="begin"/>
      </w:r>
      <w:r>
        <w:instrText xml:space="preserve"> HYPERLINK "https://www.mckinsey.com/industries/travel/our-insights/six-trends-shaping-new-business-models-in-tourism-and-hospitality" </w:instrText>
      </w:r>
      <w:r>
        <w:rPr/>
        <w:fldChar w:fldCharType="separate"/>
      </w:r>
      <w:r>
        <w:rPr>
          <w:color w:val="1155cc"/>
          <w:u w:val="single"/>
          <w:lang w:val="en-GB"/>
        </w:rPr>
        <w:t>https://www.mckinsey.com/industries/travel/our-insights/six-trends-shaping-new-business-models-in-tourism-and-hospitality</w:t>
      </w:r>
      <w:r>
        <w:rPr/>
        <w:fldChar w:fldCharType="end"/>
      </w:r>
      <w:r>
        <w:rPr>
          <w:lang w:val="en-GB"/>
        </w:rPr>
        <w:t xml:space="preserve"> (Accessed: 2 December 2025).</w:t>
      </w:r>
    </w:p>
    <w:p>
      <w:pPr>
        <w:pStyle w:val="style0"/>
        <w:spacing w:after="240"/>
        <w:rPr>
          <w:lang w:val="en-GB"/>
        </w:rPr>
      </w:pPr>
      <w:r>
        <w:rPr>
          <w:lang w:val="en-GB"/>
        </w:rPr>
        <w:t xml:space="preserve">Veríssimo, C., Pereira, L., Fernandes, A. and Martinho, R. (2024) ‘Complex problem solving as a source of competitive advantage’, </w:t>
      </w:r>
      <w:r>
        <w:rPr>
          <w:i/>
          <w:iCs/>
          <w:lang w:val="en-GB"/>
        </w:rPr>
        <w:t>Journal of Open Innovation: Technology, Market, and Complexity</w:t>
      </w:r>
      <w:r>
        <w:rPr>
          <w:lang w:val="en-GB"/>
        </w:rPr>
        <w:t xml:space="preserve">, 10(2), p. 100258. Available at: </w:t>
      </w:r>
      <w:r>
        <w:rPr/>
        <w:fldChar w:fldCharType="begin"/>
      </w:r>
      <w:r>
        <w:instrText xml:space="preserve"> HYPERLINK "https://www.sciencedirect.com/science/article/pii/S2199853124000520" </w:instrText>
      </w:r>
      <w:r>
        <w:rPr/>
        <w:fldChar w:fldCharType="separate"/>
      </w:r>
      <w:r>
        <w:rPr>
          <w:color w:val="1155cc"/>
          <w:u w:val="single"/>
          <w:lang w:val="en-GB"/>
        </w:rPr>
        <w:t>https://www.sciencedirect.com/science/article/pii/S2199853124000520</w:t>
      </w:r>
      <w:r>
        <w:rPr/>
        <w:fldChar w:fldCharType="end"/>
      </w:r>
      <w:r>
        <w:rPr>
          <w:lang w:val="en-GB"/>
        </w:rPr>
        <w:t xml:space="preserve">  (Accessed: 2 December 2025).</w:t>
      </w:r>
    </w:p>
    <w:p>
      <w:pPr>
        <w:pStyle w:val="style0"/>
        <w:spacing w:after="240"/>
        <w:rPr>
          <w:lang w:val="en-GB"/>
        </w:rPr>
      </w:pPr>
      <w:r>
        <w:rPr>
          <w:lang w:val="en-GB"/>
        </w:rPr>
        <w:t xml:space="preserve">World Bank (2024) </w:t>
      </w:r>
      <w:r>
        <w:rPr>
          <w:i/>
          <w:iCs/>
          <w:lang w:val="en-GB"/>
        </w:rPr>
        <w:t>World Bank Open Data</w:t>
      </w:r>
      <w:r>
        <w:rPr>
          <w:lang w:val="en-GB"/>
        </w:rPr>
        <w:t xml:space="preserve"> </w:t>
      </w:r>
      <w:r>
        <w:rPr>
          <w:i/>
          <w:iCs/>
          <w:lang w:val="en-GB"/>
        </w:rPr>
        <w:t>World Bank Open Data</w:t>
      </w:r>
      <w:r>
        <w:rPr>
          <w:lang w:val="en-GB"/>
        </w:rPr>
        <w:t xml:space="preserve">. Available at: </w:t>
      </w:r>
      <w:r>
        <w:rPr/>
        <w:fldChar w:fldCharType="begin"/>
      </w:r>
      <w:r>
        <w:instrText xml:space="preserve"> HYPERLINK "https://data.worldbank.org/country/myanmar" </w:instrText>
      </w:r>
      <w:r>
        <w:rPr/>
        <w:fldChar w:fldCharType="separate"/>
      </w:r>
      <w:r>
        <w:rPr>
          <w:color w:val="1155cc"/>
          <w:u w:val="single"/>
          <w:lang w:val="en-GB"/>
        </w:rPr>
        <w:t>https://data.worldbank.org/country/myanmar</w:t>
      </w:r>
      <w:r>
        <w:rPr/>
        <w:fldChar w:fldCharType="end"/>
      </w:r>
      <w:r>
        <w:rPr>
          <w:lang w:val="en-GB"/>
        </w:rPr>
        <w:t xml:space="preserve"> (Accessed: 1 December 2025).</w:t>
      </w:r>
    </w:p>
    <w:p>
      <w:pPr>
        <w:pStyle w:val="style0"/>
        <w:spacing w:after="240"/>
        <w:rPr>
          <w:lang w:val="en-GB"/>
        </w:rPr>
      </w:pPr>
      <w:r>
        <w:rPr>
          <w:lang w:val="en-GB"/>
        </w:rPr>
        <w:t xml:space="preserve">World Bank (2025) </w:t>
      </w:r>
      <w:r>
        <w:rPr>
          <w:i/>
          <w:iCs/>
          <w:lang w:val="en-GB"/>
        </w:rPr>
        <w:t>Myanmar Economic Monitor, June 2025: Economic Aftershocks</w:t>
      </w:r>
      <w:r>
        <w:rPr>
          <w:lang w:val="en-GB"/>
        </w:rPr>
        <w:t xml:space="preserve">. Washington, DC: World Bank. Available at: </w:t>
      </w:r>
      <w:r>
        <w:rPr/>
        <w:fldChar w:fldCharType="begin"/>
      </w:r>
      <w:r>
        <w:instrText xml:space="preserve"> HYPERLINK "https://doi.org/10.1596/43329" </w:instrText>
      </w:r>
      <w:r>
        <w:rPr/>
        <w:fldChar w:fldCharType="separate"/>
      </w:r>
      <w:r>
        <w:rPr>
          <w:color w:val="1155cc"/>
          <w:u w:val="single"/>
          <w:lang w:val="en-GB"/>
        </w:rPr>
        <w:t>https://doi.org/10.1596/43329</w:t>
      </w:r>
      <w:r>
        <w:rPr/>
        <w:fldChar w:fldCharType="end"/>
      </w:r>
      <w:r>
        <w:rPr>
          <w:lang w:val="en-GB"/>
        </w:rPr>
        <w:t>. (Accessed: 2 December 2025).</w:t>
      </w:r>
    </w:p>
    <w:p>
      <w:pPr>
        <w:pStyle w:val="style0"/>
        <w:spacing w:after="240"/>
        <w:rPr>
          <w:lang w:val="en-GB"/>
        </w:rPr>
      </w:pPr>
      <w:r>
        <w:rPr>
          <w:lang w:val="en-GB"/>
        </w:rPr>
        <w:t>World Bank Group (2023).</w:t>
      </w:r>
      <w:r>
        <w:rPr>
          <w:i/>
          <w:iCs/>
          <w:lang w:val="en-GB"/>
        </w:rPr>
        <w:t>Myanmar's economic recovery falters as conflict and inflation weigh</w:t>
      </w:r>
      <w:r>
        <w:rPr>
          <w:lang w:val="en-GB"/>
        </w:rPr>
        <w:t xml:space="preserve">, </w:t>
      </w:r>
      <w:r>
        <w:rPr>
          <w:i/>
          <w:iCs/>
          <w:lang w:val="en-GB"/>
        </w:rPr>
        <w:t>World Bank</w:t>
      </w:r>
      <w:r>
        <w:rPr>
          <w:lang w:val="en-GB"/>
        </w:rPr>
        <w:t xml:space="preserve">. World Bank Group. Available at: </w:t>
      </w:r>
      <w:r>
        <w:rPr/>
        <w:fldChar w:fldCharType="begin"/>
      </w:r>
      <w:r>
        <w:instrText xml:space="preserve"> HYPERLINK "https://www.worldbank.org/en/news/press-release/2023/12/12/economic-recovery-falters-as-conflict-and-inflation-weigh" </w:instrText>
      </w:r>
      <w:r>
        <w:rPr/>
        <w:fldChar w:fldCharType="separate"/>
      </w:r>
      <w:r>
        <w:rPr>
          <w:color w:val="1155cc"/>
          <w:u w:val="single"/>
          <w:lang w:val="en-GB"/>
        </w:rPr>
        <w:t>https://www.worldbank.org/en/news/press-release/2023/12/12/economic-recovery-falters-as-conflict-and-inflation-weigh</w:t>
      </w:r>
      <w:r>
        <w:rPr/>
        <w:fldChar w:fldCharType="end"/>
      </w:r>
      <w:r>
        <w:rPr>
          <w:lang w:val="en-GB"/>
        </w:rPr>
        <w:t xml:space="preserve"> (Accessed: 2 December 2025).</w:t>
      </w:r>
    </w:p>
    <w:p>
      <w:pPr>
        <w:pStyle w:val="style0"/>
        <w:spacing w:after="240"/>
        <w:rPr>
          <w:lang w:val="en-GB"/>
        </w:rPr>
      </w:pPr>
      <w:r>
        <w:rPr>
          <w:lang w:val="en-GB"/>
        </w:rPr>
        <w:t xml:space="preserve">World Bank Group (2025). </w:t>
      </w:r>
      <w:r>
        <w:rPr>
          <w:i/>
          <w:iCs/>
          <w:lang w:val="en-GB"/>
        </w:rPr>
        <w:t>Earthquake compounds Myanmar’s economic challenges</w:t>
      </w:r>
      <w:r>
        <w:rPr>
          <w:lang w:val="en-GB"/>
        </w:rPr>
        <w:t xml:space="preserve">, </w:t>
      </w:r>
      <w:r>
        <w:rPr>
          <w:i/>
          <w:iCs/>
          <w:lang w:val="en-GB"/>
        </w:rPr>
        <w:t>World Bank</w:t>
      </w:r>
      <w:r>
        <w:rPr>
          <w:lang w:val="en-GB"/>
        </w:rPr>
        <w:t xml:space="preserve">. World Bank Group. Available at: </w:t>
      </w:r>
      <w:r>
        <w:rPr/>
        <w:fldChar w:fldCharType="begin"/>
      </w:r>
      <w:r>
        <w:instrText xml:space="preserve"> HYPERLINK "https://www.worldbank.org/en/news/press-release/2025/06/12/earthquake-compounds-myanmar-s-economic-challenges" </w:instrText>
      </w:r>
      <w:r>
        <w:rPr/>
        <w:fldChar w:fldCharType="separate"/>
      </w:r>
      <w:r>
        <w:rPr>
          <w:color w:val="1155cc"/>
          <w:u w:val="single"/>
          <w:lang w:val="en-GB"/>
        </w:rPr>
        <w:t>https://www.worldbank.org/en/news/press-release/2025/06/12/earthquake-compounds-myanmar-s-economic-challenges</w:t>
      </w:r>
      <w:r>
        <w:rPr/>
        <w:fldChar w:fldCharType="end"/>
      </w:r>
      <w:r>
        <w:rPr>
          <w:lang w:val="en-GB"/>
        </w:rPr>
        <w:t xml:space="preserve"> </w:t>
      </w:r>
    </w:p>
    <w:p>
      <w:pPr>
        <w:pStyle w:val="style0"/>
        <w:spacing w:after="240"/>
        <w:rPr>
          <w:lang w:val="en-GB"/>
        </w:rPr>
      </w:pPr>
      <w:r>
        <w:rPr>
          <w:lang w:val="en-GB"/>
        </w:rPr>
        <w:t xml:space="preserve">Worldometer (2025) </w:t>
      </w:r>
      <w:r>
        <w:rPr>
          <w:i/>
          <w:iCs/>
          <w:lang w:val="en-GB"/>
        </w:rPr>
        <w:t>Myanmar Population - Worldometers</w:t>
      </w:r>
      <w:r>
        <w:rPr>
          <w:lang w:val="en-GB"/>
        </w:rPr>
        <w:t xml:space="preserve">, </w:t>
      </w:r>
      <w:r>
        <w:rPr>
          <w:i/>
          <w:iCs/>
          <w:lang w:val="en-GB"/>
        </w:rPr>
        <w:t>Worldometers.info</w:t>
      </w:r>
      <w:r>
        <w:rPr>
          <w:lang w:val="en-GB"/>
        </w:rPr>
        <w:t xml:space="preserve">. Available at: </w:t>
      </w:r>
      <w:r>
        <w:rPr/>
        <w:fldChar w:fldCharType="begin"/>
      </w:r>
      <w:r>
        <w:instrText xml:space="preserve"> HYPERLINK "https://www.worldometers.info/world-population/myanmar-population/" </w:instrText>
      </w:r>
      <w:r>
        <w:rPr/>
        <w:fldChar w:fldCharType="separate"/>
      </w:r>
      <w:r>
        <w:rPr>
          <w:color w:val="1155cc"/>
          <w:u w:val="single"/>
          <w:lang w:val="en-GB"/>
        </w:rPr>
        <w:t>https://www.worldometers.info/world-population/myanmar-population/</w:t>
      </w:r>
      <w:r>
        <w:rPr/>
        <w:fldChar w:fldCharType="end"/>
      </w:r>
      <w:r>
        <w:rPr>
          <w:lang w:val="en-GB"/>
        </w:rPr>
        <w:t>. (Accessed: 2 December 2025).</w:t>
      </w:r>
    </w:p>
    <w:p>
      <w:pPr>
        <w:pStyle w:val="style0"/>
        <w:spacing w:after="240"/>
        <w:rPr>
          <w:lang w:val="en-GB"/>
        </w:rPr>
      </w:pPr>
      <w:r>
        <w:rPr>
          <w:lang w:val="en-GB"/>
        </w:rPr>
        <w:t xml:space="preserve">Xinhua (2024) </w:t>
      </w:r>
      <w:r>
        <w:rPr>
          <w:i/>
          <w:iCs/>
          <w:lang w:val="en-GB"/>
        </w:rPr>
        <w:t>Myanmar receives over 1.06 mn foreign tourists in 2024</w:t>
      </w:r>
      <w:r>
        <w:rPr>
          <w:lang w:val="en-GB"/>
        </w:rPr>
        <w:t xml:space="preserve">, </w:t>
      </w:r>
      <w:r>
        <w:rPr>
          <w:i/>
          <w:iCs/>
          <w:lang w:val="en-GB"/>
        </w:rPr>
        <w:t>News.cn</w:t>
      </w:r>
      <w:r>
        <w:rPr>
          <w:lang w:val="en-GB"/>
        </w:rPr>
        <w:t xml:space="preserve">. Available at: </w:t>
      </w:r>
      <w:r>
        <w:rPr/>
        <w:fldChar w:fldCharType="begin"/>
      </w:r>
      <w:r>
        <w:instrText xml:space="preserve"> HYPERLINK "https://english.news.cn/asiapacific/20250110/4914150488c34a10bf32948aab45f1dd/c.html" </w:instrText>
      </w:r>
      <w:r>
        <w:rPr/>
        <w:fldChar w:fldCharType="separate"/>
      </w:r>
      <w:r>
        <w:rPr>
          <w:color w:val="1155cc"/>
          <w:u w:val="single"/>
          <w:lang w:val="en-GB"/>
        </w:rPr>
        <w:t>https://english.news.cn/asiapacific/20250110/4914150488c34a10bf32948aab45f1dd/c.html</w:t>
      </w:r>
      <w:r>
        <w:rPr/>
        <w:fldChar w:fldCharType="end"/>
      </w:r>
      <w:r>
        <w:rPr>
          <w:lang w:val="en-GB"/>
        </w:rPr>
        <w:t xml:space="preserve"> (Accessed: 2 December 2025).</w:t>
      </w:r>
    </w:p>
    <w:p>
      <w:pPr>
        <w:pStyle w:val="style0"/>
        <w:spacing w:after="240"/>
        <w:rPr>
          <w:lang w:val="en-GB"/>
        </w:rPr>
      </w:pPr>
      <w:r>
        <w:rPr>
          <w:lang w:val="en-GB"/>
        </w:rPr>
        <w:t xml:space="preserve">Xinhua (2025) </w:t>
      </w:r>
      <w:r>
        <w:rPr>
          <w:i/>
          <w:iCs/>
          <w:lang w:val="en-GB"/>
        </w:rPr>
        <w:t>Myanmar welcomes over 809,000 foreign tourists in 10 months</w:t>
      </w:r>
      <w:r>
        <w:rPr>
          <w:lang w:val="en-GB"/>
        </w:rPr>
        <w:t xml:space="preserve">, </w:t>
      </w:r>
      <w:r>
        <w:rPr>
          <w:i/>
          <w:iCs/>
          <w:lang w:val="en-GB"/>
        </w:rPr>
        <w:t>News.cn</w:t>
      </w:r>
      <w:r>
        <w:rPr>
          <w:lang w:val="en-GB"/>
        </w:rPr>
        <w:t xml:space="preserve">. Available at: </w:t>
      </w:r>
      <w:r>
        <w:rPr/>
        <w:fldChar w:fldCharType="begin"/>
      </w:r>
      <w:r>
        <w:instrText xml:space="preserve"> HYPERLINK "https://english.news.cn/asiapacific/20251119/5d5ab1c4b9464224937a7764ee40c09d/c.html" </w:instrText>
      </w:r>
      <w:r>
        <w:rPr/>
        <w:fldChar w:fldCharType="separate"/>
      </w:r>
      <w:r>
        <w:rPr>
          <w:color w:val="1155cc"/>
          <w:u w:val="single"/>
          <w:lang w:val="en-GB"/>
        </w:rPr>
        <w:t>https://english.news.cn/asiapacific/20251119/5d5ab1c4b9464224937a7764ee40c09d/c.html</w:t>
      </w:r>
      <w:r>
        <w:rPr/>
        <w:fldChar w:fldCharType="end"/>
      </w:r>
      <w:r>
        <w:rPr>
          <w:lang w:val="en-GB"/>
        </w:rPr>
        <w:t xml:space="preserve"> (Accessed: 2 December 2025).</w:t>
      </w:r>
    </w:p>
    <w:p>
      <w:pPr>
        <w:pStyle w:val="style0"/>
        <w:spacing w:after="240"/>
        <w:rPr>
          <w:lang w:val="en-GB"/>
        </w:rPr>
      </w:pPr>
      <w:r>
        <w:rPr>
          <w:lang w:val="en-GB"/>
        </w:rPr>
        <w:t xml:space="preserve">Zaghmout, B., Achi, F.C., Ema, U. and Adeshipo, A. (2024) ‘Ethical Leadership in Dubai Hospitality Industry: Navigating Cultural Sensitivity and Inclusivity in a Globalized Market’, </w:t>
      </w:r>
      <w:r>
        <w:rPr>
          <w:i/>
          <w:iCs/>
          <w:lang w:val="en-GB"/>
        </w:rPr>
        <w:t>Open Journal of Leadership</w:t>
      </w:r>
      <w:r>
        <w:rPr>
          <w:lang w:val="en-GB"/>
        </w:rPr>
        <w:t xml:space="preserve">, 13(03), pp. 385–411. Available at: </w:t>
      </w:r>
      <w:r>
        <w:rPr/>
        <w:fldChar w:fldCharType="begin"/>
      </w:r>
      <w:r>
        <w:instrText xml:space="preserve"> HYPERLINK "https://doi.org/10.4236/ojl.2024.133022" </w:instrText>
      </w:r>
      <w:r>
        <w:rPr/>
        <w:fldChar w:fldCharType="separate"/>
      </w:r>
      <w:r>
        <w:rPr>
          <w:color w:val="1155cc"/>
          <w:u w:val="single"/>
          <w:lang w:val="en-GB"/>
        </w:rPr>
        <w:t>https://doi.org/10.4236/ojl.2024.133022</w:t>
      </w:r>
      <w:r>
        <w:rPr/>
        <w:fldChar w:fldCharType="end"/>
      </w:r>
      <w:r>
        <w:rPr>
          <w:lang w:val="en-GB"/>
        </w:rPr>
        <w:t>. (Accessed: 2 December 2025).</w:t>
      </w:r>
    </w:p>
    <w:sectPr>
      <w:footerReference w:type="default" r:id="rId11"/>
      <w:pgSz w:w="11909" w:h="16834" w:orient="portrait"/>
      <w:pgMar w:top="1440" w:right="1440" w:bottom="1440" w:left="1440" w:header="720" w:footer="720" w:gutter="0"/>
      <w:pgBorders w:zOrder="front" w:display="allPage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altName w:val="Arial"/>
    <w:panose1 w:val="020b0604020000020204"/>
    <w:charset w:val="00"/>
    <w:family w:val="swiss"/>
    <w:pitch w:val="variable"/>
    <w:sig w:usb0="E0002EFF" w:usb1="C000785B" w:usb2="00000009" w:usb3="00000000" w:csb0="000001FF" w:csb1="00000000"/>
  </w:font>
  <w:font w:name="Times New Roman">
    <w:altName w:val="Times New Roman"/>
    <w:panose1 w:val="02020603050000020304"/>
    <w:charset w:val="00"/>
    <w:family w:val="roman"/>
    <w:pitch w:val="variable"/>
    <w:sig w:usb0="E0002EFF" w:usb1="C000785B" w:usb2="00000009" w:usb3="00000000" w:csb0="000001FF" w:csb1="00000000"/>
  </w:font>
  <w:font w:name="Calibri">
    <w:altName w:val="Calibri"/>
    <w:panose1 w:val="020f0502020000030204"/>
    <w:charset w:val="00"/>
    <w:family w:val="swiss"/>
    <w:pitch w:val="variable"/>
    <w:sig w:usb0="E4002EFF" w:usb1="C000247B" w:usb2="00000009" w:usb3="00000000" w:csb0="000001FF" w:csb1="00000000"/>
  </w:font>
  <w:font w:name="Cambria">
    <w:altName w:val="Cambria"/>
    <w:panose1 w:val="02040503050000030204"/>
    <w:charset w:val="00"/>
    <w:family w:val="roman"/>
    <w:pitch w:val="variable"/>
    <w:sig w:usb0="E00006FF" w:usb1="420024FF" w:usb2="02000000" w:usb3="00000000" w:csb0="0000019F" w:csb1="00000000"/>
  </w:font>
</w:fonts>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32"/>
      <w:jc w:val="right"/>
      <w:rPr/>
    </w:pPr>
    <w:r>
      <w:rPr/>
      <w:fldChar w:fldCharType="begin"/>
    </w:r>
    <w:r>
      <w:instrText xml:space="preserve"> PAGE   \* MERGEFORMAT </w:instrText>
    </w:r>
    <w:r>
      <w:rPr/>
      <w:fldChar w:fldCharType="separate"/>
    </w:r>
    <w:r>
      <w:rPr>
        <w:noProof/>
      </w:rPr>
      <w:t>3</w:t>
    </w:r>
    <w:r>
      <w:rPr>
        <w:noProof/>
      </w:rPr>
      <w:fldChar w:fldCharType="end"/>
    </w:r>
  </w:p>
  <w:p>
    <w:pPr>
      <w:pStyle w:val="style32"/>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hybridMultilevel"/>
    <w:tmpl w:val="EDEE7B8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w="http://schemas.openxmlformats.org/wordprocessingml/2006/main" xmlns:r="http://schemas.openxmlformats.org/officeDocument/2006/relationships" xmlns:m="http://schemas.openxmlformats.org/officeDocument/2006/math">
  <w:zoom w:percent="100"/>
  <w:embedTrueTypeFonts/>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Arial" w:cs="Arial" w:eastAsia="Arial" w:hAnsi="Arial"/>
        <w:sz w:val="24"/>
        <w:szCs w:val="24"/>
        <w:lang w:val="en-US" w:bidi="ar-SA" w:eastAsia="en-US"/>
      </w:rPr>
    </w:rPrDefault>
    <w:pPrDefault>
      <w:pPr>
        <w:spacing w:lineRule="auto" w:line="360"/>
        <w:jc w:val="both"/>
      </w:pPr>
    </w:pPrDefault>
  </w:docDefaults>
  <w:style w:type="paragraph" w:default="1" w:styleId="style0">
    <w:name w:val="Normal"/>
    <w:next w:val="style0"/>
    <w:pPr>
      <w:spacing w:before="120" w:after="120"/>
    </w:pPr>
    <w:rPr/>
  </w:style>
  <w:style w:type="paragraph" w:styleId="style1">
    <w:name w:val="heading 1"/>
    <w:basedOn w:val="style0"/>
    <w:next w:val="style0"/>
    <w:pPr>
      <w:keepNext/>
      <w:keepLines/>
      <w:outlineLvl w:val="0"/>
    </w:pPr>
    <w:rPr>
      <w:b/>
      <w:bCs/>
      <w:sz w:val="28"/>
      <w:szCs w:val="28"/>
    </w:rPr>
  </w:style>
  <w:style w:type="paragraph" w:styleId="style2">
    <w:name w:val="heading 2"/>
    <w:basedOn w:val="style0"/>
    <w:next w:val="style0"/>
    <w:pPr>
      <w:keepNext/>
      <w:keepLines/>
      <w:outlineLvl w:val="1"/>
    </w:pPr>
    <w:rPr>
      <w:b/>
      <w:bCs/>
    </w:rPr>
  </w:style>
  <w:style w:type="paragraph" w:styleId="style3">
    <w:name w:val="heading 3"/>
    <w:basedOn w:val="style0"/>
    <w:next w:val="style0"/>
    <w:pPr>
      <w:keepNext/>
      <w:keepLines/>
      <w:spacing w:before="320" w:after="80"/>
      <w:outlineLvl w:val="2"/>
    </w:pPr>
    <w:rPr>
      <w:color w:val="434343"/>
      <w:sz w:val="28"/>
      <w:szCs w:val="28"/>
    </w:rPr>
  </w:style>
  <w:style w:type="paragraph" w:styleId="style4">
    <w:name w:val="heading 4"/>
    <w:basedOn w:val="style0"/>
    <w:next w:val="style0"/>
    <w:pPr>
      <w:keepNext/>
      <w:keepLines/>
      <w:spacing w:before="280" w:after="80"/>
      <w:outlineLvl w:val="3"/>
    </w:pPr>
    <w:rPr>
      <w:color w:val="666666"/>
    </w:rPr>
  </w:style>
  <w:style w:type="paragraph" w:styleId="style5">
    <w:name w:val="heading 5"/>
    <w:basedOn w:val="style0"/>
    <w:next w:val="style0"/>
    <w:pPr>
      <w:keepNext/>
      <w:keepLines/>
      <w:spacing w:before="240" w:after="80"/>
      <w:outlineLvl w:val="4"/>
    </w:pPr>
    <w:rPr>
      <w:color w:val="666666"/>
      <w:sz w:val="22"/>
      <w:szCs w:val="22"/>
    </w:rPr>
  </w:style>
  <w:style w:type="paragraph" w:styleId="style6">
    <w:name w:val="heading 6"/>
    <w:basedOn w:val="style0"/>
    <w:next w:val="style0"/>
    <w:pPr>
      <w:keepNext/>
      <w:keepLines/>
      <w:spacing w:before="240" w:after="80"/>
      <w:outlineLvl w:val="5"/>
    </w:pPr>
    <w:rPr>
      <w:i/>
      <w:iCs/>
      <w:color w:val="666666"/>
      <w:sz w:val="22"/>
      <w:szCs w:val="22"/>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table" w:customStyle="1" w:styleId="style4097">
    <w:name w:val="TableNormal"/>
    <w:next w:val="style4097"/>
    <w:pPr/>
    <w:rPr/>
    <w:tblPr>
      <w:tblCellMar>
        <w:top w:w="100" w:type="dxa"/>
        <w:left w:w="100" w:type="dxa"/>
        <w:bottom w:w="100" w:type="dxa"/>
        <w:right w:w="100" w:type="dxa"/>
      </w:tblCellMar>
    </w:tblPr>
    <w:tcPr>
      <w:tcBorders/>
    </w:tcPr>
  </w:style>
  <w:style w:type="paragraph" w:styleId="style62">
    <w:name w:val="Title"/>
    <w:basedOn w:val="style0"/>
    <w:next w:val="style0"/>
    <w:pPr>
      <w:keepNext/>
      <w:keepLines/>
      <w:spacing w:after="60"/>
    </w:pPr>
    <w:rPr>
      <w:sz w:val="52"/>
      <w:szCs w:val="52"/>
    </w:rPr>
  </w:style>
  <w:style w:type="paragraph" w:styleId="style74">
    <w:name w:val="Subtitle"/>
    <w:basedOn w:val="style0"/>
    <w:next w:val="style0"/>
    <w:pPr>
      <w:keepNext/>
      <w:keepLines/>
      <w:spacing w:after="320"/>
    </w:pPr>
    <w:rPr>
      <w:color w:val="666666"/>
      <w:sz w:val="30"/>
      <w:szCs w:val="30"/>
    </w:rPr>
  </w:style>
  <w:style w:type="table" w:customStyle="1" w:styleId="style4098">
    <w:basedOn w:val="style4097"/>
    <w:next w:val="style4098"/>
    <w:pPr/>
    <w:rPr/>
    <w:tblPr>
      <w:tblStyleRowBandSize w:val="1"/>
      <w:tblStyleColBandSize w:val="1"/>
    </w:tblPr>
    <w:tcPr>
      <w:tcBorders/>
    </w:tcPr>
  </w:style>
  <w:style w:type="table" w:customStyle="1" w:styleId="style4099">
    <w:basedOn w:val="style4097"/>
    <w:next w:val="style4099"/>
    <w:pPr/>
    <w:rPr/>
    <w:tblPr>
      <w:tblStyleRowBandSize w:val="1"/>
      <w:tblStyleColBandSize w:val="1"/>
    </w:tblPr>
    <w:tcPr>
      <w:tcBorders/>
    </w:tcPr>
  </w:style>
  <w:style w:type="table" w:customStyle="1" w:styleId="style4100">
    <w:basedOn w:val="style4097"/>
    <w:next w:val="style4100"/>
    <w:pPr/>
    <w:rPr/>
    <w:tblPr>
      <w:tblStyleRowBandSize w:val="1"/>
      <w:tblStyleColBandSize w:val="1"/>
    </w:tblPr>
    <w:tcPr>
      <w:tcBorders/>
    </w:tcPr>
  </w:style>
  <w:style w:type="paragraph" w:styleId="style31">
    <w:name w:val="header"/>
    <w:basedOn w:val="style0"/>
    <w:next w:val="style31"/>
    <w:link w:val="style4101"/>
    <w:uiPriority w:val="99"/>
    <w:pPr>
      <w:tabs>
        <w:tab w:val="center" w:leader="none" w:pos="4680"/>
        <w:tab w:val="right" w:leader="none" w:pos="9360"/>
      </w:tabs>
      <w:spacing w:lineRule="auto" w:line="240"/>
    </w:pPr>
    <w:rPr/>
  </w:style>
  <w:style w:type="character" w:customStyle="1" w:styleId="style4101">
    <w:name w:val="Header Char_a29816ff-30a4-41ee-a4ce-b62b517dd09b"/>
    <w:basedOn w:val="style65"/>
    <w:next w:val="style4101"/>
    <w:link w:val="style31"/>
    <w:uiPriority w:val="99"/>
  </w:style>
  <w:style w:type="paragraph" w:styleId="style32">
    <w:name w:val="footer"/>
    <w:basedOn w:val="style0"/>
    <w:next w:val="style32"/>
    <w:link w:val="style4102"/>
    <w:uiPriority w:val="99"/>
    <w:pPr>
      <w:tabs>
        <w:tab w:val="center" w:leader="none" w:pos="4680"/>
        <w:tab w:val="right" w:leader="none" w:pos="9360"/>
      </w:tabs>
      <w:spacing w:lineRule="auto" w:line="240"/>
    </w:pPr>
    <w:rPr/>
  </w:style>
  <w:style w:type="character" w:customStyle="1" w:styleId="style4102">
    <w:name w:val="Footer Char_074acf5b-3b37-431b-a71f-90dc4f39e132"/>
    <w:basedOn w:val="style65"/>
    <w:next w:val="style4102"/>
    <w:link w:val="style32"/>
    <w:uiPriority w:val="99"/>
  </w:style>
  <w:style w:type="paragraph" w:styleId="style179">
    <w:name w:val="List Paragraph"/>
    <w:basedOn w:val="style0"/>
    <w:next w:val="style179"/>
    <w:qFormat/>
    <w:uiPriority w:val="34"/>
    <w:pPr>
      <w:ind w:left="720"/>
      <w:contextualSpacing/>
    </w:pPr>
    <w:rPr/>
  </w:style>
  <w:style w:type="paragraph" w:styleId="style266">
    <w:name w:val="TOC Heading"/>
    <w:basedOn w:val="style1"/>
    <w:next w:val="style0"/>
    <w:qFormat/>
    <w:uiPriority w:val="39"/>
    <w:pPr>
      <w:spacing w:before="240" w:lineRule="auto" w:line="259"/>
      <w:jc w:val="left"/>
      <w:outlineLvl w:val="9"/>
    </w:pPr>
    <w:rPr>
      <w:rFonts w:ascii="Calibri" w:cs="宋体" w:eastAsia="宋体" w:hAnsi="Calibri"/>
      <w:b w:val="false"/>
      <w:bCs w:val="false"/>
      <w:color w:val="365f91"/>
      <w:sz w:val="32"/>
      <w:szCs w:val="32"/>
    </w:rPr>
  </w:style>
  <w:style w:type="paragraph" w:styleId="style19">
    <w:name w:val="toc 1"/>
    <w:basedOn w:val="style0"/>
    <w:next w:val="style0"/>
    <w:uiPriority w:val="39"/>
    <w:pPr>
      <w:spacing w:after="100"/>
    </w:pPr>
    <w:rPr/>
  </w:style>
  <w:style w:type="paragraph" w:styleId="style20">
    <w:name w:val="toc 2"/>
    <w:basedOn w:val="style0"/>
    <w:next w:val="style0"/>
    <w:uiPriority w:val="39"/>
    <w:pPr>
      <w:spacing w:after="100"/>
      <w:ind w:left="240"/>
    </w:pPr>
    <w:rPr/>
  </w:style>
  <w:style w:type="character" w:styleId="style85">
    <w:name w:val="Hyperlink"/>
    <w:basedOn w:val="style65"/>
    <w:next w:val="style85"/>
    <w:uiPriority w:val="99"/>
    <w:rPr>
      <w:color w:val="0000ff"/>
      <w:u w:val="single"/>
    </w:rPr>
  </w:style>
</w:styles>
</file>

<file path=word/_rels/document.xml.rels><?xml version="1.0" encoding="UTF-8"?>
<Relationships xmlns="http://schemas.openxmlformats.org/package/2006/relationships"><Relationship Id="rId11" Type="http://schemas.openxmlformats.org/officeDocument/2006/relationships/footer" Target="footer1.xml"/><Relationship Id="rId10" Type="http://schemas.openxmlformats.org/officeDocument/2006/relationships/image" Target="media/image9.png"/><Relationship Id="rId13" Type="http://schemas.openxmlformats.org/officeDocument/2006/relationships/fontTable" Target="fontTable.xml"/><Relationship Id="rId12" Type="http://schemas.openxmlformats.org/officeDocument/2006/relationships/styles" Target="styles.xml"/><Relationship Id="rId1" Type="http://schemas.openxmlformats.org/officeDocument/2006/relationships/numbering" Target="numbering.xml"/><Relationship Id="rId2" Type="http://schemas.openxmlformats.org/officeDocument/2006/relationships/image" Target="media/image1.jpeg"/><Relationship Id="rId3" Type="http://schemas.openxmlformats.org/officeDocument/2006/relationships/image" Target="media/image2.png"/><Relationship Id="rId4" Type="http://schemas.openxmlformats.org/officeDocument/2006/relationships/image" Target="media/image3.png"/><Relationship Id="rId9" Type="http://schemas.openxmlformats.org/officeDocument/2006/relationships/image" Target="media/image8.png"/><Relationship Id="rId15" Type="http://schemas.openxmlformats.org/officeDocument/2006/relationships/theme" Target="theme/theme1.xml"/><Relationship Id="rId14" Type="http://schemas.openxmlformats.org/officeDocument/2006/relationships/settings" Target="settings.xml"/><Relationship Id="rId16" Type="http://schemas.openxmlformats.org/officeDocument/2006/relationships/customXml" Target="../customXml/item1.xml"/><Relationship Id="rId5" Type="http://schemas.openxmlformats.org/officeDocument/2006/relationships/image" Target="media/image4.png"/><Relationship Id="rId6" Type="http://schemas.openxmlformats.org/officeDocument/2006/relationships/image" Target="media/image5.png"/><Relationship Id="rId7" Type="http://schemas.openxmlformats.org/officeDocument/2006/relationships/image" Target="media/image6.png"/><Relationship Id="rId8"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3B9A8702-A61D-4EBE-93F3-AD52AFAB26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Words>6530</Words>
  <Pages>31</Pages>
  <Characters>42104</Characters>
  <Application>WPS Office</Application>
  <DocSecurity>0</DocSecurity>
  <Paragraphs>304</Paragraphs>
  <ScaleCrop>false</ScaleCrop>
  <LinksUpToDate>false</LinksUpToDate>
  <CharactersWithSpaces>48431</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2025-12-03T11:11:00Z</dcterms:created>
  <dc:creator>USER</dc:creator>
  <lastModifiedBy>2411DRN47I</lastModifiedBy>
  <dcterms:modified xsi:type="dcterms:W3CDTF">2025-12-16T00:01:54Z</dcterms:modified>
  <revision>16</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4cb9c4b7-e491-4003-ab7a-2fd8f63d16bf</vt:lpwstr>
  </property>
  <property fmtid="{D5CDD505-2E9C-101B-9397-08002B2CF9AE}" pid="3" name="ICV">
    <vt:lpwstr>a4993f6fd90544aab2d3fbb32f200e9a</vt:lpwstr>
  </property>
</Properties>
</file>