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0F35B" w14:textId="315E1CC5" w:rsidR="00C360E8" w:rsidRPr="00932733" w:rsidRDefault="00C360E8">
      <w:pPr>
        <w:rPr>
          <w:sz w:val="24"/>
          <w:szCs w:val="24"/>
        </w:rPr>
      </w:pPr>
      <w:r w:rsidRPr="00932733">
        <w:rPr>
          <w:sz w:val="24"/>
          <w:szCs w:val="24"/>
        </w:rPr>
        <w:t>Assign. 1</w:t>
      </w:r>
    </w:p>
    <w:p w14:paraId="4BDD0CC2" w14:textId="77777777" w:rsidR="00C360E8" w:rsidRPr="00932733" w:rsidRDefault="00C360E8">
      <w:pPr>
        <w:rPr>
          <w:sz w:val="24"/>
          <w:szCs w:val="24"/>
        </w:rPr>
      </w:pPr>
    </w:p>
    <w:p w14:paraId="5CB71E56" w14:textId="4FC20AFB" w:rsidR="008D3809" w:rsidRDefault="00C360E8">
      <w:pPr>
        <w:rPr>
          <w:sz w:val="24"/>
          <w:szCs w:val="24"/>
        </w:rPr>
      </w:pPr>
      <w:r w:rsidRPr="00932733">
        <w:rPr>
          <w:sz w:val="24"/>
          <w:szCs w:val="24"/>
        </w:rPr>
        <w:t>“Provide a definition of what is meant by the ‘integrity’ of evidence and using proven “stated case law” (and Statutes), in the UK justice system, identify critical cases which have impacted on the UK Criminal Justice system, influencing the outcome of specific cases.”</w:t>
      </w:r>
    </w:p>
    <w:p w14:paraId="622C1A25" w14:textId="5D5FD9D0" w:rsidR="00DC72C9" w:rsidRPr="00FA46AD" w:rsidRDefault="00FA46AD">
      <w:pPr>
        <w:rPr>
          <w:sz w:val="24"/>
          <w:szCs w:val="24"/>
        </w:rPr>
      </w:pPr>
      <w:r>
        <w:rPr>
          <w:sz w:val="24"/>
          <w:szCs w:val="24"/>
          <w:u w:val="single"/>
        </w:rPr>
        <w:t>Introduction</w:t>
      </w:r>
    </w:p>
    <w:p w14:paraId="1E4102EA" w14:textId="7ECC6741" w:rsidR="00493A02" w:rsidRDefault="00843876">
      <w:pPr>
        <w:rPr>
          <w:sz w:val="24"/>
          <w:szCs w:val="24"/>
        </w:rPr>
      </w:pPr>
      <w:r>
        <w:rPr>
          <w:sz w:val="24"/>
          <w:szCs w:val="24"/>
        </w:rPr>
        <w:t>P</w:t>
      </w:r>
      <w:r w:rsidR="004C7910">
        <w:rPr>
          <w:sz w:val="24"/>
          <w:szCs w:val="24"/>
        </w:rPr>
        <w:t xml:space="preserve">rofessions that involve </w:t>
      </w:r>
      <w:r w:rsidR="001B6C4E">
        <w:rPr>
          <w:sz w:val="24"/>
          <w:szCs w:val="24"/>
        </w:rPr>
        <w:t xml:space="preserve">interactions with human beings require </w:t>
      </w:r>
      <w:r w:rsidR="00783E8F">
        <w:rPr>
          <w:sz w:val="24"/>
          <w:szCs w:val="24"/>
        </w:rPr>
        <w:t xml:space="preserve">strict guidelines and </w:t>
      </w:r>
      <w:r w:rsidR="0084772E">
        <w:rPr>
          <w:sz w:val="24"/>
          <w:szCs w:val="24"/>
        </w:rPr>
        <w:t>ethics</w:t>
      </w:r>
      <w:r>
        <w:rPr>
          <w:sz w:val="24"/>
          <w:szCs w:val="24"/>
        </w:rPr>
        <w:t xml:space="preserve">, whether that is within </w:t>
      </w:r>
      <w:r w:rsidR="006B292F">
        <w:rPr>
          <w:sz w:val="24"/>
          <w:szCs w:val="24"/>
        </w:rPr>
        <w:t>healthcare</w:t>
      </w:r>
      <w:r w:rsidR="00501C89">
        <w:rPr>
          <w:sz w:val="24"/>
          <w:szCs w:val="24"/>
        </w:rPr>
        <w:t xml:space="preserve">, social services, psychology or even the military that </w:t>
      </w:r>
      <w:r w:rsidR="00DD4B48">
        <w:rPr>
          <w:sz w:val="24"/>
          <w:szCs w:val="24"/>
        </w:rPr>
        <w:t>ideally follows</w:t>
      </w:r>
      <w:r w:rsidR="00B2240F">
        <w:rPr>
          <w:sz w:val="24"/>
          <w:szCs w:val="24"/>
        </w:rPr>
        <w:t xml:space="preserve"> the</w:t>
      </w:r>
      <w:r w:rsidR="00501C89">
        <w:rPr>
          <w:sz w:val="24"/>
          <w:szCs w:val="24"/>
        </w:rPr>
        <w:t xml:space="preserve"> Geneva convention</w:t>
      </w:r>
      <w:r w:rsidR="00B2240F">
        <w:rPr>
          <w:sz w:val="24"/>
          <w:szCs w:val="24"/>
        </w:rPr>
        <w:t>. This i</w:t>
      </w:r>
      <w:r w:rsidR="00235EBC">
        <w:rPr>
          <w:sz w:val="24"/>
          <w:szCs w:val="24"/>
        </w:rPr>
        <w:t>s</w:t>
      </w:r>
      <w:r w:rsidR="00B2240F">
        <w:rPr>
          <w:sz w:val="24"/>
          <w:szCs w:val="24"/>
        </w:rPr>
        <w:t xml:space="preserve"> </w:t>
      </w:r>
      <w:r w:rsidR="00235EBC">
        <w:rPr>
          <w:sz w:val="24"/>
          <w:szCs w:val="24"/>
        </w:rPr>
        <w:t>no less</w:t>
      </w:r>
      <w:r w:rsidR="006B292F">
        <w:rPr>
          <w:sz w:val="24"/>
          <w:szCs w:val="24"/>
        </w:rPr>
        <w:t xml:space="preserve"> important when </w:t>
      </w:r>
      <w:r w:rsidR="0060104F">
        <w:rPr>
          <w:sz w:val="24"/>
          <w:szCs w:val="24"/>
        </w:rPr>
        <w:t>interacting</w:t>
      </w:r>
      <w:r w:rsidR="006B292F">
        <w:rPr>
          <w:sz w:val="24"/>
          <w:szCs w:val="24"/>
        </w:rPr>
        <w:t xml:space="preserve"> with victims of crime</w:t>
      </w:r>
      <w:r w:rsidR="0060104F">
        <w:rPr>
          <w:sz w:val="24"/>
          <w:szCs w:val="24"/>
        </w:rPr>
        <w:t>,</w:t>
      </w:r>
      <w:r w:rsidR="006B292F">
        <w:rPr>
          <w:sz w:val="24"/>
          <w:szCs w:val="24"/>
        </w:rPr>
        <w:t xml:space="preserve"> both living and dead </w:t>
      </w:r>
      <w:r w:rsidR="0060104F">
        <w:rPr>
          <w:sz w:val="24"/>
          <w:szCs w:val="24"/>
        </w:rPr>
        <w:t>within forensic practices.</w:t>
      </w:r>
      <w:r w:rsidR="006540B6">
        <w:rPr>
          <w:sz w:val="24"/>
          <w:szCs w:val="24"/>
        </w:rPr>
        <w:t xml:space="preserve"> </w:t>
      </w:r>
      <w:r w:rsidR="008D29E2">
        <w:rPr>
          <w:sz w:val="24"/>
          <w:szCs w:val="24"/>
        </w:rPr>
        <w:t>Within forensics this is considered as ‘integrity’, an upholding of professional standards that</w:t>
      </w:r>
      <w:r w:rsidR="009A5777">
        <w:rPr>
          <w:sz w:val="24"/>
          <w:szCs w:val="24"/>
        </w:rPr>
        <w:t xml:space="preserve"> also</w:t>
      </w:r>
      <w:r w:rsidR="008D29E2">
        <w:rPr>
          <w:sz w:val="24"/>
          <w:szCs w:val="24"/>
        </w:rPr>
        <w:t xml:space="preserve"> </w:t>
      </w:r>
      <w:r w:rsidR="00F4681E">
        <w:rPr>
          <w:sz w:val="24"/>
          <w:szCs w:val="24"/>
        </w:rPr>
        <w:t>safeguards</w:t>
      </w:r>
      <w:r w:rsidR="008D29E2">
        <w:rPr>
          <w:sz w:val="24"/>
          <w:szCs w:val="24"/>
        </w:rPr>
        <w:t xml:space="preserve"> the handling of evidence</w:t>
      </w:r>
      <w:r w:rsidR="00F4681E">
        <w:rPr>
          <w:sz w:val="24"/>
          <w:szCs w:val="24"/>
        </w:rPr>
        <w:t xml:space="preserve"> against contamination, either physically (i.e. displacement) or socially (i.e. corruption/misconduct); by accident or intentionally</w:t>
      </w:r>
      <w:r w:rsidR="00040088">
        <w:rPr>
          <w:sz w:val="24"/>
          <w:szCs w:val="24"/>
        </w:rPr>
        <w:t xml:space="preserve"> (Buckley &amp; Langley 2012:14)</w:t>
      </w:r>
      <w:r w:rsidR="00F4681E">
        <w:rPr>
          <w:sz w:val="24"/>
          <w:szCs w:val="24"/>
        </w:rPr>
        <w:t>. For such an empirically focused discipline, the evidence needs to have the highest clarity and the greatest level of accura</w:t>
      </w:r>
      <w:r w:rsidR="00C607C7">
        <w:rPr>
          <w:sz w:val="24"/>
          <w:szCs w:val="24"/>
        </w:rPr>
        <w:t>cy, continuity</w:t>
      </w:r>
      <w:r w:rsidR="00F4681E">
        <w:rPr>
          <w:sz w:val="24"/>
          <w:szCs w:val="24"/>
        </w:rPr>
        <w:t xml:space="preserve"> and </w:t>
      </w:r>
      <w:r w:rsidR="00C607C7">
        <w:rPr>
          <w:sz w:val="24"/>
          <w:szCs w:val="24"/>
        </w:rPr>
        <w:t xml:space="preserve">transparency as possible. </w:t>
      </w:r>
      <w:r w:rsidR="00627AE0">
        <w:rPr>
          <w:sz w:val="24"/>
          <w:szCs w:val="24"/>
        </w:rPr>
        <w:t>The Chain of Custody is a mandatory policy that</w:t>
      </w:r>
      <w:r w:rsidR="00FE5AD7">
        <w:rPr>
          <w:sz w:val="24"/>
          <w:szCs w:val="24"/>
        </w:rPr>
        <w:t xml:space="preserve"> serves to bolster the</w:t>
      </w:r>
      <w:r w:rsidR="00DE015E">
        <w:rPr>
          <w:sz w:val="24"/>
          <w:szCs w:val="24"/>
        </w:rPr>
        <w:t>se</w:t>
      </w:r>
      <w:r w:rsidR="00FE5AD7">
        <w:rPr>
          <w:sz w:val="24"/>
          <w:szCs w:val="24"/>
        </w:rPr>
        <w:t xml:space="preserve"> </w:t>
      </w:r>
      <w:r w:rsidR="00DE015E">
        <w:rPr>
          <w:sz w:val="24"/>
          <w:szCs w:val="24"/>
        </w:rPr>
        <w:t>afore</w:t>
      </w:r>
      <w:r w:rsidR="00FE5AD7">
        <w:rPr>
          <w:sz w:val="24"/>
          <w:szCs w:val="24"/>
        </w:rPr>
        <w:t>mentioned elements involves the:</w:t>
      </w:r>
      <w:r w:rsidR="00627AE0">
        <w:rPr>
          <w:sz w:val="24"/>
          <w:szCs w:val="24"/>
        </w:rPr>
        <w:t xml:space="preserve"> consistent record</w:t>
      </w:r>
      <w:r w:rsidR="00FE5AD7">
        <w:rPr>
          <w:sz w:val="24"/>
          <w:szCs w:val="24"/>
        </w:rPr>
        <w:t>ing of</w:t>
      </w:r>
      <w:r w:rsidR="00627AE0">
        <w:rPr>
          <w:sz w:val="24"/>
          <w:szCs w:val="24"/>
        </w:rPr>
        <w:t xml:space="preserve"> the movement, handling and processing of evidence/exhibits and who </w:t>
      </w:r>
      <w:r w:rsidR="00493A02">
        <w:rPr>
          <w:sz w:val="24"/>
          <w:szCs w:val="24"/>
        </w:rPr>
        <w:t>did such at what time</w:t>
      </w:r>
      <w:r w:rsidR="00BE7D3A">
        <w:rPr>
          <w:sz w:val="24"/>
          <w:szCs w:val="24"/>
        </w:rPr>
        <w:t xml:space="preserve"> with said exhibits</w:t>
      </w:r>
      <w:r w:rsidR="00493A02">
        <w:rPr>
          <w:sz w:val="24"/>
          <w:szCs w:val="24"/>
        </w:rPr>
        <w:t xml:space="preserve"> (p.13).</w:t>
      </w:r>
      <w:r w:rsidR="00DE015E">
        <w:rPr>
          <w:sz w:val="24"/>
          <w:szCs w:val="24"/>
        </w:rPr>
        <w:t xml:space="preserve"> </w:t>
      </w:r>
      <w:r w:rsidR="0006152B">
        <w:rPr>
          <w:sz w:val="24"/>
          <w:szCs w:val="24"/>
        </w:rPr>
        <w:t xml:space="preserve">Proper cordoning of the crime scene prevents civilian meddling with the crime scene and a clear common approach path allows a safe entry and exit for all personal that reduces the likelihood of disturbing potential evidence (p.16-17). </w:t>
      </w:r>
    </w:p>
    <w:p w14:paraId="69B0853D" w14:textId="0FADED23" w:rsidR="00493A02" w:rsidRDefault="00493A02">
      <w:pPr>
        <w:rPr>
          <w:sz w:val="24"/>
          <w:szCs w:val="24"/>
        </w:rPr>
      </w:pPr>
      <w:r>
        <w:rPr>
          <w:sz w:val="24"/>
          <w:szCs w:val="24"/>
        </w:rPr>
        <w:t>Integrity is not only a necessity for physical evidence but also digital, and there are specific procedures when examining electronic devices in order to preserve the potential evidence the device may contain (Morris 2003).</w:t>
      </w:r>
      <w:r w:rsidR="00FE5AD7">
        <w:rPr>
          <w:sz w:val="24"/>
          <w:szCs w:val="24"/>
        </w:rPr>
        <w:t xml:space="preserve"> Perhaps a more delicate field is that of psychological forensics, as possible misconduct may cause permanent trauma and stress to an individual. As such, integrity within psychological forensics is not only a safeguard against</w:t>
      </w:r>
      <w:r w:rsidR="00DE015E">
        <w:rPr>
          <w:sz w:val="24"/>
          <w:szCs w:val="24"/>
        </w:rPr>
        <w:t xml:space="preserve"> contamination</w:t>
      </w:r>
      <w:r w:rsidR="00901A5F">
        <w:rPr>
          <w:sz w:val="24"/>
          <w:szCs w:val="24"/>
        </w:rPr>
        <w:t xml:space="preserve"> of</w:t>
      </w:r>
      <w:r w:rsidR="00FE5AD7">
        <w:rPr>
          <w:sz w:val="24"/>
          <w:szCs w:val="24"/>
        </w:rPr>
        <w:t xml:space="preserve"> evidence </w:t>
      </w:r>
      <w:r w:rsidR="00DE015E">
        <w:rPr>
          <w:sz w:val="24"/>
          <w:szCs w:val="24"/>
        </w:rPr>
        <w:t>but also the respect of individual well-being and dignity</w:t>
      </w:r>
      <w:r w:rsidR="006914D8">
        <w:rPr>
          <w:sz w:val="24"/>
          <w:szCs w:val="24"/>
        </w:rPr>
        <w:t xml:space="preserve"> (APA 2003)</w:t>
      </w:r>
      <w:r w:rsidR="00DE015E">
        <w:rPr>
          <w:sz w:val="24"/>
          <w:szCs w:val="24"/>
        </w:rPr>
        <w:t>.</w:t>
      </w:r>
      <w:r w:rsidR="00C707F1">
        <w:rPr>
          <w:sz w:val="24"/>
          <w:szCs w:val="24"/>
        </w:rPr>
        <w:t xml:space="preserve"> This leads into the further complexities that can occur during interviews, with some innocent individuals confessing to a crime </w:t>
      </w:r>
      <w:r w:rsidR="002F3F37">
        <w:rPr>
          <w:sz w:val="24"/>
          <w:szCs w:val="24"/>
        </w:rPr>
        <w:t xml:space="preserve">due to certain effects an interview may have on human behaviour under pressure </w:t>
      </w:r>
      <w:r w:rsidR="00CC31A8">
        <w:rPr>
          <w:sz w:val="24"/>
          <w:szCs w:val="24"/>
        </w:rPr>
        <w:t>a</w:t>
      </w:r>
      <w:r w:rsidR="002F3F37">
        <w:rPr>
          <w:sz w:val="24"/>
          <w:szCs w:val="24"/>
        </w:rPr>
        <w:t xml:space="preserve">s seen in Kassin’s paper </w:t>
      </w:r>
      <w:r w:rsidR="000D65D9">
        <w:rPr>
          <w:sz w:val="24"/>
          <w:szCs w:val="24"/>
        </w:rPr>
        <w:t>(2008)</w:t>
      </w:r>
      <w:r w:rsidR="00CC31A8">
        <w:rPr>
          <w:sz w:val="24"/>
          <w:szCs w:val="24"/>
        </w:rPr>
        <w:t>.</w:t>
      </w:r>
      <w:r w:rsidR="000D65D9">
        <w:rPr>
          <w:sz w:val="24"/>
          <w:szCs w:val="24"/>
        </w:rPr>
        <w:t xml:space="preserve"> </w:t>
      </w:r>
      <w:r w:rsidR="00CC31A8">
        <w:rPr>
          <w:sz w:val="24"/>
          <w:szCs w:val="24"/>
        </w:rPr>
        <w:t>A</w:t>
      </w:r>
      <w:r w:rsidR="000D65D9">
        <w:rPr>
          <w:sz w:val="24"/>
          <w:szCs w:val="24"/>
        </w:rPr>
        <w:t xml:space="preserve"> false confession is an element of psychological/social contamination</w:t>
      </w:r>
      <w:r w:rsidR="00CC31A8">
        <w:rPr>
          <w:sz w:val="24"/>
          <w:szCs w:val="24"/>
        </w:rPr>
        <w:t xml:space="preserve"> that should also be prevented through integral </w:t>
      </w:r>
      <w:r w:rsidR="00A82286">
        <w:rPr>
          <w:sz w:val="24"/>
          <w:szCs w:val="24"/>
        </w:rPr>
        <w:t>performance</w:t>
      </w:r>
      <w:r w:rsidR="00515634">
        <w:rPr>
          <w:sz w:val="24"/>
          <w:szCs w:val="24"/>
        </w:rPr>
        <w:t>.</w:t>
      </w:r>
      <w:r w:rsidR="000D65D9">
        <w:rPr>
          <w:sz w:val="24"/>
          <w:szCs w:val="24"/>
        </w:rPr>
        <w:t xml:space="preserve"> </w:t>
      </w:r>
    </w:p>
    <w:p w14:paraId="642F0541" w14:textId="3610899C" w:rsidR="002222A3" w:rsidRPr="002222A3" w:rsidRDefault="002222A3">
      <w:pPr>
        <w:rPr>
          <w:sz w:val="24"/>
          <w:szCs w:val="24"/>
          <w:u w:val="single"/>
        </w:rPr>
      </w:pPr>
      <w:r>
        <w:rPr>
          <w:sz w:val="24"/>
          <w:szCs w:val="24"/>
          <w:u w:val="single"/>
        </w:rPr>
        <w:t xml:space="preserve">Importance of disclosure, using the case studies of the unsafe convictions of suspected IRA terrorists. </w:t>
      </w:r>
    </w:p>
    <w:p w14:paraId="2B2DFF12" w14:textId="4EEF56B0" w:rsidR="00890DBE" w:rsidRDefault="00890DBE">
      <w:pPr>
        <w:rPr>
          <w:sz w:val="24"/>
          <w:szCs w:val="24"/>
        </w:rPr>
      </w:pPr>
      <w:r>
        <w:rPr>
          <w:sz w:val="24"/>
          <w:szCs w:val="24"/>
        </w:rPr>
        <w:t>In this section I will be examining the review of the multiple IRA appeal trials made by Beverly Schurr (1993) as an example of how</w:t>
      </w:r>
      <w:r w:rsidR="002972DC">
        <w:rPr>
          <w:sz w:val="24"/>
          <w:szCs w:val="24"/>
        </w:rPr>
        <w:t xml:space="preserve"> </w:t>
      </w:r>
      <w:r w:rsidR="00FA46AD">
        <w:rPr>
          <w:sz w:val="24"/>
          <w:szCs w:val="24"/>
        </w:rPr>
        <w:t xml:space="preserve">a lack of disclosure </w:t>
      </w:r>
      <w:r w:rsidR="00045BEA">
        <w:rPr>
          <w:sz w:val="24"/>
          <w:szCs w:val="24"/>
        </w:rPr>
        <w:t>affected</w:t>
      </w:r>
      <w:r w:rsidR="00FA46AD">
        <w:rPr>
          <w:sz w:val="24"/>
          <w:szCs w:val="24"/>
        </w:rPr>
        <w:t xml:space="preserve"> the overall integrity of evidence</w:t>
      </w:r>
      <w:r w:rsidR="00A56B21">
        <w:rPr>
          <w:sz w:val="24"/>
          <w:szCs w:val="24"/>
        </w:rPr>
        <w:t xml:space="preserve"> as well as the importance of a broad research and investigation</w:t>
      </w:r>
      <w:r w:rsidR="002972DC">
        <w:rPr>
          <w:sz w:val="24"/>
          <w:szCs w:val="24"/>
        </w:rPr>
        <w:t>.</w:t>
      </w:r>
      <w:r>
        <w:rPr>
          <w:sz w:val="24"/>
          <w:szCs w:val="24"/>
        </w:rPr>
        <w:t xml:space="preserve"> </w:t>
      </w:r>
      <w:r w:rsidR="00D44F74">
        <w:rPr>
          <w:sz w:val="24"/>
          <w:szCs w:val="24"/>
        </w:rPr>
        <w:t xml:space="preserve">Forensic is, and needs to be, a holistic discipline. To consider all angles is an important responsibility in order to make the evidence gained produce the most coherency and accuracy during legal processes. </w:t>
      </w:r>
      <w:r w:rsidR="00197571">
        <w:rPr>
          <w:sz w:val="24"/>
          <w:szCs w:val="24"/>
        </w:rPr>
        <w:t>Schurr’s 1993 paper discusses the context of</w:t>
      </w:r>
      <w:r w:rsidR="00D44F74">
        <w:rPr>
          <w:sz w:val="24"/>
          <w:szCs w:val="24"/>
        </w:rPr>
        <w:t xml:space="preserve"> Birmingham Six, the Maguire Seven, </w:t>
      </w:r>
      <w:r w:rsidR="00D44F74">
        <w:rPr>
          <w:sz w:val="24"/>
          <w:szCs w:val="24"/>
        </w:rPr>
        <w:lastRenderedPageBreak/>
        <w:t>Guildford Four and Ward</w:t>
      </w:r>
      <w:r w:rsidR="00197571">
        <w:rPr>
          <w:sz w:val="24"/>
          <w:szCs w:val="24"/>
        </w:rPr>
        <w:t xml:space="preserve"> appeals</w:t>
      </w:r>
      <w:r w:rsidR="00F80CB9">
        <w:rPr>
          <w:sz w:val="24"/>
          <w:szCs w:val="24"/>
        </w:rPr>
        <w:t xml:space="preserve"> (of which only the first two will be</w:t>
      </w:r>
      <w:r w:rsidR="007A40AC">
        <w:rPr>
          <w:sz w:val="24"/>
          <w:szCs w:val="24"/>
        </w:rPr>
        <w:t xml:space="preserve"> discussed</w:t>
      </w:r>
      <w:r w:rsidR="00F80CB9">
        <w:rPr>
          <w:sz w:val="24"/>
          <w:szCs w:val="24"/>
        </w:rPr>
        <w:t xml:space="preserve"> here)</w:t>
      </w:r>
      <w:r w:rsidR="00197571">
        <w:rPr>
          <w:sz w:val="24"/>
          <w:szCs w:val="24"/>
        </w:rPr>
        <w:t>, which</w:t>
      </w:r>
      <w:r w:rsidR="00D44F74">
        <w:rPr>
          <w:sz w:val="24"/>
          <w:szCs w:val="24"/>
        </w:rPr>
        <w:t xml:space="preserve"> were made on the basis that evidence given in court by expert or police witnesses were either disingenuous or incorrect</w:t>
      </w:r>
      <w:r w:rsidR="00197571">
        <w:rPr>
          <w:sz w:val="24"/>
          <w:szCs w:val="24"/>
        </w:rPr>
        <w:t>, mainly from a lack of disclosure</w:t>
      </w:r>
      <w:r w:rsidR="00D44F74">
        <w:rPr>
          <w:sz w:val="24"/>
          <w:szCs w:val="24"/>
        </w:rPr>
        <w:t xml:space="preserve"> (Schurr 1993</w:t>
      </w:r>
      <w:r w:rsidR="00213002">
        <w:rPr>
          <w:sz w:val="24"/>
          <w:szCs w:val="24"/>
        </w:rPr>
        <w:t xml:space="preserve">:2-3). </w:t>
      </w:r>
      <w:r w:rsidR="00651A06">
        <w:rPr>
          <w:sz w:val="24"/>
          <w:szCs w:val="24"/>
        </w:rPr>
        <w:t>Disclosure is of vital importance in legal proceedings, it allows both parties to gain an equal footing</w:t>
      </w:r>
      <w:r w:rsidR="005A121A">
        <w:rPr>
          <w:sz w:val="24"/>
          <w:szCs w:val="24"/>
        </w:rPr>
        <w:t xml:space="preserve"> in court</w:t>
      </w:r>
      <w:r w:rsidR="00651A06">
        <w:rPr>
          <w:sz w:val="24"/>
          <w:szCs w:val="24"/>
        </w:rPr>
        <w:t xml:space="preserve"> by equipping the defendant with information that may ‘undermine’ the prosecution</w:t>
      </w:r>
      <w:r w:rsidR="005A121A">
        <w:rPr>
          <w:sz w:val="24"/>
          <w:szCs w:val="24"/>
        </w:rPr>
        <w:t xml:space="preserve"> (CPIA</w:t>
      </w:r>
      <w:r w:rsidR="005A121A" w:rsidRPr="005A121A">
        <w:rPr>
          <w:sz w:val="24"/>
          <w:szCs w:val="24"/>
        </w:rPr>
        <w:t xml:space="preserve"> 1996</w:t>
      </w:r>
      <w:r w:rsidR="005A121A">
        <w:rPr>
          <w:sz w:val="24"/>
          <w:szCs w:val="24"/>
        </w:rPr>
        <w:t>:Part 1). The vitality of disclosure is enough that there is an entire officer role dedicated to disclosure (Buckley &amp; Langley 2012:9).</w:t>
      </w:r>
      <w:r w:rsidR="00FA46AD">
        <w:rPr>
          <w:sz w:val="24"/>
          <w:szCs w:val="24"/>
        </w:rPr>
        <w:t xml:space="preserve"> </w:t>
      </w:r>
    </w:p>
    <w:p w14:paraId="1768C31C" w14:textId="3EF61E67" w:rsidR="00890DBE" w:rsidRDefault="002245C4">
      <w:pPr>
        <w:rPr>
          <w:sz w:val="24"/>
          <w:szCs w:val="24"/>
        </w:rPr>
      </w:pPr>
      <w:r>
        <w:rPr>
          <w:sz w:val="24"/>
          <w:szCs w:val="24"/>
        </w:rPr>
        <w:t xml:space="preserve">In the case of the Birmingham Six, issues surrounding the credence of the methodology utilised by Dr.Skuse in </w:t>
      </w:r>
      <w:r w:rsidR="00105876">
        <w:rPr>
          <w:sz w:val="24"/>
          <w:szCs w:val="24"/>
        </w:rPr>
        <w:t>the investigation arose in the Appeal hearing (Royal Courts of Justice 1991:Clause</w:t>
      </w:r>
      <w:r w:rsidR="00CA3BCD">
        <w:rPr>
          <w:sz w:val="24"/>
          <w:szCs w:val="24"/>
        </w:rPr>
        <w:t xml:space="preserve">s </w:t>
      </w:r>
      <w:r w:rsidR="00D26E09">
        <w:rPr>
          <w:sz w:val="24"/>
          <w:szCs w:val="24"/>
        </w:rPr>
        <w:t>37-81, Schurr 1993:3-5)</w:t>
      </w:r>
      <w:r w:rsidR="00105876">
        <w:rPr>
          <w:sz w:val="24"/>
          <w:szCs w:val="24"/>
        </w:rPr>
        <w:t>.</w:t>
      </w:r>
      <w:r w:rsidR="008A4260">
        <w:rPr>
          <w:sz w:val="24"/>
          <w:szCs w:val="24"/>
        </w:rPr>
        <w:t xml:space="preserve"> Dr.Skuse had examined samples obtained from the suspects hand</w:t>
      </w:r>
      <w:r w:rsidR="00684477">
        <w:rPr>
          <w:sz w:val="24"/>
          <w:szCs w:val="24"/>
        </w:rPr>
        <w:t>s by</w:t>
      </w:r>
      <w:r w:rsidR="008A4260">
        <w:rPr>
          <w:sz w:val="24"/>
          <w:szCs w:val="24"/>
        </w:rPr>
        <w:t xml:space="preserve"> </w:t>
      </w:r>
      <w:r w:rsidR="00D26E09">
        <w:rPr>
          <w:sz w:val="24"/>
          <w:szCs w:val="24"/>
        </w:rPr>
        <w:t xml:space="preserve">Griess and </w:t>
      </w:r>
      <w:r w:rsidR="00684477" w:rsidRPr="00684477">
        <w:rPr>
          <w:sz w:val="24"/>
          <w:szCs w:val="24"/>
        </w:rPr>
        <w:t xml:space="preserve">gas chromatography mass </w:t>
      </w:r>
      <w:r w:rsidR="00684477">
        <w:rPr>
          <w:sz w:val="24"/>
          <w:szCs w:val="24"/>
        </w:rPr>
        <w:t xml:space="preserve">spectrometry tests in order to determine if the suspects had been handling nitroglycerine (Schurr 1993:4). </w:t>
      </w:r>
      <w:r w:rsidR="001E7AEC">
        <w:rPr>
          <w:sz w:val="24"/>
          <w:szCs w:val="24"/>
        </w:rPr>
        <w:t xml:space="preserve">The positive conclusions reached by these tests were contested in the appeal of which both tests where </w:t>
      </w:r>
      <w:r w:rsidR="000965BB">
        <w:rPr>
          <w:sz w:val="24"/>
          <w:szCs w:val="24"/>
        </w:rPr>
        <w:t>criticised</w:t>
      </w:r>
      <w:r w:rsidR="001E7AEC">
        <w:rPr>
          <w:sz w:val="24"/>
          <w:szCs w:val="24"/>
        </w:rPr>
        <w:t xml:space="preserve"> </w:t>
      </w:r>
      <w:r w:rsidR="000965BB">
        <w:rPr>
          <w:sz w:val="24"/>
          <w:szCs w:val="24"/>
        </w:rPr>
        <w:t xml:space="preserve">for being too inaccurate to definitively confirm the presence of nitroglycerine, as other trace evidence could have produced the same results (p.4). This does not entirely prove that there was </w:t>
      </w:r>
      <w:r w:rsidR="000965BB" w:rsidRPr="007A40AC">
        <w:rPr>
          <w:sz w:val="24"/>
          <w:szCs w:val="24"/>
          <w:u w:val="single"/>
        </w:rPr>
        <w:t>not</w:t>
      </w:r>
      <w:r w:rsidR="000965BB">
        <w:rPr>
          <w:sz w:val="24"/>
          <w:szCs w:val="24"/>
        </w:rPr>
        <w:t xml:space="preserve"> a presence of nitroglycerine, yet this large error of doubt was enough </w:t>
      </w:r>
      <w:r w:rsidR="00136AB2">
        <w:rPr>
          <w:sz w:val="24"/>
          <w:szCs w:val="24"/>
        </w:rPr>
        <w:t xml:space="preserve">for the appeal to be a success: “…the convictions [were] both unsafe and unsatisfactory” (Royal Courts of Justice 1991:Clause 140). </w:t>
      </w:r>
      <w:r w:rsidR="00AD585B">
        <w:rPr>
          <w:sz w:val="24"/>
          <w:szCs w:val="24"/>
        </w:rPr>
        <w:t>The question is: Was this the result of unintegral practice or simply the obsoletion of certain forensic methods?</w:t>
      </w:r>
      <w:r w:rsidR="007523D2">
        <w:rPr>
          <w:sz w:val="24"/>
          <w:szCs w:val="24"/>
        </w:rPr>
        <w:t xml:space="preserve"> The time between the conviction of the Birmingham Six and their appeal was 17 years (Schurr: 1993:1)</w:t>
      </w:r>
      <w:r w:rsidR="00134F9A">
        <w:rPr>
          <w:sz w:val="24"/>
          <w:szCs w:val="24"/>
        </w:rPr>
        <w:t xml:space="preserve">, enough time for </w:t>
      </w:r>
      <w:r w:rsidR="003E62B1">
        <w:rPr>
          <w:sz w:val="24"/>
          <w:szCs w:val="24"/>
        </w:rPr>
        <w:t>technology and science to have adapted drastically – after all within the same time span, forensic science witnessed the development of DNA profiling a huge revolution for the discipline (Walbank &amp; McDonald 2012:85)</w:t>
      </w:r>
      <w:r w:rsidR="007523D2">
        <w:rPr>
          <w:sz w:val="24"/>
          <w:szCs w:val="24"/>
        </w:rPr>
        <w:t>.</w:t>
      </w:r>
      <w:r w:rsidR="00D11267">
        <w:rPr>
          <w:sz w:val="24"/>
          <w:szCs w:val="24"/>
        </w:rPr>
        <w:t xml:space="preserve"> However,</w:t>
      </w:r>
      <w:r w:rsidR="007F1B2C">
        <w:rPr>
          <w:sz w:val="24"/>
          <w:szCs w:val="24"/>
        </w:rPr>
        <w:t xml:space="preserve"> as the judge noted in the appeal, a specialist can quickly overwhelm the lay person</w:t>
      </w:r>
      <w:r w:rsidR="00E01961">
        <w:rPr>
          <w:sz w:val="24"/>
          <w:szCs w:val="24"/>
        </w:rPr>
        <w:t xml:space="preserve"> (Royal Courts of Justice 1991:Clause 44)</w:t>
      </w:r>
      <w:r w:rsidR="00662B9D">
        <w:rPr>
          <w:sz w:val="24"/>
          <w:szCs w:val="24"/>
        </w:rPr>
        <w:t>; disclosure is crucial in order to contextualise lay persons within a highly specialised area</w:t>
      </w:r>
      <w:r w:rsidR="00091E95">
        <w:rPr>
          <w:sz w:val="24"/>
          <w:szCs w:val="24"/>
        </w:rPr>
        <w:t xml:space="preserve">. In hindsight, the actual methodological techniques used </w:t>
      </w:r>
      <w:r w:rsidR="00041C30">
        <w:rPr>
          <w:sz w:val="24"/>
          <w:szCs w:val="24"/>
        </w:rPr>
        <w:t xml:space="preserve">in the original investigation, when examined with multivariable considerations, </w:t>
      </w:r>
      <w:r w:rsidR="004B1981">
        <w:rPr>
          <w:sz w:val="24"/>
          <w:szCs w:val="24"/>
        </w:rPr>
        <w:t xml:space="preserve">were still unsafe. </w:t>
      </w:r>
      <w:r w:rsidR="00AC31D9">
        <w:rPr>
          <w:sz w:val="24"/>
          <w:szCs w:val="24"/>
        </w:rPr>
        <w:t>Even contemporarily, Dr.Skuse’s methods had been challenged by Dr.Black, whose criticisms formed the spearhead of the appeal</w:t>
      </w:r>
      <w:r w:rsidR="00DB2DC0">
        <w:rPr>
          <w:sz w:val="24"/>
          <w:szCs w:val="24"/>
        </w:rPr>
        <w:t xml:space="preserve"> (Schurr 1993:4). </w:t>
      </w:r>
      <w:r w:rsidR="00921DE5">
        <w:rPr>
          <w:sz w:val="24"/>
          <w:szCs w:val="24"/>
        </w:rPr>
        <w:t xml:space="preserve">Despite this, Dr.Black seemed to have less resources to form a counter argument in the original trial; </w:t>
      </w:r>
      <w:r w:rsidR="00A01A53">
        <w:rPr>
          <w:sz w:val="24"/>
          <w:szCs w:val="24"/>
        </w:rPr>
        <w:t>as such perhaps Dr.Skuse, who did have the resources to follow on Dr.Black’s theories should have done so to truly make the investigation holistic and considerate to all possibilities (p.4). Regardless of whether Dr.Skuse deliberately or mistakenly excluded the other possibilities, a lack</w:t>
      </w:r>
      <w:r w:rsidR="005E23B9">
        <w:rPr>
          <w:sz w:val="24"/>
          <w:szCs w:val="24"/>
        </w:rPr>
        <w:t xml:space="preserve"> of</w:t>
      </w:r>
      <w:r w:rsidR="00A01A53">
        <w:rPr>
          <w:sz w:val="24"/>
          <w:szCs w:val="24"/>
        </w:rPr>
        <w:t xml:space="preserve"> an equilibrium between the prosecution and the defence in the trail is a symptomatic of a lack of integrity</w:t>
      </w:r>
      <w:r w:rsidR="005E23B9">
        <w:rPr>
          <w:sz w:val="24"/>
          <w:szCs w:val="24"/>
        </w:rPr>
        <w:t xml:space="preserve"> caused by a lack of disclosure</w:t>
      </w:r>
      <w:r w:rsidR="00A01A53">
        <w:rPr>
          <w:sz w:val="24"/>
          <w:szCs w:val="24"/>
        </w:rPr>
        <w:t>.</w:t>
      </w:r>
      <w:r w:rsidR="00467C99">
        <w:rPr>
          <w:sz w:val="24"/>
          <w:szCs w:val="24"/>
        </w:rPr>
        <w:t xml:space="preserve"> </w:t>
      </w:r>
    </w:p>
    <w:p w14:paraId="0BFAC21A" w14:textId="798901E1" w:rsidR="002245C4" w:rsidRDefault="00890DBE">
      <w:pPr>
        <w:rPr>
          <w:sz w:val="24"/>
          <w:szCs w:val="24"/>
        </w:rPr>
      </w:pPr>
      <w:r>
        <w:rPr>
          <w:sz w:val="24"/>
          <w:szCs w:val="24"/>
        </w:rPr>
        <w:t>This would not only be the time a bench forensic scientist/specialist would be put under scrutiny in an appeal</w:t>
      </w:r>
      <w:r w:rsidR="005E23B9">
        <w:rPr>
          <w:sz w:val="24"/>
          <w:szCs w:val="24"/>
        </w:rPr>
        <w:t xml:space="preserve">. During the investigations on the Maguire Seven, scientists from the Royal </w:t>
      </w:r>
      <w:r w:rsidR="00730E24">
        <w:rPr>
          <w:sz w:val="24"/>
          <w:szCs w:val="24"/>
        </w:rPr>
        <w:t>Armaments Research</w:t>
      </w:r>
      <w:r w:rsidR="005E23B9">
        <w:rPr>
          <w:sz w:val="24"/>
          <w:szCs w:val="24"/>
        </w:rPr>
        <w:t xml:space="preserve"> </w:t>
      </w:r>
      <w:r w:rsidR="00730E24">
        <w:rPr>
          <w:sz w:val="24"/>
          <w:szCs w:val="24"/>
        </w:rPr>
        <w:t xml:space="preserve">and Development Management conducted a </w:t>
      </w:r>
      <w:r w:rsidR="00730E24" w:rsidRPr="00730E24">
        <w:rPr>
          <w:sz w:val="24"/>
          <w:szCs w:val="24"/>
        </w:rPr>
        <w:t>thin layer chromatography</w:t>
      </w:r>
      <w:r w:rsidR="00730E24">
        <w:rPr>
          <w:sz w:val="24"/>
          <w:szCs w:val="24"/>
        </w:rPr>
        <w:t xml:space="preserve"> test that also determined whether traces of nitroglycerine could be found on the suspects’ persons (Schurr 1993:5-6). Similar to the Griess and </w:t>
      </w:r>
      <w:r w:rsidR="00730E24" w:rsidRPr="00684477">
        <w:rPr>
          <w:sz w:val="24"/>
          <w:szCs w:val="24"/>
        </w:rPr>
        <w:t xml:space="preserve">gas chromatography mass </w:t>
      </w:r>
      <w:r w:rsidR="00730E24">
        <w:rPr>
          <w:sz w:val="24"/>
          <w:szCs w:val="24"/>
        </w:rPr>
        <w:t>spectrometry tests, it could not definitively prove that the positive results of the tests were caused by nitroglycerine or another chemical</w:t>
      </w:r>
      <w:r w:rsidR="000D7FC3">
        <w:rPr>
          <w:sz w:val="24"/>
          <w:szCs w:val="24"/>
        </w:rPr>
        <w:t>(pp.5-6)</w:t>
      </w:r>
      <w:r w:rsidR="00730E24">
        <w:rPr>
          <w:sz w:val="24"/>
          <w:szCs w:val="24"/>
        </w:rPr>
        <w:t>. Nor could it be proved that the individual had</w:t>
      </w:r>
      <w:r w:rsidR="009F1836">
        <w:rPr>
          <w:sz w:val="24"/>
          <w:szCs w:val="24"/>
        </w:rPr>
        <w:t xml:space="preserve"> or had not</w:t>
      </w:r>
      <w:r w:rsidR="00730E24">
        <w:rPr>
          <w:sz w:val="24"/>
          <w:szCs w:val="24"/>
        </w:rPr>
        <w:t xml:space="preserve"> received traces of the chemical innocently by accidental </w:t>
      </w:r>
      <w:r w:rsidR="00730E24">
        <w:rPr>
          <w:sz w:val="24"/>
          <w:szCs w:val="24"/>
        </w:rPr>
        <w:lastRenderedPageBreak/>
        <w:t>contamination</w:t>
      </w:r>
      <w:r w:rsidR="000D7FC3">
        <w:rPr>
          <w:sz w:val="24"/>
          <w:szCs w:val="24"/>
        </w:rPr>
        <w:t xml:space="preserve"> (p.6)</w:t>
      </w:r>
      <w:r w:rsidR="00730E24">
        <w:rPr>
          <w:sz w:val="24"/>
          <w:szCs w:val="24"/>
        </w:rPr>
        <w:t>.</w:t>
      </w:r>
      <w:r w:rsidR="000D7FC3">
        <w:rPr>
          <w:sz w:val="24"/>
          <w:szCs w:val="24"/>
        </w:rPr>
        <w:t xml:space="preserve"> Once again, the inadequate distribution of resources</w:t>
      </w:r>
      <w:r w:rsidR="004977FE">
        <w:rPr>
          <w:sz w:val="24"/>
          <w:szCs w:val="24"/>
        </w:rPr>
        <w:t>, even by the judge of the original trial (p.</w:t>
      </w:r>
      <w:r w:rsidR="00AC167E">
        <w:rPr>
          <w:sz w:val="24"/>
          <w:szCs w:val="24"/>
        </w:rPr>
        <w:t>6) was a grave misconduct of integrity; a lack of disclosure of the full scientific/specialist evidence caused an unsafe conviction.</w:t>
      </w:r>
    </w:p>
    <w:p w14:paraId="564DB0F9" w14:textId="140DEF24" w:rsidR="004B1981" w:rsidRDefault="005B31B8">
      <w:pPr>
        <w:rPr>
          <w:sz w:val="24"/>
          <w:szCs w:val="24"/>
        </w:rPr>
      </w:pPr>
      <w:r>
        <w:rPr>
          <w:noProof/>
          <w:sz w:val="24"/>
          <w:szCs w:val="24"/>
        </w:rPr>
        <w:drawing>
          <wp:anchor distT="0" distB="0" distL="114300" distR="114300" simplePos="0" relativeHeight="251660288" behindDoc="0" locked="0" layoutInCell="1" allowOverlap="1" wp14:anchorId="47C8349B" wp14:editId="568BC2E2">
            <wp:simplePos x="0" y="0"/>
            <wp:positionH relativeFrom="margin">
              <wp:align>left</wp:align>
            </wp:positionH>
            <wp:positionV relativeFrom="paragraph">
              <wp:posOffset>1859280</wp:posOffset>
            </wp:positionV>
            <wp:extent cx="5859780" cy="3335647"/>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 Garden of Earthly Delights Bosch exampl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859780" cy="3335647"/>
                    </a:xfrm>
                    <a:prstGeom prst="rect">
                      <a:avLst/>
                    </a:prstGeom>
                  </pic:spPr>
                </pic:pic>
              </a:graphicData>
            </a:graphic>
          </wp:anchor>
        </w:drawing>
      </w:r>
      <w:r w:rsidR="008F5B08">
        <w:rPr>
          <w:sz w:val="24"/>
          <w:szCs w:val="24"/>
        </w:rPr>
        <w:t xml:space="preserve">Overall the damage caused </w:t>
      </w:r>
      <w:r w:rsidR="004B1981">
        <w:rPr>
          <w:sz w:val="24"/>
          <w:szCs w:val="24"/>
        </w:rPr>
        <w:t>within these two cases from a lack of disclosure</w:t>
      </w:r>
      <w:r w:rsidR="008F5B08">
        <w:rPr>
          <w:sz w:val="24"/>
          <w:szCs w:val="24"/>
        </w:rPr>
        <w:t xml:space="preserve"> w</w:t>
      </w:r>
      <w:r w:rsidR="004B1981">
        <w:rPr>
          <w:sz w:val="24"/>
          <w:szCs w:val="24"/>
        </w:rPr>
        <w:t>ere</w:t>
      </w:r>
      <w:r w:rsidR="008F5B08">
        <w:rPr>
          <w:sz w:val="24"/>
          <w:szCs w:val="24"/>
        </w:rPr>
        <w:t xml:space="preserve"> severe, it had delayed investigations into the real culprits of the attacks, took away nearly two decades off </w:t>
      </w:r>
      <w:r w:rsidR="000D7FC3">
        <w:rPr>
          <w:sz w:val="24"/>
          <w:szCs w:val="24"/>
        </w:rPr>
        <w:t>the lives of cleared</w:t>
      </w:r>
      <w:r w:rsidR="008F5B08">
        <w:rPr>
          <w:sz w:val="24"/>
          <w:szCs w:val="24"/>
        </w:rPr>
        <w:t xml:space="preserve"> individuals</w:t>
      </w:r>
      <w:r w:rsidR="00965A96">
        <w:rPr>
          <w:sz w:val="24"/>
          <w:szCs w:val="24"/>
        </w:rPr>
        <w:t xml:space="preserve"> (Schurr 1993:1)</w:t>
      </w:r>
      <w:r w:rsidR="008F5B08">
        <w:rPr>
          <w:sz w:val="24"/>
          <w:szCs w:val="24"/>
        </w:rPr>
        <w:t xml:space="preserve"> and</w:t>
      </w:r>
      <w:r w:rsidR="009F307E">
        <w:rPr>
          <w:sz w:val="24"/>
          <w:szCs w:val="24"/>
        </w:rPr>
        <w:t xml:space="preserve"> perhaps</w:t>
      </w:r>
      <w:r w:rsidR="008F5B08">
        <w:rPr>
          <w:sz w:val="24"/>
          <w:szCs w:val="24"/>
        </w:rPr>
        <w:t xml:space="preserve"> alienated ethnic Irish populations living within Britain from the police. Despite this, a great amount of changes would come about as a result of this incident</w:t>
      </w:r>
      <w:r w:rsidR="00965A96">
        <w:rPr>
          <w:sz w:val="24"/>
          <w:szCs w:val="24"/>
        </w:rPr>
        <w:t xml:space="preserve"> in order to safeguard against future losses of integrity: the founding of the Royal Commission of Criminal Justice and later the Criminal Cases Review Commission (CCRC no date). </w:t>
      </w:r>
      <w:r w:rsidR="00515634">
        <w:rPr>
          <w:sz w:val="24"/>
          <w:szCs w:val="24"/>
        </w:rPr>
        <w:t>Both</w:t>
      </w:r>
      <w:r w:rsidR="00965A96">
        <w:rPr>
          <w:sz w:val="24"/>
          <w:szCs w:val="24"/>
        </w:rPr>
        <w:t xml:space="preserve"> institutions are responsible for </w:t>
      </w:r>
      <w:r w:rsidR="00C30C3D">
        <w:rPr>
          <w:sz w:val="24"/>
          <w:szCs w:val="24"/>
        </w:rPr>
        <w:t>investigating such cases in which the suspect has been convicted with possibly unsafe conditions</w:t>
      </w:r>
      <w:r w:rsidR="00891C7F">
        <w:rPr>
          <w:sz w:val="24"/>
          <w:szCs w:val="24"/>
        </w:rPr>
        <w:t xml:space="preserve"> (CCRC no date)</w:t>
      </w:r>
      <w:r w:rsidR="00965A96">
        <w:rPr>
          <w:sz w:val="24"/>
          <w:szCs w:val="24"/>
        </w:rPr>
        <w:t>.</w:t>
      </w:r>
      <w:r w:rsidR="00515634">
        <w:rPr>
          <w:sz w:val="24"/>
          <w:szCs w:val="24"/>
        </w:rPr>
        <w:t xml:space="preserve"> </w:t>
      </w:r>
    </w:p>
    <w:p w14:paraId="5296E9C5" w14:textId="77777777" w:rsidR="00021C26" w:rsidRDefault="005B31B8">
      <w:pPr>
        <w:rPr>
          <w:sz w:val="24"/>
          <w:szCs w:val="24"/>
        </w:rPr>
      </w:pPr>
      <w:r w:rsidRPr="005B31B8">
        <w:rPr>
          <w:noProof/>
          <w:sz w:val="24"/>
          <w:szCs w:val="24"/>
        </w:rPr>
        <mc:AlternateContent>
          <mc:Choice Requires="wps">
            <w:drawing>
              <wp:inline distT="0" distB="0" distL="0" distR="0" wp14:anchorId="5CC7E99D" wp14:editId="592694E7">
                <wp:extent cx="5859780" cy="1501140"/>
                <wp:effectExtent l="0" t="0" r="26670" b="2286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780" cy="1501140"/>
                        </a:xfrm>
                        <a:prstGeom prst="rect">
                          <a:avLst/>
                        </a:prstGeom>
                        <a:solidFill>
                          <a:srgbClr val="FFFFFF"/>
                        </a:solidFill>
                        <a:ln w="9525">
                          <a:solidFill>
                            <a:srgbClr val="000000"/>
                          </a:solidFill>
                          <a:miter lim="800000"/>
                          <a:headEnd/>
                          <a:tailEnd/>
                        </a:ln>
                      </wps:spPr>
                      <wps:txbx>
                        <w:txbxContent>
                          <w:p w14:paraId="3D45F3D1" w14:textId="3B688E15" w:rsidR="005B31B8" w:rsidRPr="005B31B8" w:rsidRDefault="005B31B8">
                            <w:pPr>
                              <w:rPr>
                                <w:sz w:val="24"/>
                                <w:szCs w:val="24"/>
                              </w:rPr>
                            </w:pPr>
                            <w:r w:rsidRPr="005B31B8">
                              <w:rPr>
                                <w:sz w:val="24"/>
                                <w:szCs w:val="24"/>
                              </w:rPr>
                              <w:t xml:space="preserve">In the argument that Bosch’s </w:t>
                            </w:r>
                            <w:r w:rsidRPr="005B31B8">
                              <w:rPr>
                                <w:i/>
                                <w:iCs/>
                                <w:sz w:val="24"/>
                                <w:szCs w:val="24"/>
                              </w:rPr>
                              <w:t>Garden of Earthly Delights</w:t>
                            </w:r>
                            <w:r w:rsidRPr="005B31B8">
                              <w:rPr>
                                <w:sz w:val="24"/>
                                <w:szCs w:val="24"/>
                              </w:rPr>
                              <w:t xml:space="preserve"> is a wholly positive painting, one would have to disclose that the painting contains images of Hell within it. To ignore </w:t>
                            </w:r>
                            <w:r w:rsidR="006F637C">
                              <w:rPr>
                                <w:sz w:val="24"/>
                                <w:szCs w:val="24"/>
                              </w:rPr>
                              <w:t xml:space="preserve">this point </w:t>
                            </w:r>
                            <w:r w:rsidRPr="005B31B8">
                              <w:rPr>
                                <w:sz w:val="24"/>
                                <w:szCs w:val="24"/>
                              </w:rPr>
                              <w:t>would be both disingenuous and would also detract a large percentage of the image</w:t>
                            </w:r>
                            <w:r>
                              <w:rPr>
                                <w:sz w:val="24"/>
                                <w:szCs w:val="24"/>
                              </w:rPr>
                              <w:t xml:space="preserve"> that Hieronymus Bosch intended for the final picture to include. One could still argue that it is still a positive image – indeed it shows strength of conviction to still argue for a point while acknowledging the weakness of said argument. To not disclose it is perhaps a symptom of fear or at least acknowledgment that one’s argument is not fully sound.</w:t>
                            </w:r>
                          </w:p>
                          <w:p w14:paraId="3A223E50" w14:textId="77777777" w:rsidR="005B31B8" w:rsidRDefault="005B31B8"/>
                        </w:txbxContent>
                      </wps:txbx>
                      <wps:bodyPr rot="0" vert="horz" wrap="square" lIns="91440" tIns="45720" rIns="91440" bIns="45720" anchor="t" anchorCtr="0">
                        <a:noAutofit/>
                      </wps:bodyPr>
                    </wps:wsp>
                  </a:graphicData>
                </a:graphic>
              </wp:inline>
            </w:drawing>
          </mc:Choice>
          <mc:Fallback>
            <w:pict>
              <v:shapetype w14:anchorId="5CC7E99D" id="_x0000_t202" coordsize="21600,21600" o:spt="202" path="m,l,21600r21600,l21600,xe">
                <v:stroke joinstyle="miter"/>
                <v:path gradientshapeok="t" o:connecttype="rect"/>
              </v:shapetype>
              <v:shape id="Text Box 2" o:spid="_x0000_s1026" type="#_x0000_t202" style="width:461.4pt;height:118.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twtJAIAAEcEAAAOAAAAZHJzL2Uyb0RvYy54bWysU9uO0zAQfUfiHyy/01zU0DZqulq6FCEt&#10;C9IuH+A4TmNhe4LtNilfz9jplmqBF4QfLI9nfDxzzsz6ZtSKHIV1EkxFs1lKiTAcGmn2Ff36tHuz&#10;pMR5ZhqmwIiKnoSjN5vXr9ZDX4ocOlCNsARBjCuHvqKd932ZJI53QjM3g14YdLZgNfNo2n3SWDYg&#10;ulZJnqZvkwFs01vgwjm8vZucdBPx21Zw/7ltnfBEVRRz83G3ca/DnmzWrNxb1neSn9Ng/5CFZtLg&#10;pxeoO+YZOVj5G5SW3IKD1s846ATaVnIRa8BqsvRFNY8d60WsBclx/YUm9/9g+cPxiyWyqWieLSgx&#10;TKNIT2L05B2MJA/8DL0rMeyxx0A/4jXqHGt1/T3wb44Y2HbM7MWttTB0gjWYXxZeJldPJxwXQOrh&#10;EzT4DTt4iEBja3UgD+kgiI46nS7ahFQ4XhbLYrVYooujLyvSLJtH9RJWPj/vrfMfBGgSDhW1KH6E&#10;Z8d750M6rHwOCb85ULLZSaWiYff1VllyZNgou7hiBS/ClCFDRVdFXkwM/BUijetPEFp67HgldUWX&#10;lyBWBt7emyb2o2dSTWdMWZkzkYG7iUU/1uNZmBqaE1JqYepsnEQ8dGB/UDJgV1fUfT8wKyhRHw3K&#10;ssrmSBvx0ZgXixwNe+2prz3McISqqKdkOm59HJ1AmIFblK+Vkdig85TJOVfs1sj3ebLCOFzbMerX&#10;/G9+AgAA//8DAFBLAwQUAAYACAAAACEAvTzDw9wAAAAFAQAADwAAAGRycy9kb3ducmV2LnhtbEyP&#10;wU7DMBBE70j8g7VIXBB1SKvQhjgVQgLBrRQEVzfeJhH2OthuGv6ehQtcRlrNauZNtZ6cFSOG2HtS&#10;cDXLQCA13vTUKnh9ub9cgohJk9HWEyr4wgjr+vSk0qXxR3rGcZtawSEUS62gS2kopYxNh07HmR+Q&#10;2Nv74HTiM7TSBH3kcGdlnmWFdLonbuj0gHcdNh/bg1OwXDyO7/Fpvnlrir1dpYvr8eEzKHV+Nt3e&#10;gEg4pb9n+MFndKiZaecPZKKwCnhI+lX2VnnOM3YK8nmxAFlX8j99/Q0AAP//AwBQSwECLQAUAAYA&#10;CAAAACEAtoM4kv4AAADhAQAAEwAAAAAAAAAAAAAAAAAAAAAAW0NvbnRlbnRfVHlwZXNdLnhtbFBL&#10;AQItABQABgAIAAAAIQA4/SH/1gAAAJQBAAALAAAAAAAAAAAAAAAAAC8BAABfcmVscy8ucmVsc1BL&#10;AQItABQABgAIAAAAIQCLotwtJAIAAEcEAAAOAAAAAAAAAAAAAAAAAC4CAABkcnMvZTJvRG9jLnht&#10;bFBLAQItABQABgAIAAAAIQC9PMPD3AAAAAUBAAAPAAAAAAAAAAAAAAAAAH4EAABkcnMvZG93bnJl&#10;di54bWxQSwUGAAAAAAQABADzAAAAhwUAAAAA&#10;">
                <v:textbox>
                  <w:txbxContent>
                    <w:p w14:paraId="3D45F3D1" w14:textId="3B688E15" w:rsidR="005B31B8" w:rsidRPr="005B31B8" w:rsidRDefault="005B31B8">
                      <w:pPr>
                        <w:rPr>
                          <w:sz w:val="24"/>
                          <w:szCs w:val="24"/>
                        </w:rPr>
                      </w:pPr>
                      <w:r w:rsidRPr="005B31B8">
                        <w:rPr>
                          <w:sz w:val="24"/>
                          <w:szCs w:val="24"/>
                        </w:rPr>
                        <w:t xml:space="preserve">In the argument that Bosch’s </w:t>
                      </w:r>
                      <w:r w:rsidRPr="005B31B8">
                        <w:rPr>
                          <w:i/>
                          <w:iCs/>
                          <w:sz w:val="24"/>
                          <w:szCs w:val="24"/>
                        </w:rPr>
                        <w:t>Garden of Earthly Delights</w:t>
                      </w:r>
                      <w:r w:rsidRPr="005B31B8">
                        <w:rPr>
                          <w:sz w:val="24"/>
                          <w:szCs w:val="24"/>
                        </w:rPr>
                        <w:t xml:space="preserve"> is a wholly positive painting, one would have to disclose that the painting contains images of Hell within it. To ignore </w:t>
                      </w:r>
                      <w:r w:rsidR="006F637C">
                        <w:rPr>
                          <w:sz w:val="24"/>
                          <w:szCs w:val="24"/>
                        </w:rPr>
                        <w:t xml:space="preserve">this point </w:t>
                      </w:r>
                      <w:r w:rsidRPr="005B31B8">
                        <w:rPr>
                          <w:sz w:val="24"/>
                          <w:szCs w:val="24"/>
                        </w:rPr>
                        <w:t>would be both disingenuous and would also detract a large percentage of the image</w:t>
                      </w:r>
                      <w:r>
                        <w:rPr>
                          <w:sz w:val="24"/>
                          <w:szCs w:val="24"/>
                        </w:rPr>
                        <w:t xml:space="preserve"> that Hieronymus Bosch intended for the final picture to include. One could still argue that it is still a positive image – indeed it shows strength of conviction to still argue for a point while acknowledging the weakness of said argument. To not disclose it is perhaps a symptom of fear or at least acknowledgment that one’s argument is not fully sound.</w:t>
                      </w:r>
                    </w:p>
                    <w:p w14:paraId="3A223E50" w14:textId="77777777" w:rsidR="005B31B8" w:rsidRDefault="005B31B8"/>
                  </w:txbxContent>
                </v:textbox>
                <w10:anchorlock/>
              </v:shape>
            </w:pict>
          </mc:Fallback>
        </mc:AlternateContent>
      </w:r>
      <w:r w:rsidR="004B1981">
        <w:rPr>
          <w:sz w:val="24"/>
          <w:szCs w:val="24"/>
        </w:rPr>
        <w:t>It may seem counterintuitive to disclose certain parts of evidence, why weaken one’s own argument? As the Criminal Procedure and Investigation Act words it: ‘undermining’ (CPIA</w:t>
      </w:r>
      <w:r w:rsidR="004B1981" w:rsidRPr="005A121A">
        <w:rPr>
          <w:sz w:val="24"/>
          <w:szCs w:val="24"/>
        </w:rPr>
        <w:t xml:space="preserve"> 1996</w:t>
      </w:r>
      <w:r w:rsidR="004B1981">
        <w:rPr>
          <w:sz w:val="24"/>
          <w:szCs w:val="24"/>
        </w:rPr>
        <w:t xml:space="preserve">:Part 1) – which seems to be the equivalent of a castle knocking down its own walls? However, it is </w:t>
      </w:r>
      <w:r w:rsidR="001242B8">
        <w:rPr>
          <w:sz w:val="24"/>
          <w:szCs w:val="24"/>
        </w:rPr>
        <w:t xml:space="preserve">important to remember the importance of </w:t>
      </w:r>
      <w:r w:rsidR="00000B00">
        <w:rPr>
          <w:sz w:val="24"/>
          <w:szCs w:val="24"/>
        </w:rPr>
        <w:t xml:space="preserve">impartiality within forensics, to not allow evidence to become a means to a self-proscribed end. </w:t>
      </w:r>
      <w:r>
        <w:rPr>
          <w:sz w:val="24"/>
          <w:szCs w:val="24"/>
        </w:rPr>
        <w:t>The stubbornness of associating personally with either the positive or negative hypothesis can very well lead to a bias of opinion, something that must be avoided at all costs in forensics.</w:t>
      </w:r>
    </w:p>
    <w:p w14:paraId="7269B0A8" w14:textId="2537391E" w:rsidR="00E31FF3" w:rsidRPr="00021C26" w:rsidRDefault="00E31FF3">
      <w:pPr>
        <w:rPr>
          <w:sz w:val="24"/>
          <w:szCs w:val="24"/>
        </w:rPr>
      </w:pPr>
      <w:r>
        <w:rPr>
          <w:sz w:val="24"/>
          <w:szCs w:val="24"/>
          <w:u w:val="single"/>
        </w:rPr>
        <w:lastRenderedPageBreak/>
        <w:t>Slater, the recognition of integrity in the early twentieth century.</w:t>
      </w:r>
    </w:p>
    <w:p w14:paraId="704BA52F" w14:textId="030A7A8A" w:rsidR="00315284" w:rsidRDefault="00E31FF3">
      <w:pPr>
        <w:rPr>
          <w:sz w:val="24"/>
          <w:szCs w:val="24"/>
        </w:rPr>
      </w:pPr>
      <w:r>
        <w:rPr>
          <w:sz w:val="24"/>
          <w:szCs w:val="24"/>
        </w:rPr>
        <w:t xml:space="preserve">The sense of justice and scepticism of overly zealous law-enforcers in by no means a recent phenomenon. In </w:t>
      </w:r>
      <w:r w:rsidR="00674974">
        <w:rPr>
          <w:sz w:val="24"/>
          <w:szCs w:val="24"/>
        </w:rPr>
        <w:t>1908, Oscar Slater was arrested for the theft and murder of an elderly woman in her own home (Westminster Online no date:1). The issue was is that Slater was on the peripheral of crime, being involved</w:t>
      </w:r>
      <w:r w:rsidR="00A47020">
        <w:rPr>
          <w:sz w:val="24"/>
          <w:szCs w:val="24"/>
        </w:rPr>
        <w:t xml:space="preserve"> with gambling dens and pimping (p.1) and thus</w:t>
      </w:r>
      <w:r w:rsidR="00254EFD">
        <w:rPr>
          <w:sz w:val="24"/>
          <w:szCs w:val="24"/>
        </w:rPr>
        <w:t>,</w:t>
      </w:r>
      <w:r w:rsidR="00A47020">
        <w:rPr>
          <w:sz w:val="24"/>
          <w:szCs w:val="24"/>
        </w:rPr>
        <w:t xml:space="preserve"> already was in the sights of the local police. This could be interpreted as an example of ‘bad character’</w:t>
      </w:r>
      <w:r w:rsidR="005D2FE5">
        <w:rPr>
          <w:sz w:val="24"/>
          <w:szCs w:val="24"/>
        </w:rPr>
        <w:t xml:space="preserve"> (Criminal Justice Act 2003:Part 11)</w:t>
      </w:r>
      <w:r w:rsidR="009A08B9">
        <w:rPr>
          <w:sz w:val="24"/>
          <w:szCs w:val="24"/>
        </w:rPr>
        <w:t xml:space="preserve"> as seen in modern legislation</w:t>
      </w:r>
      <w:r w:rsidR="005D2FE5">
        <w:rPr>
          <w:sz w:val="24"/>
          <w:szCs w:val="24"/>
        </w:rPr>
        <w:t xml:space="preserve">, and perhaps it was a panicking Slater who was forced to murder the elderly woman in a botched robbery – would it not have been beneath him? It seemed even more concrete when Slater </w:t>
      </w:r>
      <w:r w:rsidR="005E09E5">
        <w:rPr>
          <w:sz w:val="24"/>
          <w:szCs w:val="24"/>
        </w:rPr>
        <w:t>had</w:t>
      </w:r>
      <w:r w:rsidR="005D2FE5">
        <w:rPr>
          <w:sz w:val="24"/>
          <w:szCs w:val="24"/>
        </w:rPr>
        <w:t xml:space="preserve"> board</w:t>
      </w:r>
      <w:r w:rsidR="005E09E5">
        <w:rPr>
          <w:sz w:val="24"/>
          <w:szCs w:val="24"/>
        </w:rPr>
        <w:t>ed</w:t>
      </w:r>
      <w:r w:rsidR="005D2FE5">
        <w:rPr>
          <w:sz w:val="24"/>
          <w:szCs w:val="24"/>
        </w:rPr>
        <w:t xml:space="preserve"> a ship to New York along with a hammer that was speculated to be the weapon of blunt trauma</w:t>
      </w:r>
      <w:r w:rsidR="005E09E5">
        <w:rPr>
          <w:sz w:val="24"/>
          <w:szCs w:val="24"/>
        </w:rPr>
        <w:t xml:space="preserve"> (Westminster Online no date:1)</w:t>
      </w:r>
      <w:r w:rsidR="005D2FE5">
        <w:rPr>
          <w:sz w:val="24"/>
          <w:szCs w:val="24"/>
        </w:rPr>
        <w:t>.</w:t>
      </w:r>
      <w:r w:rsidR="005E09E5">
        <w:rPr>
          <w:sz w:val="24"/>
          <w:szCs w:val="24"/>
        </w:rPr>
        <w:t xml:space="preserve"> Slater was arrested on the docks of New York but went without fuss, believing his defence to be sound with both an alibi and the excuse for an extramarital elopement as the reason for his and his lover’s pseudonyms (p.1). </w:t>
      </w:r>
      <w:r w:rsidR="00315284">
        <w:rPr>
          <w:sz w:val="24"/>
          <w:szCs w:val="24"/>
        </w:rPr>
        <w:t>It seems that the trial was highly rigged, with Slater unable to provide his statement, while possibly planted witnesses laid on incriminating statement after another (p.1).</w:t>
      </w:r>
    </w:p>
    <w:p w14:paraId="6EF68CA5" w14:textId="684C95EB" w:rsidR="00EE5E74" w:rsidRDefault="00315284">
      <w:pPr>
        <w:rPr>
          <w:sz w:val="24"/>
          <w:szCs w:val="24"/>
        </w:rPr>
      </w:pPr>
      <w:r>
        <w:rPr>
          <w:sz w:val="24"/>
          <w:szCs w:val="24"/>
        </w:rPr>
        <w:t>It was only by the intervention of Sir</w:t>
      </w:r>
      <w:r w:rsidR="00085A54">
        <w:rPr>
          <w:sz w:val="24"/>
          <w:szCs w:val="24"/>
        </w:rPr>
        <w:t xml:space="preserve"> Arthur</w:t>
      </w:r>
      <w:r>
        <w:rPr>
          <w:sz w:val="24"/>
          <w:szCs w:val="24"/>
        </w:rPr>
        <w:t xml:space="preserve"> Conan Doyle, renowned for his highly successful </w:t>
      </w:r>
      <w:r>
        <w:rPr>
          <w:i/>
          <w:iCs/>
          <w:sz w:val="24"/>
          <w:szCs w:val="24"/>
        </w:rPr>
        <w:t xml:space="preserve">Sherlock Holmes </w:t>
      </w:r>
      <w:r>
        <w:rPr>
          <w:sz w:val="24"/>
          <w:szCs w:val="24"/>
        </w:rPr>
        <w:t xml:space="preserve">novels, that Slater was given a fair defence. Firstly, Doyle noted that the murder weapon that Slater was supposed to have used was neither robust enough to have delivered such a continuous and ruthless attack nor was it noted in the statements of the witnesses (p.1). Furthermore, the witness statements were both </w:t>
      </w:r>
      <w:r w:rsidR="000165BE">
        <w:rPr>
          <w:sz w:val="24"/>
          <w:szCs w:val="24"/>
        </w:rPr>
        <w:t>contradictory and detracted from perhaps the most important witness statement, that of the neighbour (p.1). The neighbour who had heard the commotion, was the first on the scene of the crime; it was the chair that this witness has speculated to be the murder weapon – which would become agreed upon in later revisions of the case (p.2). Doyle also pointed to the fact that</w:t>
      </w:r>
      <w:r w:rsidR="003908EE">
        <w:rPr>
          <w:sz w:val="24"/>
          <w:szCs w:val="24"/>
        </w:rPr>
        <w:t xml:space="preserve"> she</w:t>
      </w:r>
      <w:r w:rsidR="000165BE">
        <w:rPr>
          <w:sz w:val="24"/>
          <w:szCs w:val="24"/>
        </w:rPr>
        <w:t xml:space="preserve"> had willingly let in her attacker, suggesting that it was someone of close personal connection to the victim (p.1). </w:t>
      </w:r>
      <w:r w:rsidR="00EE5E74">
        <w:rPr>
          <w:sz w:val="24"/>
          <w:szCs w:val="24"/>
        </w:rPr>
        <w:t>It would be after a journalist by the name of Parks published a book on Slater’s wrongful conviction that public interest flocked to Slater’s cause; Slater was released very quickly, but only by further campaigning by Doyle did Slater have his name cleared and was compensated (p.2).</w:t>
      </w:r>
    </w:p>
    <w:p w14:paraId="65BD9F3A" w14:textId="3C9A7398" w:rsidR="00EE5E74" w:rsidRDefault="00085A54">
      <w:pPr>
        <w:rPr>
          <w:sz w:val="24"/>
          <w:szCs w:val="24"/>
        </w:rPr>
      </w:pPr>
      <w:r>
        <w:rPr>
          <w:sz w:val="24"/>
          <w:szCs w:val="24"/>
        </w:rPr>
        <w:t>It appears</w:t>
      </w:r>
      <w:r w:rsidR="00EE5E74">
        <w:rPr>
          <w:sz w:val="24"/>
          <w:szCs w:val="24"/>
        </w:rPr>
        <w:t xml:space="preserve"> Slater was the classic scapegoat: a man of ill repute made for an excellent ‘suspect’ for the murder, finally capturing someone who surely ‘had it coming’? Of course, the law cannot operate in this way, it was corruption at its finest and regardless of the past wrongs Slater had committed, to be charged for a wholly different crime is completely opposed to the concepts of integrity. It is true that it is not unthinkable that a petty criminal could jump to much more serious crimes, but this is not supported with the case of Slater, of which the other evidenc</w:t>
      </w:r>
      <w:r>
        <w:rPr>
          <w:sz w:val="24"/>
          <w:szCs w:val="24"/>
        </w:rPr>
        <w:t>e did not support his involvement and therefore Slater’s ‘bad character’ was still a moot point – and yet the judge had essentially ‘contaminated’ the jury by portraying the character of Slater as an individual who would unquestionably commit such an offence based solely on hi</w:t>
      </w:r>
      <w:r w:rsidR="0090745C">
        <w:rPr>
          <w:sz w:val="24"/>
          <w:szCs w:val="24"/>
        </w:rPr>
        <w:t>s</w:t>
      </w:r>
      <w:r>
        <w:rPr>
          <w:sz w:val="24"/>
          <w:szCs w:val="24"/>
        </w:rPr>
        <w:t xml:space="preserve"> previous petty crimes (p.1). Slater nearly hanged for what should be considered today as a highly unsafe conviction, allowing the real perpetrator (who exhibited that they would stop at nothing to get what they want) to roam free and unchallenged.</w:t>
      </w:r>
      <w:r w:rsidR="00636AA1">
        <w:rPr>
          <w:sz w:val="24"/>
          <w:szCs w:val="24"/>
        </w:rPr>
        <w:t xml:space="preserve"> </w:t>
      </w:r>
      <w:r w:rsidR="00972472">
        <w:rPr>
          <w:sz w:val="24"/>
          <w:szCs w:val="24"/>
        </w:rPr>
        <w:t xml:space="preserve">The effect this would have on the Scottish legal system was that the freshly </w:t>
      </w:r>
      <w:r w:rsidR="00972472">
        <w:rPr>
          <w:sz w:val="24"/>
          <w:szCs w:val="24"/>
        </w:rPr>
        <w:lastRenderedPageBreak/>
        <w:t xml:space="preserve">born </w:t>
      </w:r>
      <w:r w:rsidR="00D43DFA">
        <w:rPr>
          <w:sz w:val="24"/>
          <w:szCs w:val="24"/>
        </w:rPr>
        <w:t xml:space="preserve">Scottish Court of Criminal Appeal would be able to examine cases retroactively, allowing convictions before 1926 to be eligible for appeal (MacPherson 2017). This paved the way for a universal system of justice – one that transcends time to hopefully bring closure to families by allowing reinvestigations should any new legislation or forensic technology come about that may change the outcome of possible wrongful convictions. </w:t>
      </w:r>
    </w:p>
    <w:p w14:paraId="6D345CC0" w14:textId="3FAECE7D" w:rsidR="0006000E" w:rsidRPr="00542886" w:rsidRDefault="0006000E">
      <w:pPr>
        <w:rPr>
          <w:sz w:val="24"/>
          <w:szCs w:val="24"/>
        </w:rPr>
      </w:pPr>
      <w:r>
        <w:rPr>
          <w:sz w:val="24"/>
          <w:szCs w:val="24"/>
        </w:rPr>
        <w:t xml:space="preserve">It is no coincidence that Doyle’s keen sense of justice was reflected in the titular character of Sherlock Holmes, who to this very day remains the global archetypal embodiment of justice and integrity within criminal investigations. It is also no coincidence that the </w:t>
      </w:r>
      <w:r w:rsidRPr="00F10128">
        <w:rPr>
          <w:sz w:val="24"/>
          <w:szCs w:val="24"/>
        </w:rPr>
        <w:t>Home Office Large Major Enquiry System</w:t>
      </w:r>
      <w:r>
        <w:rPr>
          <w:sz w:val="24"/>
          <w:szCs w:val="24"/>
        </w:rPr>
        <w:t xml:space="preserve"> which </w:t>
      </w:r>
      <w:r w:rsidR="00542886" w:rsidRPr="00F10128">
        <w:rPr>
          <w:sz w:val="24"/>
          <w:szCs w:val="24"/>
        </w:rPr>
        <w:t>manages the information and data within an enquiry</w:t>
      </w:r>
      <w:r w:rsidR="00542886">
        <w:rPr>
          <w:sz w:val="24"/>
          <w:szCs w:val="24"/>
        </w:rPr>
        <w:t xml:space="preserve"> (Buckley &amp; Langley 2012:8), forms the b</w:t>
      </w:r>
      <w:r w:rsidR="00542886" w:rsidRPr="00F10128">
        <w:rPr>
          <w:sz w:val="24"/>
          <w:szCs w:val="24"/>
        </w:rPr>
        <w:t>ackronym</w:t>
      </w:r>
      <w:r w:rsidR="00542886">
        <w:rPr>
          <w:sz w:val="24"/>
          <w:szCs w:val="24"/>
        </w:rPr>
        <w:t xml:space="preserve"> of HOLMES demonstrating how fictional detective has transcended into the British culture much akin to King Arthur Pendragon. It is important to remember that it was the public who clamouring for Slater’s clearance lead to the development of integrity within UK law, this combined with the popularity of </w:t>
      </w:r>
      <w:r w:rsidR="00542886">
        <w:rPr>
          <w:i/>
          <w:iCs/>
          <w:sz w:val="24"/>
          <w:szCs w:val="24"/>
        </w:rPr>
        <w:t>Sherlock Holmes</w:t>
      </w:r>
      <w:r w:rsidR="00542886">
        <w:rPr>
          <w:sz w:val="24"/>
          <w:szCs w:val="24"/>
        </w:rPr>
        <w:t xml:space="preserve"> and other crime dramas, one cannot ignore the public’s influence on and desire of justice and integrity.</w:t>
      </w:r>
    </w:p>
    <w:p w14:paraId="32825EEE" w14:textId="6C3FC941" w:rsidR="00A01A53" w:rsidRPr="00E31FF3" w:rsidRDefault="00E31FF3">
      <w:pPr>
        <w:rPr>
          <w:sz w:val="24"/>
          <w:szCs w:val="24"/>
          <w:u w:val="single"/>
        </w:rPr>
      </w:pPr>
      <w:r w:rsidRPr="00E31FF3">
        <w:rPr>
          <w:sz w:val="24"/>
          <w:szCs w:val="24"/>
          <w:u w:val="single"/>
        </w:rPr>
        <w:t>Downing, the importance of sensitivity to vulnerability within the interview room</w:t>
      </w:r>
      <w:r w:rsidR="002C3EAD">
        <w:rPr>
          <w:sz w:val="24"/>
          <w:szCs w:val="24"/>
          <w:u w:val="single"/>
        </w:rPr>
        <w:t xml:space="preserve"> towards mental illness, learning difficulties (etc.)</w:t>
      </w:r>
      <w:r w:rsidRPr="00E31FF3">
        <w:rPr>
          <w:sz w:val="24"/>
          <w:szCs w:val="24"/>
          <w:u w:val="single"/>
        </w:rPr>
        <w:t>.</w:t>
      </w:r>
    </w:p>
    <w:p w14:paraId="2C8A29E4" w14:textId="3FD0E214" w:rsidR="007C1CA1" w:rsidRDefault="0006152B">
      <w:pPr>
        <w:rPr>
          <w:sz w:val="24"/>
          <w:szCs w:val="24"/>
        </w:rPr>
      </w:pPr>
      <w:r>
        <w:rPr>
          <w:sz w:val="24"/>
          <w:szCs w:val="24"/>
        </w:rPr>
        <w:t xml:space="preserve">Perhaps the longest running misconduct of justice in UK history, Stephen Downing was convicted for the murder of Wendy Sewell in 1973 and had served 27 years before an appeal found him innocent of the crime (BBC 2002). </w:t>
      </w:r>
      <w:r w:rsidR="00E47B36">
        <w:rPr>
          <w:sz w:val="24"/>
          <w:szCs w:val="24"/>
        </w:rPr>
        <w:t>W</w:t>
      </w:r>
      <w:r>
        <w:rPr>
          <w:sz w:val="24"/>
          <w:szCs w:val="24"/>
        </w:rPr>
        <w:t xml:space="preserve">hat had been the convicting </w:t>
      </w:r>
      <w:r w:rsidR="00E47B36">
        <w:rPr>
          <w:sz w:val="24"/>
          <w:szCs w:val="24"/>
        </w:rPr>
        <w:t>pieces of evidence against the man? He was covered in the victim’s blood and had confessed to the murder in a written statement (BBC 2002), but the appeal found error in both of these points: firstly the blood that was found on Downing’s clothes could well have been inflicted by contact with the dying woman – Downing was both the finder and reporter of the incident, at the time Sewell was still alive though she would die shortly after (BBC 2002). Finally, the confession itself was done in conditions that</w:t>
      </w:r>
      <w:r w:rsidR="00670A00">
        <w:rPr>
          <w:sz w:val="24"/>
          <w:szCs w:val="24"/>
        </w:rPr>
        <w:t xml:space="preserve"> under scrutiny,</w:t>
      </w:r>
      <w:r w:rsidR="00E47B36">
        <w:rPr>
          <w:sz w:val="24"/>
          <w:szCs w:val="24"/>
        </w:rPr>
        <w:t xml:space="preserve"> question</w:t>
      </w:r>
      <w:r w:rsidR="00670A00">
        <w:rPr>
          <w:sz w:val="24"/>
          <w:szCs w:val="24"/>
        </w:rPr>
        <w:t>s</w:t>
      </w:r>
      <w:r w:rsidR="00E47B36">
        <w:rPr>
          <w:sz w:val="24"/>
          <w:szCs w:val="24"/>
        </w:rPr>
        <w:t xml:space="preserve"> the genuine nature of the statement.</w:t>
      </w:r>
      <w:r w:rsidR="007C1CA1">
        <w:rPr>
          <w:sz w:val="24"/>
          <w:szCs w:val="24"/>
        </w:rPr>
        <w:t xml:space="preserve"> The interrogation underwent by the police varies from 8 hours (BBC 2002) to 16 (Herbert &amp; Burrell 2000), depending on the source but what is consistent is the lack of a solicitor in the interview who could have advised Downing legally. As Kassin</w:t>
      </w:r>
      <w:r w:rsidR="00887DFF">
        <w:rPr>
          <w:sz w:val="24"/>
          <w:szCs w:val="24"/>
        </w:rPr>
        <w:t xml:space="preserve"> (2008:249) notes, innocent individuals may confess to crimes they did not do as a way of escaping a stressful situations and also puts forward a finding that younger individuals are more likely to be at risk of confessing despite being innocen</w:t>
      </w:r>
      <w:r w:rsidR="00BC2056">
        <w:rPr>
          <w:sz w:val="24"/>
          <w:szCs w:val="24"/>
        </w:rPr>
        <w:t>t</w:t>
      </w:r>
      <w:r w:rsidR="00887DFF">
        <w:rPr>
          <w:sz w:val="24"/>
          <w:szCs w:val="24"/>
        </w:rPr>
        <w:t xml:space="preserve"> (p.251). Downing was particularly vulnerable, his age was 17 at the time and yet he had a reading age of around 11 (BBC 2002, Herbert &amp; Burrell 2000) and his humble profession of gardening made it unlikely that he had any experience of legal proceedings, ergo the significance of not having a solicitor in the interrogation. To say that Downing was under severe pressure and stress is an understatement: combined with the marathon of the interrogation (which even at the lower estimate is still a </w:t>
      </w:r>
      <w:r w:rsidR="00571D1B">
        <w:rPr>
          <w:sz w:val="24"/>
          <w:szCs w:val="24"/>
        </w:rPr>
        <w:t>wearing length of</w:t>
      </w:r>
      <w:r w:rsidR="00887DFF">
        <w:rPr>
          <w:sz w:val="24"/>
          <w:szCs w:val="24"/>
        </w:rPr>
        <w:t xml:space="preserve"> time) he had also witnessed a critically and viscerally injured woman, something that would be certainly a traumatic shock to the average lay person. </w:t>
      </w:r>
    </w:p>
    <w:p w14:paraId="28DF57E2" w14:textId="528F23EB" w:rsidR="00CA1949" w:rsidRDefault="00887744">
      <w:pPr>
        <w:rPr>
          <w:sz w:val="24"/>
          <w:szCs w:val="24"/>
        </w:rPr>
      </w:pPr>
      <w:r>
        <w:rPr>
          <w:sz w:val="24"/>
          <w:szCs w:val="24"/>
        </w:rPr>
        <w:t xml:space="preserve">Something that is now required during an interview is a video or audio recording, of which is sealed and subject to Chain of Custody just as carefully as an exhibit from the scene of crime </w:t>
      </w:r>
      <w:r>
        <w:rPr>
          <w:sz w:val="24"/>
          <w:szCs w:val="24"/>
        </w:rPr>
        <w:lastRenderedPageBreak/>
        <w:t>(HSE no date)</w:t>
      </w:r>
      <w:r w:rsidR="00585638">
        <w:rPr>
          <w:sz w:val="24"/>
          <w:szCs w:val="24"/>
        </w:rPr>
        <w:t xml:space="preserve">. This recording should allow the judge and jury to make better judgements on the nature of confessions and reduces the likelihood of police misconduct during interviews. </w:t>
      </w:r>
      <w:r w:rsidR="00D23F61">
        <w:rPr>
          <w:sz w:val="24"/>
          <w:szCs w:val="24"/>
        </w:rPr>
        <w:t xml:space="preserve">However Kassin (2008:252) still suggests there is a long way to </w:t>
      </w:r>
      <w:r w:rsidR="003C74BE">
        <w:rPr>
          <w:sz w:val="24"/>
          <w:szCs w:val="24"/>
        </w:rPr>
        <w:t xml:space="preserve">go, that judges and police officers should be given additional training to understand the psychology behind confessions, and that efforts should be made to improve the nature of interview strategies in order to reduce the likelihood of an innocent confession. </w:t>
      </w:r>
      <w:r w:rsidR="00810A7A">
        <w:rPr>
          <w:sz w:val="24"/>
          <w:szCs w:val="24"/>
        </w:rPr>
        <w:t xml:space="preserve">One could argue that the recommend procedure is that interviews and/or their recordings are always overseen by a psychologist and that a mental record of the individual (if it exists) is overseen before interview. </w:t>
      </w:r>
      <w:r w:rsidR="00C24AA8">
        <w:rPr>
          <w:sz w:val="24"/>
          <w:szCs w:val="24"/>
        </w:rPr>
        <w:t>In the R. vs Hodgson case, Hodgson often retracted his confessions and in his appeal the confession was</w:t>
      </w:r>
      <w:r w:rsidR="004547A0">
        <w:rPr>
          <w:sz w:val="24"/>
          <w:szCs w:val="24"/>
        </w:rPr>
        <w:t xml:space="preserve"> argued as</w:t>
      </w:r>
      <w:r w:rsidR="00C24AA8">
        <w:rPr>
          <w:sz w:val="24"/>
          <w:szCs w:val="24"/>
        </w:rPr>
        <w:t xml:space="preserve"> a result of</w:t>
      </w:r>
      <w:r w:rsidR="003C6FBC">
        <w:rPr>
          <w:sz w:val="24"/>
          <w:szCs w:val="24"/>
        </w:rPr>
        <w:t xml:space="preserve"> him</w:t>
      </w:r>
      <w:r w:rsidR="00C24AA8">
        <w:rPr>
          <w:sz w:val="24"/>
          <w:szCs w:val="24"/>
        </w:rPr>
        <w:t xml:space="preserve"> being a pathological liar (Royal Courts of Justice 2009:Clause 35). His deceptive </w:t>
      </w:r>
      <w:r w:rsidR="001E6F38">
        <w:rPr>
          <w:sz w:val="24"/>
          <w:szCs w:val="24"/>
        </w:rPr>
        <w:t>nature</w:t>
      </w:r>
      <w:r w:rsidR="00C24AA8">
        <w:rPr>
          <w:sz w:val="24"/>
          <w:szCs w:val="24"/>
        </w:rPr>
        <w:t xml:space="preserve"> w</w:t>
      </w:r>
      <w:r w:rsidR="001E6F38">
        <w:rPr>
          <w:sz w:val="24"/>
          <w:szCs w:val="24"/>
        </w:rPr>
        <w:t>as</w:t>
      </w:r>
      <w:r w:rsidR="00C24AA8">
        <w:rPr>
          <w:sz w:val="24"/>
          <w:szCs w:val="24"/>
        </w:rPr>
        <w:t xml:space="preserve"> strong enough to convict him, and this would remain</w:t>
      </w:r>
      <w:r w:rsidR="004B373E">
        <w:rPr>
          <w:sz w:val="24"/>
          <w:szCs w:val="24"/>
        </w:rPr>
        <w:t xml:space="preserve"> as the case</w:t>
      </w:r>
      <w:r w:rsidR="00C24AA8">
        <w:rPr>
          <w:sz w:val="24"/>
          <w:szCs w:val="24"/>
        </w:rPr>
        <w:t xml:space="preserve"> were it not for DNA testing that concluded he was not the killer (Clause 6).</w:t>
      </w:r>
      <w:r w:rsidR="009521C7">
        <w:rPr>
          <w:sz w:val="24"/>
          <w:szCs w:val="24"/>
        </w:rPr>
        <w:t xml:space="preserve"> </w:t>
      </w:r>
      <w:r w:rsidR="00F56E74">
        <w:rPr>
          <w:sz w:val="24"/>
          <w:szCs w:val="24"/>
        </w:rPr>
        <w:t>Alternatively,</w:t>
      </w:r>
      <w:r w:rsidR="009521C7">
        <w:rPr>
          <w:sz w:val="24"/>
          <w:szCs w:val="24"/>
        </w:rPr>
        <w:t xml:space="preserve"> the use of </w:t>
      </w:r>
      <w:r w:rsidR="00F56E74">
        <w:rPr>
          <w:sz w:val="24"/>
          <w:szCs w:val="24"/>
        </w:rPr>
        <w:t>poor mental health has been used as a way of mitigating responsibility of crime. The controversial condition of DID or Dissociative Identity Disorder, known in popular culture as split personality disorder has occasionally, without success, been used as a defence for serious crimes in order to evoke ‘not guilty by reason of insanity’ (Farrell 2011</w:t>
      </w:r>
      <w:r w:rsidR="00DA0D68">
        <w:rPr>
          <w:sz w:val="24"/>
          <w:szCs w:val="24"/>
        </w:rPr>
        <w:t>a</w:t>
      </w:r>
      <w:r w:rsidR="00F56E74">
        <w:rPr>
          <w:sz w:val="24"/>
          <w:szCs w:val="24"/>
        </w:rPr>
        <w:t xml:space="preserve">:33). </w:t>
      </w:r>
      <w:r w:rsidR="00DA0D68">
        <w:rPr>
          <w:sz w:val="24"/>
          <w:szCs w:val="24"/>
        </w:rPr>
        <w:t>T</w:t>
      </w:r>
      <w:r w:rsidR="00F56E74">
        <w:rPr>
          <w:sz w:val="24"/>
          <w:szCs w:val="24"/>
        </w:rPr>
        <w:t>his is a very hazy area in psychology</w:t>
      </w:r>
      <w:r w:rsidR="00DA0D68">
        <w:rPr>
          <w:sz w:val="24"/>
          <w:szCs w:val="24"/>
        </w:rPr>
        <w:t xml:space="preserve"> with research into the disorder steeped in poor methodology and misconduct (Farrell 2011b:402) – perhaps a poignant reminder that a lack of integrity within even peripheral disciplines of forensics can </w:t>
      </w:r>
      <w:r w:rsidR="00D76410">
        <w:rPr>
          <w:sz w:val="24"/>
          <w:szCs w:val="24"/>
        </w:rPr>
        <w:t>affect</w:t>
      </w:r>
      <w:r w:rsidR="00DA0D68">
        <w:rPr>
          <w:sz w:val="24"/>
          <w:szCs w:val="24"/>
        </w:rPr>
        <w:t xml:space="preserve"> the entire system.</w:t>
      </w:r>
      <w:r w:rsidR="00F56E74">
        <w:rPr>
          <w:sz w:val="24"/>
          <w:szCs w:val="24"/>
        </w:rPr>
        <w:t xml:space="preserve"> </w:t>
      </w:r>
      <w:r w:rsidR="00D76410">
        <w:rPr>
          <w:sz w:val="24"/>
          <w:szCs w:val="24"/>
        </w:rPr>
        <w:t xml:space="preserve">Overall DID rarely finds success as a defence in court as the condition cannot speak for a lack of criminal responsibility. Even </w:t>
      </w:r>
      <w:r w:rsidR="00D76410">
        <w:rPr>
          <w:sz w:val="24"/>
          <w:szCs w:val="24"/>
          <w:u w:val="single"/>
        </w:rPr>
        <w:t>if</w:t>
      </w:r>
      <w:r w:rsidR="00D76410">
        <w:rPr>
          <w:sz w:val="24"/>
          <w:szCs w:val="24"/>
        </w:rPr>
        <w:t xml:space="preserve"> the defendant committed a serious crime under the influence of DID, it would be very unwise to release the person with such a dangerous condition. However, as understanding and sympathy for mental illnesses grow, so does the danger that certain individuals with ill intent will try to exploit this trust and compassion. DID as a disorder may not be a successful line of defence, but who knows what other disorders may be used as a legal smokescreen. </w:t>
      </w:r>
      <w:r w:rsidR="00CA1949">
        <w:rPr>
          <w:sz w:val="24"/>
          <w:szCs w:val="24"/>
        </w:rPr>
        <w:t>One could even argue whether insanity should be used as a reduction of culpability at all: perhaps individuals who recognise conditions within themselves have a responsibility to reduce the threat that condition can pose? Perhaps culpability lies upon specialists or next of kin who positioned said individual in a situation that increased the danger of that condition?</w:t>
      </w:r>
      <w:r w:rsidR="00EF331E">
        <w:rPr>
          <w:sz w:val="24"/>
          <w:szCs w:val="24"/>
        </w:rPr>
        <w:t xml:space="preserve"> The human mind remains to be an enigmatic and complicated element, though forensic psychologists strive to further our understanding we may never truly unlock all its secrets.</w:t>
      </w:r>
    </w:p>
    <w:p w14:paraId="32A32F67" w14:textId="322CD8CB" w:rsidR="00EF331E" w:rsidRDefault="00EF331E">
      <w:pPr>
        <w:rPr>
          <w:sz w:val="24"/>
          <w:szCs w:val="24"/>
        </w:rPr>
      </w:pPr>
      <w:r>
        <w:rPr>
          <w:sz w:val="24"/>
          <w:szCs w:val="24"/>
          <w:u w:val="single"/>
        </w:rPr>
        <w:t>Conclusion</w:t>
      </w:r>
    </w:p>
    <w:p w14:paraId="7D85ADD9" w14:textId="7C9FB073" w:rsidR="00EF331E" w:rsidRDefault="00EF7D31">
      <w:pPr>
        <w:rPr>
          <w:sz w:val="24"/>
          <w:szCs w:val="24"/>
        </w:rPr>
      </w:pPr>
      <w:r>
        <w:rPr>
          <w:sz w:val="24"/>
          <w:szCs w:val="24"/>
        </w:rPr>
        <w:t>As we have seen within the case studies, integrity within forensics lies upon multiple factors – certainly not exhaustive within this text.</w:t>
      </w:r>
      <w:r w:rsidR="00AE484B">
        <w:rPr>
          <w:sz w:val="24"/>
          <w:szCs w:val="24"/>
        </w:rPr>
        <w:t xml:space="preserve"> Firstly, is the need for disclosure, that provides the court with a holistic variety of evidence on which a conviction or clearance of charges can be based on. In the third case study we explored the necessity for vulnerable suspects to given legal and psychological support (even if they are without any mental illnesses) in order to prevent a false confession. In all three cases, the most live saving element was the ability for appeal which changed the outcome of all three cases. The second case study demonstrated that the desire to review unsafe convictions predates even the discovery of DNA and that scepticism over possible abuses of power are nothing new.</w:t>
      </w:r>
      <w:r w:rsidR="008B62A8">
        <w:rPr>
          <w:sz w:val="24"/>
          <w:szCs w:val="24"/>
        </w:rPr>
        <w:t xml:space="preserve"> </w:t>
      </w:r>
    </w:p>
    <w:p w14:paraId="154125C3" w14:textId="0AEFD7A2" w:rsidR="008B62A8" w:rsidRPr="00EF331E" w:rsidRDefault="008B62A8">
      <w:pPr>
        <w:rPr>
          <w:sz w:val="24"/>
          <w:szCs w:val="24"/>
        </w:rPr>
      </w:pPr>
      <w:r>
        <w:rPr>
          <w:sz w:val="24"/>
          <w:szCs w:val="24"/>
        </w:rPr>
        <w:lastRenderedPageBreak/>
        <w:t xml:space="preserve">It should be stated that these case studies may be the lucky ones, and who knows how many innocent individuals have been </w:t>
      </w:r>
      <w:r w:rsidR="00293776">
        <w:rPr>
          <w:sz w:val="24"/>
          <w:szCs w:val="24"/>
        </w:rPr>
        <w:t>convicted</w:t>
      </w:r>
      <w:r>
        <w:rPr>
          <w:sz w:val="24"/>
          <w:szCs w:val="24"/>
        </w:rPr>
        <w:t xml:space="preserve"> for a lack of integrity in forensics, in the UK or around the globe. It is hopeful that the ordeals of the Maguire Six, Birmingham Seven, Downing and Slater were not in vain and that they serve as a call to arms to iron out voids of integrity wherever they may arise – not just in forensics, but in all elements of the world.</w:t>
      </w:r>
    </w:p>
    <w:p w14:paraId="092770F6" w14:textId="6EA0C62B" w:rsidR="00887DFF" w:rsidRPr="00D76410" w:rsidRDefault="00CA1949">
      <w:pPr>
        <w:rPr>
          <w:sz w:val="24"/>
          <w:szCs w:val="24"/>
        </w:rPr>
      </w:pPr>
      <w:r>
        <w:rPr>
          <w:sz w:val="24"/>
          <w:szCs w:val="24"/>
        </w:rPr>
        <w:t xml:space="preserve"> </w:t>
      </w:r>
    </w:p>
    <w:p w14:paraId="6338008E" w14:textId="31EF4610" w:rsidR="00C607C7" w:rsidRDefault="00C607C7">
      <w:pPr>
        <w:rPr>
          <w:sz w:val="24"/>
          <w:szCs w:val="24"/>
          <w:u w:val="single"/>
        </w:rPr>
      </w:pPr>
      <w:r w:rsidRPr="00C607C7">
        <w:rPr>
          <w:sz w:val="24"/>
          <w:szCs w:val="24"/>
          <w:u w:val="single"/>
        </w:rPr>
        <w:t xml:space="preserve">Reference list </w:t>
      </w:r>
    </w:p>
    <w:p w14:paraId="5CAEE1C8" w14:textId="2EAB90C1" w:rsidR="006914D8" w:rsidRDefault="006914D8" w:rsidP="00C607C7">
      <w:pPr>
        <w:rPr>
          <w:sz w:val="24"/>
          <w:szCs w:val="24"/>
        </w:rPr>
      </w:pPr>
      <w:r>
        <w:rPr>
          <w:sz w:val="24"/>
          <w:szCs w:val="24"/>
        </w:rPr>
        <w:t>APA 2003.</w:t>
      </w:r>
      <w:r w:rsidR="00742440">
        <w:rPr>
          <w:sz w:val="24"/>
          <w:szCs w:val="24"/>
        </w:rPr>
        <w:t xml:space="preserve"> ‘</w:t>
      </w:r>
      <w:r w:rsidR="00742440" w:rsidRPr="00742440">
        <w:rPr>
          <w:sz w:val="24"/>
          <w:szCs w:val="24"/>
        </w:rPr>
        <w:t>Ethical Principles of Psychologists and Code of Conduct</w:t>
      </w:r>
      <w:r w:rsidR="00742440">
        <w:rPr>
          <w:sz w:val="24"/>
          <w:szCs w:val="24"/>
        </w:rPr>
        <w:t>’.</w:t>
      </w:r>
      <w:r w:rsidR="007250E0">
        <w:rPr>
          <w:sz w:val="24"/>
          <w:szCs w:val="24"/>
        </w:rPr>
        <w:t xml:space="preserve"> </w:t>
      </w:r>
      <w:hyperlink r:id="rId8" w:history="1">
        <w:r w:rsidR="00742440" w:rsidRPr="00A50437">
          <w:rPr>
            <w:rStyle w:val="Hyperlink"/>
            <w:sz w:val="24"/>
            <w:szCs w:val="24"/>
          </w:rPr>
          <w:t>https://www.apa.org/ethics/code</w:t>
        </w:r>
      </w:hyperlink>
      <w:r w:rsidR="00742440">
        <w:rPr>
          <w:sz w:val="24"/>
          <w:szCs w:val="24"/>
        </w:rPr>
        <w:t xml:space="preserve"> Accessed 07/12/2019.</w:t>
      </w:r>
    </w:p>
    <w:p w14:paraId="0E6C00F4" w14:textId="4FF392E5" w:rsidR="0006152B" w:rsidRDefault="0006152B" w:rsidP="00C607C7">
      <w:pPr>
        <w:rPr>
          <w:sz w:val="24"/>
          <w:szCs w:val="24"/>
        </w:rPr>
      </w:pPr>
      <w:r>
        <w:rPr>
          <w:sz w:val="24"/>
          <w:szCs w:val="24"/>
        </w:rPr>
        <w:t>BBC 2002. ‘</w:t>
      </w:r>
      <w:r w:rsidRPr="0006152B">
        <w:rPr>
          <w:sz w:val="24"/>
          <w:szCs w:val="24"/>
        </w:rPr>
        <w:t>Downing murder conviction quashed</w:t>
      </w:r>
      <w:r>
        <w:rPr>
          <w:sz w:val="24"/>
          <w:szCs w:val="24"/>
        </w:rPr>
        <w:t xml:space="preserve">’ </w:t>
      </w:r>
      <w:hyperlink r:id="rId9" w:history="1">
        <w:r w:rsidRPr="005C6302">
          <w:rPr>
            <w:rStyle w:val="Hyperlink"/>
            <w:sz w:val="24"/>
            <w:szCs w:val="24"/>
          </w:rPr>
          <w:t>http://news.bbc.co.uk/1/hi/england/1760754.stm</w:t>
        </w:r>
      </w:hyperlink>
      <w:r>
        <w:rPr>
          <w:sz w:val="24"/>
          <w:szCs w:val="24"/>
        </w:rPr>
        <w:t xml:space="preserve"> Accessed 17/12/2019. </w:t>
      </w:r>
    </w:p>
    <w:p w14:paraId="6F751CD4" w14:textId="2E01998A" w:rsidR="00C607C7" w:rsidRPr="00C607C7" w:rsidRDefault="00C607C7" w:rsidP="00C607C7">
      <w:pPr>
        <w:rPr>
          <w:sz w:val="24"/>
          <w:szCs w:val="24"/>
        </w:rPr>
      </w:pPr>
      <w:r w:rsidRPr="00C607C7">
        <w:rPr>
          <w:sz w:val="24"/>
          <w:szCs w:val="24"/>
        </w:rPr>
        <w:t>Buckley R. &amp; Langley A.</w:t>
      </w:r>
      <w:r>
        <w:rPr>
          <w:sz w:val="24"/>
          <w:szCs w:val="24"/>
        </w:rPr>
        <w:t xml:space="preserve"> 2012. ‘Aspects of crime scene management’, in </w:t>
      </w:r>
      <w:r w:rsidRPr="00C607C7">
        <w:rPr>
          <w:i/>
          <w:iCs/>
          <w:sz w:val="24"/>
          <w:szCs w:val="24"/>
        </w:rPr>
        <w:t xml:space="preserve">Forensic Ecology Handbook: From Crime Scene to Court </w:t>
      </w:r>
      <w:r>
        <w:rPr>
          <w:sz w:val="24"/>
          <w:szCs w:val="24"/>
        </w:rPr>
        <w:t xml:space="preserve">(editors </w:t>
      </w:r>
      <w:r w:rsidRPr="00C607C7">
        <w:rPr>
          <w:sz w:val="24"/>
          <w:szCs w:val="24"/>
        </w:rPr>
        <w:t xml:space="preserve">Marquez-Grant N. &amp; Roberts J.). </w:t>
      </w:r>
      <w:r>
        <w:rPr>
          <w:sz w:val="24"/>
          <w:szCs w:val="24"/>
        </w:rPr>
        <w:t xml:space="preserve">Wiley- Blackwell, </w:t>
      </w:r>
      <w:r w:rsidRPr="00C607C7">
        <w:rPr>
          <w:sz w:val="24"/>
          <w:szCs w:val="24"/>
        </w:rPr>
        <w:t>Chichester, West Sussex, England</w:t>
      </w:r>
      <w:r>
        <w:rPr>
          <w:sz w:val="24"/>
          <w:szCs w:val="24"/>
        </w:rPr>
        <w:t>.</w:t>
      </w:r>
    </w:p>
    <w:p w14:paraId="260E07A0" w14:textId="55ECD6C6" w:rsidR="00891C7F" w:rsidRDefault="00891C7F" w:rsidP="00891C7F">
      <w:pPr>
        <w:rPr>
          <w:sz w:val="24"/>
          <w:szCs w:val="24"/>
        </w:rPr>
      </w:pPr>
      <w:r>
        <w:rPr>
          <w:sz w:val="24"/>
          <w:szCs w:val="24"/>
        </w:rPr>
        <w:t xml:space="preserve">CCRC no date. ‘What We Do’. </w:t>
      </w:r>
      <w:hyperlink r:id="rId10" w:history="1">
        <w:r w:rsidRPr="00804D12">
          <w:rPr>
            <w:rStyle w:val="Hyperlink"/>
            <w:sz w:val="24"/>
            <w:szCs w:val="24"/>
          </w:rPr>
          <w:t>https://ccrc.gov.uk/about-us/what-we-do/</w:t>
        </w:r>
      </w:hyperlink>
      <w:r>
        <w:rPr>
          <w:sz w:val="24"/>
          <w:szCs w:val="24"/>
        </w:rPr>
        <w:t xml:space="preserve"> Accessed 05/12/2019. </w:t>
      </w:r>
    </w:p>
    <w:p w14:paraId="71E84B80" w14:textId="19C5C810" w:rsidR="00891C7F" w:rsidRDefault="00891C7F" w:rsidP="00C607C7">
      <w:pPr>
        <w:rPr>
          <w:sz w:val="24"/>
          <w:szCs w:val="24"/>
        </w:rPr>
      </w:pPr>
      <w:r>
        <w:rPr>
          <w:sz w:val="24"/>
          <w:szCs w:val="24"/>
        </w:rPr>
        <w:t xml:space="preserve">CCRC no date. ‘Our History’. </w:t>
      </w:r>
      <w:hyperlink r:id="rId11" w:history="1">
        <w:r w:rsidRPr="00804D12">
          <w:rPr>
            <w:rStyle w:val="Hyperlink"/>
            <w:sz w:val="24"/>
            <w:szCs w:val="24"/>
          </w:rPr>
          <w:t>https://ccrc.gov.uk/about-us/our-history/</w:t>
        </w:r>
      </w:hyperlink>
      <w:r>
        <w:rPr>
          <w:sz w:val="24"/>
          <w:szCs w:val="24"/>
        </w:rPr>
        <w:t xml:space="preserve"> Accessed 05/12/2019. </w:t>
      </w:r>
    </w:p>
    <w:p w14:paraId="3564FFC8" w14:textId="4AC347E0" w:rsidR="00B10A26" w:rsidRDefault="00B10A26" w:rsidP="00C607C7">
      <w:pPr>
        <w:rPr>
          <w:sz w:val="24"/>
          <w:szCs w:val="24"/>
        </w:rPr>
      </w:pPr>
      <w:r>
        <w:rPr>
          <w:sz w:val="24"/>
          <w:szCs w:val="24"/>
        </w:rPr>
        <w:t>Criminal Justice Act 2003.</w:t>
      </w:r>
      <w:bookmarkStart w:id="0" w:name="_GoBack"/>
      <w:bookmarkEnd w:id="0"/>
    </w:p>
    <w:p w14:paraId="2DD2FBEE" w14:textId="5A637AA5" w:rsidR="005A121A" w:rsidRDefault="005A121A" w:rsidP="00C607C7">
      <w:pPr>
        <w:rPr>
          <w:sz w:val="24"/>
          <w:szCs w:val="24"/>
        </w:rPr>
      </w:pPr>
      <w:r w:rsidRPr="005A121A">
        <w:rPr>
          <w:sz w:val="24"/>
          <w:szCs w:val="24"/>
        </w:rPr>
        <w:t>Criminal Procedure and Investigations Act 1996</w:t>
      </w:r>
      <w:r>
        <w:rPr>
          <w:sz w:val="24"/>
          <w:szCs w:val="24"/>
        </w:rPr>
        <w:t xml:space="preserve">. </w:t>
      </w:r>
      <w:hyperlink r:id="rId12" w:history="1">
        <w:r w:rsidR="00A434D1" w:rsidRPr="00A50437">
          <w:rPr>
            <w:rStyle w:val="Hyperlink"/>
            <w:sz w:val="24"/>
            <w:szCs w:val="24"/>
          </w:rPr>
          <w:t>https://www.legislation.gov.uk/ukpga/1996/25/contents</w:t>
        </w:r>
      </w:hyperlink>
      <w:r w:rsidR="00A434D1">
        <w:rPr>
          <w:sz w:val="24"/>
          <w:szCs w:val="24"/>
        </w:rPr>
        <w:t xml:space="preserve"> Accessed 07/12/2019. </w:t>
      </w:r>
    </w:p>
    <w:p w14:paraId="4DFB470D" w14:textId="7831C55D" w:rsidR="00F56E74" w:rsidRPr="00DA0D68" w:rsidRDefault="00F56E74" w:rsidP="00C607C7">
      <w:pPr>
        <w:rPr>
          <w:sz w:val="24"/>
          <w:szCs w:val="24"/>
        </w:rPr>
      </w:pPr>
      <w:r>
        <w:rPr>
          <w:sz w:val="24"/>
          <w:szCs w:val="24"/>
        </w:rPr>
        <w:t>Farrell H.M. 2011</w:t>
      </w:r>
      <w:r w:rsidR="00DA0D68">
        <w:rPr>
          <w:sz w:val="24"/>
          <w:szCs w:val="24"/>
        </w:rPr>
        <w:t>a</w:t>
      </w:r>
      <w:r>
        <w:rPr>
          <w:sz w:val="24"/>
          <w:szCs w:val="24"/>
        </w:rPr>
        <w:t>. ‘</w:t>
      </w:r>
      <w:r w:rsidRPr="00F56E74">
        <w:rPr>
          <w:sz w:val="24"/>
          <w:szCs w:val="24"/>
        </w:rPr>
        <w:t>Dissociative identity disorder: No excuse for criminal activit</w:t>
      </w:r>
      <w:r>
        <w:rPr>
          <w:sz w:val="24"/>
          <w:szCs w:val="24"/>
        </w:rPr>
        <w:t>y</w:t>
      </w:r>
      <w:r w:rsidR="00DA0D68">
        <w:rPr>
          <w:sz w:val="24"/>
          <w:szCs w:val="24"/>
        </w:rPr>
        <w:t xml:space="preserve">’, in </w:t>
      </w:r>
      <w:r w:rsidR="00DA0D68">
        <w:rPr>
          <w:i/>
          <w:iCs/>
          <w:sz w:val="24"/>
          <w:szCs w:val="24"/>
        </w:rPr>
        <w:t>Current Psychiatry</w:t>
      </w:r>
      <w:r w:rsidR="00DA0D68">
        <w:rPr>
          <w:sz w:val="24"/>
          <w:szCs w:val="24"/>
        </w:rPr>
        <w:t xml:space="preserve">. Vol.10, No.6. </w:t>
      </w:r>
    </w:p>
    <w:p w14:paraId="0D1F6E78" w14:textId="1C9A061F" w:rsidR="00DA0D68" w:rsidRPr="00DA0D68" w:rsidRDefault="00DA0D68" w:rsidP="00C607C7">
      <w:pPr>
        <w:rPr>
          <w:sz w:val="24"/>
          <w:szCs w:val="24"/>
        </w:rPr>
      </w:pPr>
      <w:r>
        <w:rPr>
          <w:sz w:val="24"/>
          <w:szCs w:val="24"/>
        </w:rPr>
        <w:t>Farrell H.M. 2011b. ‘</w:t>
      </w:r>
      <w:r w:rsidRPr="00DA0D68">
        <w:rPr>
          <w:sz w:val="24"/>
          <w:szCs w:val="24"/>
        </w:rPr>
        <w:t>Dissociative Identity Disorder: Medicolegal Challenges</w:t>
      </w:r>
      <w:r>
        <w:rPr>
          <w:sz w:val="24"/>
          <w:szCs w:val="24"/>
        </w:rPr>
        <w:t xml:space="preserve">’, in </w:t>
      </w:r>
      <w:r w:rsidRPr="00DA0D68">
        <w:rPr>
          <w:i/>
          <w:iCs/>
          <w:sz w:val="24"/>
          <w:szCs w:val="24"/>
        </w:rPr>
        <w:t>The Journal of the American Academy of Psychiatry and the Law</w:t>
      </w:r>
      <w:r>
        <w:rPr>
          <w:sz w:val="24"/>
          <w:szCs w:val="24"/>
        </w:rPr>
        <w:t xml:space="preserve">. </w:t>
      </w:r>
      <w:r w:rsidR="00D76410">
        <w:rPr>
          <w:sz w:val="24"/>
          <w:szCs w:val="24"/>
        </w:rPr>
        <w:t>Vol.39.</w:t>
      </w:r>
    </w:p>
    <w:p w14:paraId="74C3A245" w14:textId="286D88A2" w:rsidR="00585638" w:rsidRDefault="00585638" w:rsidP="00C607C7">
      <w:pPr>
        <w:rPr>
          <w:sz w:val="24"/>
          <w:szCs w:val="24"/>
        </w:rPr>
      </w:pPr>
      <w:r>
        <w:rPr>
          <w:sz w:val="24"/>
          <w:szCs w:val="24"/>
        </w:rPr>
        <w:t>Health and Safety Executive no date. ‘</w:t>
      </w:r>
      <w:r w:rsidR="00D23F61" w:rsidRPr="00D23F61">
        <w:rPr>
          <w:sz w:val="24"/>
          <w:szCs w:val="24"/>
        </w:rPr>
        <w:t>Interviewing suspects</w:t>
      </w:r>
      <w:r w:rsidR="00D23F61">
        <w:rPr>
          <w:sz w:val="24"/>
          <w:szCs w:val="24"/>
        </w:rPr>
        <w:t xml:space="preserve">’ </w:t>
      </w:r>
      <w:hyperlink r:id="rId13" w:history="1">
        <w:r w:rsidR="00D23F61" w:rsidRPr="00604395">
          <w:rPr>
            <w:rStyle w:val="Hyperlink"/>
            <w:sz w:val="24"/>
            <w:szCs w:val="24"/>
          </w:rPr>
          <w:t>https://www.hse.gov.uk/enforce/enforcementguide/investigation/witness-questioning.htm#</w:t>
        </w:r>
      </w:hyperlink>
      <w:r w:rsidR="00D23F61">
        <w:rPr>
          <w:sz w:val="24"/>
          <w:szCs w:val="24"/>
        </w:rPr>
        <w:t xml:space="preserve"> Accessed 18/12/2019.</w:t>
      </w:r>
    </w:p>
    <w:p w14:paraId="334C8782" w14:textId="5CCB0D21" w:rsidR="007C1CA1" w:rsidRDefault="007C1CA1" w:rsidP="00C607C7">
      <w:pPr>
        <w:rPr>
          <w:sz w:val="24"/>
          <w:szCs w:val="24"/>
        </w:rPr>
      </w:pPr>
      <w:r>
        <w:rPr>
          <w:sz w:val="24"/>
          <w:szCs w:val="24"/>
        </w:rPr>
        <w:t>Herbert I. &amp; Burrell I. 2000. ‘</w:t>
      </w:r>
      <w:r w:rsidRPr="007C1CA1">
        <w:rPr>
          <w:sz w:val="24"/>
          <w:szCs w:val="24"/>
        </w:rPr>
        <w:t>Stephen Downing says he didn't do it. Nobody listened. Now, after 27 years in jail, he may be cleared of murder</w:t>
      </w:r>
      <w:r>
        <w:rPr>
          <w:sz w:val="24"/>
          <w:szCs w:val="24"/>
        </w:rPr>
        <w:t xml:space="preserve">’, in the </w:t>
      </w:r>
      <w:r>
        <w:rPr>
          <w:i/>
          <w:iCs/>
          <w:sz w:val="24"/>
          <w:szCs w:val="24"/>
        </w:rPr>
        <w:t xml:space="preserve">Independent. </w:t>
      </w:r>
      <w:r>
        <w:rPr>
          <w:sz w:val="24"/>
          <w:szCs w:val="24"/>
        </w:rPr>
        <w:t xml:space="preserve"> </w:t>
      </w:r>
      <w:hyperlink r:id="rId14" w:history="1">
        <w:r w:rsidRPr="005C6302">
          <w:rPr>
            <w:rStyle w:val="Hyperlink"/>
            <w:sz w:val="24"/>
            <w:szCs w:val="24"/>
          </w:rPr>
          <w:t>https://www.independent.co.uk/news/uk/home-news/stephen-downing-says-he-didnt-do-it-nobody-listened-now-after-27-years-in-jail-he-may-be-cleared-of-622184.html</w:t>
        </w:r>
      </w:hyperlink>
      <w:r>
        <w:rPr>
          <w:sz w:val="24"/>
          <w:szCs w:val="24"/>
        </w:rPr>
        <w:t xml:space="preserve"> Accessed 17/12/2019. </w:t>
      </w:r>
    </w:p>
    <w:p w14:paraId="1A54D364" w14:textId="5CF83469" w:rsidR="00A82286" w:rsidRDefault="00A82286" w:rsidP="00C607C7">
      <w:pPr>
        <w:rPr>
          <w:sz w:val="24"/>
          <w:szCs w:val="24"/>
        </w:rPr>
      </w:pPr>
      <w:r>
        <w:rPr>
          <w:sz w:val="24"/>
          <w:szCs w:val="24"/>
        </w:rPr>
        <w:t>Kassin S.M. 2008. ‘</w:t>
      </w:r>
      <w:r w:rsidRPr="00A82286">
        <w:rPr>
          <w:sz w:val="24"/>
          <w:szCs w:val="24"/>
        </w:rPr>
        <w:t>False Confessions Causes, Consequences, and Implications for Refor</w:t>
      </w:r>
      <w:r>
        <w:rPr>
          <w:sz w:val="24"/>
          <w:szCs w:val="24"/>
        </w:rPr>
        <w:t>m’, in Association for Psychological Science. Vol.17, No.4.</w:t>
      </w:r>
    </w:p>
    <w:p w14:paraId="1E4D6975" w14:textId="1FC19EB6" w:rsidR="00D43DFA" w:rsidRPr="00D43DFA" w:rsidRDefault="00D43DFA" w:rsidP="00C607C7">
      <w:pPr>
        <w:rPr>
          <w:sz w:val="24"/>
          <w:szCs w:val="24"/>
        </w:rPr>
      </w:pPr>
      <w:r>
        <w:rPr>
          <w:sz w:val="24"/>
          <w:szCs w:val="24"/>
        </w:rPr>
        <w:lastRenderedPageBreak/>
        <w:t>MacPherson H. 2017. ‘</w:t>
      </w:r>
      <w:r w:rsidRPr="00D43DFA">
        <w:rPr>
          <w:sz w:val="24"/>
          <w:szCs w:val="24"/>
        </w:rPr>
        <w:t>The Oscar Slater frame-up: How a murder trial changed Scots law</w:t>
      </w:r>
      <w:r>
        <w:rPr>
          <w:sz w:val="24"/>
          <w:szCs w:val="24"/>
        </w:rPr>
        <w:t xml:space="preserve">’, in </w:t>
      </w:r>
      <w:r>
        <w:rPr>
          <w:i/>
          <w:iCs/>
          <w:sz w:val="24"/>
          <w:szCs w:val="24"/>
        </w:rPr>
        <w:t>The National</w:t>
      </w:r>
      <w:r>
        <w:rPr>
          <w:sz w:val="24"/>
          <w:szCs w:val="24"/>
        </w:rPr>
        <w:t xml:space="preserve">. </w:t>
      </w:r>
      <w:hyperlink r:id="rId15" w:history="1">
        <w:r w:rsidRPr="00F47522">
          <w:rPr>
            <w:rStyle w:val="Hyperlink"/>
            <w:sz w:val="24"/>
            <w:szCs w:val="24"/>
          </w:rPr>
          <w:t>https://www.thenational.scot/news/15585823.the-oscar-slater-frame-up-how-a-murder-trial-changed-scots-law/</w:t>
        </w:r>
      </w:hyperlink>
      <w:r>
        <w:rPr>
          <w:sz w:val="24"/>
          <w:szCs w:val="24"/>
        </w:rPr>
        <w:t xml:space="preserve"> Accessed 16/12/2019. </w:t>
      </w:r>
    </w:p>
    <w:p w14:paraId="07847755" w14:textId="6C01DB78" w:rsidR="00C607C7" w:rsidRDefault="00493A02" w:rsidP="00C607C7">
      <w:pPr>
        <w:rPr>
          <w:sz w:val="24"/>
          <w:szCs w:val="24"/>
        </w:rPr>
      </w:pPr>
      <w:r>
        <w:rPr>
          <w:sz w:val="24"/>
          <w:szCs w:val="24"/>
        </w:rPr>
        <w:t>Morris J. 2003. ‘</w:t>
      </w:r>
      <w:r w:rsidRPr="00493A02">
        <w:rPr>
          <w:sz w:val="24"/>
          <w:szCs w:val="24"/>
        </w:rPr>
        <w:t>Maintaining System Integrity During Forensics</w:t>
      </w:r>
      <w:r>
        <w:rPr>
          <w:sz w:val="24"/>
          <w:szCs w:val="24"/>
        </w:rPr>
        <w:t xml:space="preserve">’, </w:t>
      </w:r>
      <w:hyperlink r:id="rId16" w:history="1">
        <w:r w:rsidRPr="0049172C">
          <w:rPr>
            <w:rStyle w:val="Hyperlink"/>
            <w:sz w:val="24"/>
            <w:szCs w:val="24"/>
          </w:rPr>
          <w:t>https://www.symantec.com/connect/articles/maintaining-system-integrity-during-forensics</w:t>
        </w:r>
      </w:hyperlink>
      <w:r>
        <w:rPr>
          <w:sz w:val="24"/>
          <w:szCs w:val="24"/>
        </w:rPr>
        <w:t xml:space="preserve"> [Accessed 02/12/2019]. </w:t>
      </w:r>
    </w:p>
    <w:p w14:paraId="39121DA5" w14:textId="0CE5A04D" w:rsidR="00A01A53" w:rsidRDefault="00A01A53" w:rsidP="00C607C7">
      <w:pPr>
        <w:rPr>
          <w:sz w:val="24"/>
          <w:szCs w:val="24"/>
        </w:rPr>
      </w:pPr>
      <w:r>
        <w:rPr>
          <w:sz w:val="24"/>
          <w:szCs w:val="24"/>
        </w:rPr>
        <w:t>Royal Courts of Justice 1991. ‘R. V. McIlkenny R. &amp; Ors</w:t>
      </w:r>
      <w:r w:rsidR="00D0051E">
        <w:rPr>
          <w:sz w:val="24"/>
          <w:szCs w:val="24"/>
        </w:rPr>
        <w:t>’</w:t>
      </w:r>
      <w:r>
        <w:rPr>
          <w:sz w:val="24"/>
          <w:szCs w:val="24"/>
        </w:rPr>
        <w:t xml:space="preserve">.  </w:t>
      </w:r>
    </w:p>
    <w:p w14:paraId="3814F624" w14:textId="77777777" w:rsidR="00C24AA8" w:rsidRDefault="00C24AA8" w:rsidP="00C24AA8">
      <w:pPr>
        <w:rPr>
          <w:rFonts w:cstheme="minorHAnsi"/>
          <w:sz w:val="24"/>
          <w:szCs w:val="24"/>
        </w:rPr>
      </w:pPr>
      <w:r>
        <w:rPr>
          <w:rFonts w:cstheme="minorHAnsi"/>
          <w:sz w:val="24"/>
          <w:szCs w:val="24"/>
        </w:rPr>
        <w:t>Royal Courts of Justice 2009. ‘Regina vs Hodgson R.G.’</w:t>
      </w:r>
    </w:p>
    <w:p w14:paraId="27CD4C3B" w14:textId="1D4745D6" w:rsidR="00C607C7" w:rsidRPr="00213002" w:rsidRDefault="00213002" w:rsidP="00C607C7">
      <w:pPr>
        <w:rPr>
          <w:sz w:val="24"/>
          <w:szCs w:val="24"/>
        </w:rPr>
      </w:pPr>
      <w:r>
        <w:rPr>
          <w:sz w:val="24"/>
          <w:szCs w:val="24"/>
        </w:rPr>
        <w:t>Schurr B. 1993. ‘</w:t>
      </w:r>
      <w:r w:rsidRPr="00213002">
        <w:rPr>
          <w:sz w:val="24"/>
          <w:szCs w:val="24"/>
        </w:rPr>
        <w:t>EXPERT WITNESSES AND THE DUTIES OF DISCLOSURE &amp; IMPARTIALITY: THE LESSONS OF THE IRA CASES IN ENGLAND.</w:t>
      </w:r>
      <w:r>
        <w:rPr>
          <w:sz w:val="24"/>
          <w:szCs w:val="24"/>
        </w:rPr>
        <w:t xml:space="preserve">’. </w:t>
      </w:r>
      <w:r w:rsidRPr="00213002">
        <w:rPr>
          <w:sz w:val="24"/>
          <w:szCs w:val="24"/>
        </w:rPr>
        <w:t>NSW Legal Aid Commission</w:t>
      </w:r>
      <w:r>
        <w:rPr>
          <w:sz w:val="24"/>
          <w:szCs w:val="24"/>
        </w:rPr>
        <w:t>, Sydney.</w:t>
      </w:r>
    </w:p>
    <w:p w14:paraId="533354F6" w14:textId="77777777" w:rsidR="00DC4989" w:rsidRPr="00C607C7" w:rsidRDefault="00DC4989" w:rsidP="00DC4989">
      <w:pPr>
        <w:rPr>
          <w:sz w:val="24"/>
          <w:szCs w:val="24"/>
        </w:rPr>
      </w:pPr>
      <w:r>
        <w:rPr>
          <w:sz w:val="24"/>
          <w:szCs w:val="24"/>
        </w:rPr>
        <w:t xml:space="preserve">Walbank M. &amp; McDonald A. 2012. ‘DNA analysis for victim identification’, in </w:t>
      </w:r>
      <w:r w:rsidRPr="00C607C7">
        <w:rPr>
          <w:i/>
          <w:iCs/>
          <w:sz w:val="24"/>
          <w:szCs w:val="24"/>
        </w:rPr>
        <w:t xml:space="preserve">Forensic Ecology Handbook: From Crime Scene to Court </w:t>
      </w:r>
      <w:r>
        <w:rPr>
          <w:sz w:val="24"/>
          <w:szCs w:val="24"/>
        </w:rPr>
        <w:t xml:space="preserve">(editors </w:t>
      </w:r>
      <w:r w:rsidRPr="00C607C7">
        <w:rPr>
          <w:sz w:val="24"/>
          <w:szCs w:val="24"/>
        </w:rPr>
        <w:t xml:space="preserve">Marquez-Grant N. &amp; Roberts J.). </w:t>
      </w:r>
      <w:r>
        <w:rPr>
          <w:sz w:val="24"/>
          <w:szCs w:val="24"/>
        </w:rPr>
        <w:t xml:space="preserve">Wiley- Blackwell, </w:t>
      </w:r>
      <w:r w:rsidRPr="00C607C7">
        <w:rPr>
          <w:sz w:val="24"/>
          <w:szCs w:val="24"/>
        </w:rPr>
        <w:t>Chichester, West Sussex, England</w:t>
      </w:r>
      <w:r>
        <w:rPr>
          <w:sz w:val="24"/>
          <w:szCs w:val="24"/>
        </w:rPr>
        <w:t>.</w:t>
      </w:r>
    </w:p>
    <w:p w14:paraId="7AFE3958" w14:textId="6EF09360" w:rsidR="00674974" w:rsidRPr="00674974" w:rsidRDefault="00674974" w:rsidP="00C607C7">
      <w:pPr>
        <w:rPr>
          <w:sz w:val="24"/>
          <w:szCs w:val="24"/>
        </w:rPr>
      </w:pPr>
      <w:r>
        <w:rPr>
          <w:sz w:val="24"/>
          <w:szCs w:val="24"/>
        </w:rPr>
        <w:t>Westminster Online no date. ‘</w:t>
      </w:r>
      <w:r w:rsidRPr="00674974">
        <w:rPr>
          <w:sz w:val="24"/>
          <w:szCs w:val="24"/>
        </w:rPr>
        <w:t>THE CASE OF OSCAR SLATER</w:t>
      </w:r>
      <w:r>
        <w:rPr>
          <w:sz w:val="24"/>
          <w:szCs w:val="24"/>
        </w:rPr>
        <w:t xml:space="preserve">’ </w:t>
      </w:r>
      <w:hyperlink r:id="rId17" w:history="1">
        <w:r w:rsidRPr="00F47522">
          <w:rPr>
            <w:rStyle w:val="Hyperlink"/>
            <w:sz w:val="24"/>
            <w:szCs w:val="24"/>
          </w:rPr>
          <w:t>http://www.westminsteronline.org/conandoyle/TrueCrime_OscarSlaterCase.pdf</w:t>
        </w:r>
      </w:hyperlink>
      <w:r>
        <w:rPr>
          <w:sz w:val="24"/>
          <w:szCs w:val="24"/>
        </w:rPr>
        <w:t xml:space="preserve"> Accessed 16/12/2019.</w:t>
      </w:r>
    </w:p>
    <w:p w14:paraId="52828905" w14:textId="6EACEC9D" w:rsidR="00C607C7" w:rsidRPr="004C274C" w:rsidRDefault="004C274C" w:rsidP="00C607C7">
      <w:pPr>
        <w:rPr>
          <w:sz w:val="24"/>
          <w:szCs w:val="24"/>
          <w:u w:val="single"/>
        </w:rPr>
      </w:pPr>
      <w:r>
        <w:rPr>
          <w:sz w:val="24"/>
          <w:szCs w:val="24"/>
          <w:u w:val="single"/>
        </w:rPr>
        <w:t>Image referencing</w:t>
      </w:r>
    </w:p>
    <w:p w14:paraId="4E72DB38" w14:textId="0C2471D3" w:rsidR="00C607C7" w:rsidRPr="007865E7" w:rsidRDefault="004C274C">
      <w:pPr>
        <w:rPr>
          <w:sz w:val="24"/>
          <w:szCs w:val="24"/>
        </w:rPr>
      </w:pPr>
      <w:r>
        <w:rPr>
          <w:sz w:val="24"/>
          <w:szCs w:val="24"/>
        </w:rPr>
        <w:t xml:space="preserve">Wikipedia </w:t>
      </w:r>
      <w:r w:rsidR="00961499">
        <w:rPr>
          <w:sz w:val="24"/>
          <w:szCs w:val="24"/>
        </w:rPr>
        <w:t xml:space="preserve">2019. </w:t>
      </w:r>
      <w:r w:rsidR="007865E7">
        <w:rPr>
          <w:sz w:val="24"/>
          <w:szCs w:val="24"/>
        </w:rPr>
        <w:t>‘</w:t>
      </w:r>
      <w:r w:rsidR="007865E7" w:rsidRPr="005B31B8">
        <w:rPr>
          <w:i/>
          <w:iCs/>
          <w:sz w:val="24"/>
          <w:szCs w:val="24"/>
        </w:rPr>
        <w:t>Garden of Earthly Delights</w:t>
      </w:r>
      <w:r w:rsidR="007865E7">
        <w:rPr>
          <w:i/>
          <w:iCs/>
          <w:sz w:val="24"/>
          <w:szCs w:val="24"/>
        </w:rPr>
        <w:t>’</w:t>
      </w:r>
      <w:r w:rsidR="007865E7">
        <w:rPr>
          <w:sz w:val="24"/>
          <w:szCs w:val="24"/>
        </w:rPr>
        <w:t xml:space="preserve">. </w:t>
      </w:r>
      <w:hyperlink r:id="rId18" w:history="1">
        <w:r w:rsidR="007865E7" w:rsidRPr="00F47522">
          <w:rPr>
            <w:rStyle w:val="Hyperlink"/>
            <w:sz w:val="24"/>
            <w:szCs w:val="24"/>
          </w:rPr>
          <w:t>https://en.wikipedia.org/wiki/Hieronymus_Bosch</w:t>
        </w:r>
      </w:hyperlink>
      <w:r w:rsidR="007865E7">
        <w:rPr>
          <w:sz w:val="24"/>
          <w:szCs w:val="24"/>
        </w:rPr>
        <w:t xml:space="preserve"> Accessed 16/12/2019. </w:t>
      </w:r>
    </w:p>
    <w:sectPr w:rsidR="00C607C7" w:rsidRPr="00786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0E8"/>
    <w:rsid w:val="00000B00"/>
    <w:rsid w:val="000165BE"/>
    <w:rsid w:val="00021C26"/>
    <w:rsid w:val="00040088"/>
    <w:rsid w:val="00041C30"/>
    <w:rsid w:val="00045BEA"/>
    <w:rsid w:val="0006000E"/>
    <w:rsid w:val="0006152B"/>
    <w:rsid w:val="00085A54"/>
    <w:rsid w:val="00091E95"/>
    <w:rsid w:val="000965BB"/>
    <w:rsid w:val="000D65D9"/>
    <w:rsid w:val="000D7FC3"/>
    <w:rsid w:val="000E1EF9"/>
    <w:rsid w:val="000F065B"/>
    <w:rsid w:val="00105876"/>
    <w:rsid w:val="00110B02"/>
    <w:rsid w:val="001242B8"/>
    <w:rsid w:val="00134F9A"/>
    <w:rsid w:val="00136AB2"/>
    <w:rsid w:val="00197571"/>
    <w:rsid w:val="001B6C4E"/>
    <w:rsid w:val="001C65EE"/>
    <w:rsid w:val="001E6F38"/>
    <w:rsid w:val="001E7AEC"/>
    <w:rsid w:val="001F17F9"/>
    <w:rsid w:val="00213002"/>
    <w:rsid w:val="002222A3"/>
    <w:rsid w:val="002245C4"/>
    <w:rsid w:val="00235EBC"/>
    <w:rsid w:val="00254EFD"/>
    <w:rsid w:val="00293776"/>
    <w:rsid w:val="002972DC"/>
    <w:rsid w:val="002C3EAD"/>
    <w:rsid w:val="002F3F37"/>
    <w:rsid w:val="00315284"/>
    <w:rsid w:val="003331F5"/>
    <w:rsid w:val="00333B4C"/>
    <w:rsid w:val="003908EE"/>
    <w:rsid w:val="003C6FBC"/>
    <w:rsid w:val="003C74BE"/>
    <w:rsid w:val="003E62B1"/>
    <w:rsid w:val="003E7A16"/>
    <w:rsid w:val="004251E6"/>
    <w:rsid w:val="00453C7B"/>
    <w:rsid w:val="004547A0"/>
    <w:rsid w:val="00467C99"/>
    <w:rsid w:val="00493A02"/>
    <w:rsid w:val="004977FE"/>
    <w:rsid w:val="004B1981"/>
    <w:rsid w:val="004B373E"/>
    <w:rsid w:val="004C274C"/>
    <w:rsid w:val="004C3B16"/>
    <w:rsid w:val="004C7910"/>
    <w:rsid w:val="00501C89"/>
    <w:rsid w:val="00515634"/>
    <w:rsid w:val="00542886"/>
    <w:rsid w:val="00571D1B"/>
    <w:rsid w:val="00585638"/>
    <w:rsid w:val="005A121A"/>
    <w:rsid w:val="005B31B8"/>
    <w:rsid w:val="005D2FE5"/>
    <w:rsid w:val="005E09E5"/>
    <w:rsid w:val="005E23B9"/>
    <w:rsid w:val="0060104F"/>
    <w:rsid w:val="00627AE0"/>
    <w:rsid w:val="00636AA1"/>
    <w:rsid w:val="00651A06"/>
    <w:rsid w:val="006540B6"/>
    <w:rsid w:val="0065671E"/>
    <w:rsid w:val="00662B9D"/>
    <w:rsid w:val="00670A00"/>
    <w:rsid w:val="00674974"/>
    <w:rsid w:val="00684477"/>
    <w:rsid w:val="006914D8"/>
    <w:rsid w:val="006B292F"/>
    <w:rsid w:val="006F637C"/>
    <w:rsid w:val="007250E0"/>
    <w:rsid w:val="00730E24"/>
    <w:rsid w:val="00742440"/>
    <w:rsid w:val="007523D2"/>
    <w:rsid w:val="00783E8F"/>
    <w:rsid w:val="007865E7"/>
    <w:rsid w:val="007A40AC"/>
    <w:rsid w:val="007C1CA1"/>
    <w:rsid w:val="007E61FA"/>
    <w:rsid w:val="007F1B2C"/>
    <w:rsid w:val="00810A7A"/>
    <w:rsid w:val="00843876"/>
    <w:rsid w:val="0084772E"/>
    <w:rsid w:val="00867543"/>
    <w:rsid w:val="00887744"/>
    <w:rsid w:val="00887DFF"/>
    <w:rsid w:val="00890DBE"/>
    <w:rsid w:val="00891C7F"/>
    <w:rsid w:val="008A4260"/>
    <w:rsid w:val="008B62A8"/>
    <w:rsid w:val="008D29E2"/>
    <w:rsid w:val="008D3809"/>
    <w:rsid w:val="008F5B08"/>
    <w:rsid w:val="00901A5F"/>
    <w:rsid w:val="0090745C"/>
    <w:rsid w:val="00921DE5"/>
    <w:rsid w:val="00932733"/>
    <w:rsid w:val="009521C7"/>
    <w:rsid w:val="00955135"/>
    <w:rsid w:val="00961499"/>
    <w:rsid w:val="00965A96"/>
    <w:rsid w:val="00972472"/>
    <w:rsid w:val="009A08B9"/>
    <w:rsid w:val="009A5777"/>
    <w:rsid w:val="009B49C3"/>
    <w:rsid w:val="009F1836"/>
    <w:rsid w:val="009F307E"/>
    <w:rsid w:val="00A014CB"/>
    <w:rsid w:val="00A0163A"/>
    <w:rsid w:val="00A01A53"/>
    <w:rsid w:val="00A03A82"/>
    <w:rsid w:val="00A434D1"/>
    <w:rsid w:val="00A47020"/>
    <w:rsid w:val="00A56B21"/>
    <w:rsid w:val="00A82286"/>
    <w:rsid w:val="00AC167E"/>
    <w:rsid w:val="00AC31D9"/>
    <w:rsid w:val="00AD585B"/>
    <w:rsid w:val="00AE484B"/>
    <w:rsid w:val="00B10A26"/>
    <w:rsid w:val="00B2240F"/>
    <w:rsid w:val="00B525CF"/>
    <w:rsid w:val="00BC2056"/>
    <w:rsid w:val="00BC3209"/>
    <w:rsid w:val="00BE7D3A"/>
    <w:rsid w:val="00C24AA8"/>
    <w:rsid w:val="00C30C3D"/>
    <w:rsid w:val="00C32293"/>
    <w:rsid w:val="00C360E8"/>
    <w:rsid w:val="00C607C7"/>
    <w:rsid w:val="00C707F1"/>
    <w:rsid w:val="00CA1949"/>
    <w:rsid w:val="00CA3BCD"/>
    <w:rsid w:val="00CC31A8"/>
    <w:rsid w:val="00D0051E"/>
    <w:rsid w:val="00D11267"/>
    <w:rsid w:val="00D23F61"/>
    <w:rsid w:val="00D26E09"/>
    <w:rsid w:val="00D43DFA"/>
    <w:rsid w:val="00D44F74"/>
    <w:rsid w:val="00D76410"/>
    <w:rsid w:val="00DA0D68"/>
    <w:rsid w:val="00DB2AE3"/>
    <w:rsid w:val="00DB2DC0"/>
    <w:rsid w:val="00DC4989"/>
    <w:rsid w:val="00DC72C9"/>
    <w:rsid w:val="00DD0002"/>
    <w:rsid w:val="00DD4B48"/>
    <w:rsid w:val="00DE015E"/>
    <w:rsid w:val="00E01961"/>
    <w:rsid w:val="00E31FF3"/>
    <w:rsid w:val="00E47B36"/>
    <w:rsid w:val="00ED6E68"/>
    <w:rsid w:val="00EE5E74"/>
    <w:rsid w:val="00EF331E"/>
    <w:rsid w:val="00EF7D31"/>
    <w:rsid w:val="00F11B1B"/>
    <w:rsid w:val="00F4681E"/>
    <w:rsid w:val="00F544DD"/>
    <w:rsid w:val="00F56E74"/>
    <w:rsid w:val="00F80CB9"/>
    <w:rsid w:val="00F90759"/>
    <w:rsid w:val="00FA46AD"/>
    <w:rsid w:val="00FE5A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E8ED"/>
  <w15:chartTrackingRefBased/>
  <w15:docId w15:val="{B03D6DF9-5F76-48CC-973A-0D0404F10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A02"/>
    <w:rPr>
      <w:color w:val="0563C1" w:themeColor="hyperlink"/>
      <w:u w:val="single"/>
    </w:rPr>
  </w:style>
  <w:style w:type="character" w:styleId="UnresolvedMention">
    <w:name w:val="Unresolved Mention"/>
    <w:basedOn w:val="DefaultParagraphFont"/>
    <w:uiPriority w:val="99"/>
    <w:semiHidden/>
    <w:unhideWhenUsed/>
    <w:rsid w:val="00493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2672756">
      <w:bodyDiv w:val="1"/>
      <w:marLeft w:val="0"/>
      <w:marRight w:val="0"/>
      <w:marTop w:val="0"/>
      <w:marBottom w:val="0"/>
      <w:divBdr>
        <w:top w:val="none" w:sz="0" w:space="0" w:color="auto"/>
        <w:left w:val="none" w:sz="0" w:space="0" w:color="auto"/>
        <w:bottom w:val="none" w:sz="0" w:space="0" w:color="auto"/>
        <w:right w:val="none" w:sz="0" w:space="0" w:color="auto"/>
      </w:divBdr>
      <w:divsChild>
        <w:div w:id="204609272">
          <w:marLeft w:val="0"/>
          <w:marRight w:val="0"/>
          <w:marTop w:val="0"/>
          <w:marBottom w:val="0"/>
          <w:divBdr>
            <w:top w:val="none" w:sz="0" w:space="0" w:color="auto"/>
            <w:left w:val="none" w:sz="0" w:space="0" w:color="auto"/>
            <w:bottom w:val="none" w:sz="0" w:space="0" w:color="auto"/>
            <w:right w:val="none" w:sz="0" w:space="0" w:color="auto"/>
          </w:divBdr>
          <w:divsChild>
            <w:div w:id="17004686">
              <w:marLeft w:val="0"/>
              <w:marRight w:val="0"/>
              <w:marTop w:val="0"/>
              <w:marBottom w:val="0"/>
              <w:divBdr>
                <w:top w:val="none" w:sz="0" w:space="0" w:color="auto"/>
                <w:left w:val="none" w:sz="0" w:space="0" w:color="auto"/>
                <w:bottom w:val="none" w:sz="0" w:space="0" w:color="auto"/>
                <w:right w:val="none" w:sz="0" w:space="0" w:color="auto"/>
              </w:divBdr>
              <w:divsChild>
                <w:div w:id="132103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51042">
      <w:bodyDiv w:val="1"/>
      <w:marLeft w:val="0"/>
      <w:marRight w:val="0"/>
      <w:marTop w:val="0"/>
      <w:marBottom w:val="0"/>
      <w:divBdr>
        <w:top w:val="none" w:sz="0" w:space="0" w:color="auto"/>
        <w:left w:val="none" w:sz="0" w:space="0" w:color="auto"/>
        <w:bottom w:val="none" w:sz="0" w:space="0" w:color="auto"/>
        <w:right w:val="none" w:sz="0" w:space="0" w:color="auto"/>
      </w:divBdr>
      <w:divsChild>
        <w:div w:id="792483532">
          <w:marLeft w:val="0"/>
          <w:marRight w:val="0"/>
          <w:marTop w:val="0"/>
          <w:marBottom w:val="0"/>
          <w:divBdr>
            <w:top w:val="none" w:sz="0" w:space="0" w:color="auto"/>
            <w:left w:val="none" w:sz="0" w:space="0" w:color="auto"/>
            <w:bottom w:val="none" w:sz="0" w:space="0" w:color="auto"/>
            <w:right w:val="none" w:sz="0" w:space="0" w:color="auto"/>
          </w:divBdr>
          <w:divsChild>
            <w:div w:id="1508520251">
              <w:marLeft w:val="0"/>
              <w:marRight w:val="0"/>
              <w:marTop w:val="0"/>
              <w:marBottom w:val="0"/>
              <w:divBdr>
                <w:top w:val="none" w:sz="0" w:space="0" w:color="auto"/>
                <w:left w:val="none" w:sz="0" w:space="0" w:color="auto"/>
                <w:bottom w:val="none" w:sz="0" w:space="0" w:color="auto"/>
                <w:right w:val="none" w:sz="0" w:space="0" w:color="auto"/>
              </w:divBdr>
              <w:divsChild>
                <w:div w:id="128191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ethics/code" TargetMode="External"/><Relationship Id="rId13" Type="http://schemas.openxmlformats.org/officeDocument/2006/relationships/hyperlink" Target="https://www.hse.gov.uk/enforce/enforcementguide/investigation/witness-questioning.htm" TargetMode="External"/><Relationship Id="rId18" Type="http://schemas.openxmlformats.org/officeDocument/2006/relationships/hyperlink" Target="https://en.wikipedia.org/wiki/Hieronymus_Bosch"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hyperlink" Target="https://www.legislation.gov.uk/ukpga/1996/25/contents" TargetMode="External"/><Relationship Id="rId17" Type="http://schemas.openxmlformats.org/officeDocument/2006/relationships/hyperlink" Target="http://www.westminsteronline.org/conandoyle/TrueCrime_OscarSlaterCase.pdf" TargetMode="External"/><Relationship Id="rId2" Type="http://schemas.openxmlformats.org/officeDocument/2006/relationships/customXml" Target="../customXml/item2.xml"/><Relationship Id="rId16" Type="http://schemas.openxmlformats.org/officeDocument/2006/relationships/hyperlink" Target="https://www.symantec.com/connect/articles/maintaining-system-integrity-during-forensic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crc.gov.uk/about-us/our-history/" TargetMode="External"/><Relationship Id="rId5" Type="http://schemas.openxmlformats.org/officeDocument/2006/relationships/settings" Target="settings.xml"/><Relationship Id="rId15" Type="http://schemas.openxmlformats.org/officeDocument/2006/relationships/hyperlink" Target="https://www.thenational.scot/news/15585823.the-oscar-slater-frame-up-how-a-murder-trial-changed-scots-law/" TargetMode="External"/><Relationship Id="rId10" Type="http://schemas.openxmlformats.org/officeDocument/2006/relationships/hyperlink" Target="https://ccrc.gov.uk/about-us/what-we-do/"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news.bbc.co.uk/1/hi/england/1760754.stm" TargetMode="External"/><Relationship Id="rId14" Type="http://schemas.openxmlformats.org/officeDocument/2006/relationships/hyperlink" Target="https://www.independent.co.uk/news/uk/home-news/stephen-downing-says-he-didnt-do-it-nobody-listened-now-after-27-years-in-jail-he-may-be-cleared-of-62218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44297d2ac6ddc41134df1c1ff808bb6e">
  <xsd:schema xmlns:xsd="http://www.w3.org/2001/XMLSchema" xmlns:xs="http://www.w3.org/2001/XMLSchema" xmlns:p="http://schemas.microsoft.com/office/2006/metadata/properties" xmlns:ns3="e5b087ed-fd45-4b48-bae7-5ede8327259a" targetNamespace="http://schemas.microsoft.com/office/2006/metadata/properties" ma:root="true" ma:fieldsID="ad418b83355cd084410f24977aa690d8"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94CC8D-F696-475D-B4F1-422589E955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AD1639-8201-44D6-B7B6-3971684411AB}">
  <ds:schemaRefs>
    <ds:schemaRef ds:uri="http://schemas.microsoft.com/sharepoint/v3/contenttype/forms"/>
  </ds:schemaRefs>
</ds:datastoreItem>
</file>

<file path=customXml/itemProps3.xml><?xml version="1.0" encoding="utf-8"?>
<ds:datastoreItem xmlns:ds="http://schemas.openxmlformats.org/officeDocument/2006/customXml" ds:itemID="{A070432A-B84B-423E-B376-81C4E9A8F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3553</Words>
  <Characters>20256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Barkla (1702209)</dc:creator>
  <cp:keywords/>
  <dc:description/>
  <cp:lastModifiedBy>Kai Barkla (1702209)</cp:lastModifiedBy>
  <cp:revision>3</cp:revision>
  <dcterms:created xsi:type="dcterms:W3CDTF">2019-12-18T19:01:00Z</dcterms:created>
  <dcterms:modified xsi:type="dcterms:W3CDTF">2019-12-18T19:21:00Z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