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E316D4" w:rsidP="39E316D4" w:rsidRDefault="39E316D4" w14:paraId="5D24FDA5" w14:textId="344180A7">
      <w:pPr>
        <w:jc w:val="center"/>
        <w:rPr>
          <w:rFonts w:ascii="Georgia Pro" w:hAnsi="Georgia Pro" w:eastAsia="Georgia Pro" w:cs="Georgia Pro"/>
          <w:b w:val="1"/>
          <w:bCs w:val="1"/>
          <w:i w:val="1"/>
          <w:iCs w:val="1"/>
          <w:sz w:val="96"/>
          <w:szCs w:val="96"/>
        </w:rPr>
      </w:pPr>
    </w:p>
    <w:p xmlns:wp14="http://schemas.microsoft.com/office/word/2010/wordml" w:rsidP="39E316D4" w14:paraId="5E5787A5" wp14:textId="49E12425">
      <w:pPr>
        <w:jc w:val="center"/>
        <w:rPr>
          <w:rFonts w:ascii="Georgia Pro" w:hAnsi="Georgia Pro" w:eastAsia="Georgia Pro" w:cs="Georgia Pro"/>
          <w:b w:val="1"/>
          <w:bCs w:val="1"/>
          <w:i w:val="1"/>
          <w:iCs w:val="1"/>
          <w:sz w:val="96"/>
          <w:szCs w:val="96"/>
        </w:rPr>
      </w:pPr>
      <w:r w:rsidRPr="39E316D4" w:rsidR="229C7BBB">
        <w:rPr>
          <w:rFonts w:ascii="Georgia Pro" w:hAnsi="Georgia Pro" w:eastAsia="Georgia Pro" w:cs="Georgia Pro"/>
          <w:b w:val="1"/>
          <w:bCs w:val="1"/>
          <w:i w:val="1"/>
          <w:iCs w:val="1"/>
          <w:sz w:val="96"/>
          <w:szCs w:val="96"/>
        </w:rPr>
        <w:t xml:space="preserve">International Financial Management </w:t>
      </w:r>
    </w:p>
    <w:p w:rsidR="229C7BBB" w:rsidP="39E316D4" w:rsidRDefault="229C7BBB" w14:paraId="345CCC1C" w14:textId="28413DE2">
      <w:pPr>
        <w:pStyle w:val="Normal"/>
        <w:jc w:val="center"/>
        <w:rPr>
          <w:rFonts w:ascii="Georgia Pro" w:hAnsi="Georgia Pro" w:eastAsia="Georgia Pro" w:cs="Georgia Pro"/>
          <w:b w:val="1"/>
          <w:bCs w:val="1"/>
          <w:i w:val="1"/>
          <w:iCs w:val="1"/>
          <w:sz w:val="96"/>
          <w:szCs w:val="96"/>
        </w:rPr>
      </w:pPr>
      <w:bookmarkStart w:name="_Int_1dfuiA0g" w:id="1372008155"/>
      <w:r w:rsidRPr="39E316D4" w:rsidR="229C7BBB">
        <w:rPr>
          <w:rFonts w:ascii="Georgia Pro" w:hAnsi="Georgia Pro" w:eastAsia="Georgia Pro" w:cs="Georgia Pro"/>
          <w:b w:val="1"/>
          <w:bCs w:val="1"/>
          <w:i w:val="1"/>
          <w:iCs w:val="1"/>
          <w:sz w:val="96"/>
          <w:szCs w:val="96"/>
        </w:rPr>
        <w:t>Assignment</w:t>
      </w:r>
      <w:bookmarkEnd w:id="1372008155"/>
      <w:r w:rsidRPr="39E316D4" w:rsidR="229C7BBB">
        <w:rPr>
          <w:rFonts w:ascii="Georgia Pro" w:hAnsi="Georgia Pro" w:eastAsia="Georgia Pro" w:cs="Georgia Pro"/>
          <w:b w:val="1"/>
          <w:bCs w:val="1"/>
          <w:i w:val="1"/>
          <w:iCs w:val="1"/>
          <w:sz w:val="96"/>
          <w:szCs w:val="96"/>
        </w:rPr>
        <w:t xml:space="preserve"> 1 </w:t>
      </w:r>
    </w:p>
    <w:p w:rsidR="229C7BBB" w:rsidP="39E316D4" w:rsidRDefault="229C7BBB" w14:paraId="0891B533" w14:textId="0D901146">
      <w:pPr>
        <w:pStyle w:val="Normal"/>
        <w:jc w:val="center"/>
        <w:rPr>
          <w:rFonts w:ascii="Georgia Pro" w:hAnsi="Georgia Pro" w:eastAsia="Georgia Pro" w:cs="Georgia Pro"/>
          <w:b w:val="1"/>
          <w:bCs w:val="1"/>
          <w:i w:val="1"/>
          <w:iCs w:val="1"/>
          <w:sz w:val="72"/>
          <w:szCs w:val="72"/>
        </w:rPr>
      </w:pPr>
      <w:r w:rsidRPr="39E316D4" w:rsidR="229C7BBB">
        <w:rPr>
          <w:rFonts w:ascii="Georgia Pro" w:hAnsi="Georgia Pro" w:eastAsia="Georgia Pro" w:cs="Georgia Pro"/>
          <w:b w:val="1"/>
          <w:bCs w:val="1"/>
          <w:i w:val="1"/>
          <w:iCs w:val="1"/>
          <w:sz w:val="72"/>
          <w:szCs w:val="72"/>
        </w:rPr>
        <w:t>Level 6, Term 1</w:t>
      </w:r>
    </w:p>
    <w:p w:rsidR="39E316D4" w:rsidP="39E316D4" w:rsidRDefault="39E316D4" w14:paraId="54FCC108" w14:textId="14B1C0EC">
      <w:pPr>
        <w:pStyle w:val="Normal"/>
        <w:jc w:val="center"/>
        <w:rPr>
          <w:rFonts w:ascii="Georgia Pro" w:hAnsi="Georgia Pro" w:eastAsia="Georgia Pro" w:cs="Georgia Pro"/>
          <w:b w:val="1"/>
          <w:bCs w:val="1"/>
          <w:i w:val="1"/>
          <w:iCs w:val="1"/>
          <w:sz w:val="72"/>
          <w:szCs w:val="72"/>
        </w:rPr>
      </w:pPr>
    </w:p>
    <w:p w:rsidR="229C7BBB" w:rsidP="39E316D4" w:rsidRDefault="229C7BBB" w14:paraId="42D6D454" w14:textId="5B0E3FC3">
      <w:pPr>
        <w:pStyle w:val="Normal"/>
        <w:rPr>
          <w:rFonts w:ascii="Georgia Pro" w:hAnsi="Georgia Pro" w:eastAsia="Georgia Pro" w:cs="Georgia Pro"/>
          <w:i w:val="1"/>
          <w:iCs w:val="1"/>
          <w:sz w:val="52"/>
          <w:szCs w:val="52"/>
        </w:rPr>
      </w:pPr>
      <w:r w:rsidRPr="39E316D4" w:rsidR="229C7BBB">
        <w:rPr>
          <w:rFonts w:ascii="Georgia Pro" w:hAnsi="Georgia Pro" w:eastAsia="Georgia Pro" w:cs="Georgia Pro"/>
          <w:b w:val="1"/>
          <w:bCs w:val="1"/>
          <w:i w:val="1"/>
          <w:iCs w:val="1"/>
          <w:sz w:val="52"/>
          <w:szCs w:val="52"/>
        </w:rPr>
        <w:t>Lecturer</w:t>
      </w:r>
      <w:r w:rsidRPr="39E316D4" w:rsidR="229C7BBB">
        <w:rPr>
          <w:rFonts w:ascii="Georgia Pro" w:hAnsi="Georgia Pro" w:eastAsia="Georgia Pro" w:cs="Georgia Pro"/>
          <w:sz w:val="52"/>
          <w:szCs w:val="52"/>
        </w:rPr>
        <w:t xml:space="preserve">: </w:t>
      </w:r>
      <w:r w:rsidRPr="39E316D4" w:rsidR="229C7BBB">
        <w:rPr>
          <w:rFonts w:ascii="Georgia Pro" w:hAnsi="Georgia Pro" w:eastAsia="Georgia Pro" w:cs="Georgia Pro"/>
          <w:i w:val="1"/>
          <w:iCs w:val="1"/>
          <w:sz w:val="52"/>
          <w:szCs w:val="52"/>
        </w:rPr>
        <w:t xml:space="preserve">Taye </w:t>
      </w:r>
      <w:r w:rsidRPr="39E316D4" w:rsidR="229C7BBB">
        <w:rPr>
          <w:rFonts w:ascii="Georgia Pro" w:hAnsi="Georgia Pro" w:eastAsia="Georgia Pro" w:cs="Georgia Pro"/>
          <w:i w:val="1"/>
          <w:iCs w:val="1"/>
          <w:sz w:val="52"/>
          <w:szCs w:val="52"/>
        </w:rPr>
        <w:t>Osadiya</w:t>
      </w:r>
    </w:p>
    <w:p w:rsidR="229C7BBB" w:rsidP="39E316D4" w:rsidRDefault="229C7BBB" w14:paraId="17DF5D02" w14:textId="7512FB36">
      <w:pPr>
        <w:pStyle w:val="Normal"/>
        <w:rPr>
          <w:rFonts w:ascii="Georgia Pro" w:hAnsi="Georgia Pro" w:eastAsia="Georgia Pro" w:cs="Georgia Pro"/>
          <w:i w:val="1"/>
          <w:iCs w:val="1"/>
          <w:sz w:val="52"/>
          <w:szCs w:val="52"/>
        </w:rPr>
      </w:pPr>
      <w:r w:rsidRPr="39E316D4" w:rsidR="229C7BBB">
        <w:rPr>
          <w:rFonts w:ascii="Georgia Pro" w:hAnsi="Georgia Pro" w:eastAsia="Georgia Pro" w:cs="Georgia Pro"/>
          <w:i w:val="1"/>
          <w:iCs w:val="1"/>
          <w:sz w:val="52"/>
          <w:szCs w:val="52"/>
        </w:rPr>
        <w:t xml:space="preserve">       Konstantina Mari</w:t>
      </w:r>
    </w:p>
    <w:p w:rsidR="39E316D4" w:rsidP="39E316D4" w:rsidRDefault="39E316D4" w14:paraId="30E5792D" w14:textId="1884D6BC">
      <w:pPr>
        <w:pStyle w:val="Normal"/>
        <w:rPr>
          <w:rFonts w:ascii="Georgia Pro" w:hAnsi="Georgia Pro" w:eastAsia="Georgia Pro" w:cs="Georgia Pro"/>
          <w:i w:val="1"/>
          <w:iCs w:val="1"/>
          <w:sz w:val="52"/>
          <w:szCs w:val="52"/>
        </w:rPr>
      </w:pPr>
    </w:p>
    <w:p w:rsidR="229C7BBB" w:rsidP="39E316D4" w:rsidRDefault="229C7BBB" w14:paraId="25D2ABF0" w14:textId="10D6F867">
      <w:pPr>
        <w:pStyle w:val="Normal"/>
        <w:jc w:val="right"/>
        <w:rPr>
          <w:rFonts w:ascii="Georgia Pro" w:hAnsi="Georgia Pro" w:eastAsia="Georgia Pro" w:cs="Georgia Pro"/>
          <w:b w:val="0"/>
          <w:bCs w:val="0"/>
          <w:i w:val="1"/>
          <w:iCs w:val="1"/>
          <w:sz w:val="52"/>
          <w:szCs w:val="52"/>
        </w:rPr>
      </w:pPr>
      <w:r w:rsidRPr="39E316D4" w:rsidR="229C7BBB">
        <w:rPr>
          <w:rFonts w:ascii="Georgia Pro" w:hAnsi="Georgia Pro" w:eastAsia="Georgia Pro" w:cs="Georgia Pro"/>
          <w:b w:val="1"/>
          <w:bCs w:val="1"/>
          <w:i w:val="1"/>
          <w:iCs w:val="1"/>
          <w:sz w:val="52"/>
          <w:szCs w:val="52"/>
        </w:rPr>
        <w:t>Student</w:t>
      </w:r>
      <w:r w:rsidRPr="39E316D4" w:rsidR="229C7BBB">
        <w:rPr>
          <w:rFonts w:ascii="Georgia Pro" w:hAnsi="Georgia Pro" w:eastAsia="Georgia Pro" w:cs="Georgia Pro"/>
          <w:b w:val="0"/>
          <w:bCs w:val="0"/>
          <w:i w:val="1"/>
          <w:iCs w:val="1"/>
          <w:sz w:val="52"/>
          <w:szCs w:val="52"/>
        </w:rPr>
        <w:t xml:space="preserve">: Loredana-Lenuta </w:t>
      </w:r>
      <w:r w:rsidRPr="39E316D4" w:rsidR="229C7BBB">
        <w:rPr>
          <w:rFonts w:ascii="Georgia Pro" w:hAnsi="Georgia Pro" w:eastAsia="Georgia Pro" w:cs="Georgia Pro"/>
          <w:b w:val="0"/>
          <w:bCs w:val="0"/>
          <w:i w:val="1"/>
          <w:iCs w:val="1"/>
          <w:sz w:val="52"/>
          <w:szCs w:val="52"/>
        </w:rPr>
        <w:t>Tintar</w:t>
      </w:r>
    </w:p>
    <w:p w:rsidR="229C7BBB" w:rsidP="39E316D4" w:rsidRDefault="229C7BBB" w14:paraId="52D22679" w14:textId="16FD99BD">
      <w:pPr>
        <w:pStyle w:val="Normal"/>
        <w:jc w:val="right"/>
        <w:rPr>
          <w:rFonts w:ascii="Georgia Pro" w:hAnsi="Georgia Pro" w:eastAsia="Georgia Pro" w:cs="Georgia Pro"/>
          <w:b w:val="0"/>
          <w:bCs w:val="0"/>
          <w:i w:val="1"/>
          <w:iCs w:val="1"/>
          <w:sz w:val="52"/>
          <w:szCs w:val="52"/>
        </w:rPr>
      </w:pPr>
      <w:r w:rsidRPr="39E316D4" w:rsidR="229C7BBB">
        <w:rPr>
          <w:rFonts w:ascii="Georgia Pro" w:hAnsi="Georgia Pro" w:eastAsia="Georgia Pro" w:cs="Georgia Pro"/>
          <w:b w:val="0"/>
          <w:bCs w:val="0"/>
          <w:i w:val="1"/>
          <w:iCs w:val="1"/>
          <w:sz w:val="52"/>
          <w:szCs w:val="52"/>
        </w:rPr>
        <w:t>2014070</w:t>
      </w:r>
    </w:p>
    <w:p w:rsidR="39E316D4" w:rsidP="39E316D4" w:rsidRDefault="39E316D4" w14:paraId="52438D1C" w14:textId="771E16B3">
      <w:pPr>
        <w:pStyle w:val="Normal"/>
        <w:jc w:val="left"/>
        <w:rPr>
          <w:rFonts w:ascii="Georgia Pro" w:hAnsi="Georgia Pro" w:eastAsia="Georgia Pro" w:cs="Georgia Pro"/>
          <w:b w:val="0"/>
          <w:bCs w:val="0"/>
          <w:i w:val="1"/>
          <w:iCs w:val="1"/>
          <w:sz w:val="52"/>
          <w:szCs w:val="52"/>
        </w:rPr>
      </w:pPr>
    </w:p>
    <w:p w:rsidR="39E316D4" w:rsidP="39E316D4" w:rsidRDefault="39E316D4" w14:paraId="4DB147A4" w14:textId="2BD6EF8D">
      <w:pPr>
        <w:pStyle w:val="Normal"/>
        <w:jc w:val="left"/>
        <w:rPr>
          <w:rFonts w:ascii="Georgia Pro" w:hAnsi="Georgia Pro" w:eastAsia="Georgia Pro" w:cs="Georgia Pro"/>
          <w:b w:val="0"/>
          <w:bCs w:val="0"/>
          <w:i w:val="1"/>
          <w:iCs w:val="1"/>
          <w:sz w:val="52"/>
          <w:szCs w:val="52"/>
        </w:rPr>
      </w:pPr>
    </w:p>
    <w:p w:rsidR="39E316D4" w:rsidP="39E316D4" w:rsidRDefault="39E316D4" w14:paraId="0A83C95E" w14:textId="3540FAFF">
      <w:pPr>
        <w:pStyle w:val="Normal"/>
        <w:jc w:val="left"/>
        <w:rPr>
          <w:rFonts w:ascii="Georgia Pro" w:hAnsi="Georgia Pro" w:eastAsia="Georgia Pro" w:cs="Georgia Pro"/>
          <w:b w:val="1"/>
          <w:bCs w:val="1"/>
          <w:i w:val="1"/>
          <w:iCs w:val="1"/>
          <w:sz w:val="40"/>
          <w:szCs w:val="40"/>
        </w:rPr>
      </w:pPr>
    </w:p>
    <w:p w:rsidR="39E316D4" w:rsidP="39E316D4" w:rsidRDefault="39E316D4" w14:paraId="6B93C9B8" w14:textId="2EA81057">
      <w:pPr>
        <w:pStyle w:val="Normal"/>
        <w:jc w:val="left"/>
        <w:rPr>
          <w:rFonts w:ascii="Georgia Pro" w:hAnsi="Georgia Pro" w:eastAsia="Georgia Pro" w:cs="Georgia Pro"/>
          <w:b w:val="1"/>
          <w:bCs w:val="1"/>
          <w:i w:val="1"/>
          <w:iCs w:val="1"/>
          <w:sz w:val="40"/>
          <w:szCs w:val="40"/>
        </w:rPr>
      </w:pPr>
    </w:p>
    <w:p w:rsidR="39E316D4" w:rsidP="39E316D4" w:rsidRDefault="39E316D4" w14:paraId="371C033F" w14:textId="320D79FF">
      <w:pPr>
        <w:pStyle w:val="Normal"/>
        <w:jc w:val="left"/>
        <w:rPr>
          <w:rFonts w:ascii="Georgia Pro" w:hAnsi="Georgia Pro" w:eastAsia="Georgia Pro" w:cs="Georgia Pro"/>
          <w:b w:val="1"/>
          <w:bCs w:val="1"/>
          <w:i w:val="1"/>
          <w:iCs w:val="1"/>
          <w:sz w:val="40"/>
          <w:szCs w:val="40"/>
        </w:rPr>
      </w:pPr>
    </w:p>
    <w:p w:rsidR="3ABC58B4" w:rsidP="39E316D4" w:rsidRDefault="3ABC58B4" w14:paraId="0BE9AD94" w14:textId="07323BF8">
      <w:pPr>
        <w:pStyle w:val="Normal"/>
        <w:jc w:val="left"/>
        <w:rPr>
          <w:rFonts w:ascii="Georgia Pro" w:hAnsi="Georgia Pro" w:eastAsia="Georgia Pro" w:cs="Georgia Pro"/>
          <w:b w:val="1"/>
          <w:bCs w:val="1"/>
          <w:i w:val="1"/>
          <w:iCs w:val="1"/>
          <w:sz w:val="40"/>
          <w:szCs w:val="40"/>
        </w:rPr>
      </w:pPr>
      <w:r w:rsidRPr="39E316D4" w:rsidR="3ABC58B4">
        <w:rPr>
          <w:rFonts w:ascii="Georgia Pro" w:hAnsi="Georgia Pro" w:eastAsia="Georgia Pro" w:cs="Georgia Pro"/>
          <w:b w:val="1"/>
          <w:bCs w:val="1"/>
          <w:i w:val="1"/>
          <w:iCs w:val="1"/>
          <w:sz w:val="40"/>
          <w:szCs w:val="40"/>
        </w:rPr>
        <w:t>Introduction</w:t>
      </w:r>
    </w:p>
    <w:p w:rsidR="3ABC58B4" w:rsidP="39E316D4" w:rsidRDefault="3ABC58B4" w14:paraId="37C9E481" w14:textId="2A4B37CC">
      <w:pPr>
        <w:pStyle w:val="Normal"/>
        <w:jc w:val="left"/>
        <w:rPr>
          <w:rFonts w:ascii="Georgia Pro" w:hAnsi="Georgia Pro" w:eastAsia="Georgia Pro" w:cs="Georgia Pro"/>
          <w:b w:val="0"/>
          <w:bCs w:val="0"/>
          <w:i w:val="0"/>
          <w:iCs w:val="0"/>
          <w:sz w:val="32"/>
          <w:szCs w:val="32"/>
        </w:rPr>
      </w:pPr>
      <w:r w:rsidRPr="39E316D4" w:rsidR="3ABC58B4">
        <w:rPr>
          <w:rFonts w:ascii="Georgia Pro" w:hAnsi="Georgia Pro" w:eastAsia="Georgia Pro" w:cs="Georgia Pro"/>
          <w:b w:val="0"/>
          <w:bCs w:val="0"/>
          <w:i w:val="0"/>
          <w:iCs w:val="0"/>
          <w:sz w:val="32"/>
          <w:szCs w:val="32"/>
        </w:rPr>
        <w:t xml:space="preserve">  The significance of Shell Plc's IFM (International Financial Management) is discussed in this report. It also addresses the company's issues with the global financial markets. It will explore, analy</w:t>
      </w:r>
      <w:r w:rsidRPr="39E316D4" w:rsidR="608A6B14">
        <w:rPr>
          <w:rFonts w:ascii="Georgia Pro" w:hAnsi="Georgia Pro" w:eastAsia="Georgia Pro" w:cs="Georgia Pro"/>
          <w:b w:val="0"/>
          <w:bCs w:val="0"/>
          <w:i w:val="0"/>
          <w:iCs w:val="0"/>
          <w:sz w:val="32"/>
          <w:szCs w:val="32"/>
        </w:rPr>
        <w:t>s</w:t>
      </w:r>
      <w:r w:rsidRPr="39E316D4" w:rsidR="3ABC58B4">
        <w:rPr>
          <w:rFonts w:ascii="Georgia Pro" w:hAnsi="Georgia Pro" w:eastAsia="Georgia Pro" w:cs="Georgia Pro"/>
          <w:b w:val="0"/>
          <w:bCs w:val="0"/>
          <w:i w:val="0"/>
          <w:iCs w:val="0"/>
          <w:sz w:val="32"/>
          <w:szCs w:val="32"/>
        </w:rPr>
        <w:t>e, and assess Shell Plc's dividend distribution policies. The study explains the efficient market hypothesis theory and project appraisal. The report includes the graphs of dividend per share, the percentage of revenue distributed as a dividend, monthly market capitalization, and the number of shares</w:t>
      </w:r>
      <w:bookmarkStart w:name="_Int_lY2b6Pz8" w:id="932057928"/>
      <w:r w:rsidRPr="39E316D4" w:rsidR="3ABC58B4">
        <w:rPr>
          <w:rFonts w:ascii="Georgia Pro" w:hAnsi="Georgia Pro" w:eastAsia="Georgia Pro" w:cs="Georgia Pro"/>
          <w:b w:val="0"/>
          <w:bCs w:val="0"/>
          <w:i w:val="0"/>
          <w:iCs w:val="0"/>
          <w:sz w:val="32"/>
          <w:szCs w:val="32"/>
        </w:rPr>
        <w:t xml:space="preserve">.  </w:t>
      </w:r>
      <w:bookmarkEnd w:id="932057928"/>
      <w:r w:rsidRPr="39E316D4" w:rsidR="3ABC58B4">
        <w:rPr>
          <w:rFonts w:ascii="Georgia Pro" w:hAnsi="Georgia Pro" w:eastAsia="Georgia Pro" w:cs="Georgia Pro"/>
          <w:b w:val="0"/>
          <w:bCs w:val="0"/>
          <w:i w:val="0"/>
          <w:iCs w:val="0"/>
          <w:sz w:val="32"/>
          <w:szCs w:val="32"/>
        </w:rPr>
        <w:t>The investment appraisal metrics that the organization uses to select the best projects are net present value and payback duration.</w:t>
      </w:r>
    </w:p>
    <w:p w:rsidR="39E316D4" w:rsidP="39E316D4" w:rsidRDefault="39E316D4" w14:paraId="5D66FC98" w14:textId="044F40AD">
      <w:pPr>
        <w:pStyle w:val="Normal"/>
        <w:jc w:val="left"/>
        <w:rPr>
          <w:rFonts w:ascii="Georgia Pro" w:hAnsi="Georgia Pro" w:eastAsia="Georgia Pro" w:cs="Georgia Pro"/>
          <w:b w:val="0"/>
          <w:bCs w:val="0"/>
          <w:i w:val="0"/>
          <w:iCs w:val="0"/>
          <w:sz w:val="32"/>
          <w:szCs w:val="32"/>
        </w:rPr>
      </w:pPr>
    </w:p>
    <w:p w:rsidR="3ABC58B4" w:rsidP="39E316D4" w:rsidRDefault="3ABC58B4" w14:paraId="4F6182CA" w14:textId="22297540">
      <w:pPr>
        <w:pStyle w:val="Normal"/>
        <w:jc w:val="left"/>
        <w:rPr>
          <w:rFonts w:ascii="Georgia Pro" w:hAnsi="Georgia Pro" w:eastAsia="Georgia Pro" w:cs="Georgia Pro"/>
          <w:b w:val="1"/>
          <w:bCs w:val="1"/>
          <w:i w:val="1"/>
          <w:iCs w:val="1"/>
          <w:sz w:val="36"/>
          <w:szCs w:val="36"/>
        </w:rPr>
      </w:pPr>
      <w:r w:rsidRPr="39E316D4" w:rsidR="3ABC58B4">
        <w:rPr>
          <w:rFonts w:ascii="Georgia Pro" w:hAnsi="Georgia Pro" w:eastAsia="Georgia Pro" w:cs="Georgia Pro"/>
          <w:b w:val="1"/>
          <w:bCs w:val="1"/>
          <w:i w:val="1"/>
          <w:iCs w:val="1"/>
          <w:sz w:val="36"/>
          <w:szCs w:val="36"/>
        </w:rPr>
        <w:t xml:space="preserve">Importance of international </w:t>
      </w:r>
      <w:bookmarkStart w:name="_Int_uiMaiCAP" w:id="1536933259"/>
      <w:r w:rsidRPr="39E316D4" w:rsidR="3ABC58B4">
        <w:rPr>
          <w:rFonts w:ascii="Georgia Pro" w:hAnsi="Georgia Pro" w:eastAsia="Georgia Pro" w:cs="Georgia Pro"/>
          <w:b w:val="1"/>
          <w:bCs w:val="1"/>
          <w:i w:val="1"/>
          <w:iCs w:val="1"/>
          <w:sz w:val="36"/>
          <w:szCs w:val="36"/>
        </w:rPr>
        <w:t>financial management</w:t>
      </w:r>
      <w:bookmarkEnd w:id="1536933259"/>
    </w:p>
    <w:p w:rsidR="3ABC58B4" w:rsidP="39E316D4" w:rsidRDefault="3ABC58B4" w14:paraId="24CACD02" w14:textId="05B29E23">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b w:val="0"/>
          <w:bCs w:val="0"/>
          <w:i w:val="0"/>
          <w:iCs w:val="0"/>
          <w:sz w:val="32"/>
          <w:szCs w:val="32"/>
        </w:rPr>
        <w:t xml:space="preserve">  The examination of the transfer of funds among two or more nations is known as international finance. Foreign exchange rates and direct foreign investment are two main concepts that global investment primarily examines. The significance of international finance has grown Shell Plc’s company </w:t>
      </w:r>
      <w:bookmarkStart w:name="_Int_NZc2zcIJ" w:id="794276444"/>
      <w:r w:rsidRPr="39E316D4" w:rsidR="3ABC58B4">
        <w:rPr>
          <w:rFonts w:ascii="Georgia Pro" w:hAnsi="Georgia Pro" w:eastAsia="Georgia Pro" w:cs="Georgia Pro"/>
          <w:b w:val="0"/>
          <w:bCs w:val="0"/>
          <w:i w:val="0"/>
          <w:iCs w:val="0"/>
          <w:sz w:val="32"/>
          <w:szCs w:val="32"/>
        </w:rPr>
        <w:t>as a result of</w:t>
      </w:r>
      <w:bookmarkEnd w:id="794276444"/>
      <w:r w:rsidRPr="39E316D4" w:rsidR="3ABC58B4">
        <w:rPr>
          <w:rFonts w:ascii="Georgia Pro" w:hAnsi="Georgia Pro" w:eastAsia="Georgia Pro" w:cs="Georgia Pro"/>
          <w:b w:val="0"/>
          <w:bCs w:val="0"/>
          <w:i w:val="0"/>
          <w:iCs w:val="0"/>
          <w:sz w:val="32"/>
          <w:szCs w:val="32"/>
        </w:rPr>
        <w:t xml:space="preserve"> the increase in globalization and trade across borders. The exchange of goods and services at a global level and international trade plays </w:t>
      </w:r>
      <w:bookmarkStart w:name="_Int_bzAOOMIo" w:id="1928299619"/>
      <w:r w:rsidRPr="39E316D4" w:rsidR="3ABC58B4">
        <w:rPr>
          <w:rFonts w:ascii="Georgia Pro" w:hAnsi="Georgia Pro" w:eastAsia="Georgia Pro" w:cs="Georgia Pro"/>
          <w:b w:val="0"/>
          <w:bCs w:val="0"/>
          <w:i w:val="0"/>
          <w:iCs w:val="0"/>
          <w:sz w:val="32"/>
          <w:szCs w:val="32"/>
        </w:rPr>
        <w:t>an important role</w:t>
      </w:r>
      <w:bookmarkEnd w:id="1928299619"/>
      <w:r w:rsidRPr="39E316D4" w:rsidR="3ABC58B4">
        <w:rPr>
          <w:rFonts w:ascii="Georgia Pro" w:hAnsi="Georgia Pro" w:eastAsia="Georgia Pro" w:cs="Georgia Pro"/>
          <w:b w:val="0"/>
          <w:bCs w:val="0"/>
          <w:i w:val="0"/>
          <w:iCs w:val="0"/>
          <w:sz w:val="32"/>
          <w:szCs w:val="32"/>
        </w:rPr>
        <w:t xml:space="preserve"> in international finance (</w:t>
      </w:r>
      <w:r w:rsidRPr="39E316D4" w:rsidR="3ABC58B4">
        <w:rPr>
          <w:rFonts w:ascii="Georgia Pro" w:hAnsi="Georgia Pro" w:eastAsia="Georgia Pro" w:cs="Georgia Pro"/>
          <w:b w:val="0"/>
          <w:bCs w:val="0"/>
          <w:i w:val="0"/>
          <w:iCs w:val="0"/>
          <w:sz w:val="32"/>
          <w:szCs w:val="32"/>
        </w:rPr>
        <w:t>Krasodomska</w:t>
      </w:r>
      <w:r w:rsidRPr="39E316D4" w:rsidR="3ABC58B4">
        <w:rPr>
          <w:rFonts w:ascii="Georgia Pro" w:hAnsi="Georgia Pro" w:eastAsia="Georgia Pro" w:cs="Georgia Pro"/>
          <w:b w:val="0"/>
          <w:bCs w:val="0"/>
          <w:i w:val="0"/>
          <w:iCs w:val="0"/>
          <w:sz w:val="32"/>
          <w:szCs w:val="32"/>
        </w:rPr>
        <w:t xml:space="preserve"> et al., 2021). It has increased the shareholder’s wealth in the company</w:t>
      </w:r>
      <w:bookmarkStart w:name="_Int_H5NJanDi" w:id="1049889535"/>
      <w:r w:rsidRPr="39E316D4" w:rsidR="3ABC58B4">
        <w:rPr>
          <w:rFonts w:ascii="Georgia Pro" w:hAnsi="Georgia Pro" w:eastAsia="Georgia Pro" w:cs="Georgia Pro"/>
          <w:b w:val="0"/>
          <w:bCs w:val="0"/>
          <w:i w:val="0"/>
          <w:iCs w:val="0"/>
          <w:sz w:val="32"/>
          <w:szCs w:val="32"/>
        </w:rPr>
        <w:t xml:space="preserve">.  </w:t>
      </w:r>
      <w:bookmarkEnd w:id="1049889535"/>
      <w:r w:rsidRPr="39E316D4" w:rsidR="3ABC58B4">
        <w:rPr>
          <w:rFonts w:ascii="Georgia Pro" w:hAnsi="Georgia Pro" w:eastAsia="Georgia Pro" w:cs="Georgia Pro"/>
          <w:b w:val="0"/>
          <w:bCs w:val="0"/>
          <w:i w:val="0"/>
          <w:iCs w:val="0"/>
          <w:sz w:val="32"/>
          <w:szCs w:val="32"/>
        </w:rPr>
        <w:t xml:space="preserve">It is a significant mechanism for calculating Shell Plc’s company currency values, comparing rates of inflation, getting a sense of investment in the global debenture, </w:t>
      </w:r>
      <w:r w:rsidRPr="39E316D4" w:rsidR="3ABC58B4">
        <w:rPr>
          <w:rFonts w:ascii="Georgia Pro" w:hAnsi="Georgia Pro" w:eastAsia="Georgia Pro" w:cs="Georgia Pro"/>
          <w:b w:val="0"/>
          <w:bCs w:val="0"/>
          <w:i w:val="0"/>
          <w:iCs w:val="0"/>
          <w:sz w:val="32"/>
          <w:szCs w:val="32"/>
        </w:rPr>
        <w:t>determining</w:t>
      </w:r>
      <w:r w:rsidRPr="39E316D4" w:rsidR="3ABC58B4">
        <w:rPr>
          <w:rFonts w:ascii="Georgia Pro" w:hAnsi="Georgia Pro" w:eastAsia="Georgia Pro" w:cs="Georgia Pro"/>
          <w:b w:val="0"/>
          <w:bCs w:val="0"/>
          <w:i w:val="0"/>
          <w:iCs w:val="0"/>
          <w:sz w:val="32"/>
          <w:szCs w:val="32"/>
        </w:rPr>
        <w:t xml:space="preserve"> the economic position of many other nations, and assessing overseas markets in global finance. It helps in managing the international finance of Shell Plc’s company. It guides and gives directions on where to invest its money and how much to invest. International </w:t>
      </w:r>
      <w:bookmarkStart w:name="_Int_QsgYfHCu" w:id="1507920645"/>
      <w:r w:rsidRPr="39E316D4" w:rsidR="3ABC58B4">
        <w:rPr>
          <w:rFonts w:ascii="Georgia Pro" w:hAnsi="Georgia Pro" w:eastAsia="Georgia Pro" w:cs="Georgia Pro"/>
          <w:b w:val="0"/>
          <w:bCs w:val="0"/>
          <w:i w:val="0"/>
          <w:iCs w:val="0"/>
          <w:sz w:val="32"/>
          <w:szCs w:val="32"/>
        </w:rPr>
        <w:t>financial management</w:t>
      </w:r>
      <w:bookmarkEnd w:id="1507920645"/>
      <w:r w:rsidRPr="39E316D4" w:rsidR="3ABC58B4">
        <w:rPr>
          <w:rFonts w:ascii="Georgia Pro" w:hAnsi="Georgia Pro" w:eastAsia="Georgia Pro" w:cs="Georgia Pro"/>
          <w:b w:val="0"/>
          <w:bCs w:val="0"/>
          <w:i w:val="0"/>
          <w:iCs w:val="0"/>
          <w:sz w:val="32"/>
          <w:szCs w:val="32"/>
        </w:rPr>
        <w:t xml:space="preserve"> is an important part of Shell Plc’s company that wants to continue its business at the global level. Both national and foreign </w:t>
      </w:r>
      <w:bookmarkStart w:name="_Int_n9zcY9Yi" w:id="141943034"/>
      <w:r w:rsidRPr="39E316D4" w:rsidR="3ABC58B4">
        <w:rPr>
          <w:rFonts w:ascii="Georgia Pro" w:hAnsi="Georgia Pro" w:eastAsia="Georgia Pro" w:cs="Georgia Pro"/>
          <w:b w:val="0"/>
          <w:bCs w:val="0"/>
          <w:i w:val="0"/>
          <w:iCs w:val="0"/>
          <w:sz w:val="32"/>
          <w:szCs w:val="32"/>
        </w:rPr>
        <w:t>financial management</w:t>
      </w:r>
      <w:bookmarkEnd w:id="141943034"/>
      <w:r w:rsidRPr="39E316D4" w:rsidR="3ABC58B4">
        <w:rPr>
          <w:rFonts w:ascii="Georgia Pro" w:hAnsi="Georgia Pro" w:eastAsia="Georgia Pro" w:cs="Georgia Pro"/>
          <w:b w:val="0"/>
          <w:bCs w:val="0"/>
          <w:i w:val="0"/>
          <w:iCs w:val="0"/>
          <w:sz w:val="32"/>
          <w:szCs w:val="32"/>
        </w:rPr>
        <w:t xml:space="preserve"> </w:t>
      </w:r>
      <w:r w:rsidRPr="39E316D4" w:rsidR="3ABC58B4">
        <w:rPr>
          <w:rFonts w:ascii="Georgia Pro" w:hAnsi="Georgia Pro" w:eastAsia="Georgia Pro" w:cs="Georgia Pro"/>
          <w:b w:val="0"/>
          <w:bCs w:val="0"/>
          <w:i w:val="0"/>
          <w:iCs w:val="0"/>
          <w:sz w:val="32"/>
          <w:szCs w:val="32"/>
        </w:rPr>
        <w:t>utilize</w:t>
      </w:r>
      <w:r w:rsidRPr="39E316D4" w:rsidR="3ABC58B4">
        <w:rPr>
          <w:rFonts w:ascii="Georgia Pro" w:hAnsi="Georgia Pro" w:eastAsia="Georgia Pro" w:cs="Georgia Pro"/>
          <w:b w:val="0"/>
          <w:bCs w:val="0"/>
          <w:i w:val="0"/>
          <w:iCs w:val="0"/>
          <w:sz w:val="32"/>
          <w:szCs w:val="32"/>
        </w:rPr>
        <w:t xml:space="preserve"> the same means and goals, but their scope and volatility have dramatically expanded.</w:t>
      </w:r>
    </w:p>
    <w:p w:rsidR="39E316D4" w:rsidP="39E316D4" w:rsidRDefault="39E316D4" w14:paraId="2C4456F5" w14:textId="7FE0CADD">
      <w:pPr>
        <w:pStyle w:val="Normal"/>
        <w:bidi w:val="0"/>
        <w:spacing w:before="0" w:beforeAutospacing="off" w:after="160" w:afterAutospacing="off" w:line="259" w:lineRule="auto"/>
        <w:ind w:left="0" w:right="0"/>
        <w:jc w:val="left"/>
        <w:rPr>
          <w:rFonts w:ascii="Georgia Pro" w:hAnsi="Georgia Pro" w:eastAsia="Georgia Pro" w:cs="Georgia Pro"/>
          <w:b w:val="0"/>
          <w:bCs w:val="0"/>
          <w:i w:val="0"/>
          <w:iCs w:val="0"/>
          <w:sz w:val="32"/>
          <w:szCs w:val="32"/>
        </w:rPr>
      </w:pPr>
    </w:p>
    <w:p w:rsidR="3ABC58B4" w:rsidP="39E316D4" w:rsidRDefault="3ABC58B4" w14:paraId="2BC06AC3" w14:textId="592DE5E2">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6"/>
          <w:szCs w:val="36"/>
        </w:rPr>
      </w:pPr>
      <w:r w:rsidRPr="39E316D4" w:rsidR="3ABC58B4">
        <w:rPr>
          <w:rFonts w:ascii="Georgia Pro" w:hAnsi="Georgia Pro" w:eastAsia="Georgia Pro" w:cs="Georgia Pro"/>
          <w:b w:val="1"/>
          <w:bCs w:val="1"/>
          <w:i w:val="1"/>
          <w:iCs w:val="1"/>
          <w:sz w:val="36"/>
          <w:szCs w:val="36"/>
        </w:rPr>
        <w:t>Challenges of the international financial market</w:t>
      </w:r>
    </w:p>
    <w:p w:rsidR="3ABC58B4" w:rsidP="39E316D4" w:rsidRDefault="3ABC58B4" w14:paraId="65C9B6B5" w14:textId="3CBBFD95">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b w:val="0"/>
          <w:bCs w:val="0"/>
          <w:i w:val="0"/>
          <w:iCs w:val="0"/>
          <w:sz w:val="32"/>
          <w:szCs w:val="32"/>
        </w:rPr>
        <w:t xml:space="preserve">  Political uncertainty and </w:t>
      </w:r>
      <w:bookmarkStart w:name="_Int_Ab0m5jum" w:id="1574211814"/>
      <w:r w:rsidRPr="39E316D4" w:rsidR="2F1D1F54">
        <w:rPr>
          <w:rFonts w:ascii="Georgia Pro" w:hAnsi="Georgia Pro" w:eastAsia="Georgia Pro" w:cs="Georgia Pro"/>
          <w:b w:val="0"/>
          <w:bCs w:val="0"/>
          <w:i w:val="0"/>
          <w:iCs w:val="0"/>
          <w:sz w:val="32"/>
          <w:szCs w:val="32"/>
        </w:rPr>
        <w:t>foreign</w:t>
      </w:r>
      <w:bookmarkEnd w:id="1574211814"/>
      <w:r w:rsidRPr="39E316D4" w:rsidR="3ABC58B4">
        <w:rPr>
          <w:rFonts w:ascii="Georgia Pro" w:hAnsi="Georgia Pro" w:eastAsia="Georgia Pro" w:cs="Georgia Pro"/>
          <w:b w:val="0"/>
          <w:bCs w:val="0"/>
          <w:i w:val="0"/>
          <w:iCs w:val="0"/>
          <w:sz w:val="32"/>
          <w:szCs w:val="32"/>
        </w:rPr>
        <w:t xml:space="preserve"> exchange </w:t>
      </w:r>
      <w:bookmarkStart w:name="_Int_inyEyH1C" w:id="931657408"/>
      <w:r w:rsidRPr="39E316D4" w:rsidR="0C7FBF3C">
        <w:rPr>
          <w:rFonts w:ascii="Georgia Pro" w:hAnsi="Georgia Pro" w:eastAsia="Georgia Pro" w:cs="Georgia Pro"/>
          <w:b w:val="0"/>
          <w:bCs w:val="0"/>
          <w:i w:val="0"/>
          <w:iCs w:val="0"/>
          <w:sz w:val="32"/>
          <w:szCs w:val="32"/>
        </w:rPr>
        <w:t>are</w:t>
      </w:r>
      <w:bookmarkEnd w:id="931657408"/>
      <w:r w:rsidRPr="39E316D4" w:rsidR="3ABC58B4">
        <w:rPr>
          <w:rFonts w:ascii="Georgia Pro" w:hAnsi="Georgia Pro" w:eastAsia="Georgia Pro" w:cs="Georgia Pro"/>
          <w:b w:val="0"/>
          <w:bCs w:val="0"/>
          <w:i w:val="0"/>
          <w:iCs w:val="0"/>
          <w:sz w:val="32"/>
          <w:szCs w:val="32"/>
        </w:rPr>
        <w:t xml:space="preserve"> among the top global business hazards of Shell Plc’s company. Foreign currency exchange risk refers to the possibility that the exchange rate will fluctuate, usually </w:t>
      </w:r>
      <w:bookmarkStart w:name="_Int_LyOuUjS9" w:id="696472803"/>
      <w:r w:rsidRPr="39E316D4" w:rsidR="3ABC58B4">
        <w:rPr>
          <w:rFonts w:ascii="Georgia Pro" w:hAnsi="Georgia Pro" w:eastAsia="Georgia Pro" w:cs="Georgia Pro"/>
          <w:b w:val="0"/>
          <w:bCs w:val="0"/>
          <w:i w:val="0"/>
          <w:iCs w:val="0"/>
          <w:sz w:val="32"/>
          <w:szCs w:val="32"/>
        </w:rPr>
        <w:t>as a result of</w:t>
      </w:r>
      <w:bookmarkEnd w:id="696472803"/>
      <w:r w:rsidRPr="39E316D4" w:rsidR="3ABC58B4">
        <w:rPr>
          <w:rFonts w:ascii="Georgia Pro" w:hAnsi="Georgia Pro" w:eastAsia="Georgia Pro" w:cs="Georgia Pro"/>
          <w:b w:val="0"/>
          <w:bCs w:val="0"/>
          <w:i w:val="0"/>
          <w:iCs w:val="0"/>
          <w:sz w:val="32"/>
          <w:szCs w:val="32"/>
        </w:rPr>
        <w:t xml:space="preserve"> the local currency appreciating against a different country’s currency. Political risk occurs whenever nations alter laws that could harm a company, like restrictions on trade. Businesses can reduce the consequences of multinational companies’ problems by implementing hedging techniques and buying insurance covering political risks. The primary threat to financial markets is terrorism. The country’s foreign finances will be </w:t>
      </w:r>
      <w:r w:rsidRPr="39E316D4" w:rsidR="3ABC58B4">
        <w:rPr>
          <w:rFonts w:ascii="Georgia Pro" w:hAnsi="Georgia Pro" w:eastAsia="Georgia Pro" w:cs="Georgia Pro"/>
          <w:b w:val="0"/>
          <w:bCs w:val="0"/>
          <w:i w:val="0"/>
          <w:iCs w:val="0"/>
          <w:sz w:val="32"/>
          <w:szCs w:val="32"/>
        </w:rPr>
        <w:t>impacted</w:t>
      </w:r>
      <w:r w:rsidRPr="39E316D4" w:rsidR="3ABC58B4">
        <w:rPr>
          <w:rFonts w:ascii="Georgia Pro" w:hAnsi="Georgia Pro" w:eastAsia="Georgia Pro" w:cs="Georgia Pro"/>
          <w:b w:val="0"/>
          <w:bCs w:val="0"/>
          <w:i w:val="0"/>
          <w:iCs w:val="0"/>
          <w:sz w:val="32"/>
          <w:szCs w:val="32"/>
        </w:rPr>
        <w:t xml:space="preserve"> if there is an upsurge in terrorists in other nations. If it wants to develop its global trade and money with other nations, those nations that struggle with violence must impose tight restrictions on it (</w:t>
      </w:r>
      <w:r w:rsidRPr="39E316D4" w:rsidR="3ABC58B4">
        <w:rPr>
          <w:rFonts w:ascii="Georgia Pro" w:hAnsi="Georgia Pro" w:eastAsia="Georgia Pro" w:cs="Georgia Pro"/>
          <w:b w:val="0"/>
          <w:bCs w:val="0"/>
          <w:i w:val="0"/>
          <w:iCs w:val="0"/>
          <w:sz w:val="32"/>
          <w:szCs w:val="32"/>
        </w:rPr>
        <w:t>Mosteanu</w:t>
      </w:r>
      <w:r w:rsidRPr="39E316D4" w:rsidR="3ABC58B4">
        <w:rPr>
          <w:rFonts w:ascii="Georgia Pro" w:hAnsi="Georgia Pro" w:eastAsia="Georgia Pro" w:cs="Georgia Pro"/>
          <w:b w:val="0"/>
          <w:bCs w:val="0"/>
          <w:i w:val="0"/>
          <w:iCs w:val="0"/>
          <w:sz w:val="32"/>
          <w:szCs w:val="32"/>
        </w:rPr>
        <w:t xml:space="preserve"> and </w:t>
      </w:r>
      <w:r w:rsidRPr="39E316D4" w:rsidR="3ABC58B4">
        <w:rPr>
          <w:rFonts w:ascii="Georgia Pro" w:hAnsi="Georgia Pro" w:eastAsia="Georgia Pro" w:cs="Georgia Pro"/>
          <w:b w:val="0"/>
          <w:bCs w:val="0"/>
          <w:i w:val="0"/>
          <w:iCs w:val="0"/>
          <w:sz w:val="32"/>
          <w:szCs w:val="32"/>
        </w:rPr>
        <w:t>Faccia</w:t>
      </w:r>
      <w:r w:rsidRPr="39E316D4" w:rsidR="3ABC58B4">
        <w:rPr>
          <w:rFonts w:ascii="Georgia Pro" w:hAnsi="Georgia Pro" w:eastAsia="Georgia Pro" w:cs="Georgia Pro"/>
          <w:b w:val="0"/>
          <w:bCs w:val="0"/>
          <w:i w:val="0"/>
          <w:iCs w:val="0"/>
          <w:sz w:val="32"/>
          <w:szCs w:val="32"/>
        </w:rPr>
        <w:t xml:space="preserve"> 2020). The threat of not recovering accounts overdue is known as credibility or counterparties risk. There are techniques for companies who are entering international markets to guard against such a danger it is the letter of credit, factoring, standby letter of credit, and credit insurance. Copyright risk is the possibility that other entities could </w:t>
      </w:r>
      <w:r w:rsidRPr="39E316D4" w:rsidR="3ABC58B4">
        <w:rPr>
          <w:rFonts w:ascii="Georgia Pro" w:hAnsi="Georgia Pro" w:eastAsia="Georgia Pro" w:cs="Georgia Pro"/>
          <w:b w:val="0"/>
          <w:bCs w:val="0"/>
          <w:i w:val="0"/>
          <w:iCs w:val="0"/>
          <w:sz w:val="32"/>
          <w:szCs w:val="32"/>
        </w:rPr>
        <w:t>utilize</w:t>
      </w:r>
      <w:r w:rsidRPr="39E316D4" w:rsidR="3ABC58B4">
        <w:rPr>
          <w:rFonts w:ascii="Georgia Pro" w:hAnsi="Georgia Pro" w:eastAsia="Georgia Pro" w:cs="Georgia Pro"/>
          <w:b w:val="0"/>
          <w:bCs w:val="0"/>
          <w:i w:val="0"/>
          <w:iCs w:val="0"/>
          <w:sz w:val="32"/>
          <w:szCs w:val="32"/>
        </w:rPr>
        <w:t xml:space="preserve"> Shell Plc’s firm's operations data or assets without authorization in a way that could reflect the price of the company's goods or services. Because it is difficult to effectively protect the company's right to this asset, such dangers multiply when conducting business worldwide.</w:t>
      </w:r>
    </w:p>
    <w:p w:rsidR="39E316D4" w:rsidP="39E316D4" w:rsidRDefault="39E316D4" w14:paraId="57C4E57D" w14:textId="5F507164">
      <w:pPr>
        <w:pStyle w:val="Normal"/>
        <w:bidi w:val="0"/>
        <w:spacing w:before="0" w:beforeAutospacing="off" w:after="160" w:afterAutospacing="off" w:line="259" w:lineRule="auto"/>
        <w:ind w:left="0" w:right="0"/>
        <w:jc w:val="left"/>
        <w:rPr>
          <w:rFonts w:ascii="Georgia Pro" w:hAnsi="Georgia Pro" w:eastAsia="Georgia Pro" w:cs="Georgia Pro"/>
          <w:b w:val="0"/>
          <w:bCs w:val="0"/>
          <w:i w:val="0"/>
          <w:iCs w:val="0"/>
          <w:sz w:val="32"/>
          <w:szCs w:val="32"/>
        </w:rPr>
      </w:pPr>
    </w:p>
    <w:p w:rsidR="3ABC58B4" w:rsidP="39E316D4" w:rsidRDefault="3ABC58B4" w14:paraId="3EDDB262" w14:textId="52AF0789">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40"/>
          <w:szCs w:val="40"/>
        </w:rPr>
      </w:pPr>
      <w:r w:rsidRPr="39E316D4" w:rsidR="3ABC58B4">
        <w:rPr>
          <w:rFonts w:ascii="Georgia Pro" w:hAnsi="Georgia Pro" w:eastAsia="Georgia Pro" w:cs="Georgia Pro"/>
          <w:b w:val="1"/>
          <w:bCs w:val="1"/>
          <w:i w:val="1"/>
          <w:iCs w:val="1"/>
          <w:sz w:val="40"/>
          <w:szCs w:val="40"/>
        </w:rPr>
        <w:t>Dividend Distribution policy</w:t>
      </w:r>
    </w:p>
    <w:p w:rsidR="3ABC58B4" w:rsidP="39E316D4" w:rsidRDefault="3ABC58B4" w14:paraId="05280911" w14:textId="3B8DD0A4">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b w:val="0"/>
          <w:bCs w:val="0"/>
          <w:i w:val="0"/>
          <w:iCs w:val="0"/>
          <w:sz w:val="32"/>
          <w:szCs w:val="32"/>
        </w:rPr>
        <w:t xml:space="preserve">  A regular dividend policy is used by the Shell Plc Company. The business annually distributes dividends to its investors whether the firm has profits or losses. The high-profit company distributes a high dividend and in the loss period, the firm is distributed from its retained profits (</w:t>
      </w:r>
      <w:r w:rsidRPr="39E316D4" w:rsidR="3ABC58B4">
        <w:rPr>
          <w:rFonts w:ascii="Georgia Pro" w:hAnsi="Georgia Pro" w:eastAsia="Georgia Pro" w:cs="Georgia Pro"/>
          <w:b w:val="0"/>
          <w:bCs w:val="0"/>
          <w:i w:val="0"/>
          <w:iCs w:val="0"/>
          <w:sz w:val="32"/>
          <w:szCs w:val="32"/>
        </w:rPr>
        <w:t>Odinya</w:t>
      </w:r>
      <w:r w:rsidRPr="39E316D4" w:rsidR="3ABC58B4">
        <w:rPr>
          <w:rFonts w:ascii="Georgia Pro" w:hAnsi="Georgia Pro" w:eastAsia="Georgia Pro" w:cs="Georgia Pro"/>
          <w:b w:val="0"/>
          <w:bCs w:val="0"/>
          <w:i w:val="0"/>
          <w:iCs w:val="0"/>
          <w:sz w:val="32"/>
          <w:szCs w:val="32"/>
        </w:rPr>
        <w:t xml:space="preserve"> and Joseph 2018). The surplus revenues will not be released to the stockholders if the business experiences unusually massive profits instead the firm would be kept in the business as retained profits. The rate depends on the profits of the firm in the current year. </w:t>
      </w:r>
    </w:p>
    <w:p w:rsidR="3ABC58B4" w:rsidP="39E316D4" w:rsidRDefault="3ABC58B4" w14:paraId="1156C878" w14:textId="36B6899D">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Dividend per share</w:t>
      </w:r>
    </w:p>
    <w:p w:rsidR="39E316D4" w:rsidP="39E316D4" w:rsidRDefault="39E316D4" w14:paraId="65E00569" w14:textId="0198C26A">
      <w:pPr>
        <w:pStyle w:val="Normal"/>
        <w:bidi w:val="0"/>
        <w:spacing w:before="0" w:beforeAutospacing="off" w:after="160" w:afterAutospacing="off" w:line="259" w:lineRule="auto"/>
        <w:ind w:left="0" w:right="0"/>
        <w:jc w:val="left"/>
      </w:pPr>
    </w:p>
    <w:p w:rsidR="3ABC58B4" w:rsidP="39E316D4" w:rsidRDefault="3ABC58B4" w14:paraId="4257AB89" w14:textId="5933B174">
      <w:pPr>
        <w:pStyle w:val="Normal"/>
        <w:bidi w:val="0"/>
        <w:spacing w:before="0" w:beforeAutospacing="off" w:after="160" w:afterAutospacing="off" w:line="259" w:lineRule="auto"/>
        <w:ind w:left="0" w:right="0"/>
        <w:jc w:val="left"/>
      </w:pPr>
      <w:r w:rsidR="3ABC58B4">
        <w:drawing>
          <wp:inline wp14:editId="4DEF4511" wp14:anchorId="41182D42">
            <wp:extent cx="4666130" cy="3305175"/>
            <wp:effectExtent l="0" t="0" r="0" b="0"/>
            <wp:docPr id="94134036" name="" title=""/>
            <wp:cNvGraphicFramePr>
              <a:graphicFrameLocks noChangeAspect="1"/>
            </wp:cNvGraphicFramePr>
            <a:graphic>
              <a:graphicData uri="http://schemas.openxmlformats.org/drawingml/2006/picture">
                <pic:pic>
                  <pic:nvPicPr>
                    <pic:cNvPr id="0" name=""/>
                    <pic:cNvPicPr/>
                  </pic:nvPicPr>
                  <pic:blipFill>
                    <a:blip r:embed="R718a8dfe1a4841e7">
                      <a:extLst>
                        <a:ext xmlns:a="http://schemas.openxmlformats.org/drawingml/2006/main" uri="{28A0092B-C50C-407E-A947-70E740481C1C}">
                          <a14:useLocalDpi val="0"/>
                        </a:ext>
                      </a:extLst>
                    </a:blip>
                    <a:stretch>
                      <a:fillRect/>
                    </a:stretch>
                  </pic:blipFill>
                  <pic:spPr>
                    <a:xfrm>
                      <a:off x="0" y="0"/>
                      <a:ext cx="4666130" cy="3305175"/>
                    </a:xfrm>
                    <a:prstGeom prst="rect">
                      <a:avLst/>
                    </a:prstGeom>
                  </pic:spPr>
                </pic:pic>
              </a:graphicData>
            </a:graphic>
          </wp:inline>
        </w:drawing>
      </w:r>
    </w:p>
    <w:p w:rsidR="39E316D4" w:rsidP="39E316D4" w:rsidRDefault="39E316D4" w14:paraId="4B847EB8" w14:textId="1E93CFD5">
      <w:pPr>
        <w:pStyle w:val="Normal"/>
        <w:bidi w:val="0"/>
        <w:spacing w:before="0" w:beforeAutospacing="off" w:after="160" w:afterAutospacing="off" w:line="259" w:lineRule="auto"/>
        <w:ind w:left="0" w:right="0"/>
        <w:jc w:val="left"/>
      </w:pPr>
    </w:p>
    <w:p w:rsidR="3ABC58B4" w:rsidP="39E316D4" w:rsidRDefault="3ABC58B4" w14:paraId="083BC22B" w14:textId="0FC50FE0">
      <w:pPr>
        <w:pStyle w:val="Normal"/>
        <w:bidi w:val="0"/>
        <w:spacing w:before="0" w:beforeAutospacing="off" w:after="160" w:afterAutospacing="off" w:line="259" w:lineRule="auto"/>
        <w:ind w:left="0" w:right="0"/>
        <w:jc w:val="left"/>
        <w:rPr>
          <w:rFonts w:ascii="Georgia Pro" w:hAnsi="Georgia Pro" w:eastAsia="Georgia Pro" w:cs="Georgia Pro"/>
          <w:sz w:val="28"/>
          <w:szCs w:val="28"/>
        </w:rPr>
      </w:pPr>
      <w:r w:rsidRPr="39E316D4" w:rsidR="3ABC58B4">
        <w:rPr>
          <w:rFonts w:ascii="Georgia Pro" w:hAnsi="Georgia Pro" w:eastAsia="Georgia Pro" w:cs="Georgia Pro"/>
          <w:sz w:val="28"/>
          <w:szCs w:val="28"/>
        </w:rPr>
        <w:t xml:space="preserve">                          (Sources- Fidelity)</w:t>
      </w:r>
    </w:p>
    <w:p w:rsidR="39E316D4" w:rsidP="39E316D4" w:rsidRDefault="39E316D4" w14:paraId="5361074E" w14:textId="689E0A7F">
      <w:pPr>
        <w:pStyle w:val="Normal"/>
        <w:bidi w:val="0"/>
        <w:spacing w:before="0" w:beforeAutospacing="off" w:after="160" w:afterAutospacing="off" w:line="259" w:lineRule="auto"/>
        <w:ind w:left="0" w:right="0"/>
        <w:jc w:val="left"/>
        <w:rPr>
          <w:rFonts w:ascii="Georgia Pro" w:hAnsi="Georgia Pro" w:eastAsia="Georgia Pro" w:cs="Georgia Pro"/>
          <w:sz w:val="28"/>
          <w:szCs w:val="28"/>
        </w:rPr>
      </w:pPr>
    </w:p>
    <w:p w:rsidR="3ABC58B4" w:rsidP="39E316D4" w:rsidRDefault="3ABC58B4" w14:paraId="42011348" w14:textId="0F1DD573">
      <w:pPr>
        <w:pStyle w:val="Normal"/>
        <w:bidi w:val="0"/>
        <w:spacing w:before="0" w:beforeAutospacing="off" w:after="160" w:afterAutospacing="off" w:line="259" w:lineRule="auto"/>
        <w:ind w:left="0" w:right="0"/>
        <w:jc w:val="left"/>
        <w:rPr>
          <w:rFonts w:ascii="Georgia Pro" w:hAnsi="Georgia Pro" w:eastAsia="Georgia Pro" w:cs="Georgia Pro"/>
          <w:sz w:val="32"/>
          <w:szCs w:val="32"/>
        </w:rPr>
      </w:pPr>
      <w:r w:rsidRPr="39E316D4" w:rsidR="3ABC58B4">
        <w:rPr>
          <w:rFonts w:ascii="Georgia Pro" w:hAnsi="Georgia Pro" w:eastAsia="Georgia Pro" w:cs="Georgia Pro"/>
          <w:sz w:val="32"/>
          <w:szCs w:val="32"/>
        </w:rPr>
        <w:t xml:space="preserve">  The amount of money paid to stockholders per share owned of a company's stock is expressed as dividends per share. This money is the dividend the corporation has announced for its eligible stockholders. The above graphs show the dividend per share from 2018 and 2022. It illustrates that the company pays fewer dividends to its investor in the year 2021, it pays 0.59 on one share. The reason for the company distribution of dividend </w:t>
      </w:r>
      <w:bookmarkStart w:name="_Int_oHdO8MsS" w:id="284823257"/>
      <w:r w:rsidRPr="39E316D4" w:rsidR="33916C90">
        <w:rPr>
          <w:rFonts w:ascii="Georgia Pro" w:hAnsi="Georgia Pro" w:eastAsia="Georgia Pro" w:cs="Georgia Pro"/>
          <w:sz w:val="32"/>
          <w:szCs w:val="32"/>
        </w:rPr>
        <w:t>falls</w:t>
      </w:r>
      <w:bookmarkEnd w:id="284823257"/>
      <w:r w:rsidRPr="39E316D4" w:rsidR="3ABC58B4">
        <w:rPr>
          <w:rFonts w:ascii="Georgia Pro" w:hAnsi="Georgia Pro" w:eastAsia="Georgia Pro" w:cs="Georgia Pro"/>
          <w:sz w:val="32"/>
          <w:szCs w:val="32"/>
        </w:rPr>
        <w:t xml:space="preserve"> in the year 2018 and 2021 was Brexit and covid-19 due to this </w:t>
      </w:r>
      <w:bookmarkStart w:name="_Int_PC0r85Zl" w:id="196650211"/>
      <w:r w:rsidRPr="39E316D4" w:rsidR="3ABC58B4">
        <w:rPr>
          <w:rFonts w:ascii="Georgia Pro" w:hAnsi="Georgia Pro" w:eastAsia="Georgia Pro" w:cs="Georgia Pro"/>
          <w:sz w:val="32"/>
          <w:szCs w:val="32"/>
        </w:rPr>
        <w:t>particular reason</w:t>
      </w:r>
      <w:bookmarkEnd w:id="196650211"/>
      <w:r w:rsidRPr="39E316D4" w:rsidR="3ABC58B4">
        <w:rPr>
          <w:rFonts w:ascii="Georgia Pro" w:hAnsi="Georgia Pro" w:eastAsia="Georgia Pro" w:cs="Georgia Pro"/>
          <w:sz w:val="32"/>
          <w:szCs w:val="32"/>
        </w:rPr>
        <w:t xml:space="preserve"> company profits decreased (Fidelity 2022). This directly affects the shareholder funds. The company growth in dividend is negative in the year 2018, 2019,2020, and 2021 was 0.01%, 0.01%, 0.49%, and 0.14 % respectively. But in the year the company distribution rate is increased due to its increased profits as compared to the previous year.</w:t>
      </w:r>
    </w:p>
    <w:p w:rsidR="39E316D4" w:rsidP="39E316D4" w:rsidRDefault="39E316D4" w14:paraId="05814206" w14:textId="32107F4F">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40"/>
          <w:szCs w:val="40"/>
        </w:rPr>
      </w:pPr>
    </w:p>
    <w:p w:rsidR="3ABC58B4" w:rsidP="39E316D4" w:rsidRDefault="3ABC58B4" w14:paraId="7F4D961F" w14:textId="48A1CF61">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6"/>
          <w:szCs w:val="36"/>
        </w:rPr>
      </w:pPr>
      <w:r w:rsidRPr="39E316D4" w:rsidR="3ABC58B4">
        <w:rPr>
          <w:rFonts w:ascii="Georgia Pro" w:hAnsi="Georgia Pro" w:eastAsia="Georgia Pro" w:cs="Georgia Pro"/>
          <w:b w:val="1"/>
          <w:bCs w:val="1"/>
          <w:i w:val="1"/>
          <w:iCs w:val="1"/>
          <w:sz w:val="36"/>
          <w:szCs w:val="36"/>
        </w:rPr>
        <w:t>Percentages of earnings paid to shareholders</w:t>
      </w:r>
    </w:p>
    <w:p w:rsidR="3ABC58B4" w:rsidP="39E316D4" w:rsidRDefault="3ABC58B4" w14:paraId="042F1B8A" w14:textId="4135A930">
      <w:pPr>
        <w:pStyle w:val="Normal"/>
        <w:bidi w:val="0"/>
        <w:spacing w:before="0" w:beforeAutospacing="off" w:after="160" w:afterAutospacing="off" w:line="259" w:lineRule="auto"/>
        <w:ind w:left="0" w:right="0"/>
        <w:jc w:val="left"/>
      </w:pPr>
      <w:r w:rsidR="3ABC58B4">
        <w:drawing>
          <wp:inline wp14:editId="08ABE353" wp14:anchorId="3D8C2FBC">
            <wp:extent cx="5210175" cy="3299777"/>
            <wp:effectExtent l="0" t="0" r="0" b="0"/>
            <wp:docPr id="2061469148" name="" title=""/>
            <wp:cNvGraphicFramePr>
              <a:graphicFrameLocks noChangeAspect="1"/>
            </wp:cNvGraphicFramePr>
            <a:graphic>
              <a:graphicData uri="http://schemas.openxmlformats.org/drawingml/2006/picture">
                <pic:pic>
                  <pic:nvPicPr>
                    <pic:cNvPr id="0" name=""/>
                    <pic:cNvPicPr/>
                  </pic:nvPicPr>
                  <pic:blipFill>
                    <a:blip r:embed="R82f76937befa4710">
                      <a:extLst>
                        <a:ext xmlns:a="http://schemas.openxmlformats.org/drawingml/2006/main" uri="{28A0092B-C50C-407E-A947-70E740481C1C}">
                          <a14:useLocalDpi val="0"/>
                        </a:ext>
                      </a:extLst>
                    </a:blip>
                    <a:stretch>
                      <a:fillRect/>
                    </a:stretch>
                  </pic:blipFill>
                  <pic:spPr>
                    <a:xfrm>
                      <a:off x="0" y="0"/>
                      <a:ext cx="5210175" cy="3299777"/>
                    </a:xfrm>
                    <a:prstGeom prst="rect">
                      <a:avLst/>
                    </a:prstGeom>
                  </pic:spPr>
                </pic:pic>
              </a:graphicData>
            </a:graphic>
          </wp:inline>
        </w:drawing>
      </w:r>
    </w:p>
    <w:p w:rsidR="3ABC58B4" w:rsidP="39E316D4" w:rsidRDefault="3ABC58B4" w14:paraId="0AA4C10F" w14:textId="530861E5">
      <w:pPr>
        <w:pStyle w:val="Normal"/>
        <w:bidi w:val="0"/>
        <w:spacing w:before="0" w:beforeAutospacing="off" w:after="160" w:afterAutospacing="off" w:line="259" w:lineRule="auto"/>
        <w:ind w:left="1440" w:right="0"/>
        <w:jc w:val="left"/>
        <w:rPr>
          <w:rFonts w:ascii="Georgia Pro" w:hAnsi="Georgia Pro" w:eastAsia="Georgia Pro" w:cs="Georgia Pro"/>
          <w:i w:val="1"/>
          <w:iCs w:val="1"/>
          <w:sz w:val="28"/>
          <w:szCs w:val="28"/>
        </w:rPr>
      </w:pPr>
      <w:r w:rsidRPr="39E316D4" w:rsidR="3ABC58B4">
        <w:rPr>
          <w:rFonts w:ascii="Georgia Pro" w:hAnsi="Georgia Pro" w:eastAsia="Georgia Pro" w:cs="Georgia Pro"/>
          <w:i w:val="1"/>
          <w:iCs w:val="1"/>
          <w:sz w:val="28"/>
          <w:szCs w:val="28"/>
        </w:rPr>
        <w:t>(Sources- Fidelity)</w:t>
      </w:r>
    </w:p>
    <w:p w:rsidR="39E316D4" w:rsidP="39E316D4" w:rsidRDefault="39E316D4" w14:paraId="3303E5F9" w14:textId="7F7FEDF8">
      <w:pPr>
        <w:pStyle w:val="Normal"/>
        <w:bidi w:val="0"/>
        <w:spacing w:before="0" w:beforeAutospacing="off" w:after="160" w:afterAutospacing="off" w:line="259" w:lineRule="auto"/>
        <w:ind w:left="1440" w:right="0"/>
        <w:jc w:val="left"/>
        <w:rPr>
          <w:rFonts w:ascii="Georgia Pro" w:hAnsi="Georgia Pro" w:eastAsia="Georgia Pro" w:cs="Georgia Pro"/>
          <w:i w:val="1"/>
          <w:iCs w:val="1"/>
          <w:sz w:val="28"/>
          <w:szCs w:val="28"/>
        </w:rPr>
      </w:pPr>
    </w:p>
    <w:p w:rsidR="3ABC58B4" w:rsidP="39E316D4" w:rsidRDefault="3ABC58B4" w14:paraId="2C722949" w14:textId="4C879C5D">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The above graph shows the percentage of profit Shell plc distributed as dividends from the year 2018 to 2022. The dividend yield was decreasing from the year 2020 by 0.89%. In 2021 company distribution is low due to the decrease in oil prices brought on by the decline in sales for oil during the COVID-19 epidemic, Shell stated in 2020, that this would reduce its </w:t>
      </w:r>
      <w:bookmarkStart w:name="_Int_JAIu9uuA" w:id="60228038"/>
      <w:r w:rsidRPr="39E316D4" w:rsidR="64B69629">
        <w:rPr>
          <w:rFonts w:ascii="Georgia Pro" w:hAnsi="Georgia Pro" w:eastAsia="Georgia Pro" w:cs="Georgia Pro"/>
          <w:sz w:val="32"/>
          <w:szCs w:val="32"/>
        </w:rPr>
        <w:t>pay-out</w:t>
      </w:r>
      <w:bookmarkEnd w:id="60228038"/>
      <w:r w:rsidRPr="39E316D4" w:rsidR="3ABC58B4">
        <w:rPr>
          <w:rFonts w:ascii="Georgia Pro" w:hAnsi="Georgia Pro" w:eastAsia="Georgia Pro" w:cs="Georgia Pro"/>
          <w:sz w:val="32"/>
          <w:szCs w:val="32"/>
        </w:rPr>
        <w:t xml:space="preserve"> for the very first period since the Second War (Fidelity 2022).The buyback yield increased in the year 2020 and 2022 was 7.40% and 7.75% respectively which means that the company is purchasing its shares from the open market. According to Shell, their net profit for the three months to the end of March decreased to US$2.9 billion after adjusting for material costs. This contrasts with US$5.3 billion during the same time last year. </w:t>
      </w:r>
    </w:p>
    <w:p w:rsidR="3ABC58B4" w:rsidP="39E316D4" w:rsidRDefault="3ABC58B4" w14:paraId="26CAC773" w14:textId="6E282578">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w:t>
      </w:r>
    </w:p>
    <w:p w:rsidR="3ABC58B4" w:rsidP="39E316D4" w:rsidRDefault="3ABC58B4" w14:paraId="642FB85A" w14:textId="72CD09A3">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Efficient market hypothesis theory</w:t>
      </w:r>
    </w:p>
    <w:p w:rsidR="3ABC58B4" w:rsidP="39E316D4" w:rsidRDefault="3ABC58B4" w14:paraId="0413B1F6" w14:textId="0BC1584A">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The theory asserts that share values accurately </w:t>
      </w:r>
      <w:r w:rsidRPr="39E316D4" w:rsidR="3ABC58B4">
        <w:rPr>
          <w:rFonts w:ascii="Georgia Pro" w:hAnsi="Georgia Pro" w:eastAsia="Georgia Pro" w:cs="Georgia Pro"/>
          <w:sz w:val="32"/>
          <w:szCs w:val="32"/>
        </w:rPr>
        <w:t>indicate</w:t>
      </w:r>
      <w:r w:rsidRPr="39E316D4" w:rsidR="3ABC58B4">
        <w:rPr>
          <w:rFonts w:ascii="Georgia Pro" w:hAnsi="Georgia Pro" w:eastAsia="Georgia Pro" w:cs="Georgia Pro"/>
          <w:sz w:val="32"/>
          <w:szCs w:val="32"/>
        </w:rPr>
        <w:t xml:space="preserve"> all </w:t>
      </w:r>
      <w:bookmarkStart w:name="_Int_JwHdj2cI" w:id="575601942"/>
      <w:r w:rsidRPr="39E316D4" w:rsidR="3ABC58B4">
        <w:rPr>
          <w:rFonts w:ascii="Georgia Pro" w:hAnsi="Georgia Pro" w:eastAsia="Georgia Pro" w:cs="Georgia Pro"/>
          <w:sz w:val="32"/>
          <w:szCs w:val="32"/>
        </w:rPr>
        <w:t>important information</w:t>
      </w:r>
      <w:bookmarkEnd w:id="575601942"/>
      <w:r w:rsidRPr="39E316D4" w:rsidR="3ABC58B4">
        <w:rPr>
          <w:rFonts w:ascii="Georgia Pro" w:hAnsi="Georgia Pro" w:eastAsia="Georgia Pro" w:cs="Georgia Pro"/>
          <w:sz w:val="32"/>
          <w:szCs w:val="32"/>
        </w:rPr>
        <w:t xml:space="preserve">. According to this EMH, it is </w:t>
      </w:r>
      <w:r w:rsidRPr="39E316D4" w:rsidR="3ABC58B4">
        <w:rPr>
          <w:rFonts w:ascii="Georgia Pro" w:hAnsi="Georgia Pro" w:eastAsia="Georgia Pro" w:cs="Georgia Pro"/>
          <w:sz w:val="32"/>
          <w:szCs w:val="32"/>
        </w:rPr>
        <w:t>stated</w:t>
      </w:r>
      <w:r w:rsidRPr="39E316D4" w:rsidR="3ABC58B4">
        <w:rPr>
          <w:rFonts w:ascii="Georgia Pro" w:hAnsi="Georgia Pro" w:eastAsia="Georgia Pro" w:cs="Georgia Pro"/>
          <w:sz w:val="32"/>
          <w:szCs w:val="32"/>
        </w:rPr>
        <w:t xml:space="preserve"> that the company’s market share prices always </w:t>
      </w:r>
      <w:r w:rsidRPr="39E316D4" w:rsidR="3ABC58B4">
        <w:rPr>
          <w:rFonts w:ascii="Georgia Pro" w:hAnsi="Georgia Pro" w:eastAsia="Georgia Pro" w:cs="Georgia Pro"/>
          <w:sz w:val="32"/>
          <w:szCs w:val="32"/>
        </w:rPr>
        <w:t>indicate</w:t>
      </w:r>
      <w:r w:rsidRPr="39E316D4" w:rsidR="3ABC58B4">
        <w:rPr>
          <w:rFonts w:ascii="Georgia Pro" w:hAnsi="Georgia Pro" w:eastAsia="Georgia Pro" w:cs="Georgia Pro"/>
          <w:sz w:val="32"/>
          <w:szCs w:val="32"/>
        </w:rPr>
        <w:t xml:space="preserve"> the financial position and value. If any individual wants to know the company’s future growth and </w:t>
      </w:r>
      <w:bookmarkStart w:name="_Int_SN6PIFUr" w:id="24491494"/>
      <w:r w:rsidRPr="39E316D4" w:rsidR="26B51823">
        <w:rPr>
          <w:rFonts w:ascii="Georgia Pro" w:hAnsi="Georgia Pro" w:eastAsia="Georgia Pro" w:cs="Georgia Pro"/>
          <w:sz w:val="32"/>
          <w:szCs w:val="32"/>
        </w:rPr>
        <w:t>expansion,</w:t>
      </w:r>
      <w:bookmarkEnd w:id="24491494"/>
      <w:r w:rsidRPr="39E316D4" w:rsidR="3ABC58B4">
        <w:rPr>
          <w:rFonts w:ascii="Georgia Pro" w:hAnsi="Georgia Pro" w:eastAsia="Georgia Pro" w:cs="Georgia Pro"/>
          <w:sz w:val="32"/>
          <w:szCs w:val="32"/>
        </w:rPr>
        <w:t xml:space="preserve"> then it is first to examine and evaluate the share value of the shell company (Rossi and </w:t>
      </w:r>
      <w:r w:rsidRPr="39E316D4" w:rsidR="3ABC58B4">
        <w:rPr>
          <w:rFonts w:ascii="Georgia Pro" w:hAnsi="Georgia Pro" w:eastAsia="Georgia Pro" w:cs="Georgia Pro"/>
          <w:sz w:val="32"/>
          <w:szCs w:val="32"/>
        </w:rPr>
        <w:t>Gunardi</w:t>
      </w:r>
      <w:r w:rsidRPr="39E316D4" w:rsidR="3ABC58B4">
        <w:rPr>
          <w:rFonts w:ascii="Georgia Pro" w:hAnsi="Georgia Pro" w:eastAsia="Georgia Pro" w:cs="Georgia Pro"/>
          <w:sz w:val="32"/>
          <w:szCs w:val="32"/>
        </w:rPr>
        <w:t xml:space="preserve"> 2018). The perfect market is the assumption of this theory. It means that it is rational buying and selling, an efficient market, availability of information, no transaction costs, and homogenous expectation of the investors.</w:t>
      </w:r>
    </w:p>
    <w:p w:rsidR="3ABC58B4" w:rsidP="39E316D4" w:rsidRDefault="3ABC58B4" w14:paraId="2A51B1D8" w14:textId="434ED2EE">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w:t>
      </w:r>
    </w:p>
    <w:p w:rsidR="3ABC58B4" w:rsidP="39E316D4" w:rsidRDefault="3ABC58B4" w14:paraId="3C2F5D83" w14:textId="36D09047">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Number of Shell shares from 2008 to 2021(in millions)</w:t>
      </w:r>
    </w:p>
    <w:p w:rsidR="3ABC58B4" w:rsidP="39E316D4" w:rsidRDefault="3ABC58B4" w14:paraId="7A3F6FBA" w14:textId="69A6F0E4">
      <w:pPr>
        <w:pStyle w:val="Normal"/>
        <w:bidi w:val="0"/>
        <w:spacing w:before="0" w:beforeAutospacing="off" w:after="160" w:afterAutospacing="off" w:line="259" w:lineRule="auto"/>
        <w:ind w:left="0" w:right="0"/>
        <w:jc w:val="left"/>
      </w:pPr>
      <w:r w:rsidR="3ABC58B4">
        <w:drawing>
          <wp:inline wp14:editId="55D281A2" wp14:anchorId="1177592D">
            <wp:extent cx="5123718" cy="3330416"/>
            <wp:effectExtent l="0" t="0" r="0" b="0"/>
            <wp:docPr id="1938931652" name="" title=""/>
            <wp:cNvGraphicFramePr>
              <a:graphicFrameLocks noChangeAspect="1"/>
            </wp:cNvGraphicFramePr>
            <a:graphic>
              <a:graphicData uri="http://schemas.openxmlformats.org/drawingml/2006/picture">
                <pic:pic>
                  <pic:nvPicPr>
                    <pic:cNvPr id="0" name=""/>
                    <pic:cNvPicPr/>
                  </pic:nvPicPr>
                  <pic:blipFill>
                    <a:blip r:embed="R0fb01368366f467a">
                      <a:extLst>
                        <a:ext xmlns:a="http://schemas.openxmlformats.org/drawingml/2006/main" uri="{28A0092B-C50C-407E-A947-70E740481C1C}">
                          <a14:useLocalDpi val="0"/>
                        </a:ext>
                      </a:extLst>
                    </a:blip>
                    <a:stretch>
                      <a:fillRect/>
                    </a:stretch>
                  </pic:blipFill>
                  <pic:spPr>
                    <a:xfrm>
                      <a:off x="0" y="0"/>
                      <a:ext cx="5123718" cy="3330416"/>
                    </a:xfrm>
                    <a:prstGeom prst="rect">
                      <a:avLst/>
                    </a:prstGeom>
                  </pic:spPr>
                </pic:pic>
              </a:graphicData>
            </a:graphic>
          </wp:inline>
        </w:drawing>
      </w:r>
    </w:p>
    <w:p w:rsidR="3ABC58B4" w:rsidP="39E316D4" w:rsidRDefault="3ABC58B4" w14:paraId="2D22847D" w14:textId="458EE598">
      <w:pPr>
        <w:pStyle w:val="Normal"/>
        <w:bidi w:val="0"/>
        <w:spacing w:before="0" w:beforeAutospacing="off" w:after="160" w:afterAutospacing="off" w:line="259" w:lineRule="auto"/>
        <w:ind w:left="1440" w:right="0"/>
        <w:jc w:val="left"/>
        <w:rPr>
          <w:rFonts w:ascii="Georgia Pro" w:hAnsi="Georgia Pro" w:eastAsia="Georgia Pro" w:cs="Georgia Pro"/>
          <w:sz w:val="28"/>
          <w:szCs w:val="28"/>
        </w:rPr>
      </w:pPr>
      <w:r w:rsidRPr="39E316D4" w:rsidR="3ABC58B4">
        <w:rPr>
          <w:rFonts w:ascii="Georgia Pro" w:hAnsi="Georgia Pro" w:eastAsia="Georgia Pro" w:cs="Georgia Pro"/>
          <w:sz w:val="28"/>
          <w:szCs w:val="28"/>
        </w:rPr>
        <w:t>(Source- Statista)</w:t>
      </w:r>
    </w:p>
    <w:p w:rsidR="3ABC58B4" w:rsidP="39E316D4" w:rsidRDefault="3ABC58B4" w14:paraId="09EF7EFB" w14:textId="1F4DF967">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w:t>
      </w:r>
    </w:p>
    <w:p w:rsidR="3ABC58B4" w:rsidP="39E316D4" w:rsidRDefault="3ABC58B4" w14:paraId="02DF8D1F" w14:textId="2581F19F">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The above graph of shares shows the shell company shares from 2008 to 2021. The share price of the company increased in the year 2016 it $7834 million. In the years 2017 and 2018 it was $8223 million and </w:t>
      </w:r>
      <w:bookmarkStart w:name="_Int_prsfeJnh" w:id="3284012"/>
      <w:r w:rsidRPr="39E316D4" w:rsidR="3ABC58B4">
        <w:rPr>
          <w:rFonts w:ascii="Georgia Pro" w:hAnsi="Georgia Pro" w:eastAsia="Georgia Pro" w:cs="Georgia Pro"/>
          <w:sz w:val="32"/>
          <w:szCs w:val="32"/>
        </w:rPr>
        <w:t>$8283 million</w:t>
      </w:r>
      <w:bookmarkEnd w:id="3284012"/>
      <w:r w:rsidRPr="39E316D4" w:rsidR="3ABC58B4">
        <w:rPr>
          <w:rFonts w:ascii="Georgia Pro" w:hAnsi="Georgia Pro" w:eastAsia="Georgia Pro" w:cs="Georgia Pro"/>
          <w:sz w:val="32"/>
          <w:szCs w:val="32"/>
        </w:rPr>
        <w:t xml:space="preserve"> respectively. The number of shares of shell enterprise started decreasing due to covid-19 and it was $8058 million and $7796 million in the year 2019 and </w:t>
      </w:r>
      <w:bookmarkStart w:name="_Int_qb1GEV2B" w:id="1684832018"/>
      <w:r w:rsidRPr="39E316D4" w:rsidR="3ABC58B4">
        <w:rPr>
          <w:rFonts w:ascii="Georgia Pro" w:hAnsi="Georgia Pro" w:eastAsia="Georgia Pro" w:cs="Georgia Pro"/>
          <w:sz w:val="32"/>
          <w:szCs w:val="32"/>
        </w:rPr>
        <w:t>2019</w:t>
      </w:r>
      <w:bookmarkEnd w:id="1684832018"/>
      <w:r w:rsidRPr="39E316D4" w:rsidR="3ABC58B4">
        <w:rPr>
          <w:rFonts w:ascii="Georgia Pro" w:hAnsi="Georgia Pro" w:eastAsia="Georgia Pro" w:cs="Georgia Pro"/>
          <w:sz w:val="32"/>
          <w:szCs w:val="32"/>
        </w:rPr>
        <w:t xml:space="preserve"> respectively. The reason behind the sales of the company is that decreased purchasing power is low. The above figures of shares are a clear picture of the firm. </w:t>
      </w:r>
    </w:p>
    <w:p w:rsidR="3ABC58B4" w:rsidP="39E316D4" w:rsidRDefault="3ABC58B4" w14:paraId="4297989D" w14:textId="3956D107">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 xml:space="preserve"> </w:t>
      </w:r>
    </w:p>
    <w:p w:rsidR="3ABC58B4" w:rsidP="39E316D4" w:rsidRDefault="3ABC58B4" w14:paraId="570EB49C" w14:textId="788CADED">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The monthly market capitalization of Shell plc on the London Stock Exchange (LSE) from January 2010 to June 2021(in billion GBP)</w:t>
      </w:r>
    </w:p>
    <w:p w:rsidR="3ABC58B4" w:rsidP="39E316D4" w:rsidRDefault="3ABC58B4" w14:paraId="6F9890EC" w14:textId="0A86DFDE">
      <w:pPr>
        <w:pStyle w:val="Normal"/>
        <w:bidi w:val="0"/>
        <w:spacing w:before="0" w:beforeAutospacing="off" w:after="160" w:afterAutospacing="off" w:line="259" w:lineRule="auto"/>
        <w:ind w:left="0" w:right="0"/>
        <w:jc w:val="left"/>
      </w:pPr>
      <w:r w:rsidR="3ABC58B4">
        <w:drawing>
          <wp:inline wp14:editId="7802A363" wp14:anchorId="04E3E966">
            <wp:extent cx="5436248" cy="3329702"/>
            <wp:effectExtent l="0" t="0" r="0" b="0"/>
            <wp:docPr id="1145757966" name="" title=""/>
            <wp:cNvGraphicFramePr>
              <a:graphicFrameLocks noChangeAspect="1"/>
            </wp:cNvGraphicFramePr>
            <a:graphic>
              <a:graphicData uri="http://schemas.openxmlformats.org/drawingml/2006/picture">
                <pic:pic>
                  <pic:nvPicPr>
                    <pic:cNvPr id="0" name=""/>
                    <pic:cNvPicPr/>
                  </pic:nvPicPr>
                  <pic:blipFill>
                    <a:blip r:embed="R921a67d707054744">
                      <a:extLst>
                        <a:ext xmlns:a="http://schemas.openxmlformats.org/drawingml/2006/main" uri="{28A0092B-C50C-407E-A947-70E740481C1C}">
                          <a14:useLocalDpi val="0"/>
                        </a:ext>
                      </a:extLst>
                    </a:blip>
                    <a:stretch>
                      <a:fillRect/>
                    </a:stretch>
                  </pic:blipFill>
                  <pic:spPr>
                    <a:xfrm>
                      <a:off x="0" y="0"/>
                      <a:ext cx="5436248" cy="3329702"/>
                    </a:xfrm>
                    <a:prstGeom prst="rect">
                      <a:avLst/>
                    </a:prstGeom>
                  </pic:spPr>
                </pic:pic>
              </a:graphicData>
            </a:graphic>
          </wp:inline>
        </w:drawing>
      </w:r>
    </w:p>
    <w:p w:rsidR="3ABC58B4" w:rsidP="39E316D4" w:rsidRDefault="3ABC58B4" w14:paraId="4BF3B318" w14:textId="665E4E1D">
      <w:pPr>
        <w:pStyle w:val="Normal"/>
        <w:bidi w:val="0"/>
        <w:spacing w:before="0" w:beforeAutospacing="off" w:after="160" w:afterAutospacing="off" w:line="259" w:lineRule="auto"/>
        <w:ind w:left="0" w:right="0" w:firstLine="720"/>
        <w:jc w:val="left"/>
        <w:rPr>
          <w:rFonts w:ascii="Georgia Pro" w:hAnsi="Georgia Pro" w:eastAsia="Georgia Pro" w:cs="Georgia Pro"/>
          <w:sz w:val="28"/>
          <w:szCs w:val="28"/>
        </w:rPr>
      </w:pPr>
      <w:r w:rsidRPr="39E316D4" w:rsidR="3ABC58B4">
        <w:rPr>
          <w:rFonts w:ascii="Georgia Pro" w:hAnsi="Georgia Pro" w:eastAsia="Georgia Pro" w:cs="Georgia Pro"/>
          <w:sz w:val="28"/>
          <w:szCs w:val="28"/>
        </w:rPr>
        <w:t>(Source- Statista Research Department 2022)</w:t>
      </w:r>
    </w:p>
    <w:p w:rsidR="39E316D4" w:rsidP="39E316D4" w:rsidRDefault="39E316D4" w14:paraId="12E97D71" w14:textId="2964E9BF">
      <w:pPr>
        <w:pStyle w:val="Normal"/>
        <w:bidi w:val="0"/>
        <w:spacing w:before="0" w:beforeAutospacing="off" w:after="160" w:afterAutospacing="off" w:line="259" w:lineRule="auto"/>
        <w:ind w:left="0" w:right="0" w:firstLine="720"/>
        <w:jc w:val="left"/>
        <w:rPr>
          <w:rFonts w:ascii="Georgia Pro" w:hAnsi="Georgia Pro" w:eastAsia="Georgia Pro" w:cs="Georgia Pro"/>
          <w:sz w:val="28"/>
          <w:szCs w:val="28"/>
        </w:rPr>
      </w:pPr>
    </w:p>
    <w:p w:rsidR="3ABC58B4" w:rsidP="39E316D4" w:rsidRDefault="3ABC58B4" w14:paraId="45E84BA2" w14:textId="0FFE7479">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The above graph shows the market capitalization value of shell Plc on the LSE from 2010 to 2021. It clearly shows the company’s total shares value and worth in the market. The company’s value increased in the year 2018 the market capitalization was noted at over $220.8 billion. During the covid-19 the share price value decreased which means that individuals stop buying shares and it was falling to $174.25 billion in December 2019. The market value decreases in October 2020 to $74.02 billion. In 2021 the share price start increasing as the above graph shows it was $111.19 billion in June 2021. It depicts that if the shares are increased in the shell firm that means the company’s international finance and the number of shareholders </w:t>
      </w:r>
      <w:bookmarkStart w:name="_Int_rf41g5V7" w:id="507842971"/>
      <w:r w:rsidRPr="39E316D4" w:rsidR="58F5F79B">
        <w:rPr>
          <w:rFonts w:ascii="Georgia Pro" w:hAnsi="Georgia Pro" w:eastAsia="Georgia Pro" w:cs="Georgia Pro"/>
          <w:sz w:val="32"/>
          <w:szCs w:val="32"/>
        </w:rPr>
        <w:t>is</w:t>
      </w:r>
      <w:bookmarkEnd w:id="507842971"/>
      <w:r w:rsidRPr="39E316D4" w:rsidR="3ABC58B4">
        <w:rPr>
          <w:rFonts w:ascii="Georgia Pro" w:hAnsi="Georgia Pro" w:eastAsia="Georgia Pro" w:cs="Georgia Pro"/>
          <w:sz w:val="32"/>
          <w:szCs w:val="32"/>
        </w:rPr>
        <w:t xml:space="preserve"> increasing simultaneously.</w:t>
      </w:r>
    </w:p>
    <w:p w:rsidR="39E316D4" w:rsidP="39E316D4" w:rsidRDefault="39E316D4" w14:paraId="15EE65C0" w14:textId="1F645874">
      <w:pPr>
        <w:pStyle w:val="Normal"/>
        <w:bidi w:val="0"/>
        <w:spacing w:before="0" w:beforeAutospacing="off" w:after="160" w:afterAutospacing="off" w:line="259" w:lineRule="auto"/>
        <w:ind w:left="0" w:right="0"/>
        <w:jc w:val="left"/>
        <w:rPr>
          <w:rFonts w:ascii="Georgia Pro" w:hAnsi="Georgia Pro" w:eastAsia="Georgia Pro" w:cs="Georgia Pro"/>
          <w:sz w:val="32"/>
          <w:szCs w:val="32"/>
        </w:rPr>
      </w:pPr>
    </w:p>
    <w:p w:rsidR="3ABC58B4" w:rsidP="39E316D4" w:rsidRDefault="3ABC58B4" w14:paraId="66854E58" w14:textId="55A7C1D6">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6"/>
          <w:szCs w:val="36"/>
        </w:rPr>
      </w:pPr>
      <w:r w:rsidRPr="39E316D4" w:rsidR="3ABC58B4">
        <w:rPr>
          <w:rFonts w:ascii="Georgia Pro" w:hAnsi="Georgia Pro" w:eastAsia="Georgia Pro" w:cs="Georgia Pro"/>
          <w:b w:val="1"/>
          <w:bCs w:val="1"/>
          <w:i w:val="1"/>
          <w:iCs w:val="1"/>
          <w:sz w:val="36"/>
          <w:szCs w:val="36"/>
        </w:rPr>
        <w:t>Project appraisal</w:t>
      </w:r>
    </w:p>
    <w:p w:rsidR="3ABC58B4" w:rsidP="39E316D4" w:rsidRDefault="3ABC58B4" w14:paraId="6B2FDCEC" w14:textId="0E68E477">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The Shell Plc Company uses the net present value and payback period techniques of investment appraisal for evaluating the efficiency of the project. </w:t>
      </w:r>
    </w:p>
    <w:p w:rsidR="3ABC58B4" w:rsidP="39E316D4" w:rsidRDefault="3ABC58B4" w14:paraId="528134CA" w14:textId="02F1232F">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Net present value</w:t>
      </w:r>
    </w:p>
    <w:p w:rsidR="3ABC58B4" w:rsidP="39E316D4" w:rsidRDefault="3ABC58B4" w14:paraId="13E7DD2B" w14:textId="0CF8DC45">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It is the financial meter that </w:t>
      </w:r>
      <w:r w:rsidRPr="39E316D4" w:rsidR="3ABC58B4">
        <w:rPr>
          <w:rFonts w:ascii="Georgia Pro" w:hAnsi="Georgia Pro" w:eastAsia="Georgia Pro" w:cs="Georgia Pro"/>
          <w:sz w:val="32"/>
          <w:szCs w:val="32"/>
        </w:rPr>
        <w:t>indicates</w:t>
      </w:r>
      <w:r w:rsidRPr="39E316D4" w:rsidR="3ABC58B4">
        <w:rPr>
          <w:rFonts w:ascii="Georgia Pro" w:hAnsi="Georgia Pro" w:eastAsia="Georgia Pro" w:cs="Georgia Pro"/>
          <w:sz w:val="32"/>
          <w:szCs w:val="32"/>
        </w:rPr>
        <w:t xml:space="preserve"> the investment opportunity and depicts the total cash inflow and outflow in particular projects. The amount that a venture will make or spend in perspective of current monetary terms is </w:t>
      </w:r>
      <w:r w:rsidRPr="39E316D4" w:rsidR="3ABC58B4">
        <w:rPr>
          <w:rFonts w:ascii="Georgia Pro" w:hAnsi="Georgia Pro" w:eastAsia="Georgia Pro" w:cs="Georgia Pro"/>
          <w:sz w:val="32"/>
          <w:szCs w:val="32"/>
        </w:rPr>
        <w:t>indicated</w:t>
      </w:r>
      <w:r w:rsidRPr="39E316D4" w:rsidR="3ABC58B4">
        <w:rPr>
          <w:rFonts w:ascii="Georgia Pro" w:hAnsi="Georgia Pro" w:eastAsia="Georgia Pro" w:cs="Georgia Pro"/>
          <w:sz w:val="32"/>
          <w:szCs w:val="32"/>
        </w:rPr>
        <w:t xml:space="preserve"> by its net present value. </w:t>
      </w:r>
      <w:bookmarkStart w:name="_Int_zGhOSh1k" w:id="1743164303"/>
      <w:r w:rsidRPr="39E316D4" w:rsidR="3ABC58B4">
        <w:rPr>
          <w:rFonts w:ascii="Georgia Pro" w:hAnsi="Georgia Pro" w:eastAsia="Georgia Pro" w:cs="Georgia Pro"/>
          <w:sz w:val="32"/>
          <w:szCs w:val="32"/>
        </w:rPr>
        <w:t>Due to the effect</w:t>
      </w:r>
      <w:bookmarkEnd w:id="1743164303"/>
      <w:r w:rsidRPr="39E316D4" w:rsidR="3ABC58B4">
        <w:rPr>
          <w:rFonts w:ascii="Georgia Pro" w:hAnsi="Georgia Pro" w:eastAsia="Georgia Pro" w:cs="Georgia Pro"/>
          <w:sz w:val="32"/>
          <w:szCs w:val="32"/>
        </w:rPr>
        <w:t xml:space="preserve"> of variables like rising prices and delayed interest charges, the future cash flow of a venture does not </w:t>
      </w:r>
      <w:bookmarkStart w:name="_Int_TkRa3dcc" w:id="2073047541"/>
      <w:r w:rsidRPr="39E316D4" w:rsidR="3ABC58B4">
        <w:rPr>
          <w:rFonts w:ascii="Georgia Pro" w:hAnsi="Georgia Pro" w:eastAsia="Georgia Pro" w:cs="Georgia Pro"/>
          <w:sz w:val="32"/>
          <w:szCs w:val="32"/>
        </w:rPr>
        <w:t>properly represent</w:t>
      </w:r>
      <w:bookmarkEnd w:id="2073047541"/>
      <w:r w:rsidRPr="39E316D4" w:rsidR="3ABC58B4">
        <w:rPr>
          <w:rFonts w:ascii="Georgia Pro" w:hAnsi="Georgia Pro" w:eastAsia="Georgia Pro" w:cs="Georgia Pro"/>
          <w:sz w:val="32"/>
          <w:szCs w:val="32"/>
        </w:rPr>
        <w:t xml:space="preserve"> the present financial position, hence net present value has adjusted. It shows the cash flow for every year the company earns from its investment. The main motive of NPV is to find out the actual revenue earned by the firm by subtracting the total profit earned from the </w:t>
      </w:r>
      <w:r w:rsidRPr="39E316D4" w:rsidR="3ABC58B4">
        <w:rPr>
          <w:rFonts w:ascii="Georgia Pro" w:hAnsi="Georgia Pro" w:eastAsia="Georgia Pro" w:cs="Georgia Pro"/>
          <w:sz w:val="32"/>
          <w:szCs w:val="32"/>
        </w:rPr>
        <w:t>initial</w:t>
      </w:r>
      <w:r w:rsidRPr="39E316D4" w:rsidR="3ABC58B4">
        <w:rPr>
          <w:rFonts w:ascii="Georgia Pro" w:hAnsi="Georgia Pro" w:eastAsia="Georgia Pro" w:cs="Georgia Pro"/>
          <w:sz w:val="32"/>
          <w:szCs w:val="32"/>
        </w:rPr>
        <w:t xml:space="preserve"> cash investment (Kirillov et al., 2020)</w:t>
      </w:r>
      <w:bookmarkStart w:name="_Int_nx6yo4Oc" w:id="1974434213"/>
      <w:r w:rsidRPr="39E316D4" w:rsidR="3ABC58B4">
        <w:rPr>
          <w:rFonts w:ascii="Georgia Pro" w:hAnsi="Georgia Pro" w:eastAsia="Georgia Pro" w:cs="Georgia Pro"/>
          <w:sz w:val="32"/>
          <w:szCs w:val="32"/>
        </w:rPr>
        <w:t xml:space="preserve">.  </w:t>
      </w:r>
      <w:bookmarkEnd w:id="1974434213"/>
      <w:r w:rsidRPr="39E316D4" w:rsidR="3ABC58B4">
        <w:rPr>
          <w:rFonts w:ascii="Georgia Pro" w:hAnsi="Georgia Pro" w:eastAsia="Georgia Pro" w:cs="Georgia Pro"/>
          <w:sz w:val="32"/>
          <w:szCs w:val="32"/>
        </w:rPr>
        <w:t xml:space="preserve">Shell plc choose only those projects that will give high return or more cash inflow. For example, the company has three projects- A, B, and C the </w:t>
      </w:r>
      <w:r w:rsidRPr="39E316D4" w:rsidR="3ABC58B4">
        <w:rPr>
          <w:rFonts w:ascii="Georgia Pro" w:hAnsi="Georgia Pro" w:eastAsia="Georgia Pro" w:cs="Georgia Pro"/>
          <w:sz w:val="32"/>
          <w:szCs w:val="32"/>
        </w:rPr>
        <w:t>initial</w:t>
      </w:r>
      <w:r w:rsidRPr="39E316D4" w:rsidR="3ABC58B4">
        <w:rPr>
          <w:rFonts w:ascii="Georgia Pro" w:hAnsi="Georgia Pro" w:eastAsia="Georgia Pro" w:cs="Georgia Pro"/>
          <w:sz w:val="32"/>
          <w:szCs w:val="32"/>
        </w:rPr>
        <w:t xml:space="preserve"> investment on this project is $8 million, $12 million, and </w:t>
      </w:r>
      <w:bookmarkStart w:name="_Int_oYfA1p71" w:id="1093138088"/>
      <w:r w:rsidRPr="39E316D4" w:rsidR="3ABC58B4">
        <w:rPr>
          <w:rFonts w:ascii="Georgia Pro" w:hAnsi="Georgia Pro" w:eastAsia="Georgia Pro" w:cs="Georgia Pro"/>
          <w:sz w:val="32"/>
          <w:szCs w:val="32"/>
        </w:rPr>
        <w:t>$15 million</w:t>
      </w:r>
      <w:bookmarkEnd w:id="1093138088"/>
      <w:r w:rsidRPr="39E316D4" w:rsidR="3ABC58B4">
        <w:rPr>
          <w:rFonts w:ascii="Georgia Pro" w:hAnsi="Georgia Pro" w:eastAsia="Georgia Pro" w:cs="Georgia Pro"/>
          <w:sz w:val="32"/>
          <w:szCs w:val="32"/>
        </w:rPr>
        <w:t xml:space="preserve"> respectively. Now company calculates the net present value to evaluate how much cash the company earns in the future. </w:t>
      </w:r>
      <w:bookmarkStart w:name="_Int_EbZLDwwB" w:id="666965392"/>
      <w:r w:rsidRPr="39E316D4" w:rsidR="1F2F5046">
        <w:rPr>
          <w:rFonts w:ascii="Georgia Pro" w:hAnsi="Georgia Pro" w:eastAsia="Georgia Pro" w:cs="Georgia Pro"/>
          <w:sz w:val="32"/>
          <w:szCs w:val="32"/>
        </w:rPr>
        <w:t>Let us</w:t>
      </w:r>
      <w:bookmarkEnd w:id="666965392"/>
      <w:r w:rsidRPr="39E316D4" w:rsidR="3ABC58B4">
        <w:rPr>
          <w:rFonts w:ascii="Georgia Pro" w:hAnsi="Georgia Pro" w:eastAsia="Georgia Pro" w:cs="Georgia Pro"/>
          <w:sz w:val="32"/>
          <w:szCs w:val="32"/>
        </w:rPr>
        <w:t xml:space="preserve"> suppose Shell Plc earn its project A, B, and C $10 million, $16 million, and </w:t>
      </w:r>
      <w:bookmarkStart w:name="_Int_1GS7WaKv" w:id="889972614"/>
      <w:r w:rsidRPr="39E316D4" w:rsidR="3ABC58B4">
        <w:rPr>
          <w:rFonts w:ascii="Georgia Pro" w:hAnsi="Georgia Pro" w:eastAsia="Georgia Pro" w:cs="Georgia Pro"/>
          <w:sz w:val="32"/>
          <w:szCs w:val="32"/>
        </w:rPr>
        <w:t>$17 million</w:t>
      </w:r>
      <w:bookmarkEnd w:id="889972614"/>
      <w:r w:rsidRPr="39E316D4" w:rsidR="3ABC58B4">
        <w:rPr>
          <w:rFonts w:ascii="Georgia Pro" w:hAnsi="Georgia Pro" w:eastAsia="Georgia Pro" w:cs="Georgia Pro"/>
          <w:sz w:val="32"/>
          <w:szCs w:val="32"/>
        </w:rPr>
        <w:t xml:space="preserve"> respectively. In this </w:t>
      </w:r>
      <w:bookmarkStart w:name="_Int_6DJxJPsH" w:id="1480659483"/>
      <w:r w:rsidRPr="39E316D4" w:rsidR="3ABC58B4">
        <w:rPr>
          <w:rFonts w:ascii="Georgia Pro" w:hAnsi="Georgia Pro" w:eastAsia="Georgia Pro" w:cs="Georgia Pro"/>
          <w:sz w:val="32"/>
          <w:szCs w:val="32"/>
        </w:rPr>
        <w:t>particular case</w:t>
      </w:r>
      <w:bookmarkEnd w:id="1480659483"/>
      <w:r w:rsidRPr="39E316D4" w:rsidR="3ABC58B4">
        <w:rPr>
          <w:rFonts w:ascii="Georgia Pro" w:hAnsi="Georgia Pro" w:eastAsia="Georgia Pro" w:cs="Georgia Pro"/>
          <w:sz w:val="32"/>
          <w:szCs w:val="32"/>
        </w:rPr>
        <w:t>, the company chooses project B because the cash flow of this venture is higher than from the other potential projects of the company.</w:t>
      </w:r>
    </w:p>
    <w:p w:rsidR="3ABC58B4" w:rsidP="39E316D4" w:rsidRDefault="3ABC58B4" w14:paraId="1E92C15B" w14:textId="423947A3">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2"/>
          <w:szCs w:val="32"/>
        </w:rPr>
      </w:pPr>
      <w:r w:rsidRPr="39E316D4" w:rsidR="3ABC58B4">
        <w:rPr>
          <w:rFonts w:ascii="Georgia Pro" w:hAnsi="Georgia Pro" w:eastAsia="Georgia Pro" w:cs="Georgia Pro"/>
          <w:b w:val="1"/>
          <w:bCs w:val="1"/>
          <w:i w:val="1"/>
          <w:iCs w:val="1"/>
          <w:sz w:val="32"/>
          <w:szCs w:val="32"/>
        </w:rPr>
        <w:t>Payback period</w:t>
      </w:r>
    </w:p>
    <w:p w:rsidR="3ABC58B4" w:rsidP="39E316D4" w:rsidRDefault="3ABC58B4" w14:paraId="7A2DA581" w14:textId="72A5A20B">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It refers to the total period it takes to cover its </w:t>
      </w:r>
      <w:r w:rsidRPr="39E316D4" w:rsidR="3ABC58B4">
        <w:rPr>
          <w:rFonts w:ascii="Georgia Pro" w:hAnsi="Georgia Pro" w:eastAsia="Georgia Pro" w:cs="Georgia Pro"/>
          <w:sz w:val="32"/>
          <w:szCs w:val="32"/>
        </w:rPr>
        <w:t>initial</w:t>
      </w:r>
      <w:r w:rsidRPr="39E316D4" w:rsidR="3ABC58B4">
        <w:rPr>
          <w:rFonts w:ascii="Georgia Pro" w:hAnsi="Georgia Pro" w:eastAsia="Georgia Pro" w:cs="Georgia Pro"/>
          <w:sz w:val="32"/>
          <w:szCs w:val="32"/>
        </w:rPr>
        <w:t xml:space="preserve"> investment. The formula of the Payback period is the </w:t>
      </w:r>
      <w:r w:rsidRPr="39E316D4" w:rsidR="3ABC58B4">
        <w:rPr>
          <w:rFonts w:ascii="Georgia Pro" w:hAnsi="Georgia Pro" w:eastAsia="Georgia Pro" w:cs="Georgia Pro"/>
          <w:sz w:val="32"/>
          <w:szCs w:val="32"/>
        </w:rPr>
        <w:t>initial</w:t>
      </w:r>
      <w:r w:rsidRPr="39E316D4" w:rsidR="3ABC58B4">
        <w:rPr>
          <w:rFonts w:ascii="Georgia Pro" w:hAnsi="Georgia Pro" w:eastAsia="Georgia Pro" w:cs="Georgia Pro"/>
          <w:sz w:val="32"/>
          <w:szCs w:val="32"/>
        </w:rPr>
        <w:t xml:space="preserve"> cost divided by fund flow per year. This investment appraisal ignores the effect of time value money (</w:t>
      </w:r>
      <w:r w:rsidRPr="39E316D4" w:rsidR="3ABC58B4">
        <w:rPr>
          <w:rFonts w:ascii="Georgia Pro" w:hAnsi="Georgia Pro" w:eastAsia="Georgia Pro" w:cs="Georgia Pro"/>
          <w:sz w:val="32"/>
          <w:szCs w:val="32"/>
        </w:rPr>
        <w:t>Abuseif</w:t>
      </w:r>
      <w:r w:rsidRPr="39E316D4" w:rsidR="3ABC58B4">
        <w:rPr>
          <w:rFonts w:ascii="Georgia Pro" w:hAnsi="Georgia Pro" w:eastAsia="Georgia Pro" w:cs="Georgia Pro"/>
          <w:sz w:val="32"/>
          <w:szCs w:val="32"/>
        </w:rPr>
        <w:t xml:space="preserve"> and Gou 2018)</w:t>
      </w:r>
      <w:bookmarkStart w:name="_Int_e1VoSNiM" w:id="1553323012"/>
      <w:r w:rsidRPr="39E316D4" w:rsidR="3ABC58B4">
        <w:rPr>
          <w:rFonts w:ascii="Georgia Pro" w:hAnsi="Georgia Pro" w:eastAsia="Georgia Pro" w:cs="Georgia Pro"/>
          <w:sz w:val="32"/>
          <w:szCs w:val="32"/>
        </w:rPr>
        <w:t xml:space="preserve">.  </w:t>
      </w:r>
      <w:bookmarkEnd w:id="1553323012"/>
      <w:r w:rsidRPr="39E316D4" w:rsidR="3ABC58B4">
        <w:rPr>
          <w:rFonts w:ascii="Georgia Pro" w:hAnsi="Georgia Pro" w:eastAsia="Georgia Pro" w:cs="Georgia Pro"/>
          <w:sz w:val="32"/>
          <w:szCs w:val="32"/>
        </w:rPr>
        <w:t xml:space="preserve">It is an alternative method of net present value. The shell company chooses only that project whose payback period is low. As the above example, the payback period of the venture of three potential projects is 6 years, 4 years, and 7 </w:t>
      </w:r>
      <w:bookmarkStart w:name="_Int_AWoz3Ucj" w:id="264417788"/>
      <w:r w:rsidRPr="39E316D4" w:rsidR="3ABC58B4">
        <w:rPr>
          <w:rFonts w:ascii="Georgia Pro" w:hAnsi="Georgia Pro" w:eastAsia="Georgia Pro" w:cs="Georgia Pro"/>
          <w:sz w:val="32"/>
          <w:szCs w:val="32"/>
        </w:rPr>
        <w:t>years</w:t>
      </w:r>
      <w:bookmarkEnd w:id="264417788"/>
      <w:r w:rsidRPr="39E316D4" w:rsidR="3ABC58B4">
        <w:rPr>
          <w:rFonts w:ascii="Georgia Pro" w:hAnsi="Georgia Pro" w:eastAsia="Georgia Pro" w:cs="Georgia Pro"/>
          <w:sz w:val="32"/>
          <w:szCs w:val="32"/>
        </w:rPr>
        <w:t xml:space="preserve"> respectively. It means that the company invests in project B the reason behind it recovering its </w:t>
      </w:r>
      <w:r w:rsidRPr="39E316D4" w:rsidR="3ABC58B4">
        <w:rPr>
          <w:rFonts w:ascii="Georgia Pro" w:hAnsi="Georgia Pro" w:eastAsia="Georgia Pro" w:cs="Georgia Pro"/>
          <w:sz w:val="32"/>
          <w:szCs w:val="32"/>
        </w:rPr>
        <w:t>initial</w:t>
      </w:r>
      <w:r w:rsidRPr="39E316D4" w:rsidR="3ABC58B4">
        <w:rPr>
          <w:rFonts w:ascii="Georgia Pro" w:hAnsi="Georgia Pro" w:eastAsia="Georgia Pro" w:cs="Georgia Pro"/>
          <w:sz w:val="32"/>
          <w:szCs w:val="32"/>
        </w:rPr>
        <w:t xml:space="preserve"> cost earlier than the rest projects. </w:t>
      </w:r>
    </w:p>
    <w:p w:rsidR="3ABC58B4" w:rsidP="39E316D4" w:rsidRDefault="3ABC58B4" w14:paraId="6E631DE9" w14:textId="72DC8E95">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The above project appraisal helps the company to choose the best projects so that it will maximize its profit. Sometimes few projects’ NPV is </w:t>
      </w:r>
      <w:bookmarkStart w:name="_Int_GzSX00Nh" w:id="1783578472"/>
      <w:r w:rsidRPr="39E316D4" w:rsidR="1AEC4516">
        <w:rPr>
          <w:rFonts w:ascii="Georgia Pro" w:hAnsi="Georgia Pro" w:eastAsia="Georgia Pro" w:cs="Georgia Pro"/>
          <w:sz w:val="32"/>
          <w:szCs w:val="32"/>
        </w:rPr>
        <w:t>high,</w:t>
      </w:r>
      <w:bookmarkEnd w:id="1783578472"/>
      <w:r w:rsidRPr="39E316D4" w:rsidR="3ABC58B4">
        <w:rPr>
          <w:rFonts w:ascii="Georgia Pro" w:hAnsi="Georgia Pro" w:eastAsia="Georgia Pro" w:cs="Georgia Pro"/>
          <w:sz w:val="32"/>
          <w:szCs w:val="32"/>
        </w:rPr>
        <w:t xml:space="preserve"> but the payback period is also higher than other projects in this situation the Shell company always chooses a project based on Net present value. </w:t>
      </w:r>
    </w:p>
    <w:p w:rsidR="3ABC58B4" w:rsidP="39E316D4" w:rsidRDefault="3ABC58B4" w14:paraId="14D78C73" w14:textId="6129F3CD">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w:t>
      </w:r>
    </w:p>
    <w:p w:rsidR="3ABC58B4" w:rsidP="39E316D4" w:rsidRDefault="3ABC58B4" w14:paraId="3DC89B9F" w14:textId="137A697F">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6"/>
          <w:szCs w:val="36"/>
        </w:rPr>
      </w:pPr>
      <w:r w:rsidRPr="39E316D4" w:rsidR="3ABC58B4">
        <w:rPr>
          <w:rFonts w:ascii="Georgia Pro" w:hAnsi="Georgia Pro" w:eastAsia="Georgia Pro" w:cs="Georgia Pro"/>
          <w:b w:val="1"/>
          <w:bCs w:val="1"/>
          <w:i w:val="1"/>
          <w:iCs w:val="1"/>
          <w:sz w:val="36"/>
          <w:szCs w:val="36"/>
        </w:rPr>
        <w:t>Conclusion</w:t>
      </w:r>
    </w:p>
    <w:p w:rsidR="3ABC58B4" w:rsidP="39E316D4" w:rsidRDefault="3ABC58B4" w14:paraId="6D9CA7D6" w14:textId="1DB725F0">
      <w:pPr>
        <w:pStyle w:val="Normal"/>
        <w:bidi w:val="0"/>
        <w:spacing w:before="0" w:beforeAutospacing="off" w:after="160" w:afterAutospacing="off" w:line="259" w:lineRule="auto"/>
        <w:ind w:left="0" w:right="0"/>
        <w:jc w:val="left"/>
      </w:pPr>
      <w:r w:rsidRPr="39E316D4" w:rsidR="3ABC58B4">
        <w:rPr>
          <w:rFonts w:ascii="Georgia Pro" w:hAnsi="Georgia Pro" w:eastAsia="Georgia Pro" w:cs="Georgia Pro"/>
          <w:sz w:val="32"/>
          <w:szCs w:val="32"/>
        </w:rPr>
        <w:t xml:space="preserve">  Shell Company adopted a regular dividend policy for distributing the dividend to its shareholders. This method of dividend policy increased the number of shareholders of the company but also maximize the risk for the company. International financing is the best method for the expansion and maximization the profits. The inflation rate, trade restrictions, and political environment are the challenges faced by the Shell firm. In the year 2020 due to Covid-19 Shell incurs a loss of $21534 million, the company pays fewer dividends and the number of shares also decreased</w:t>
      </w:r>
      <w:r w:rsidRPr="39E316D4" w:rsidR="3ABC58B4">
        <w:rPr>
          <w:rFonts w:ascii="Georgia Pro" w:hAnsi="Georgia Pro" w:eastAsia="Georgia Pro" w:cs="Georgia Pro"/>
          <w:sz w:val="32"/>
          <w:szCs w:val="32"/>
        </w:rPr>
        <w:t xml:space="preserve">. </w:t>
      </w:r>
      <w:r w:rsidRPr="39E316D4" w:rsidR="3ABC58B4">
        <w:rPr>
          <w:rFonts w:ascii="Georgia Pro" w:hAnsi="Georgia Pro" w:eastAsia="Georgia Pro" w:cs="Georgia Pro"/>
          <w:sz w:val="32"/>
          <w:szCs w:val="32"/>
        </w:rPr>
        <w:t>International Financial Markets can be distinguished from money planning under four major categories: foreign exchange, increased opportunity, economic flaws, and political uncertainty.</w:t>
      </w:r>
    </w:p>
    <w:p w:rsidR="39E316D4" w:rsidP="39E316D4" w:rsidRDefault="39E316D4" w14:paraId="3AB6A4D0" w14:textId="63164C25">
      <w:pPr>
        <w:pStyle w:val="Normal"/>
        <w:bidi w:val="0"/>
        <w:spacing w:before="0" w:beforeAutospacing="off" w:after="160" w:afterAutospacing="off" w:line="259" w:lineRule="auto"/>
        <w:ind w:left="0" w:right="0"/>
        <w:jc w:val="left"/>
        <w:rPr>
          <w:rFonts w:ascii="Georgia Pro" w:hAnsi="Georgia Pro" w:eastAsia="Georgia Pro" w:cs="Georgia Pro"/>
          <w:sz w:val="32"/>
          <w:szCs w:val="32"/>
        </w:rPr>
      </w:pPr>
    </w:p>
    <w:p w:rsidR="0D80F322" w:rsidP="39E316D4" w:rsidRDefault="0D80F322" w14:paraId="77FC2109" w14:textId="1090365C">
      <w:pPr>
        <w:pStyle w:val="Normal"/>
        <w:bidi w:val="0"/>
        <w:spacing w:before="0" w:beforeAutospacing="off" w:after="160" w:afterAutospacing="off" w:line="259" w:lineRule="auto"/>
        <w:ind w:left="0" w:right="0"/>
        <w:jc w:val="left"/>
        <w:rPr>
          <w:rFonts w:ascii="Georgia Pro" w:hAnsi="Georgia Pro" w:eastAsia="Georgia Pro" w:cs="Georgia Pro"/>
          <w:b w:val="1"/>
          <w:bCs w:val="1"/>
          <w:i w:val="1"/>
          <w:iCs w:val="1"/>
          <w:sz w:val="36"/>
          <w:szCs w:val="36"/>
        </w:rPr>
      </w:pPr>
      <w:r w:rsidRPr="39E316D4" w:rsidR="0D80F322">
        <w:rPr>
          <w:rFonts w:ascii="Georgia Pro" w:hAnsi="Georgia Pro" w:eastAsia="Georgia Pro" w:cs="Georgia Pro"/>
          <w:b w:val="1"/>
          <w:bCs w:val="1"/>
          <w:i w:val="1"/>
          <w:iCs w:val="1"/>
          <w:sz w:val="36"/>
          <w:szCs w:val="36"/>
        </w:rPr>
        <w:t>References</w:t>
      </w:r>
    </w:p>
    <w:p w:rsidR="0D80F322" w:rsidP="39E316D4" w:rsidRDefault="0D80F322" w14:paraId="58E53D8B" w14:textId="782819EB">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Abuseif, M. and Gou, Z., 2018. A review of roofing methods: Construction features, heat reduction, payback period and climatic responsiveness. Energies, 11(11), p.3196.</w:t>
      </w:r>
    </w:p>
    <w:p w:rsidR="0D80F322" w:rsidP="39E316D4" w:rsidRDefault="0D80F322" w14:paraId="3E32FD3C" w14:textId="1AA503E7">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Fidelity 2022</w:t>
      </w:r>
      <w:bookmarkStart w:name="_Int_opgCqqpm" w:id="1239912097"/>
      <w:r w:rsidRPr="39E316D4" w:rsidR="0D80F322">
        <w:rPr>
          <w:rFonts w:ascii="Georgia Pro" w:hAnsi="Georgia Pro" w:eastAsia="Georgia Pro" w:cs="Georgia Pro"/>
          <w:sz w:val="32"/>
          <w:szCs w:val="32"/>
        </w:rPr>
        <w:t xml:space="preserve">.  </w:t>
      </w:r>
      <w:bookmarkEnd w:id="1239912097"/>
      <w:r w:rsidRPr="39E316D4" w:rsidR="0D80F322">
        <w:rPr>
          <w:rFonts w:ascii="Georgia Pro" w:hAnsi="Georgia Pro" w:eastAsia="Georgia Pro" w:cs="Georgia Pro"/>
          <w:sz w:val="32"/>
          <w:szCs w:val="32"/>
        </w:rPr>
        <w:t>Shell PLC (SHEL). Available at: ⦁</w:t>
      </w:r>
      <w:r>
        <w:tab/>
      </w:r>
      <w:r w:rsidRPr="39E316D4" w:rsidR="0D80F322">
        <w:rPr>
          <w:rFonts w:ascii="Georgia Pro" w:hAnsi="Georgia Pro" w:eastAsia="Georgia Pro" w:cs="Georgia Pro"/>
          <w:sz w:val="32"/>
          <w:szCs w:val="32"/>
        </w:rPr>
        <w:t>https://www.fidelity.co.uk/factsheet-data/factsheet/GB00BP6MXD84-shell-plc/dividends[Online</w:t>
      </w:r>
      <w:r w:rsidRPr="39E316D4" w:rsidR="0D80F322">
        <w:rPr>
          <w:rFonts w:ascii="Georgia Pro" w:hAnsi="Georgia Pro" w:eastAsia="Georgia Pro" w:cs="Georgia Pro"/>
          <w:sz w:val="32"/>
          <w:szCs w:val="32"/>
        </w:rPr>
        <w:t>] (Accessed: 2 December 2022)</w:t>
      </w:r>
    </w:p>
    <w:p w:rsidR="0D80F322" w:rsidP="39E316D4" w:rsidRDefault="0D80F322" w14:paraId="1F95B0F8" w14:textId="3E2C6713">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Kirillov, Y., Dragunova, E., Kravchenko, A. and Dorofeeva, A., 2020, May. Innovations in engineering: analysis of the increase effect in net present value. In IOP Conference Series: Materials Science and Engineering (Vol. 843, No. 1, p. 012018). IOP Publishing.</w:t>
      </w:r>
    </w:p>
    <w:p w:rsidR="0D80F322" w:rsidP="39E316D4" w:rsidRDefault="0D80F322" w14:paraId="5CA8EFFE" w14:textId="268F0F08">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Krasodomska, J., Simnett, R. and Street, D.L., 2021. Extended external reporting assurance: Current practices and challenges. Journal of International Financial Management &amp; Accounting, 32(1), pp.104-142.</w:t>
      </w:r>
    </w:p>
    <w:p w:rsidR="0D80F322" w:rsidP="39E316D4" w:rsidRDefault="0D80F322" w14:paraId="0F809EA6" w14:textId="320FF6F4">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 xml:space="preserve">Mosteanu, N.R. and </w:t>
      </w:r>
      <w:r w:rsidRPr="39E316D4" w:rsidR="0D80F322">
        <w:rPr>
          <w:rFonts w:ascii="Georgia Pro" w:hAnsi="Georgia Pro" w:eastAsia="Georgia Pro" w:cs="Georgia Pro"/>
          <w:sz w:val="32"/>
          <w:szCs w:val="32"/>
        </w:rPr>
        <w:t>Faccia</w:t>
      </w:r>
      <w:r w:rsidRPr="39E316D4" w:rsidR="0D80F322">
        <w:rPr>
          <w:rFonts w:ascii="Georgia Pro" w:hAnsi="Georgia Pro" w:eastAsia="Georgia Pro" w:cs="Georgia Pro"/>
          <w:sz w:val="32"/>
          <w:szCs w:val="32"/>
        </w:rPr>
        <w:t xml:space="preserve">, A., 2020. Digital systems and new challenges of </w:t>
      </w:r>
      <w:bookmarkStart w:name="_Int_TVMTpHBy" w:id="82058205"/>
      <w:r w:rsidRPr="39E316D4" w:rsidR="0D80F322">
        <w:rPr>
          <w:rFonts w:ascii="Georgia Pro" w:hAnsi="Georgia Pro" w:eastAsia="Georgia Pro" w:cs="Georgia Pro"/>
          <w:sz w:val="32"/>
          <w:szCs w:val="32"/>
        </w:rPr>
        <w:t>financial management</w:t>
      </w:r>
      <w:bookmarkEnd w:id="82058205"/>
      <w:r w:rsidRPr="39E316D4" w:rsidR="0D80F322">
        <w:rPr>
          <w:rFonts w:ascii="Georgia Pro" w:hAnsi="Georgia Pro" w:eastAsia="Georgia Pro" w:cs="Georgia Pro"/>
          <w:sz w:val="32"/>
          <w:szCs w:val="32"/>
        </w:rPr>
        <w:t>–FinTech, XBRL, blockchain and cryptocurrencies. Quality-Access to Success Journal, 21(174), pp.159-166.</w:t>
      </w:r>
    </w:p>
    <w:p w:rsidR="0D80F322" w:rsidP="39E316D4" w:rsidRDefault="0D80F322" w14:paraId="3E8AE8E6" w14:textId="32443164">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Odinya, A.F. and Joseph, B., 2018. The Effect of Dividend Policy on the Value of Firms Listed at the Nairobi Securities Exchange. African Development Finance Journal (ADFJ), 2(1).</w:t>
      </w:r>
    </w:p>
    <w:p w:rsidR="0D80F322" w:rsidP="39E316D4" w:rsidRDefault="0D80F322" w14:paraId="4615368C" w14:textId="1388CA53">
      <w:pPr>
        <w:pStyle w:val="Normal"/>
        <w:bidi w:val="0"/>
        <w:spacing w:before="0" w:beforeAutospacing="off" w:after="160" w:afterAutospacing="off" w:line="259" w:lineRule="auto"/>
        <w:ind w:left="0" w:right="0"/>
        <w:jc w:val="left"/>
      </w:pPr>
      <w:r w:rsidRPr="39E316D4" w:rsidR="0D80F322">
        <w:rPr>
          <w:rFonts w:ascii="Georgia Pro" w:hAnsi="Georgia Pro" w:eastAsia="Georgia Pro" w:cs="Georgia Pro"/>
          <w:sz w:val="32"/>
          <w:szCs w:val="32"/>
        </w:rPr>
        <w:t>⦁</w:t>
      </w:r>
      <w:r>
        <w:tab/>
      </w:r>
      <w:r w:rsidRPr="39E316D4" w:rsidR="0D80F322">
        <w:rPr>
          <w:rFonts w:ascii="Georgia Pro" w:hAnsi="Georgia Pro" w:eastAsia="Georgia Pro" w:cs="Georgia Pro"/>
          <w:sz w:val="32"/>
          <w:szCs w:val="32"/>
        </w:rPr>
        <w:t>Rossi, M. and Gunardi, A., 2018. Efficient market hypothesis and stock market anomalies: Empirical evidence in four European countries. Journal of Applied Business Research (JABR), 34(1), pp.183-192.</w:t>
      </w:r>
    </w:p>
    <w:p w:rsidR="39E316D4" w:rsidP="39E316D4" w:rsidRDefault="39E316D4" w14:paraId="2F4AC739" w14:textId="4DABB0A3">
      <w:pPr>
        <w:pStyle w:val="Normal"/>
        <w:bidi w:val="0"/>
        <w:spacing w:before="0" w:beforeAutospacing="off" w:after="160" w:afterAutospacing="off" w:line="259" w:lineRule="auto"/>
        <w:ind w:left="0" w:right="0"/>
        <w:jc w:val="left"/>
        <w:rPr>
          <w:rFonts w:ascii="Georgia Pro" w:hAnsi="Georgia Pro" w:eastAsia="Georgia Pro" w:cs="Georgia Pro"/>
          <w:sz w:val="32"/>
          <w:szCs w:val="32"/>
        </w:rPr>
      </w:pPr>
    </w:p>
    <w:p w:rsidR="39E316D4" w:rsidP="39E316D4" w:rsidRDefault="39E316D4" w14:paraId="1BCF2749" w14:textId="44A41712">
      <w:pPr>
        <w:pStyle w:val="Normal"/>
        <w:bidi w:val="0"/>
        <w:spacing w:before="0" w:beforeAutospacing="off" w:after="160" w:afterAutospacing="off" w:line="259" w:lineRule="auto"/>
        <w:ind w:left="0" w:right="0"/>
        <w:jc w:val="left"/>
        <w:rPr>
          <w:rFonts w:ascii="Georgia Pro" w:hAnsi="Georgia Pro" w:eastAsia="Georgia Pro" w:cs="Georgia Pro"/>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lf4TNjsbsSImA" int2:id="fVtkpfBp">
      <int2:state int2:type="AugLoop_Text_Critique" int2:value="Rejected"/>
    </int2:textHash>
    <int2:textHash int2:hashCode="15TIfivxsJRF/n" int2:id="hzTFXv38">
      <int2:state int2:type="AugLoop_Text_Critique" int2:value="Rejected"/>
    </int2:textHash>
    <int2:textHash int2:hashCode="NXmTPc0fvX1aex" int2:id="UJhcaRh5">
      <int2:state int2:type="AugLoop_Text_Critique" int2:value="Rejected"/>
    </int2:textHash>
    <int2:textHash int2:hashCode="hW5LVuAmlhbFiD" int2:id="OFu3xy4L">
      <int2:state int2:type="AugLoop_Text_Critique" int2:value="Rejected"/>
    </int2:textHash>
    <int2:textHash int2:hashCode="tyOblLEvkaciys" int2:id="DI738l85">
      <int2:state int2:type="AugLoop_Text_Critique" int2:value="Rejected"/>
    </int2:textHash>
    <int2:textHash int2:hashCode="5bfu6XaKy1RRw5" int2:id="QxZeLghx">
      <int2:state int2:type="AugLoop_Text_Critique" int2:value="Rejected"/>
    </int2:textHash>
    <int2:textHash int2:hashCode="8e4JKL40qKV1E8" int2:id="ZvrbR6CF">
      <int2:state int2:type="AugLoop_Text_Critique" int2:value="Rejected"/>
    </int2:textHash>
    <int2:textHash int2:hashCode="RAndMGWrIoL+zR" int2:id="tPEjgeYN">
      <int2:state int2:type="AugLoop_Text_Critique" int2:value="Rejected"/>
    </int2:textHash>
    <int2:textHash int2:hashCode="79VvuLYWbRZmFq" int2:id="uOSZyUHS">
      <int2:state int2:type="AugLoop_Text_Critique" int2:value="Rejected"/>
    </int2:textHash>
    <int2:textHash int2:hashCode="tgCBFfckbvyJ4M" int2:id="dYj3L3WO">
      <int2:state int2:type="AugLoop_Text_Critique" int2:value="Rejected"/>
    </int2:textHash>
    <int2:textHash int2:hashCode="OmrSM4/GAw5KnC" int2:id="xJiPN0S1">
      <int2:state int2:type="AugLoop_Text_Critique" int2:value="Rejected"/>
    </int2:textHash>
    <int2:bookmark int2:bookmarkName="_Int_6DJxJPsH" int2:invalidationBookmarkName="" int2:hashCode="+WY/bSHT0ohr7x" int2:id="WXpBdioL">
      <int2:state int2:type="AugLoop_Text_Critique" int2:value="Rejected"/>
    </int2:bookmark>
    <int2:bookmark int2:bookmarkName="_Int_EbZLDwwB" int2:invalidationBookmarkName="" int2:hashCode="DFDjxKYxKgO1uG" int2:id="UeJ9Srs4"/>
    <int2:bookmark int2:bookmarkName="_Int_NZc2zcIJ" int2:invalidationBookmarkName="" int2:hashCode="VRd/LyDcPFdCnc" int2:id="dmi0lTyL">
      <int2:state int2:type="AugLoop_Text_Critique" int2:value="Rejected"/>
    </int2:bookmark>
    <int2:bookmark int2:bookmarkName="_Int_zGhOSh1k" int2:invalidationBookmarkName="" int2:hashCode="r6wa/sum0o0xxR" int2:id="Cor1tdJ8">
      <int2:state int2:type="AugLoop_Text_Critique" int2:value="Rejected"/>
    </int2:bookmark>
    <int2:bookmark int2:bookmarkName="_Int_PC0r85Zl" int2:invalidationBookmarkName="" int2:hashCode="hGlitWACU5cmVx" int2:id="Ifqcmyhn">
      <int2:state int2:type="AugLoop_Text_Critique" int2:value="Rejected"/>
    </int2:bookmark>
    <int2:bookmark int2:bookmarkName="_Int_LyOuUjS9" int2:invalidationBookmarkName="" int2:hashCode="VRd/LyDcPFdCnc" int2:id="8R5TtfST">
      <int2:state int2:type="AugLoop_Text_Critique" int2:value="Rejected"/>
    </int2:bookmark>
    <int2:bookmark int2:bookmarkName="_Int_QsgYfHCu" int2:invalidationBookmarkName="" int2:hashCode="xzNw6FjkZFlmFD" int2:id="Y8LFfAY1">
      <int2:state int2:type="AugLoop_Text_Critique" int2:value="Rejected"/>
    </int2:bookmark>
    <int2:bookmark int2:bookmarkName="_Int_TVMTpHBy" int2:invalidationBookmarkName="" int2:hashCode="xzNw6FjkZFlmFD" int2:id="2ne23LF9">
      <int2:state int2:type="AugLoop_Text_Critique" int2:value="Rejected"/>
    </int2:bookmark>
    <int2:bookmark int2:bookmarkName="_Int_TkRa3dcc" int2:invalidationBookmarkName="" int2:hashCode="mDsOm6+HATNnim" int2:id="U0vFUUhs">
      <int2:state int2:type="AugLoop_Text_Critique" int2:value="Rejected"/>
    </int2:bookmark>
    <int2:bookmark int2:bookmarkName="_Int_JwHdj2cI" int2:invalidationBookmarkName="" int2:hashCode="rDKbhvHTdNtihz" int2:id="84pIRIzu">
      <int2:state int2:type="AugLoop_Text_Critique" int2:value="Rejected"/>
    </int2:bookmark>
    <int2:bookmark int2:bookmarkName="_Int_n9zcY9Yi" int2:invalidationBookmarkName="" int2:hashCode="xzNw6FjkZFlmFD" int2:id="1AVPkNfB">
      <int2:state int2:type="AugLoop_Text_Critique" int2:value="Rejected"/>
    </int2:bookmark>
    <int2:bookmark int2:bookmarkName="_Int_bzAOOMIo" int2:invalidationBookmarkName="" int2:hashCode="6KWckmKlp6D6pK" int2:id="AHrv9N9j">
      <int2:state int2:type="AugLoop_Text_Critique" int2:value="Rejected"/>
    </int2:bookmark>
    <int2:bookmark int2:bookmarkName="_Int_uiMaiCAP" int2:invalidationBookmarkName="" int2:hashCode="xzNw6FjkZFlmFD" int2:id="s4Oe9GTl">
      <int2:state int2:type="AugLoop_Text_Critique" int2:value="Rejected"/>
    </int2:bookmark>
    <int2:bookmark int2:bookmarkName="_Int_lY2b6Pz8" int2:invalidationBookmarkName="" int2:hashCode="RoHRJMxsS3O6q/" int2:id="vq2oua5y">
      <int2:state int2:type="AugLoop_Text_Critique" int2:value="Rejected"/>
    </int2:bookmark>
    <int2:bookmark int2:bookmarkName="_Int_qb1GEV2B" int2:invalidationBookmarkName="" int2:hashCode="DEIrpkQhED+PWP" int2:id="yB34TdxO">
      <int2:state int2:type="AugLoop_Text_Critique" int2:value="Rejected"/>
    </int2:bookmark>
    <int2:bookmark int2:bookmarkName="_Int_AWoz3Ucj" int2:invalidationBookmarkName="" int2:hashCode="4h7nfVAJEKEZWb" int2:id="4oZfuY9k">
      <int2:state int2:type="AugLoop_Text_Critique" int2:value="Rejected"/>
    </int2:bookmark>
    <int2:bookmark int2:bookmarkName="_Int_oYfA1p71" int2:invalidationBookmarkName="" int2:hashCode="fxtY+xo9zhwN6M" int2:id="mxFNe9M0">
      <int2:state int2:type="AugLoop_Text_Critique" int2:value="Rejected"/>
    </int2:bookmark>
    <int2:bookmark int2:bookmarkName="_Int_opgCqqpm" int2:invalidationBookmarkName="" int2:hashCode="RoHRJMxsS3O6q/" int2:id="bXAZmPEG">
      <int2:state int2:type="AugLoop_Text_Critique" int2:value="Rejected"/>
    </int2:bookmark>
    <int2:bookmark int2:bookmarkName="_Int_e1VoSNiM" int2:invalidationBookmarkName="" int2:hashCode="RoHRJMxsS3O6q/" int2:id="UAKFylp2">
      <int2:state int2:type="AugLoop_Text_Critique" int2:value="Rejected"/>
    </int2:bookmark>
    <int2:bookmark int2:bookmarkName="_Int_1GS7WaKv" int2:invalidationBookmarkName="" int2:hashCode="gs/KERqqNwKYMi" int2:id="Df3qxvL3">
      <int2:state int2:type="AugLoop_Text_Critique" int2:value="Rejected"/>
    </int2:bookmark>
    <int2:bookmark int2:bookmarkName="_Int_nx6yo4Oc" int2:invalidationBookmarkName="" int2:hashCode="RoHRJMxsS3O6q/" int2:id="yGMxIkUD">
      <int2:state int2:type="AugLoop_Text_Critique" int2:value="Rejected"/>
    </int2:bookmark>
    <int2:bookmark int2:bookmarkName="_Int_prsfeJnh" int2:invalidationBookmarkName="" int2:hashCode="TxN1MCHXyyqfpF" int2:id="ozzNjLCe">
      <int2:state int2:type="AugLoop_Text_Critique" int2:value="Rejected"/>
    </int2:bookmark>
    <int2:bookmark int2:bookmarkName="_Int_H5NJanDi" int2:invalidationBookmarkName="" int2:hashCode="RoHRJMxsS3O6q/" int2:id="RU44k1rD">
      <int2:state int2:type="AugLoop_Text_Critique" int2:value="Rejected"/>
    </int2:bookmark>
    <int2:bookmark int2:bookmarkName="_Int_inyEyH1C" int2:invalidationBookmarkName="" int2:hashCode="tH82PitDDAZH8U" int2:id="YisVmTvJ"/>
    <int2:bookmark int2:bookmarkName="_Int_GzSX00Nh" int2:invalidationBookmarkName="" int2:hashCode="kjWv0+mIAkEYYa" int2:id="3rx9YOWL"/>
    <int2:bookmark int2:bookmarkName="_Int_rf41g5V7" int2:invalidationBookmarkName="" int2:hashCode="X55YArurxx+Sdf" int2:id="DMpwVBVO"/>
    <int2:bookmark int2:bookmarkName="_Int_SN6PIFUr" int2:invalidationBookmarkName="" int2:hashCode="QpaIqbneOkRFYF" int2:id="TO6P7Ju3"/>
    <int2:bookmark int2:bookmarkName="_Int_oHdO8MsS" int2:invalidationBookmarkName="" int2:hashCode="xSiIIlxpKZYbtf" int2:id="U93GkSm7"/>
    <int2:bookmark int2:bookmarkName="_Int_Ab0m5jum" int2:invalidationBookmarkName="" int2:hashCode="MW2XA88DPTloVA" int2:id="msfSc0oB"/>
    <int2:bookmark int2:bookmarkName="_Int_JAIu9uuA" int2:invalidationBookmarkName="" int2:hashCode="UOcpCZkr3DfHwH" int2:id="8ofXA4H1"/>
    <int2:bookmark int2:bookmarkName="_Int_1dfuiA0g" int2:invalidationBookmarkName="" int2:hashCode="zkLJoAqXakma9I" int2:id="hL0VMXCt"/>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7FF0BB"/>
    <w:rsid w:val="072A407F"/>
    <w:rsid w:val="081615EC"/>
    <w:rsid w:val="0C7FBF3C"/>
    <w:rsid w:val="0D80F322"/>
    <w:rsid w:val="15A493E8"/>
    <w:rsid w:val="167F2E7E"/>
    <w:rsid w:val="1AEC4516"/>
    <w:rsid w:val="1F2F5046"/>
    <w:rsid w:val="21C9CEAB"/>
    <w:rsid w:val="229C7BBB"/>
    <w:rsid w:val="235DB186"/>
    <w:rsid w:val="23659F0C"/>
    <w:rsid w:val="24384C1C"/>
    <w:rsid w:val="24F981E7"/>
    <w:rsid w:val="269D3FCE"/>
    <w:rsid w:val="26B51823"/>
    <w:rsid w:val="2839102F"/>
    <w:rsid w:val="2D0493CC"/>
    <w:rsid w:val="2D0C8152"/>
    <w:rsid w:val="2EA851B3"/>
    <w:rsid w:val="2F1D1F54"/>
    <w:rsid w:val="30442214"/>
    <w:rsid w:val="31DFF275"/>
    <w:rsid w:val="3373D550"/>
    <w:rsid w:val="337FF0BB"/>
    <w:rsid w:val="33916C90"/>
    <w:rsid w:val="36AB7612"/>
    <w:rsid w:val="378610A8"/>
    <w:rsid w:val="39E316D4"/>
    <w:rsid w:val="3ABC58B4"/>
    <w:rsid w:val="3B86D4BB"/>
    <w:rsid w:val="3E73C237"/>
    <w:rsid w:val="3EBE757D"/>
    <w:rsid w:val="405A45DE"/>
    <w:rsid w:val="42D0B0D5"/>
    <w:rsid w:val="4A012824"/>
    <w:rsid w:val="4AD3D534"/>
    <w:rsid w:val="4D38C8E6"/>
    <w:rsid w:val="4FAF33DD"/>
    <w:rsid w:val="56F90FF7"/>
    <w:rsid w:val="58F5F79B"/>
    <w:rsid w:val="5E298746"/>
    <w:rsid w:val="608A6B14"/>
    <w:rsid w:val="64B69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FF0BB"/>
  <w15:chartTrackingRefBased/>
  <w15:docId w15:val="{49DD84A0-F240-40F4-B7A9-6490FF6A9D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18a8dfe1a4841e7" /><Relationship Type="http://schemas.openxmlformats.org/officeDocument/2006/relationships/image" Target="/media/image2.jpg" Id="R82f76937befa4710" /><Relationship Type="http://schemas.openxmlformats.org/officeDocument/2006/relationships/image" Target="/media/image3.jpg" Id="R0fb01368366f467a" /><Relationship Type="http://schemas.openxmlformats.org/officeDocument/2006/relationships/image" Target="/media/image4.jpg" Id="R921a67d707054744" /><Relationship Type="http://schemas.microsoft.com/office/2020/10/relationships/intelligence" Target="/word/intelligence2.xml" Id="R9dac5060e41c4f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2022-12-20T10:35:24.2562424Z</dcterms:created>
  <dcterms:modified xsi:type="dcterms:W3CDTF">2022-12-20T10:58:52.9288030Z</dcterms:modified>
</coreProperties>
</file>