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67F51" w:rsidRPr="001C3C65" w:rsidRDefault="00567F51" w:rsidP="007546FC">
      <w:pPr>
        <w:pStyle w:val="Heading1"/>
        <w:rPr>
          <w:rFonts w:cs="Times New Roman"/>
          <w:b w:val="0"/>
          <w:color w:val="2E74B5" w:themeColor="accent1" w:themeShade="BF"/>
          <w:sz w:val="32"/>
          <w:lang w:val="en-US"/>
        </w:rPr>
      </w:pPr>
    </w:p>
    <w:p w:rsidR="001C3C65" w:rsidRPr="001C3C65" w:rsidRDefault="001C3C65" w:rsidP="001C3C65">
      <w:pPr>
        <w:rPr>
          <w:rFonts w:cs="Times New Roman"/>
          <w:lang w:val="en-US"/>
        </w:rPr>
      </w:pPr>
    </w:p>
    <w:p w:rsidR="001C3C65" w:rsidRPr="001C3C65" w:rsidRDefault="001C3C65" w:rsidP="001C3C65">
      <w:pPr>
        <w:rPr>
          <w:rFonts w:cs="Times New Roman"/>
          <w:lang w:val="en-US"/>
        </w:rPr>
      </w:pPr>
    </w:p>
    <w:p w:rsidR="001C3C65" w:rsidRPr="001C3C65" w:rsidRDefault="001C3C65" w:rsidP="001C3C65">
      <w:pPr>
        <w:jc w:val="center"/>
        <w:rPr>
          <w:rFonts w:cs="Times New Roman"/>
          <w:b/>
          <w:bCs/>
          <w:sz w:val="36"/>
          <w:szCs w:val="28"/>
          <w:u w:val="single"/>
        </w:rPr>
      </w:pPr>
      <w:r w:rsidRPr="001C3C65">
        <w:rPr>
          <w:rFonts w:cs="Times New Roman"/>
          <w:b/>
          <w:bCs/>
          <w:sz w:val="36"/>
          <w:szCs w:val="28"/>
          <w:u w:val="single"/>
        </w:rPr>
        <w:t>IMM Assignment 2 Report</w:t>
      </w:r>
    </w:p>
    <w:p w:rsidR="001C3C65" w:rsidRPr="001C3C65" w:rsidRDefault="001C3C65" w:rsidP="001C3C65">
      <w:pPr>
        <w:jc w:val="center"/>
        <w:rPr>
          <w:rFonts w:cs="Times New Roman"/>
          <w:b/>
          <w:bCs/>
          <w:sz w:val="36"/>
          <w:szCs w:val="28"/>
          <w:u w:val="single"/>
        </w:rPr>
      </w:pPr>
    </w:p>
    <w:p w:rsidR="001C3C65" w:rsidRDefault="001C3C65" w:rsidP="001C3C65">
      <w:pPr>
        <w:jc w:val="center"/>
        <w:rPr>
          <w:rFonts w:cs="Times New Roman"/>
          <w:b/>
          <w:bCs/>
          <w:sz w:val="36"/>
          <w:szCs w:val="28"/>
          <w:u w:val="single"/>
        </w:rPr>
      </w:pPr>
      <w:r w:rsidRPr="001C3C65">
        <w:rPr>
          <w:rFonts w:cs="Times New Roman"/>
          <w:b/>
          <w:bCs/>
          <w:sz w:val="36"/>
          <w:szCs w:val="28"/>
          <w:u w:val="single"/>
        </w:rPr>
        <w:t xml:space="preserve">Event Planning and Delivery Considerations for an International Meeting. </w:t>
      </w:r>
    </w:p>
    <w:p w:rsidR="00AC27E6" w:rsidRDefault="00AC27E6" w:rsidP="001C3C65">
      <w:pPr>
        <w:jc w:val="center"/>
        <w:rPr>
          <w:rFonts w:cs="Times New Roman"/>
          <w:b/>
          <w:bCs/>
          <w:sz w:val="36"/>
          <w:szCs w:val="28"/>
          <w:u w:val="single"/>
        </w:rPr>
      </w:pPr>
    </w:p>
    <w:p w:rsidR="00AC27E6" w:rsidRPr="001C3C65" w:rsidRDefault="00AC27E6" w:rsidP="001C3C65">
      <w:pPr>
        <w:jc w:val="center"/>
        <w:rPr>
          <w:rFonts w:cs="Times New Roman"/>
          <w:b/>
          <w:bCs/>
          <w:sz w:val="36"/>
          <w:szCs w:val="28"/>
          <w:u w:val="single"/>
        </w:rPr>
      </w:pPr>
      <w:r>
        <w:rPr>
          <w:rFonts w:cs="Times New Roman"/>
          <w:b/>
          <w:bCs/>
          <w:sz w:val="36"/>
          <w:szCs w:val="28"/>
          <w:u w:val="single"/>
        </w:rPr>
        <w:t>Name: Hasna Begum Kolpona</w:t>
      </w:r>
    </w:p>
    <w:p w:rsidR="001C3C65" w:rsidRPr="001C3C65" w:rsidRDefault="001C3C65" w:rsidP="001C3C65">
      <w:pPr>
        <w:jc w:val="center"/>
        <w:rPr>
          <w:rFonts w:cs="Times New Roman"/>
          <w:b/>
          <w:bCs/>
          <w:sz w:val="36"/>
          <w:szCs w:val="28"/>
        </w:rPr>
      </w:pPr>
    </w:p>
    <w:p w:rsidR="001C3C65" w:rsidRPr="001C3C65" w:rsidRDefault="001C3C65" w:rsidP="001C3C65">
      <w:pPr>
        <w:jc w:val="center"/>
        <w:rPr>
          <w:rFonts w:cs="Times New Roman"/>
          <w:b/>
          <w:bCs/>
          <w:sz w:val="36"/>
          <w:szCs w:val="28"/>
        </w:rPr>
      </w:pPr>
      <w:r w:rsidRPr="001C3C65">
        <w:rPr>
          <w:rFonts w:cs="Times New Roman"/>
          <w:b/>
          <w:bCs/>
          <w:sz w:val="36"/>
          <w:szCs w:val="28"/>
        </w:rPr>
        <w:t>Student Number: 2121099</w:t>
      </w:r>
    </w:p>
    <w:p w:rsidR="001C3C65" w:rsidRDefault="001C3C65" w:rsidP="001C3C65">
      <w:pPr>
        <w:rPr>
          <w:lang w:val="en-US"/>
        </w:rPr>
      </w:pPr>
    </w:p>
    <w:p w:rsidR="001C3C65" w:rsidRDefault="001C3C65" w:rsidP="001C3C65">
      <w:pPr>
        <w:rPr>
          <w:lang w:val="en-US"/>
        </w:rPr>
      </w:pPr>
    </w:p>
    <w:p w:rsidR="001C3C65" w:rsidRDefault="001C3C65" w:rsidP="001C3C65">
      <w:pPr>
        <w:rPr>
          <w:lang w:val="en-US"/>
        </w:rPr>
      </w:pPr>
    </w:p>
    <w:p w:rsidR="001C3C65" w:rsidRDefault="001C3C65" w:rsidP="001C3C65">
      <w:pPr>
        <w:rPr>
          <w:lang w:val="en-US"/>
        </w:rPr>
      </w:pPr>
    </w:p>
    <w:p w:rsidR="001C3C65" w:rsidRDefault="001C3C65" w:rsidP="001C3C65">
      <w:pPr>
        <w:rPr>
          <w:lang w:val="en-US"/>
        </w:rPr>
      </w:pPr>
    </w:p>
    <w:p w:rsidR="001C3C65" w:rsidRDefault="001C3C65" w:rsidP="001C3C65">
      <w:pPr>
        <w:rPr>
          <w:lang w:val="en-US"/>
        </w:rPr>
      </w:pPr>
    </w:p>
    <w:p w:rsidR="001C3C65" w:rsidRDefault="001C3C65" w:rsidP="001C3C65">
      <w:pPr>
        <w:rPr>
          <w:lang w:val="en-US"/>
        </w:rPr>
      </w:pPr>
    </w:p>
    <w:p w:rsidR="001C3C65" w:rsidRDefault="001C3C65" w:rsidP="001C3C65">
      <w:pPr>
        <w:rPr>
          <w:lang w:val="en-US"/>
        </w:rPr>
      </w:pPr>
    </w:p>
    <w:p w:rsidR="001C3C65" w:rsidRDefault="001C3C65" w:rsidP="001C3C65">
      <w:pPr>
        <w:rPr>
          <w:lang w:val="en-US"/>
        </w:rPr>
      </w:pPr>
    </w:p>
    <w:p w:rsidR="001C3C65" w:rsidRDefault="001C3C65" w:rsidP="001C3C65">
      <w:pPr>
        <w:rPr>
          <w:lang w:val="en-US"/>
        </w:rPr>
      </w:pPr>
    </w:p>
    <w:p w:rsidR="001C3C65" w:rsidRDefault="001C3C65" w:rsidP="001C3C65">
      <w:pPr>
        <w:rPr>
          <w:lang w:val="en-US"/>
        </w:rPr>
      </w:pPr>
    </w:p>
    <w:p w:rsidR="001C3C65" w:rsidRPr="001C3C65" w:rsidRDefault="001C3C65" w:rsidP="001C3C65">
      <w:pPr>
        <w:rPr>
          <w:lang w:val="en-US"/>
        </w:rPr>
      </w:pPr>
    </w:p>
    <w:p w:rsidR="007546FC" w:rsidRDefault="007546FC" w:rsidP="007546FC">
      <w:pPr>
        <w:pStyle w:val="Heading1"/>
      </w:pPr>
      <w:r>
        <w:t>Introduction</w:t>
      </w:r>
    </w:p>
    <w:p w:rsidR="007546FC" w:rsidRDefault="007546FC" w:rsidP="007546FC">
      <w:pPr>
        <w:pStyle w:val="Heading2"/>
      </w:pPr>
      <w:r>
        <w:t>Event Description and Background</w:t>
      </w:r>
    </w:p>
    <w:p w:rsidR="007546FC" w:rsidRDefault="007546FC" w:rsidP="007546FC">
      <w:r>
        <w:t>The conference</w:t>
      </w:r>
      <w:r w:rsidR="00567F51">
        <w:t>, known as the “International Conference on Health and Wellbeing in the Digital Age,” is a testament to the global importance of digital health technologies and their impact on health worldwide. This significant event will be held in Geneva, Switzerland, a city renowned for its international health initiatives and home to several global healthcare organizations, including</w:t>
      </w:r>
      <w:r>
        <w:t xml:space="preserve"> the WHO</w:t>
      </w:r>
      <w:sdt>
        <w:sdtPr>
          <w:id w:val="-1699461906"/>
          <w:citation/>
        </w:sdtPr>
        <w:sdtEndPr/>
        <w:sdtContent>
          <w:r w:rsidR="00DD4ECF">
            <w:fldChar w:fldCharType="begin"/>
          </w:r>
          <w:r w:rsidR="00B62F4B">
            <w:rPr>
              <w:lang w:val="en-US"/>
            </w:rPr>
            <w:instrText xml:space="preserve"> CITATION And23 \l 1033 </w:instrText>
          </w:r>
          <w:r w:rsidR="00DD4ECF">
            <w:fldChar w:fldCharType="separate"/>
          </w:r>
          <w:r w:rsidR="00B62F4B" w:rsidRPr="00B62F4B">
            <w:rPr>
              <w:noProof/>
              <w:lang w:val="en-US"/>
            </w:rPr>
            <w:t>(Anderl, 2023)</w:t>
          </w:r>
          <w:r w:rsidR="00DD4ECF">
            <w:fldChar w:fldCharType="end"/>
          </w:r>
        </w:sdtContent>
      </w:sdt>
      <w:r>
        <w:t>.</w:t>
      </w:r>
    </w:p>
    <w:p w:rsidR="007546FC" w:rsidRDefault="007546FC" w:rsidP="007546FC">
      <w:r>
        <w:t xml:space="preserve">The conference is </w:t>
      </w:r>
      <w:r w:rsidR="00567F51">
        <w:t>not just a gathering, but a vibrant platform for healthcare professionals, academics, policymakers, technology experts, and students from around the world to share their ideas, findings, challenges, and opportunities in the field of digital health. The theme of the conference will explore how digital mediums and advancements can enhance health status, advance the health sector, and promote individual well-being. The diverse range of topics, including telemedicine, digital therapeutics, health data analytics, wearable health devices, and mobile health applications, promises to inspire and enrich your understanding of digital health</w:t>
      </w:r>
      <w:sdt>
        <w:sdtPr>
          <w:id w:val="-1396428397"/>
          <w:citation/>
        </w:sdtPr>
        <w:sdtEndPr/>
        <w:sdtContent>
          <w:r w:rsidR="00DD4ECF">
            <w:fldChar w:fldCharType="begin"/>
          </w:r>
          <w:r w:rsidR="00B62F4B">
            <w:rPr>
              <w:lang w:val="en-US"/>
            </w:rPr>
            <w:instrText xml:space="preserve"> CITATION Cas21 \l 1033 </w:instrText>
          </w:r>
          <w:r w:rsidR="00DD4ECF">
            <w:fldChar w:fldCharType="separate"/>
          </w:r>
          <w:r w:rsidR="00B62F4B" w:rsidRPr="00B62F4B">
            <w:rPr>
              <w:noProof/>
              <w:lang w:val="en-US"/>
            </w:rPr>
            <w:t>(Cassoobhoy, 2021)</w:t>
          </w:r>
          <w:r w:rsidR="00DD4ECF">
            <w:fldChar w:fldCharType="end"/>
          </w:r>
        </w:sdtContent>
      </w:sdt>
      <w:r>
        <w:t>.</w:t>
      </w:r>
    </w:p>
    <w:p w:rsidR="007546FC" w:rsidRDefault="007546FC" w:rsidP="007546FC">
      <w:r w:rsidRPr="007546FC">
        <w:t xml:space="preserve">The conference “Health and Wellbeing in the Digital Age” </w:t>
      </w:r>
      <w:r w:rsidR="00567F51">
        <w:t>to be held in Geneva is expected to become one of the first events to address the topic that is becoming</w:t>
      </w:r>
      <w:r w:rsidRPr="007546FC">
        <w:t xml:space="preserve"> a challenge for the world – </w:t>
      </w:r>
      <w:r w:rsidR="00567F51">
        <w:t xml:space="preserve">the </w:t>
      </w:r>
      <w:r w:rsidRPr="007546FC">
        <w:t>interconnection of technology and healthcare. It will bring together healthcare professionals, scholars, policy makers and information technology specialists from across the world and making the conference a two day empowering event towards Digital Health. The delegates will be able to attend the keynote address, panel discussions, workshops, and post-conference networking meetings, which will enable the delegates to gain a balanced and participative experience</w:t>
      </w:r>
      <w:sdt>
        <w:sdtPr>
          <w:id w:val="-908065636"/>
          <w:citation/>
        </w:sdtPr>
        <w:sdtEndPr/>
        <w:sdtContent>
          <w:r w:rsidR="00DD4ECF">
            <w:fldChar w:fldCharType="begin"/>
          </w:r>
          <w:r w:rsidR="00B62F4B">
            <w:rPr>
              <w:lang w:val="en-US"/>
            </w:rPr>
            <w:instrText xml:space="preserve"> CITATION Fai21 \l 1033 </w:instrText>
          </w:r>
          <w:r w:rsidR="00DD4ECF">
            <w:fldChar w:fldCharType="separate"/>
          </w:r>
          <w:r w:rsidR="00B62F4B" w:rsidRPr="00B62F4B">
            <w:rPr>
              <w:noProof/>
              <w:lang w:val="en-US"/>
            </w:rPr>
            <w:t>(Fairman, 2021)</w:t>
          </w:r>
          <w:r w:rsidR="00DD4ECF">
            <w:fldChar w:fldCharType="end"/>
          </w:r>
        </w:sdtContent>
      </w:sdt>
      <w:r w:rsidRPr="007546FC">
        <w:t>. Some novel elements that will be incorporated include the hands-on labs, virtual reality demonstrations, and webinars which will be conducted on the web prior to the event. Thus, guests will be able to participate in health and wellness activities for example in the morning with yoga and healthy food during the catering in connection to the conference proofing wellbeing. Measures such as stewardship, environmental considerations like use of environmentally friendly materials, and carbon neutral event plans shall be undertaken</w:t>
      </w:r>
      <w:sdt>
        <w:sdtPr>
          <w:id w:val="-19316344"/>
          <w:citation/>
        </w:sdtPr>
        <w:sdtEndPr/>
        <w:sdtContent>
          <w:r w:rsidR="00DD4ECF">
            <w:fldChar w:fldCharType="begin"/>
          </w:r>
          <w:r w:rsidR="00B62F4B">
            <w:rPr>
              <w:lang w:val="en-US"/>
            </w:rPr>
            <w:instrText xml:space="preserve"> CITATION Hil20 \l 1033 </w:instrText>
          </w:r>
          <w:r w:rsidR="00DD4ECF">
            <w:fldChar w:fldCharType="separate"/>
          </w:r>
          <w:r w:rsidR="00B62F4B" w:rsidRPr="00B62F4B">
            <w:rPr>
              <w:noProof/>
              <w:lang w:val="en-US"/>
            </w:rPr>
            <w:t>(Hilty, 2020)</w:t>
          </w:r>
          <w:r w:rsidR="00DD4ECF">
            <w:fldChar w:fldCharType="end"/>
          </w:r>
        </w:sdtContent>
      </w:sdt>
      <w:r w:rsidRPr="007546FC">
        <w:t>. Despite its large scale, JAC is committed to never ignoring the disabled and minority groups during the conference and will arrange for simultaneous translation for the conference as well as provide facilities for the physically challenged and those with restricted mobility and d/Deaf BSL users electronically. As this event encourages cooperation and offers numerous opportunities for further networking, it seeks to contribute to advancing the discussion on digital health as well as identify new strategies and co-operation initiatives in the sphere of digital health for improving the quality of living in the era of digital technologies</w:t>
      </w:r>
      <w:sdt>
        <w:sdtPr>
          <w:id w:val="1205147824"/>
          <w:citation/>
        </w:sdtPr>
        <w:sdtEndPr/>
        <w:sdtContent>
          <w:r w:rsidR="00DD4ECF">
            <w:fldChar w:fldCharType="begin"/>
          </w:r>
          <w:r w:rsidR="00B62F4B">
            <w:rPr>
              <w:lang w:val="en-US"/>
            </w:rPr>
            <w:instrText xml:space="preserve"> CITATION Jan20 \l 1033 </w:instrText>
          </w:r>
          <w:r w:rsidR="00DD4ECF">
            <w:fldChar w:fldCharType="separate"/>
          </w:r>
          <w:r w:rsidR="00B62F4B" w:rsidRPr="00B62F4B">
            <w:rPr>
              <w:noProof/>
              <w:lang w:val="en-US"/>
            </w:rPr>
            <w:t>(Janda, 2020)</w:t>
          </w:r>
          <w:r w:rsidR="00DD4ECF">
            <w:fldChar w:fldCharType="end"/>
          </w:r>
        </w:sdtContent>
      </w:sdt>
      <w:r w:rsidRPr="007546FC">
        <w:t>.</w:t>
      </w:r>
    </w:p>
    <w:p w:rsidR="007546FC" w:rsidRDefault="007546FC" w:rsidP="007546FC">
      <w:pPr>
        <w:pStyle w:val="Heading2"/>
      </w:pPr>
      <w:r>
        <w:t>The Event Cycle</w:t>
      </w:r>
    </w:p>
    <w:p w:rsidR="007546FC" w:rsidRDefault="007546FC" w:rsidP="007546FC">
      <w:r>
        <w:t>Eighth, identify definition and application to the conference, eighth of whatever subject, service or product you are providing, you need to provide definition and application of the subject to the conference. , what is third of the subject you are providing? how is it applicable to the conference?</w:t>
      </w:r>
    </w:p>
    <w:p w:rsidR="007546FC" w:rsidRDefault="007546FC" w:rsidP="007546FC">
      <w:r>
        <w:t>The Event Cycle can be described as the whole sequence starting from the event planning, event staging, up to the event debriefing. It encompasses several stages: identification of research needs, study and selection of an appropriate design, planning and preparation of data collection and analysis, coordination of the investigation and assessment of the results. This cycle ensures that every factor in the event is well arranged to meet its goals in order</w:t>
      </w:r>
      <w:sdt>
        <w:sdtPr>
          <w:id w:val="1521817016"/>
          <w:citation/>
        </w:sdtPr>
        <w:sdtEndPr/>
        <w:sdtContent>
          <w:r w:rsidR="00DD4ECF">
            <w:fldChar w:fldCharType="begin"/>
          </w:r>
          <w:r w:rsidR="00B62F4B">
            <w:rPr>
              <w:lang w:val="en-US"/>
            </w:rPr>
            <w:instrText xml:space="preserve"> CITATION Her21 \l 1033 </w:instrText>
          </w:r>
          <w:r w:rsidR="00DD4ECF">
            <w:fldChar w:fldCharType="separate"/>
          </w:r>
          <w:r w:rsidR="00B62F4B" w:rsidRPr="00B62F4B">
            <w:rPr>
              <w:noProof/>
              <w:lang w:val="en-US"/>
            </w:rPr>
            <w:t>(Herman, 2021)</w:t>
          </w:r>
          <w:r w:rsidR="00DD4ECF">
            <w:fldChar w:fldCharType="end"/>
          </w:r>
        </w:sdtContent>
      </w:sdt>
      <w:r>
        <w:t>.</w:t>
      </w:r>
    </w:p>
    <w:p w:rsidR="007546FC" w:rsidRDefault="007546FC" w:rsidP="007546FC">
      <w:pPr>
        <w:pStyle w:val="ListParagraph"/>
        <w:numPr>
          <w:ilvl w:val="0"/>
          <w:numId w:val="1"/>
        </w:numPr>
      </w:pPr>
      <w:r>
        <w:t>Research: The first stage is concerned with defining the requirement of the conference along with its prospective participants and beneficiaries. The evaluation in relation to trends and advancements in digital health, interest of the stakeholders and the findings of similar conventional meeting will be researched comprehensively for this conference.</w:t>
      </w:r>
    </w:p>
    <w:p w:rsidR="007546FC" w:rsidRDefault="007546FC" w:rsidP="007546FC">
      <w:pPr>
        <w:pStyle w:val="ListParagraph"/>
        <w:numPr>
          <w:ilvl w:val="0"/>
          <w:numId w:val="1"/>
        </w:numPr>
      </w:pPr>
      <w:r>
        <w:t>Design: It is the phase where the structure of the event and themes associated with the event and experience is developed. This will include the presentation of papers, invited addresses, an opening ceremony, lectures, presentations, concurrent sessions, and workshops, as well as a closing session, social events, and general information. In this context, the design will make sure that the content is both informational and interactive enough to encourage the delegates’ participation</w:t>
      </w:r>
      <w:sdt>
        <w:sdtPr>
          <w:id w:val="1511559621"/>
          <w:citation/>
        </w:sdtPr>
        <w:sdtEndPr/>
        <w:sdtContent>
          <w:r w:rsidR="00DD4ECF">
            <w:fldChar w:fldCharType="begin"/>
          </w:r>
          <w:r w:rsidR="00B62F4B">
            <w:rPr>
              <w:lang w:val="en-US"/>
            </w:rPr>
            <w:instrText xml:space="preserve"> CITATION Yia20 \l 1033 </w:instrText>
          </w:r>
          <w:r w:rsidR="00DD4ECF">
            <w:fldChar w:fldCharType="separate"/>
          </w:r>
          <w:r w:rsidR="00B62F4B" w:rsidRPr="00B62F4B">
            <w:rPr>
              <w:noProof/>
              <w:lang w:val="en-US"/>
            </w:rPr>
            <w:t>(Yiadom, 2020)</w:t>
          </w:r>
          <w:r w:rsidR="00DD4ECF">
            <w:fldChar w:fldCharType="end"/>
          </w:r>
        </w:sdtContent>
      </w:sdt>
      <w:r>
        <w:t>.</w:t>
      </w:r>
    </w:p>
    <w:p w:rsidR="007546FC" w:rsidRDefault="007546FC" w:rsidP="007546FC"/>
    <w:p w:rsidR="007546FC" w:rsidRDefault="007546FC" w:rsidP="007546FC">
      <w:pPr>
        <w:pStyle w:val="ListParagraph"/>
        <w:numPr>
          <w:ilvl w:val="0"/>
          <w:numId w:val="1"/>
        </w:numPr>
      </w:pPr>
      <w:r>
        <w:t>Planning: This is especially the case if the execution of a business idea requires complex and specific organizing. These are deciding on the location, preparing accommodations, transportation, and meals, besides organising the sessions and agreeing on registrations. The key development that will need to be established in order to achieve the goals of the project to reopen the hotel is hence to create a comprehensive project plan taking into account the time frame and roles and responsibilities</w:t>
      </w:r>
      <w:sdt>
        <w:sdtPr>
          <w:id w:val="-1022558978"/>
          <w:citation/>
        </w:sdtPr>
        <w:sdtEndPr/>
        <w:sdtContent>
          <w:r w:rsidR="00DD4ECF">
            <w:fldChar w:fldCharType="begin"/>
          </w:r>
          <w:r w:rsidR="00B62F4B">
            <w:rPr>
              <w:lang w:val="en-US"/>
            </w:rPr>
            <w:instrText xml:space="preserve"> CITATION Win21 \l 1033 </w:instrText>
          </w:r>
          <w:r w:rsidR="00DD4ECF">
            <w:fldChar w:fldCharType="separate"/>
          </w:r>
          <w:r w:rsidR="00B62F4B" w:rsidRPr="00B62F4B">
            <w:rPr>
              <w:noProof/>
              <w:lang w:val="en-US"/>
            </w:rPr>
            <w:t>(Winiger, 2021)</w:t>
          </w:r>
          <w:r w:rsidR="00DD4ECF">
            <w:fldChar w:fldCharType="end"/>
          </w:r>
        </w:sdtContent>
      </w:sdt>
      <w:r>
        <w:t>.</w:t>
      </w:r>
    </w:p>
    <w:p w:rsidR="007546FC" w:rsidRDefault="007546FC" w:rsidP="007546FC"/>
    <w:p w:rsidR="007546FC" w:rsidRDefault="007546FC" w:rsidP="007546FC">
      <w:pPr>
        <w:pStyle w:val="ListParagraph"/>
        <w:numPr>
          <w:ilvl w:val="0"/>
          <w:numId w:val="1"/>
        </w:numPr>
      </w:pPr>
      <w:r>
        <w:t>Coordination: This involves the actual coming of the event, where things must happen as planned and laid down by the event planners. It involves the identification of several activities to be executed continuously with the cooperation of many authorities including managers of events, technical departments, and volunteers. The contextual nature also implies that there should be the ability to address any unexpected situations that may arise, which is a possibility given if there is real time problem solving ability</w:t>
      </w:r>
      <w:sdt>
        <w:sdtPr>
          <w:id w:val="260421090"/>
          <w:citation/>
        </w:sdtPr>
        <w:sdtEndPr/>
        <w:sdtContent>
          <w:r w:rsidR="00DD4ECF">
            <w:fldChar w:fldCharType="begin"/>
          </w:r>
          <w:r w:rsidR="00B62F4B">
            <w:rPr>
              <w:lang w:val="en-US"/>
            </w:rPr>
            <w:instrText xml:space="preserve"> CITATION Phi20 \l 1033 </w:instrText>
          </w:r>
          <w:r w:rsidR="00DD4ECF">
            <w:fldChar w:fldCharType="separate"/>
          </w:r>
          <w:r w:rsidR="00B62F4B" w:rsidRPr="00B62F4B">
            <w:rPr>
              <w:noProof/>
              <w:lang w:val="en-US"/>
            </w:rPr>
            <w:t>(Philibert, 2020)</w:t>
          </w:r>
          <w:r w:rsidR="00DD4ECF">
            <w:fldChar w:fldCharType="end"/>
          </w:r>
        </w:sdtContent>
      </w:sdt>
      <w:r>
        <w:t>.</w:t>
      </w:r>
    </w:p>
    <w:p w:rsidR="007546FC" w:rsidRDefault="007546FC" w:rsidP="007546FC"/>
    <w:p w:rsidR="007546FC" w:rsidRDefault="007546FC" w:rsidP="007546FC">
      <w:pPr>
        <w:pStyle w:val="ListParagraph"/>
        <w:numPr>
          <w:ilvl w:val="0"/>
          <w:numId w:val="1"/>
        </w:numPr>
      </w:pPr>
      <w:r>
        <w:t>Evaluation: As a part of this event, the effectiveness would be evaluated on one hand-positively or negatively – according to objective set for this event. Both in the post-event survey for attendees as well as follow-ups with speakers and sponsors, suggestions and points of improvement will be sought for any successive occasions</w:t>
      </w:r>
      <w:sdt>
        <w:sdtPr>
          <w:id w:val="1847435477"/>
          <w:citation/>
        </w:sdtPr>
        <w:sdtEndPr/>
        <w:sdtContent>
          <w:r w:rsidR="00DD4ECF">
            <w:fldChar w:fldCharType="begin"/>
          </w:r>
          <w:r w:rsidR="00B62F4B">
            <w:rPr>
              <w:lang w:val="en-US"/>
            </w:rPr>
            <w:instrText xml:space="preserve"> CITATION And23 \l 1033 </w:instrText>
          </w:r>
          <w:r w:rsidR="00DD4ECF">
            <w:fldChar w:fldCharType="separate"/>
          </w:r>
          <w:r w:rsidR="00B62F4B" w:rsidRPr="00B62F4B">
            <w:rPr>
              <w:noProof/>
              <w:lang w:val="en-US"/>
            </w:rPr>
            <w:t>(Anderl, 2023)</w:t>
          </w:r>
          <w:r w:rsidR="00DD4ECF">
            <w:fldChar w:fldCharType="end"/>
          </w:r>
        </w:sdtContent>
      </w:sdt>
      <w:r>
        <w:t>.</w:t>
      </w:r>
    </w:p>
    <w:p w:rsidR="007546FC" w:rsidRDefault="007546FC" w:rsidP="007546FC"/>
    <w:p w:rsidR="007546FC" w:rsidRDefault="007546FC" w:rsidP="007546FC">
      <w:pPr>
        <w:pStyle w:val="Heading1"/>
      </w:pPr>
      <w:r>
        <w:t>Event Concept</w:t>
      </w:r>
    </w:p>
    <w:p w:rsidR="007546FC" w:rsidRDefault="007546FC" w:rsidP="007546FC">
      <w:pPr>
        <w:pStyle w:val="Heading2"/>
      </w:pPr>
      <w:r>
        <w:t>Itinerary and Delegate Experience</w:t>
      </w:r>
    </w:p>
    <w:p w:rsidR="007546FC" w:rsidRDefault="007546FC" w:rsidP="007F386D">
      <w:pPr>
        <w:pStyle w:val="Heading3"/>
      </w:pPr>
      <w:r>
        <w:t>Day 1:</w:t>
      </w:r>
    </w:p>
    <w:p w:rsidR="007546FC" w:rsidRDefault="007546FC" w:rsidP="007F386D">
      <w:pPr>
        <w:pStyle w:val="ListParagraph"/>
        <w:numPr>
          <w:ilvl w:val="0"/>
          <w:numId w:val="10"/>
        </w:numPr>
      </w:pPr>
      <w:r>
        <w:t>08</w:t>
      </w:r>
      <w:r w:rsidR="007F386D">
        <w:t xml:space="preserve">: 30- 9-35: </w:t>
      </w:r>
      <w:r>
        <w:t>Registration and Welcome Coffee</w:t>
      </w:r>
    </w:p>
    <w:p w:rsidR="007546FC" w:rsidRDefault="007546FC" w:rsidP="007F386D">
      <w:pPr>
        <w:pStyle w:val="ListParagraph"/>
        <w:numPr>
          <w:ilvl w:val="0"/>
          <w:numId w:val="10"/>
        </w:numPr>
      </w:pPr>
      <w:r>
        <w:t xml:space="preserve">DAY 2 </w:t>
      </w:r>
      <w:r w:rsidR="007F386D">
        <w:t>9:</w:t>
      </w:r>
      <w:r>
        <w:t>30-10:30 Am: Welcome and Opening Keynote Speech to be delivered by a well-known expert in the field of digital health</w:t>
      </w:r>
    </w:p>
    <w:p w:rsidR="007546FC" w:rsidRDefault="007546FC" w:rsidP="007F386D">
      <w:pPr>
        <w:pStyle w:val="ListParagraph"/>
        <w:numPr>
          <w:ilvl w:val="0"/>
          <w:numId w:val="10"/>
        </w:numPr>
      </w:pPr>
      <w:r>
        <w:t xml:space="preserve">10:30-12. 00: </w:t>
      </w:r>
      <w:r w:rsidR="007F386D">
        <w:t>health care team session</w:t>
      </w:r>
    </w:p>
    <w:p w:rsidR="007546FC" w:rsidRDefault="007F386D" w:rsidP="007F386D">
      <w:pPr>
        <w:pStyle w:val="ListParagraph"/>
        <w:numPr>
          <w:ilvl w:val="0"/>
          <w:numId w:val="10"/>
        </w:numPr>
      </w:pPr>
      <w:r>
        <w:t>12:12:00 – 13:00: Lunch break/reflex</w:t>
      </w:r>
      <w:r w:rsidR="007546FC">
        <w:t>/Networking</w:t>
      </w:r>
    </w:p>
    <w:p w:rsidR="007546FC" w:rsidRDefault="007F386D" w:rsidP="007F386D">
      <w:pPr>
        <w:pStyle w:val="ListParagraph"/>
        <w:numPr>
          <w:ilvl w:val="0"/>
          <w:numId w:val="10"/>
        </w:numPr>
      </w:pPr>
      <w:r>
        <w:t>13:</w:t>
      </w:r>
      <w:r w:rsidR="007546FC">
        <w:t xml:space="preserve"> 00-14:30: Practical session, Workshop “Health Improvement </w:t>
      </w:r>
      <w:r>
        <w:t>utilising</w:t>
      </w:r>
      <w:r w:rsidR="007546FC">
        <w:t xml:space="preserve"> Big Data”</w:t>
      </w:r>
    </w:p>
    <w:p w:rsidR="007546FC" w:rsidRDefault="007546FC" w:rsidP="007F386D">
      <w:pPr>
        <w:pStyle w:val="ListParagraph"/>
        <w:numPr>
          <w:ilvl w:val="0"/>
          <w:numId w:val="10"/>
        </w:numPr>
      </w:pPr>
      <w:r>
        <w:t>14:30-15:00: Coffee Break</w:t>
      </w:r>
    </w:p>
    <w:p w:rsidR="007546FC" w:rsidRDefault="007546FC" w:rsidP="007F386D">
      <w:pPr>
        <w:pStyle w:val="ListParagraph"/>
        <w:numPr>
          <w:ilvl w:val="0"/>
          <w:numId w:val="10"/>
        </w:numPr>
      </w:pPr>
      <w:r>
        <w:t>15:00-16:30: Break/Interactive Session: Wearable Health Technologies</w:t>
      </w:r>
    </w:p>
    <w:p w:rsidR="007546FC" w:rsidRDefault="007546FC" w:rsidP="007F386D">
      <w:pPr>
        <w:pStyle w:val="ListParagraph"/>
        <w:numPr>
          <w:ilvl w:val="0"/>
          <w:numId w:val="10"/>
        </w:numPr>
      </w:pPr>
      <w:r>
        <w:t>16:17:30-18:30: Closing Remarks and Peep into Day 2</w:t>
      </w:r>
    </w:p>
    <w:p w:rsidR="007546FC" w:rsidRDefault="007546FC" w:rsidP="007F386D">
      <w:pPr>
        <w:pStyle w:val="Heading3"/>
      </w:pPr>
      <w:r>
        <w:t>Day 2:</w:t>
      </w:r>
    </w:p>
    <w:p w:rsidR="007546FC" w:rsidRDefault="007F386D" w:rsidP="007F386D">
      <w:pPr>
        <w:pStyle w:val="ListParagraph"/>
        <w:numPr>
          <w:ilvl w:val="0"/>
          <w:numId w:val="9"/>
        </w:numPr>
      </w:pPr>
      <w:r>
        <w:t>8</w:t>
      </w:r>
      <w:r w:rsidR="007546FC">
        <w:t>: 00-10:30 AM Session Type: Seminar Seminar Title: “Digital Therapeutics: Innovations and Applications”</w:t>
      </w:r>
    </w:p>
    <w:p w:rsidR="007546FC" w:rsidRDefault="007546FC" w:rsidP="007F386D">
      <w:pPr>
        <w:pStyle w:val="ListParagraph"/>
        <w:numPr>
          <w:ilvl w:val="0"/>
          <w:numId w:val="9"/>
        </w:numPr>
      </w:pPr>
      <w:r>
        <w:t>10:30-11:00: Coffee Break</w:t>
      </w:r>
    </w:p>
    <w:p w:rsidR="007546FC" w:rsidRDefault="007546FC" w:rsidP="007F386D">
      <w:pPr>
        <w:pStyle w:val="ListParagraph"/>
        <w:numPr>
          <w:ilvl w:val="0"/>
          <w:numId w:val="9"/>
        </w:numPr>
      </w:pPr>
      <w:r>
        <w:t>2: 00-12:30, Case Studies Presentation Session 3: “Successful Digital Health Implementations”</w:t>
      </w:r>
    </w:p>
    <w:p w:rsidR="007546FC" w:rsidRDefault="007546FC" w:rsidP="007F386D">
      <w:pPr>
        <w:pStyle w:val="ListParagraph"/>
        <w:numPr>
          <w:ilvl w:val="0"/>
          <w:numId w:val="9"/>
        </w:numPr>
      </w:pPr>
      <w:r>
        <w:t>12:30-13:30: Lunch Break</w:t>
      </w:r>
    </w:p>
    <w:p w:rsidR="007546FC" w:rsidRDefault="007546FC" w:rsidP="007F386D">
      <w:pPr>
        <w:pStyle w:val="ListParagraph"/>
        <w:numPr>
          <w:ilvl w:val="0"/>
          <w:numId w:val="9"/>
        </w:numPr>
      </w:pPr>
      <w:r>
        <w:t>3:00P. M–4:30 P. M 30-15:00: Roundtable Discussion: “Ethical and Privacy Considerations in Digital Health”</w:t>
      </w:r>
    </w:p>
    <w:p w:rsidR="007546FC" w:rsidRDefault="007546FC" w:rsidP="007F386D">
      <w:pPr>
        <w:pStyle w:val="ListParagraph"/>
        <w:numPr>
          <w:ilvl w:val="0"/>
          <w:numId w:val="9"/>
        </w:numPr>
      </w:pPr>
      <w:r>
        <w:t>15:00-15:30: Coffee Break</w:t>
      </w:r>
    </w:p>
    <w:p w:rsidR="007546FC" w:rsidRDefault="007546FC" w:rsidP="007F386D">
      <w:pPr>
        <w:pStyle w:val="ListParagraph"/>
        <w:numPr>
          <w:ilvl w:val="0"/>
          <w:numId w:val="9"/>
        </w:numPr>
      </w:pPr>
      <w:r>
        <w:t>15:30-17. 00: Networkng Session and Exhibition Tour</w:t>
      </w:r>
    </w:p>
    <w:p w:rsidR="007546FC" w:rsidRDefault="007546FC" w:rsidP="007F386D">
      <w:pPr>
        <w:pStyle w:val="ListParagraph"/>
        <w:numPr>
          <w:ilvl w:val="0"/>
          <w:numId w:val="9"/>
        </w:numPr>
      </w:pPr>
      <w:r>
        <w:t>17:11:30 / 1 pm – 2:30 pm / 4-6 pm: Closing Keynote and Awards</w:t>
      </w:r>
    </w:p>
    <w:p w:rsidR="007546FC" w:rsidRDefault="007546FC" w:rsidP="007546FC">
      <w:r>
        <w:t>Participants are expected to engage in productive forums, informative sessions, exercise sessions, and break out sessions and also many opportunities to network. The event will showcase technologies for digital health and innovation where knowledge and concept sharing is possible</w:t>
      </w:r>
      <w:r w:rsidR="007F386D">
        <w:t>.</w:t>
      </w:r>
    </w:p>
    <w:p w:rsidR="007546FC" w:rsidRDefault="007546FC" w:rsidP="007F386D">
      <w:pPr>
        <w:pStyle w:val="Heading1"/>
      </w:pPr>
      <w:r>
        <w:t>Purpose and Specifics of the Meeting/Event</w:t>
      </w:r>
    </w:p>
    <w:p w:rsidR="007546FC" w:rsidRDefault="007546FC" w:rsidP="007F386D">
      <w:pPr>
        <w:pStyle w:val="Heading2"/>
      </w:pPr>
      <w:r>
        <w:t>Aim</w:t>
      </w:r>
    </w:p>
    <w:p w:rsidR="007546FC" w:rsidRDefault="007546FC" w:rsidP="007546FC">
      <w:r>
        <w:t>To enhance the study and the implementation of digital health technologies so as to positively enhance h</w:t>
      </w:r>
      <w:r w:rsidR="007F386D">
        <w:t>ealth and well-being worldwide.</w:t>
      </w:r>
      <w:sdt>
        <w:sdtPr>
          <w:id w:val="1069456976"/>
          <w:citation/>
        </w:sdtPr>
        <w:sdtEndPr/>
        <w:sdtContent>
          <w:r w:rsidR="00DD4ECF">
            <w:fldChar w:fldCharType="begin"/>
          </w:r>
          <w:r w:rsidR="00B62F4B">
            <w:rPr>
              <w:lang w:val="en-US"/>
            </w:rPr>
            <w:instrText xml:space="preserve"> CITATION Cas21 \l 1033 </w:instrText>
          </w:r>
          <w:r w:rsidR="00DD4ECF">
            <w:fldChar w:fldCharType="separate"/>
          </w:r>
          <w:r w:rsidR="00B62F4B" w:rsidRPr="00B62F4B">
            <w:rPr>
              <w:noProof/>
              <w:lang w:val="en-US"/>
            </w:rPr>
            <w:t>(Cassoobhoy, 2021)</w:t>
          </w:r>
          <w:r w:rsidR="00DD4ECF">
            <w:fldChar w:fldCharType="end"/>
          </w:r>
        </w:sdtContent>
      </w:sdt>
    </w:p>
    <w:p w:rsidR="007546FC" w:rsidRDefault="007546FC" w:rsidP="007F386D">
      <w:pPr>
        <w:pStyle w:val="Heading2"/>
      </w:pPr>
      <w:r>
        <w:t>SMART Objectives</w:t>
      </w:r>
    </w:p>
    <w:p w:rsidR="007546FC" w:rsidRDefault="007546FC" w:rsidP="007F386D">
      <w:pPr>
        <w:pStyle w:val="ListParagraph"/>
        <w:numPr>
          <w:ilvl w:val="0"/>
          <w:numId w:val="2"/>
        </w:numPr>
      </w:pPr>
      <w:r>
        <w:t>Specific: During a specific period of the conference, at least 80% of the attendees can engage in the interactive part of the event and some practical workshops.</w:t>
      </w:r>
    </w:p>
    <w:p w:rsidR="007546FC" w:rsidRDefault="007546FC" w:rsidP="007F386D">
      <w:pPr>
        <w:pStyle w:val="ListParagraph"/>
        <w:numPr>
          <w:ilvl w:val="0"/>
          <w:numId w:val="2"/>
        </w:numPr>
      </w:pPr>
      <w:r>
        <w:t>Measurable: Opt for a minimum satisfaction rate of 85 percented based on the survey conducted at the end of the event.</w:t>
      </w:r>
    </w:p>
    <w:p w:rsidR="007546FC" w:rsidRDefault="007546FC" w:rsidP="007F386D">
      <w:pPr>
        <w:pStyle w:val="ListParagraph"/>
        <w:numPr>
          <w:ilvl w:val="0"/>
          <w:numId w:val="2"/>
        </w:numPr>
      </w:pPr>
      <w:r>
        <w:t>Achievable: Ensure we have the assured turnout of a minimum of 150 delegates across the international platform inclusive of speakers, exhibitors, and attendees.</w:t>
      </w:r>
    </w:p>
    <w:p w:rsidR="007546FC" w:rsidRDefault="007546FC" w:rsidP="007F386D">
      <w:pPr>
        <w:pStyle w:val="ListParagraph"/>
        <w:numPr>
          <w:ilvl w:val="0"/>
          <w:numId w:val="2"/>
        </w:numPr>
      </w:pPr>
      <w:r>
        <w:t>Relevant: To make the content more valuable and applicable to the participants, therefore the primary focus should be made on the trends and developments within Digital Health.</w:t>
      </w:r>
    </w:p>
    <w:p w:rsidR="007546FC" w:rsidRDefault="007546FC" w:rsidP="007F386D">
      <w:pPr>
        <w:pStyle w:val="ListParagraph"/>
        <w:numPr>
          <w:ilvl w:val="0"/>
          <w:numId w:val="2"/>
        </w:numPr>
      </w:pPr>
      <w:r>
        <w:t>Time-bound: All the aforementioned objectives are to be realized before the end of the two-day conference.</w:t>
      </w:r>
    </w:p>
    <w:p w:rsidR="007546FC" w:rsidRDefault="007546FC" w:rsidP="007F386D">
      <w:pPr>
        <w:pStyle w:val="Heading1"/>
      </w:pPr>
      <w:r>
        <w:t>Event Operations</w:t>
      </w:r>
    </w:p>
    <w:p w:rsidR="007546FC" w:rsidRDefault="007546FC" w:rsidP="007F386D">
      <w:pPr>
        <w:pStyle w:val="Heading2"/>
      </w:pPr>
      <w:r>
        <w:t>Skills and Resources Required</w:t>
      </w:r>
    </w:p>
    <w:p w:rsidR="007546FC" w:rsidRDefault="007546FC" w:rsidP="007F386D">
      <w:pPr>
        <w:pStyle w:val="ListParagraph"/>
        <w:numPr>
          <w:ilvl w:val="0"/>
          <w:numId w:val="3"/>
        </w:numPr>
      </w:pPr>
      <w:r>
        <w:t>Event Management: She has a lot of experience in organizing international conferences, arranging travels, having a timetable, and arranging events.</w:t>
      </w:r>
    </w:p>
    <w:p w:rsidR="007546FC" w:rsidRDefault="007546FC" w:rsidP="007F386D">
      <w:pPr>
        <w:pStyle w:val="ListParagraph"/>
        <w:numPr>
          <w:ilvl w:val="0"/>
          <w:numId w:val="3"/>
        </w:numPr>
      </w:pPr>
      <w:r>
        <w:t>Technical Expertise: Find out a lot about digital health technologies and be able to handle technical aspects of the presentations and workshops.</w:t>
      </w:r>
    </w:p>
    <w:p w:rsidR="007546FC" w:rsidRDefault="007546FC" w:rsidP="007F386D">
      <w:pPr>
        <w:pStyle w:val="ListParagraph"/>
        <w:numPr>
          <w:ilvl w:val="0"/>
          <w:numId w:val="3"/>
        </w:numPr>
      </w:pPr>
      <w:r>
        <w:t>Marketing and Communication: That includes skills to market the event worldwide, register individuals and teams, communicate with the press and media, partners, and sponsors.</w:t>
      </w:r>
    </w:p>
    <w:p w:rsidR="007546FC" w:rsidRDefault="007546FC" w:rsidP="007546FC">
      <w:pPr>
        <w:pStyle w:val="ListParagraph"/>
        <w:numPr>
          <w:ilvl w:val="0"/>
          <w:numId w:val="3"/>
        </w:numPr>
      </w:pPr>
      <w:r>
        <w:t>Customer Service: Several that can offer good support to delegates in the preparation, during the occasion and even after it is complete.</w:t>
      </w:r>
    </w:p>
    <w:p w:rsidR="007546FC" w:rsidRDefault="007546FC" w:rsidP="007F386D">
      <w:pPr>
        <w:pStyle w:val="ListParagraph"/>
        <w:numPr>
          <w:ilvl w:val="0"/>
          <w:numId w:val="3"/>
        </w:numPr>
      </w:pPr>
      <w:r>
        <w:t>Venue: A conference centre in Geneva with meeting areas for plenary sessions and committee meetings, lobby, exhibition area and auditorium.</w:t>
      </w:r>
    </w:p>
    <w:p w:rsidR="007546FC" w:rsidRDefault="007546FC" w:rsidP="007F386D">
      <w:pPr>
        <w:pStyle w:val="ListParagraph"/>
        <w:numPr>
          <w:ilvl w:val="0"/>
          <w:numId w:val="3"/>
        </w:numPr>
      </w:pPr>
      <w:r>
        <w:t>Technology: Audio-visual equipments, bandwidth facilities and other virtual conference tools and applications permitting face-to-face meetings and live streaming.</w:t>
      </w:r>
    </w:p>
    <w:p w:rsidR="007546FC" w:rsidRDefault="007546FC" w:rsidP="007F386D">
      <w:pPr>
        <w:pStyle w:val="ListParagraph"/>
        <w:numPr>
          <w:ilvl w:val="0"/>
          <w:numId w:val="3"/>
        </w:numPr>
      </w:pPr>
      <w:r>
        <w:t>Staff: It therefore requires a team of event managers, technical crew, volunteer assistants, and security columnists.</w:t>
      </w:r>
    </w:p>
    <w:p w:rsidR="007546FC" w:rsidRDefault="007546FC" w:rsidP="007F386D">
      <w:pPr>
        <w:pStyle w:val="ListParagraph"/>
        <w:numPr>
          <w:ilvl w:val="0"/>
          <w:numId w:val="3"/>
        </w:numPr>
      </w:pPr>
      <w:r>
        <w:t>Catering: Arrangement of catering services for food and drinks for the delegates for the durational of the event.</w:t>
      </w:r>
    </w:p>
    <w:p w:rsidR="007546FC" w:rsidRDefault="007546FC" w:rsidP="007F386D">
      <w:pPr>
        <w:pStyle w:val="ListParagraph"/>
        <w:numPr>
          <w:ilvl w:val="0"/>
          <w:numId w:val="3"/>
        </w:numPr>
      </w:pPr>
      <w:r>
        <w:t>Transportation and Accommodation: To transport and accommodate international dignitaries, bookings of airport transfers, hotel accommodations were also coordinated.</w:t>
      </w:r>
    </w:p>
    <w:p w:rsidR="007546FC" w:rsidRDefault="007546FC" w:rsidP="007F386D">
      <w:pPr>
        <w:pStyle w:val="Heading1"/>
      </w:pPr>
      <w:r>
        <w:t>Event Budget</w:t>
      </w:r>
    </w:p>
    <w:p w:rsidR="007546FC" w:rsidRDefault="007546FC" w:rsidP="007F386D">
      <w:pPr>
        <w:pStyle w:val="Heading2"/>
      </w:pPr>
      <w:r>
        <w:t>Income and Expenditure Breakdown</w:t>
      </w:r>
    </w:p>
    <w:p w:rsidR="007546FC" w:rsidRDefault="007546FC" w:rsidP="007F386D">
      <w:pPr>
        <w:pStyle w:val="Heading3"/>
      </w:pPr>
      <w:r>
        <w:t>Income:</w:t>
      </w:r>
    </w:p>
    <w:p w:rsidR="007546FC" w:rsidRDefault="007546FC" w:rsidP="007F386D">
      <w:pPr>
        <w:pStyle w:val="ListParagraph"/>
        <w:numPr>
          <w:ilvl w:val="0"/>
          <w:numId w:val="4"/>
        </w:numPr>
      </w:pPr>
      <w:r>
        <w:t>Registration Fees: If each by costs $300 and there are 150 delegates , then the total will be $45 000.</w:t>
      </w:r>
    </w:p>
    <w:p w:rsidR="007546FC" w:rsidRDefault="007546FC" w:rsidP="007F386D">
      <w:pPr>
        <w:pStyle w:val="ListParagraph"/>
        <w:numPr>
          <w:ilvl w:val="0"/>
          <w:numId w:val="4"/>
        </w:numPr>
      </w:pPr>
      <w:r>
        <w:t>Sponsorship: Estimate of the contributions of health technology companies and organizations = $30,000</w:t>
      </w:r>
    </w:p>
    <w:p w:rsidR="007546FC" w:rsidRDefault="007546FC" w:rsidP="007F386D">
      <w:pPr>
        <w:pStyle w:val="ListParagraph"/>
        <w:numPr>
          <w:ilvl w:val="0"/>
          <w:numId w:val="4"/>
        </w:numPr>
      </w:pPr>
      <w:r>
        <w:t>Exhibition Fees: Accommodation for the entities that will be exhibiting their technologies = $15,000</w:t>
      </w:r>
    </w:p>
    <w:p w:rsidR="007546FC" w:rsidRDefault="007546FC" w:rsidP="007F386D">
      <w:pPr>
        <w:pStyle w:val="ListParagraph"/>
        <w:numPr>
          <w:ilvl w:val="0"/>
          <w:numId w:val="4"/>
        </w:numPr>
      </w:pPr>
      <w:r>
        <w:t>Grants and Donations: Funds that can be mobilized from health foundations /governmental health bodies =20000 Forum</w:t>
      </w:r>
    </w:p>
    <w:p w:rsidR="007546FC" w:rsidRDefault="007546FC" w:rsidP="007F386D">
      <w:pPr>
        <w:pStyle w:val="ListParagraph"/>
        <w:numPr>
          <w:ilvl w:val="0"/>
          <w:numId w:val="4"/>
        </w:numPr>
      </w:pPr>
      <w:r>
        <w:t>Total Income: $110,000</w:t>
      </w:r>
    </w:p>
    <w:p w:rsidR="007546FC" w:rsidRDefault="007546FC" w:rsidP="007546FC"/>
    <w:p w:rsidR="007546FC" w:rsidRDefault="007546FC" w:rsidP="007F386D">
      <w:pPr>
        <w:pStyle w:val="Heading3"/>
      </w:pPr>
      <w:r>
        <w:t>Expenditure:</w:t>
      </w:r>
    </w:p>
    <w:p w:rsidR="007546FC" w:rsidRDefault="007546FC" w:rsidP="007546FC"/>
    <w:p w:rsidR="007546FC" w:rsidRDefault="007546FC" w:rsidP="007F386D">
      <w:pPr>
        <w:pStyle w:val="ListParagraph"/>
        <w:numPr>
          <w:ilvl w:val="0"/>
          <w:numId w:val="5"/>
        </w:numPr>
      </w:pPr>
      <w:r>
        <w:t>Venue Rental: $20,000</w:t>
      </w:r>
    </w:p>
    <w:p w:rsidR="007546FC" w:rsidRDefault="007546FC" w:rsidP="007F386D">
      <w:pPr>
        <w:pStyle w:val="ListParagraph"/>
        <w:numPr>
          <w:ilvl w:val="0"/>
          <w:numId w:val="5"/>
        </w:numPr>
      </w:pPr>
      <w:r>
        <w:t>Catering: $15,000</w:t>
      </w:r>
    </w:p>
    <w:p w:rsidR="007546FC" w:rsidRDefault="007546FC" w:rsidP="007F386D">
      <w:pPr>
        <w:pStyle w:val="ListParagraph"/>
        <w:numPr>
          <w:ilvl w:val="0"/>
          <w:numId w:val="5"/>
        </w:numPr>
      </w:pPr>
      <w:r>
        <w:t>Technical Setup: $10,000</w:t>
      </w:r>
    </w:p>
    <w:p w:rsidR="007546FC" w:rsidRDefault="007546FC" w:rsidP="007F386D">
      <w:pPr>
        <w:pStyle w:val="ListParagraph"/>
        <w:numPr>
          <w:ilvl w:val="0"/>
          <w:numId w:val="5"/>
        </w:numPr>
      </w:pPr>
      <w:r>
        <w:t>Marketing and Promotion: $8,000</w:t>
      </w:r>
    </w:p>
    <w:p w:rsidR="007546FC" w:rsidRDefault="007546FC" w:rsidP="007F386D">
      <w:pPr>
        <w:pStyle w:val="ListParagraph"/>
        <w:numPr>
          <w:ilvl w:val="0"/>
          <w:numId w:val="5"/>
        </w:numPr>
      </w:pPr>
      <w:r>
        <w:t>Staff and Volunteer Expenses: There was total cash sales of $20000 while there was a non-cash sales of $12,000.</w:t>
      </w:r>
    </w:p>
    <w:p w:rsidR="007546FC" w:rsidRDefault="007546FC" w:rsidP="007F386D">
      <w:pPr>
        <w:pStyle w:val="ListParagraph"/>
        <w:numPr>
          <w:ilvl w:val="0"/>
          <w:numId w:val="5"/>
        </w:numPr>
      </w:pPr>
      <w:r>
        <w:t>Travel and Accommodation for Speakers: entries such as an automobile, a boat, a television, and/or any other personal property not permanently fixed to land and having a fair market value of $15,000 or more;</w:t>
      </w:r>
    </w:p>
    <w:p w:rsidR="007546FC" w:rsidRDefault="007546FC" w:rsidP="007F386D">
      <w:pPr>
        <w:pStyle w:val="ListParagraph"/>
        <w:numPr>
          <w:ilvl w:val="0"/>
          <w:numId w:val="5"/>
        </w:numPr>
      </w:pPr>
      <w:r>
        <w:t>Materials and Supplies: $5,000</w:t>
      </w:r>
    </w:p>
    <w:p w:rsidR="007546FC" w:rsidRDefault="007546FC" w:rsidP="007F386D">
      <w:pPr>
        <w:pStyle w:val="ListParagraph"/>
        <w:numPr>
          <w:ilvl w:val="0"/>
          <w:numId w:val="5"/>
        </w:numPr>
      </w:pPr>
      <w:r>
        <w:t>Miscellaneous: $5,000</w:t>
      </w:r>
    </w:p>
    <w:p w:rsidR="007546FC" w:rsidRDefault="007546FC" w:rsidP="007546FC">
      <w:pPr>
        <w:pStyle w:val="ListParagraph"/>
        <w:numPr>
          <w:ilvl w:val="0"/>
          <w:numId w:val="5"/>
        </w:numPr>
      </w:pPr>
      <w:r>
        <w:t>Total Expenditure: $90,000</w:t>
      </w:r>
    </w:p>
    <w:p w:rsidR="007546FC" w:rsidRDefault="007546FC" w:rsidP="007F386D">
      <w:pPr>
        <w:pStyle w:val="ListParagraph"/>
        <w:numPr>
          <w:ilvl w:val="0"/>
          <w:numId w:val="5"/>
        </w:numPr>
      </w:pPr>
      <w:r>
        <w:t>Net Profit: $20,000</w:t>
      </w:r>
    </w:p>
    <w:p w:rsidR="007546FC" w:rsidRDefault="007546FC" w:rsidP="007F386D">
      <w:pPr>
        <w:pStyle w:val="Heading2"/>
      </w:pPr>
      <w:r>
        <w:t>Explanation of Costs</w:t>
      </w:r>
    </w:p>
    <w:p w:rsidR="007546FC" w:rsidRDefault="007546FC" w:rsidP="007546FC">
      <w:r>
        <w:t>These are the venue fees, meals for the attendees and technicalities for a conferencing event which are crucial in making a professional conferencing event. Marketing and promotions remain an essential consideration for reaching prospective clientele from around the world. Finally, staff and volunteers contribute towards proper management and support requirements that may be needed. Catering includes travel and accommodation to ensure</w:t>
      </w:r>
      <w:r w:rsidR="007F386D">
        <w:t xml:space="preserve"> hire highly renowned speakers</w:t>
      </w:r>
      <w:sdt>
        <w:sdtPr>
          <w:id w:val="1221790379"/>
          <w:citation/>
        </w:sdtPr>
        <w:sdtEndPr/>
        <w:sdtContent>
          <w:r w:rsidR="00DD4ECF">
            <w:fldChar w:fldCharType="begin"/>
          </w:r>
          <w:r w:rsidR="00B62F4B">
            <w:rPr>
              <w:lang w:val="en-US"/>
            </w:rPr>
            <w:instrText xml:space="preserve"> CITATION Cas21 \l 1033 </w:instrText>
          </w:r>
          <w:r w:rsidR="00DD4ECF">
            <w:fldChar w:fldCharType="separate"/>
          </w:r>
          <w:r w:rsidR="00B62F4B" w:rsidRPr="00B62F4B">
            <w:rPr>
              <w:noProof/>
              <w:lang w:val="en-US"/>
            </w:rPr>
            <w:t>(Cassoobhoy, 2021)</w:t>
          </w:r>
          <w:r w:rsidR="00DD4ECF">
            <w:fldChar w:fldCharType="end"/>
          </w:r>
        </w:sdtContent>
      </w:sdt>
      <w:r w:rsidR="007F386D">
        <w:t>.</w:t>
      </w:r>
    </w:p>
    <w:p w:rsidR="007546FC" w:rsidRDefault="007546FC" w:rsidP="007546FC">
      <w:r>
        <w:t>Funding sources and income generation is attributed to income from developmental schemes being higher than other sources of income of the centre.</w:t>
      </w:r>
    </w:p>
    <w:p w:rsidR="007546FC" w:rsidRDefault="007546FC" w:rsidP="007546FC">
      <w:r>
        <w:t>The foreseen income sources include the conference registration fees, sponorship, exhibitors’ fees, and grants. A major element of the funding will be sought via sponsorship from health tech companies and organizations of most of the inherent costs. Also, earnings that will be derived from companies that exhibit their products in the course of the fair will act as sources of revenue. To achieve the financial support, grants /donations from health foundations and governmental bodies will also be sought for the event</w:t>
      </w:r>
      <w:sdt>
        <w:sdtPr>
          <w:id w:val="-379408726"/>
          <w:citation/>
        </w:sdtPr>
        <w:sdtEndPr/>
        <w:sdtContent>
          <w:r w:rsidR="00DD4ECF">
            <w:fldChar w:fldCharType="begin"/>
          </w:r>
          <w:r w:rsidR="00B62F4B">
            <w:rPr>
              <w:lang w:val="en-US"/>
            </w:rPr>
            <w:instrText xml:space="preserve"> CITATION Win21 \l 1033 </w:instrText>
          </w:r>
          <w:r w:rsidR="00DD4ECF">
            <w:fldChar w:fldCharType="separate"/>
          </w:r>
          <w:r w:rsidR="00B62F4B" w:rsidRPr="00B62F4B">
            <w:rPr>
              <w:noProof/>
              <w:lang w:val="en-US"/>
            </w:rPr>
            <w:t>(Winiger, 2021)</w:t>
          </w:r>
          <w:r w:rsidR="00DD4ECF">
            <w:fldChar w:fldCharType="end"/>
          </w:r>
        </w:sdtContent>
      </w:sdt>
      <w:r>
        <w:t>.</w:t>
      </w:r>
    </w:p>
    <w:p w:rsidR="007546FC" w:rsidRDefault="007546FC" w:rsidP="007546FC"/>
    <w:p w:rsidR="007546FC" w:rsidRDefault="007546FC" w:rsidP="007F386D">
      <w:pPr>
        <w:pStyle w:val="Heading2"/>
      </w:pPr>
      <w:r>
        <w:t>Industry Trends/Impacts</w:t>
      </w:r>
    </w:p>
    <w:p w:rsidR="007546FC" w:rsidRDefault="007546FC" w:rsidP="007546FC">
      <w:r>
        <w:t>The Transformation of Meetings/Events There are several specific trends in the meetings/events industry currently that can be considered as the examples of its transformation, including:</w:t>
      </w:r>
    </w:p>
    <w:p w:rsidR="007546FC" w:rsidRDefault="007546FC" w:rsidP="007F386D">
      <w:pPr>
        <w:pStyle w:val="ListParagraph"/>
        <w:numPr>
          <w:ilvl w:val="0"/>
          <w:numId w:val="6"/>
        </w:numPr>
      </w:pPr>
      <w:r>
        <w:t>Hybrid Events: To overcome the physical aloneness in a classroom, the course includes face-to-face and online components with the purpose of expand the availability and achievement of the intended audience.</w:t>
      </w:r>
    </w:p>
    <w:p w:rsidR="007546FC" w:rsidRDefault="007546FC" w:rsidP="007F386D">
      <w:pPr>
        <w:pStyle w:val="ListParagraph"/>
        <w:numPr>
          <w:ilvl w:val="0"/>
          <w:numId w:val="6"/>
        </w:numPr>
      </w:pPr>
      <w:r>
        <w:t>Sustainability: Newer concerns associated with sustainability influence, as more companies seek to address environmental issues and minimize material use in unfavorable ways</w:t>
      </w:r>
      <w:sdt>
        <w:sdtPr>
          <w:id w:val="-27268245"/>
          <w:citation/>
        </w:sdtPr>
        <w:sdtEndPr/>
        <w:sdtContent>
          <w:r w:rsidR="00DD4ECF">
            <w:fldChar w:fldCharType="begin"/>
          </w:r>
          <w:r w:rsidR="00B62F4B">
            <w:rPr>
              <w:lang w:val="en-US"/>
            </w:rPr>
            <w:instrText xml:space="preserve"> CITATION Wei21 \l 1033 </w:instrText>
          </w:r>
          <w:r w:rsidR="00DD4ECF">
            <w:fldChar w:fldCharType="separate"/>
          </w:r>
          <w:r w:rsidR="00B62F4B" w:rsidRPr="00B62F4B">
            <w:rPr>
              <w:noProof/>
              <w:lang w:val="en-US"/>
            </w:rPr>
            <w:t>(Weisz, 2021)</w:t>
          </w:r>
          <w:r w:rsidR="00DD4ECF">
            <w:fldChar w:fldCharType="end"/>
          </w:r>
        </w:sdtContent>
      </w:sdt>
      <w:r>
        <w:t>.</w:t>
      </w:r>
    </w:p>
    <w:p w:rsidR="007546FC" w:rsidRDefault="007546FC" w:rsidP="007F386D">
      <w:pPr>
        <w:pStyle w:val="ListParagraph"/>
        <w:numPr>
          <w:ilvl w:val="0"/>
          <w:numId w:val="6"/>
        </w:numPr>
      </w:pPr>
      <w:r>
        <w:t>Technology Integration: Incorporation of modern tools like Artificial Intelligence, Virtual Reality, and Augmented Reality to increase the delegate’s participation and interactiveness.</w:t>
      </w:r>
    </w:p>
    <w:p w:rsidR="007546FC" w:rsidRDefault="007546FC" w:rsidP="007F386D">
      <w:pPr>
        <w:pStyle w:val="ListParagraph"/>
        <w:numPr>
          <w:ilvl w:val="0"/>
          <w:numId w:val="6"/>
        </w:numPr>
      </w:pPr>
      <w:r>
        <w:t>Personalization: Catering for the specific difference of those in attendance and ensuring that what is offered fits the expectations of each person.</w:t>
      </w:r>
    </w:p>
    <w:p w:rsidR="007546FC" w:rsidRDefault="007546FC" w:rsidP="007F386D">
      <w:pPr>
        <w:pStyle w:val="ListParagraph"/>
        <w:numPr>
          <w:ilvl w:val="0"/>
          <w:numId w:val="6"/>
        </w:numPr>
      </w:pPr>
      <w:r>
        <w:t>Health and Safety: Further safety measures related to Personal Health and Safety, such as check-in procedures and sanitization techniques due to the presence of the COVID-19 pandemic.</w:t>
      </w:r>
    </w:p>
    <w:p w:rsidR="007546FC" w:rsidRDefault="007546FC" w:rsidP="007F386D">
      <w:pPr>
        <w:pStyle w:val="Heading2"/>
      </w:pPr>
      <w:r>
        <w:t>Influence on the Conference</w:t>
      </w:r>
    </w:p>
    <w:p w:rsidR="007546FC" w:rsidRDefault="007546FC" w:rsidP="007546FC">
      <w:r>
        <w:t>This conference will have a number of a blended event, meaning some individuals can attend physically, while others can do it online. Measures which reflect sustainable policy: Notepads instead of printed programs. Technology will be adopted in conducting the interactive sessions, live stream Agoras and web conferencing. More ideas include notions such as personalized agendas and that networking will be available for sale in order to improve the delegates’ experience. Currently, necessary measures shall be taken to provide compliance with health and safety standards of participants</w:t>
      </w:r>
      <w:sdt>
        <w:sdtPr>
          <w:id w:val="1618181923"/>
          <w:citation/>
        </w:sdtPr>
        <w:sdtEndPr/>
        <w:sdtContent>
          <w:r w:rsidR="00DD4ECF">
            <w:fldChar w:fldCharType="begin"/>
          </w:r>
          <w:r w:rsidR="00B62F4B">
            <w:rPr>
              <w:lang w:val="en-US"/>
            </w:rPr>
            <w:instrText xml:space="preserve"> CITATION Ort20 \l 1033 </w:instrText>
          </w:r>
          <w:r w:rsidR="00DD4ECF">
            <w:fldChar w:fldCharType="separate"/>
          </w:r>
          <w:r w:rsidR="00B62F4B" w:rsidRPr="00B62F4B">
            <w:rPr>
              <w:noProof/>
              <w:lang w:val="en-US"/>
            </w:rPr>
            <w:t>(Ortega, 2020)</w:t>
          </w:r>
          <w:r w:rsidR="00DD4ECF">
            <w:fldChar w:fldCharType="end"/>
          </w:r>
        </w:sdtContent>
      </w:sdt>
      <w:r>
        <w:t>.</w:t>
      </w:r>
    </w:p>
    <w:p w:rsidR="007546FC" w:rsidRDefault="007546FC" w:rsidP="007F386D">
      <w:pPr>
        <w:pStyle w:val="Heading2"/>
      </w:pPr>
      <w:r>
        <w:t>Cultural and Situational Considerations</w:t>
      </w:r>
    </w:p>
    <w:p w:rsidR="007F386D" w:rsidRDefault="007546FC" w:rsidP="007546FC">
      <w:r>
        <w:t>It is, therefore notable that wider cultural and situational considerations may be</w:t>
      </w:r>
      <w:r w:rsidR="007F386D">
        <w:t xml:space="preserve"> implicated in such recognition:</w:t>
      </w:r>
    </w:p>
    <w:p w:rsidR="007546FC" w:rsidRDefault="007546FC" w:rsidP="007F386D">
      <w:pPr>
        <w:pStyle w:val="ListParagraph"/>
        <w:numPr>
          <w:ilvl w:val="0"/>
          <w:numId w:val="7"/>
        </w:numPr>
      </w:pPr>
      <w:r>
        <w:t>Global Representation: Promoting the attendance of members and participants from different regions of the world and with different cultural backgrounds for the purpose of broadening the spectrum of views represented at the meeting.</w:t>
      </w:r>
    </w:p>
    <w:p w:rsidR="007546FC" w:rsidRDefault="007546FC" w:rsidP="007F386D">
      <w:pPr>
        <w:pStyle w:val="ListParagraph"/>
        <w:numPr>
          <w:ilvl w:val="0"/>
          <w:numId w:val="7"/>
        </w:numPr>
      </w:pPr>
      <w:r>
        <w:t>Language Barriers: Organizing translation of a range of services and documents relevant to the occasion for the benefit of the delegation that speaks little English.</w:t>
      </w:r>
    </w:p>
    <w:p w:rsidR="007546FC" w:rsidRDefault="007546FC" w:rsidP="007F386D">
      <w:pPr>
        <w:pStyle w:val="ListParagraph"/>
        <w:numPr>
          <w:ilvl w:val="0"/>
          <w:numId w:val="7"/>
        </w:numPr>
      </w:pPr>
      <w:r>
        <w:t>Health Regulations: Pursuant to health standards of the country and other countries involved in the event to avoid people falling sick during the event</w:t>
      </w:r>
      <w:sdt>
        <w:sdtPr>
          <w:id w:val="-1597782900"/>
          <w:citation/>
        </w:sdtPr>
        <w:sdtEndPr/>
        <w:sdtContent>
          <w:r w:rsidR="00DD4ECF">
            <w:fldChar w:fldCharType="begin"/>
          </w:r>
          <w:r w:rsidR="00B62F4B">
            <w:rPr>
              <w:lang w:val="en-US"/>
            </w:rPr>
            <w:instrText xml:space="preserve"> CITATION Cas21 \l 1033 </w:instrText>
          </w:r>
          <w:r w:rsidR="00DD4ECF">
            <w:fldChar w:fldCharType="separate"/>
          </w:r>
          <w:r w:rsidR="00B62F4B" w:rsidRPr="00B62F4B">
            <w:rPr>
              <w:noProof/>
              <w:lang w:val="en-US"/>
            </w:rPr>
            <w:t>(Cassoobhoy, 2021)</w:t>
          </w:r>
          <w:r w:rsidR="00DD4ECF">
            <w:fldChar w:fldCharType="end"/>
          </w:r>
        </w:sdtContent>
      </w:sdt>
      <w:r>
        <w:t>.</w:t>
      </w:r>
    </w:p>
    <w:p w:rsidR="007546FC" w:rsidRDefault="007546FC" w:rsidP="007F386D">
      <w:pPr>
        <w:pStyle w:val="ListParagraph"/>
        <w:numPr>
          <w:ilvl w:val="0"/>
          <w:numId w:val="7"/>
        </w:numPr>
      </w:pPr>
      <w:r>
        <w:t>Political Stability: Looking at the political scenario and its possible repercussions for enclosure, participation is international travel.</w:t>
      </w:r>
    </w:p>
    <w:p w:rsidR="007546FC" w:rsidRDefault="007546FC" w:rsidP="007F386D">
      <w:pPr>
        <w:pStyle w:val="Heading2"/>
      </w:pPr>
      <w:r>
        <w:t>Importance of Considerations</w:t>
      </w:r>
    </w:p>
    <w:p w:rsidR="00E84882" w:rsidRDefault="007546FC" w:rsidP="007546FC">
      <w:r>
        <w:t>They play a very important role and need to be become a focus for the conference organizers. The global representation of the challenges and essays of digital health guarantees an inclusive view of problems and solutions of the field in other parts of the world. Breaking language barrier helps in the consideration of the disabled people in their activities. Adherence to health standards is important so that participants can have the assurance that they are in the right hands both legally and in terms of their health. It is also important to note, that understanding of the political stability assists in managing risks, and gradually excluding their impact, thus guaranteeing a hassle-free activity of the international delegations</w:t>
      </w:r>
      <w:sdt>
        <w:sdtPr>
          <w:id w:val="-1323425460"/>
          <w:citation/>
        </w:sdtPr>
        <w:sdtEndPr/>
        <w:sdtContent>
          <w:r w:rsidR="00DD4ECF">
            <w:fldChar w:fldCharType="begin"/>
          </w:r>
          <w:r w:rsidR="00B62F4B">
            <w:rPr>
              <w:lang w:val="en-US"/>
            </w:rPr>
            <w:instrText xml:space="preserve"> CITATION Jan20 \l 1033 </w:instrText>
          </w:r>
          <w:r w:rsidR="00DD4ECF">
            <w:fldChar w:fldCharType="separate"/>
          </w:r>
          <w:r w:rsidR="00B62F4B" w:rsidRPr="00B62F4B">
            <w:rPr>
              <w:noProof/>
              <w:lang w:val="en-US"/>
            </w:rPr>
            <w:t>(Janda, 2020)</w:t>
          </w:r>
          <w:r w:rsidR="00DD4ECF">
            <w:fldChar w:fldCharType="end"/>
          </w:r>
        </w:sdtContent>
      </w:sdt>
      <w:r>
        <w:t>.</w:t>
      </w:r>
    </w:p>
    <w:p w:rsidR="007546FC" w:rsidRDefault="007546FC" w:rsidP="007F386D">
      <w:pPr>
        <w:pStyle w:val="Heading2"/>
      </w:pPr>
      <w:r>
        <w:t>Delegate Experience</w:t>
      </w:r>
    </w:p>
    <w:p w:rsidR="007546FC" w:rsidRDefault="007546FC" w:rsidP="007546FC">
      <w:r>
        <w:t>The attendees will be able to interact with the speakers and other attendees in a range of specialized sessions, mini conferences, and numerous breaks. The conference shall adopt a fully-convoyed digital health technologies that is well represented through the exaggerated demonstration of the various experiences floor experiences. Participants will be able to explore how innovation in digital technologies is shaping and challenging health care and its future; participants will then be empowered with new information and connections in order to identify potential areas for collaboration in the future</w:t>
      </w:r>
      <w:sdt>
        <w:sdtPr>
          <w:id w:val="-1560019798"/>
          <w:citation/>
        </w:sdtPr>
        <w:sdtEndPr/>
        <w:sdtContent>
          <w:r w:rsidR="00DD4ECF">
            <w:fldChar w:fldCharType="begin"/>
          </w:r>
          <w:r w:rsidR="00B62F4B">
            <w:rPr>
              <w:lang w:val="en-US"/>
            </w:rPr>
            <w:instrText xml:space="preserve"> CITATION Cro20 \l 1033 </w:instrText>
          </w:r>
          <w:r w:rsidR="00DD4ECF">
            <w:fldChar w:fldCharType="separate"/>
          </w:r>
          <w:r w:rsidR="00B62F4B" w:rsidRPr="00B62F4B">
            <w:rPr>
              <w:noProof/>
              <w:lang w:val="en-US"/>
            </w:rPr>
            <w:t>(Croti, 2020)</w:t>
          </w:r>
          <w:r w:rsidR="00DD4ECF">
            <w:fldChar w:fldCharType="end"/>
          </w:r>
        </w:sdtContent>
      </w:sdt>
      <w:r>
        <w:t>.</w:t>
      </w:r>
    </w:p>
    <w:p w:rsidR="007546FC" w:rsidRDefault="007546FC" w:rsidP="007546FC"/>
    <w:p w:rsidR="007546FC" w:rsidRDefault="007546FC" w:rsidP="007F386D">
      <w:pPr>
        <w:pStyle w:val="Heading2"/>
      </w:pPr>
      <w:r>
        <w:t>Special Features:</w:t>
      </w:r>
    </w:p>
    <w:p w:rsidR="007546FC" w:rsidRDefault="007546FC" w:rsidP="007F386D">
      <w:pPr>
        <w:pStyle w:val="ListParagraph"/>
        <w:numPr>
          <w:ilvl w:val="0"/>
          <w:numId w:val="8"/>
        </w:numPr>
      </w:pPr>
      <w:r>
        <w:t>Innovation Showcase: Space where various solutions and innovations, created by startups and big enterprises, can be presented to the public as potential tools and services for improving digital health.</w:t>
      </w:r>
    </w:p>
    <w:p w:rsidR="007546FC" w:rsidRDefault="007546FC" w:rsidP="007F386D">
      <w:pPr>
        <w:pStyle w:val="ListParagraph"/>
        <w:numPr>
          <w:ilvl w:val="0"/>
          <w:numId w:val="8"/>
        </w:numPr>
      </w:pPr>
      <w:r>
        <w:t>Networking App: A formal networking application that will enable the delegates set appointments, share contact details, and post, and comment about event sessions in a social network-like platform before, during, and after the event.</w:t>
      </w:r>
    </w:p>
    <w:p w:rsidR="007546FC" w:rsidRDefault="007546FC" w:rsidP="007F386D">
      <w:pPr>
        <w:pStyle w:val="ListParagraph"/>
        <w:numPr>
          <w:ilvl w:val="0"/>
          <w:numId w:val="8"/>
        </w:numPr>
      </w:pPr>
      <w:r>
        <w:t>Virtual Participation: Some of the proposals include providing a live stream of some of the sessions, and offering networking during the virtual conference</w:t>
      </w:r>
      <w:sdt>
        <w:sdtPr>
          <w:id w:val="-429812542"/>
          <w:citation/>
        </w:sdtPr>
        <w:sdtEndPr/>
        <w:sdtContent>
          <w:r w:rsidR="00DD4ECF">
            <w:fldChar w:fldCharType="begin"/>
          </w:r>
          <w:r w:rsidR="00B62F4B">
            <w:rPr>
              <w:lang w:val="en-US"/>
            </w:rPr>
            <w:instrText xml:space="preserve"> CITATION Dam23 \l 1033 </w:instrText>
          </w:r>
          <w:r w:rsidR="00DD4ECF">
            <w:fldChar w:fldCharType="separate"/>
          </w:r>
          <w:r w:rsidR="00B62F4B" w:rsidRPr="00B62F4B">
            <w:rPr>
              <w:noProof/>
              <w:lang w:val="en-US"/>
            </w:rPr>
            <w:t>(Dams-O’Connor, 2023)</w:t>
          </w:r>
          <w:r w:rsidR="00DD4ECF">
            <w:fldChar w:fldCharType="end"/>
          </w:r>
        </w:sdtContent>
      </w:sdt>
      <w:r>
        <w:t>.</w:t>
      </w:r>
    </w:p>
    <w:p w:rsidR="007546FC" w:rsidRDefault="007546FC" w:rsidP="007F386D">
      <w:pPr>
        <w:pStyle w:val="Heading1"/>
      </w:pPr>
      <w:r>
        <w:t>Conclusion</w:t>
      </w:r>
    </w:p>
    <w:p w:rsidR="007546FC" w:rsidRDefault="007546FC" w:rsidP="007546FC">
      <w:r>
        <w:t>This unique global event has been aptly named ‘Health and Wellbeing in the Digital Age’ and it is pledged to take a sector forward progress in digital health solutions. By hosting the event in Geneva and assembling a large pool of stakeholders in the domain, the objective is to spur the generation of fresh ideas, new and innovative partnerships, as well as valid solutions for the betterment of the global health and wellbeing.</w:t>
      </w:r>
    </w:p>
    <w:p w:rsidR="00567F51" w:rsidRDefault="00567F51" w:rsidP="00567F51">
      <w:pPr>
        <w:pStyle w:val="Heading1"/>
      </w:pPr>
      <w:r>
        <w:t>References</w:t>
      </w:r>
    </w:p>
    <w:p w:rsidR="001F136B" w:rsidRPr="00567F51" w:rsidRDefault="00567F51" w:rsidP="00567F51">
      <w:pPr>
        <w:ind w:left="720" w:hanging="360"/>
      </w:pPr>
      <w:r w:rsidRPr="00567F51">
        <w:rPr>
          <w:lang w:val="en-US"/>
        </w:rPr>
        <w:t>Anashkina, A.A., Leberfa</w:t>
      </w:r>
      <w:r w:rsidR="001C3C65">
        <w:rPr>
          <w:lang w:val="en-US"/>
        </w:rPr>
        <w:t>rb, E.Y. and Orlov, Y.L. (2021)</w:t>
      </w:r>
      <w:r w:rsidRPr="00567F51">
        <w:rPr>
          <w:lang w:val="en-US"/>
        </w:rPr>
        <w:t xml:space="preserve"> Recent Trends in Cancer Genomics and Bioinformatics Tools Development. </w:t>
      </w:r>
      <w:r w:rsidRPr="00567F51">
        <w:rPr>
          <w:i/>
          <w:iCs/>
          <w:lang w:val="en-US"/>
        </w:rPr>
        <w:t>International Journal of Molecular Sciences</w:t>
      </w:r>
      <w:r w:rsidRPr="00567F51">
        <w:rPr>
          <w:lang w:val="en-US"/>
        </w:rPr>
        <w:t xml:space="preserve">, 22(22), p.12146. </w:t>
      </w:r>
    </w:p>
    <w:p w:rsidR="001F136B" w:rsidRPr="00567F51" w:rsidRDefault="001C3C65" w:rsidP="00567F51">
      <w:pPr>
        <w:ind w:left="720" w:hanging="360"/>
      </w:pPr>
      <w:r>
        <w:rPr>
          <w:lang w:val="en-US"/>
        </w:rPr>
        <w:t xml:space="preserve">Anderl, F. and Hißen, M. (2023) </w:t>
      </w:r>
      <w:r w:rsidR="00567F51" w:rsidRPr="00567F51">
        <w:rPr>
          <w:lang w:val="en-US"/>
        </w:rPr>
        <w:t xml:space="preserve">How trust is lost: the Food Systems Summit 2021 and the delegitimation of UN food governance. </w:t>
      </w:r>
      <w:r w:rsidR="00567F51" w:rsidRPr="00567F51">
        <w:rPr>
          <w:i/>
          <w:iCs/>
          <w:lang w:val="en-US"/>
        </w:rPr>
        <w:t>European Journal of International Relations</w:t>
      </w:r>
      <w:r>
        <w:rPr>
          <w:lang w:val="en-US"/>
        </w:rPr>
        <w:t>.</w:t>
      </w:r>
    </w:p>
    <w:p w:rsidR="001F136B" w:rsidRPr="00567F51" w:rsidRDefault="00567F51" w:rsidP="00567F51">
      <w:pPr>
        <w:ind w:left="720" w:hanging="360"/>
      </w:pPr>
      <w:r w:rsidRPr="00567F51">
        <w:rPr>
          <w:lang w:val="en-US"/>
        </w:rPr>
        <w:t>Cassoobhoy, A., Sardana, J.J., Benigas, S</w:t>
      </w:r>
      <w:r w:rsidR="001C3C65">
        <w:rPr>
          <w:lang w:val="en-US"/>
        </w:rPr>
        <w:t>., Tips, J. and Kees, A. (2021)</w:t>
      </w:r>
      <w:r w:rsidRPr="00567F51">
        <w:rPr>
          <w:lang w:val="en-US"/>
        </w:rPr>
        <w:t xml:space="preserve"> Building Health Equity: Action Steps From the American College of Lifestyle Medicine’s Health Disparities Solutions Summit (HDSS) 2020. </w:t>
      </w:r>
      <w:r w:rsidRPr="00567F51">
        <w:rPr>
          <w:i/>
          <w:iCs/>
          <w:lang w:val="en-US"/>
        </w:rPr>
        <w:t>American Journal of Lifestyle Medicine</w:t>
      </w:r>
      <w:r w:rsidR="001C3C65">
        <w:rPr>
          <w:lang w:val="en-US"/>
        </w:rPr>
        <w:t>, 16(1).</w:t>
      </w:r>
    </w:p>
    <w:p w:rsidR="001F136B" w:rsidRPr="00567F51" w:rsidRDefault="00567F51" w:rsidP="00567F51">
      <w:pPr>
        <w:ind w:left="720" w:hanging="360"/>
      </w:pPr>
      <w:r w:rsidRPr="00567F51">
        <w:rPr>
          <w:lang w:val="en-US"/>
        </w:rPr>
        <w:t>Croti, U., Cavalcante Junior, V., BiscegliJatene, M., Tsaki</w:t>
      </w:r>
      <w:r w:rsidR="001C3C65">
        <w:rPr>
          <w:lang w:val="en-US"/>
        </w:rPr>
        <w:t>stos, A. and Zheleva, B. (2020)</w:t>
      </w:r>
      <w:r w:rsidRPr="00567F51">
        <w:rPr>
          <w:lang w:val="en-US"/>
        </w:rPr>
        <w:t xml:space="preserve"> 50 Years of Children’s HeartLink and the Partnerships in Brazil. </w:t>
      </w:r>
      <w:r w:rsidRPr="00567F51">
        <w:rPr>
          <w:i/>
          <w:iCs/>
          <w:lang w:val="en-US"/>
        </w:rPr>
        <w:t>Brazilian Journal of Cardiovascular Surgery</w:t>
      </w:r>
      <w:r w:rsidRPr="00567F51">
        <w:rPr>
          <w:lang w:val="en-US"/>
        </w:rPr>
        <w:t>, 35(2). doi:https://doi.org/10.21470/1678-9741-2019-0426.</w:t>
      </w:r>
    </w:p>
    <w:p w:rsidR="001F136B" w:rsidRPr="00567F51" w:rsidRDefault="00567F51" w:rsidP="00567F51">
      <w:pPr>
        <w:ind w:left="720" w:hanging="360"/>
      </w:pPr>
      <w:r w:rsidRPr="00567F51">
        <w:rPr>
          <w:lang w:val="en-US"/>
        </w:rPr>
        <w:t>Dams-O’Connor, K., Awwad, H.O., Hoffman, S.W., Mary Jo Pugh, Johnson, V.E., C. Dirk Keene, McGavern, L., Mukherjee, P., Opanashuk, L.A., Umoh, N., Sopk</w:t>
      </w:r>
      <w:r w:rsidR="001C3C65">
        <w:rPr>
          <w:lang w:val="en-US"/>
        </w:rPr>
        <w:t>o, G. and Zetterberg, H. (2023)</w:t>
      </w:r>
      <w:r w:rsidRPr="00567F51">
        <w:rPr>
          <w:lang w:val="en-US"/>
        </w:rPr>
        <w:t xml:space="preserve"> Alzheimer’s Disease-Related Dementias Summit 2022: National research priorities for the investigation of post-traumatic brain injury Alzheimer’s Disease and Related Dementias. </w:t>
      </w:r>
    </w:p>
    <w:p w:rsidR="001F136B" w:rsidRPr="00567F51" w:rsidRDefault="00567F51" w:rsidP="00567F51">
      <w:pPr>
        <w:ind w:left="720" w:hanging="360"/>
      </w:pPr>
      <w:r w:rsidRPr="00567F51">
        <w:rPr>
          <w:lang w:val="en-US"/>
        </w:rPr>
        <w:t>Do</w:t>
      </w:r>
      <w:r w:rsidR="001C3C65">
        <w:rPr>
          <w:lang w:val="en-US"/>
        </w:rPr>
        <w:t>uglas, S. and Ansell, C. (2021)</w:t>
      </w:r>
      <w:r w:rsidRPr="00567F51">
        <w:rPr>
          <w:lang w:val="en-US"/>
        </w:rPr>
        <w:t xml:space="preserve"> Getting a Grip on the Performance of Collaborations: Examining Collaborative Performance Regimes and Collaborative Performance Summits. </w:t>
      </w:r>
      <w:r w:rsidRPr="00567F51">
        <w:rPr>
          <w:i/>
          <w:iCs/>
          <w:lang w:val="en-US"/>
        </w:rPr>
        <w:t>Public Administration Review</w:t>
      </w:r>
      <w:r w:rsidR="001C3C65">
        <w:rPr>
          <w:lang w:val="en-US"/>
        </w:rPr>
        <w:t>.</w:t>
      </w:r>
    </w:p>
    <w:p w:rsidR="001F136B" w:rsidRPr="00567F51" w:rsidRDefault="00567F51" w:rsidP="00567F51">
      <w:pPr>
        <w:ind w:left="720" w:hanging="360"/>
      </w:pPr>
      <w:r w:rsidRPr="00567F51">
        <w:rPr>
          <w:lang w:val="en-US"/>
        </w:rPr>
        <w:t>Fairman, J.A., Giordano, N.A., McCaule</w:t>
      </w:r>
      <w:r w:rsidR="001C3C65">
        <w:rPr>
          <w:lang w:val="en-US"/>
        </w:rPr>
        <w:t>y, K. and Villarruel, A. (2021)</w:t>
      </w:r>
      <w:r w:rsidRPr="00567F51">
        <w:rPr>
          <w:lang w:val="en-US"/>
        </w:rPr>
        <w:t xml:space="preserve"> Invitational summit: Re-envisioning research focused PHD programs of the future. </w:t>
      </w:r>
      <w:r w:rsidRPr="00567F51">
        <w:rPr>
          <w:i/>
          <w:iCs/>
          <w:lang w:val="en-US"/>
        </w:rPr>
        <w:t>Journal of Professional Nursing</w:t>
      </w:r>
      <w:r w:rsidRPr="00567F51">
        <w:rPr>
          <w:lang w:val="en-US"/>
        </w:rPr>
        <w:t>, 37(1), pp.221–227. doi:https://doi.org/10.1016/j.profnurs.2020.09.004.</w:t>
      </w:r>
    </w:p>
    <w:p w:rsidR="001F136B" w:rsidRPr="00567F51" w:rsidRDefault="00567F51" w:rsidP="00567F51">
      <w:pPr>
        <w:ind w:left="720" w:hanging="360"/>
      </w:pPr>
      <w:r w:rsidRPr="00567F51">
        <w:rPr>
          <w:lang w:val="en-US"/>
        </w:rPr>
        <w:t>Herman, D.C., Nelson, V.R., Montalvo, A.M., Myer, G.D., Brenner, J.S., DiFiori, J.P., Jayanthi, N.A., Marshall, S.W., Kliethermes, S.A., Beutler,</w:t>
      </w:r>
      <w:r w:rsidR="001C3C65">
        <w:rPr>
          <w:lang w:val="en-US"/>
        </w:rPr>
        <w:t xml:space="preserve"> A.I. and Tenforde, A.S. (2021)</w:t>
      </w:r>
      <w:r w:rsidRPr="00567F51">
        <w:rPr>
          <w:lang w:val="en-US"/>
        </w:rPr>
        <w:t xml:space="preserve"> Systematic Review of Health Organization Guidelines Following the AMSSM 2019 Youth Early Sport Specialization Summit. </w:t>
      </w:r>
      <w:r w:rsidRPr="00567F51">
        <w:rPr>
          <w:i/>
          <w:iCs/>
          <w:lang w:val="en-US"/>
        </w:rPr>
        <w:t>Sports Health: A Multidisciplinary Approach</w:t>
      </w:r>
      <w:r w:rsidR="001C3C65">
        <w:rPr>
          <w:lang w:val="en-US"/>
        </w:rPr>
        <w:t>.</w:t>
      </w:r>
      <w:r w:rsidRPr="00567F51">
        <w:rPr>
          <w:lang w:val="en-US"/>
        </w:rPr>
        <w:t>.</w:t>
      </w:r>
    </w:p>
    <w:p w:rsidR="001F136B" w:rsidRPr="00567F51" w:rsidRDefault="00567F51" w:rsidP="00567F51">
      <w:pPr>
        <w:ind w:left="720" w:hanging="360"/>
      </w:pPr>
      <w:r w:rsidRPr="00567F51">
        <w:rPr>
          <w:lang w:val="en-US"/>
        </w:rPr>
        <w:t>Hilty, D., Chan, S., Torous, J.</w:t>
      </w:r>
      <w:r w:rsidR="001C3C65">
        <w:rPr>
          <w:lang w:val="en-US"/>
        </w:rPr>
        <w:t>, Luo, J. and Boland, R. (2020)</w:t>
      </w:r>
      <w:r w:rsidRPr="00567F51">
        <w:rPr>
          <w:lang w:val="en-US"/>
        </w:rPr>
        <w:t xml:space="preserve"> A Framework for Competencies for the Use of Mobile Technologies in Psychiatry and Medicine: Scoping Review. </w:t>
      </w:r>
      <w:r w:rsidRPr="00567F51">
        <w:rPr>
          <w:i/>
          <w:iCs/>
          <w:lang w:val="en-US"/>
        </w:rPr>
        <w:t>JMIR mHealth and uHealth</w:t>
      </w:r>
      <w:r w:rsidRPr="00567F51">
        <w:rPr>
          <w:lang w:val="en-US"/>
        </w:rPr>
        <w:t>, 8(2), p.e12229.doi:https://doi.org/10.2196/12229.</w:t>
      </w:r>
    </w:p>
    <w:p w:rsidR="001F136B" w:rsidRPr="00567F51" w:rsidRDefault="00567F51" w:rsidP="00567F51">
      <w:pPr>
        <w:ind w:left="720" w:hanging="360"/>
      </w:pPr>
      <w:r w:rsidRPr="00567F51">
        <w:rPr>
          <w:lang w:val="en-US"/>
        </w:rPr>
        <w:t>Janda, M., Cust, A.E., Neale, R.E., Aitken, J.F., Baade, P.D., Green, A.C., Khosrotehrani, K., Mar, V., Soyer,</w:t>
      </w:r>
      <w:r w:rsidR="001C3C65">
        <w:rPr>
          <w:lang w:val="en-US"/>
        </w:rPr>
        <w:t xml:space="preserve"> H.P. and Whiteman, D.C. (2020)</w:t>
      </w:r>
      <w:r w:rsidRPr="00567F51">
        <w:rPr>
          <w:lang w:val="en-US"/>
        </w:rPr>
        <w:t xml:space="preserve"> Early detection of melanoma: a consensus report from the Australian Skin and Skin Cancer Research Centre Melanoma Screening Summit. </w:t>
      </w:r>
      <w:r w:rsidRPr="00567F51">
        <w:rPr>
          <w:i/>
          <w:iCs/>
          <w:lang w:val="en-US"/>
        </w:rPr>
        <w:t>Australian and New Zealand Journal of Public Health</w:t>
      </w:r>
      <w:r w:rsidRPr="00567F51">
        <w:rPr>
          <w:lang w:val="en-US"/>
        </w:rPr>
        <w:t>, 44(2), pp.111–115. doi:https://doi.org/10.1111/1753-6405.12972.</w:t>
      </w:r>
    </w:p>
    <w:p w:rsidR="001F136B" w:rsidRPr="00567F51" w:rsidRDefault="00567F51" w:rsidP="00567F51">
      <w:pPr>
        <w:ind w:left="720" w:hanging="360"/>
      </w:pPr>
      <w:r w:rsidRPr="00567F51">
        <w:rPr>
          <w:lang w:val="en-US"/>
        </w:rPr>
        <w:t xml:space="preserve">Kliethermes, S.A., Marshall, S.W., LaBella, C.R., Watson, A.M., Brenner, J.S., Nagle, K.B., Jayanthi, N., Brooks, M.A., Tenforde, A.S., Herman, D.C., DiFiori, J.P. and </w:t>
      </w:r>
      <w:r w:rsidR="001C3C65">
        <w:rPr>
          <w:lang w:val="en-US"/>
        </w:rPr>
        <w:t>Beutler, A.I. (2021)</w:t>
      </w:r>
      <w:r w:rsidRPr="00567F51">
        <w:rPr>
          <w:lang w:val="en-US"/>
        </w:rPr>
        <w:t xml:space="preserve"> Defining a research agenda for youth sport specialisation in the USA: the AMSSM Youth Early Sport Specialization Summit. </w:t>
      </w:r>
      <w:r w:rsidRPr="00567F51">
        <w:rPr>
          <w:i/>
          <w:iCs/>
          <w:lang w:val="en-US"/>
        </w:rPr>
        <w:t>British Journal of Sports Medicine</w:t>
      </w:r>
      <w:r w:rsidRPr="00567F51">
        <w:rPr>
          <w:lang w:val="en-US"/>
        </w:rPr>
        <w:t>, 55(3), pp.135–143.</w:t>
      </w:r>
    </w:p>
    <w:p w:rsidR="001F136B" w:rsidRPr="00567F51" w:rsidRDefault="00567F51" w:rsidP="00567F51">
      <w:pPr>
        <w:ind w:left="720" w:hanging="360"/>
      </w:pPr>
      <w:r w:rsidRPr="00567F51">
        <w:rPr>
          <w:lang w:val="en-US"/>
        </w:rPr>
        <w:t>Ortega, P., Diamond, L., Alemán, M.A., Fatás-Cabeza, J., Magaña, D., Pazo, V., Pérez, N., Girotti, J.A., Ríos, E. and Summi</w:t>
      </w:r>
      <w:r w:rsidR="001C3C65">
        <w:rPr>
          <w:lang w:val="en-US"/>
        </w:rPr>
        <w:t>t, on behalf of the M.S. (2020)</w:t>
      </w:r>
      <w:r w:rsidRPr="00567F51">
        <w:rPr>
          <w:lang w:val="en-US"/>
        </w:rPr>
        <w:t xml:space="preserve"> Medical Spanish Standardization in U.S. Medical Schools: Consensus Statement From a Multidisciplinary Expert Panel. </w:t>
      </w:r>
      <w:r w:rsidRPr="00567F51">
        <w:rPr>
          <w:i/>
          <w:iCs/>
          <w:lang w:val="en-US"/>
        </w:rPr>
        <w:t>Academic Medicine</w:t>
      </w:r>
      <w:r w:rsidRPr="00567F51">
        <w:rPr>
          <w:lang w:val="en-US"/>
        </w:rPr>
        <w:t>, [online] 95(1), pp.22–31.</w:t>
      </w:r>
    </w:p>
    <w:p w:rsidR="001F136B" w:rsidRPr="00567F51" w:rsidRDefault="00567F51" w:rsidP="00567F51">
      <w:pPr>
        <w:ind w:left="720" w:hanging="360"/>
      </w:pPr>
      <w:r w:rsidRPr="00567F51">
        <w:rPr>
          <w:lang w:val="en-US"/>
        </w:rPr>
        <w:t>Patel, P., Narayana, S., Summit, A., Gold, M., Morgan, Z.J., Pet</w:t>
      </w:r>
      <w:r w:rsidR="001C3C65">
        <w:rPr>
          <w:lang w:val="en-US"/>
        </w:rPr>
        <w:t>erson, L.E. and Paul, A. (2020)</w:t>
      </w:r>
      <w:r w:rsidRPr="00567F51">
        <w:rPr>
          <w:lang w:val="en-US"/>
        </w:rPr>
        <w:t xml:space="preserve"> Abortion Provision Among Recently Graduated Family Physicians. </w:t>
      </w:r>
      <w:r w:rsidRPr="00567F51">
        <w:rPr>
          <w:i/>
          <w:iCs/>
          <w:lang w:val="en-US"/>
        </w:rPr>
        <w:t>Family Medicine</w:t>
      </w:r>
      <w:r w:rsidR="001C3C65">
        <w:rPr>
          <w:lang w:val="en-US"/>
        </w:rPr>
        <w:t>, 52(10), pp.724–729.</w:t>
      </w:r>
    </w:p>
    <w:p w:rsidR="001F136B" w:rsidRPr="00567F51" w:rsidRDefault="00567F51" w:rsidP="00567F51">
      <w:pPr>
        <w:ind w:left="720" w:hanging="360"/>
      </w:pPr>
      <w:r w:rsidRPr="00567F51">
        <w:rPr>
          <w:lang w:val="en-US"/>
        </w:rPr>
        <w:t>Phil</w:t>
      </w:r>
      <w:r w:rsidR="001C3C65">
        <w:rPr>
          <w:lang w:val="en-US"/>
        </w:rPr>
        <w:t>ibert, I. and Blouin, D. (2020)</w:t>
      </w:r>
      <w:r w:rsidRPr="00567F51">
        <w:rPr>
          <w:lang w:val="en-US"/>
        </w:rPr>
        <w:t xml:space="preserve"> Responsiveness to societal needs in postgraduate medical education: the role of accreditation. </w:t>
      </w:r>
      <w:r w:rsidRPr="00567F51">
        <w:rPr>
          <w:i/>
          <w:iCs/>
          <w:lang w:val="en-US"/>
        </w:rPr>
        <w:t>BMC Medical Education</w:t>
      </w:r>
      <w:r w:rsidRPr="00567F51">
        <w:rPr>
          <w:lang w:val="en-US"/>
        </w:rPr>
        <w:t xml:space="preserve">, 20(S1). </w:t>
      </w:r>
    </w:p>
    <w:p w:rsidR="001F136B" w:rsidRPr="00567F51" w:rsidRDefault="00567F51" w:rsidP="00567F51">
      <w:pPr>
        <w:ind w:left="720" w:hanging="360"/>
      </w:pPr>
      <w:r w:rsidRPr="00567F51">
        <w:rPr>
          <w:lang w:val="en-US"/>
        </w:rPr>
        <w:t>Phillips, J.P., Ragazzoni, L., Burel, W.G., B</w:t>
      </w:r>
      <w:r w:rsidR="001C3C65">
        <w:rPr>
          <w:lang w:val="en-US"/>
        </w:rPr>
        <w:t>urkle, F.M. and Keim, M. (2020)</w:t>
      </w:r>
      <w:r w:rsidRPr="00567F51">
        <w:rPr>
          <w:lang w:val="en-US"/>
        </w:rPr>
        <w:t xml:space="preserve"> Report from the COVID-19 Virtual Summit, Disaster Experts Speak Out, March 31, 2020. </w:t>
      </w:r>
      <w:r w:rsidRPr="00567F51">
        <w:rPr>
          <w:i/>
          <w:iCs/>
          <w:lang w:val="en-US"/>
        </w:rPr>
        <w:t>Prehospital and Disaster Medicine</w:t>
      </w:r>
      <w:r w:rsidRPr="00567F51">
        <w:rPr>
          <w:lang w:val="en-US"/>
        </w:rPr>
        <w:t>, pp.1–6. doi:https://doi.org/10.1017/s1049023x20000552.</w:t>
      </w:r>
    </w:p>
    <w:p w:rsidR="001F136B" w:rsidRPr="00567F51" w:rsidRDefault="00567F51" w:rsidP="00567F51">
      <w:pPr>
        <w:ind w:left="720" w:hanging="360"/>
      </w:pPr>
      <w:r w:rsidRPr="00567F51">
        <w:rPr>
          <w:lang w:val="en-US"/>
        </w:rPr>
        <w:t>Thoma, B., Caretta-Weyer, H., Schumacher, D.J., Warm, E., Hall, A.K., Hamstra, S.J., Cavalcanti, R. and Chan, T.</w:t>
      </w:r>
      <w:r w:rsidR="001C3C65">
        <w:rPr>
          <w:lang w:val="en-US"/>
        </w:rPr>
        <w:t>M. (2021)</w:t>
      </w:r>
      <w:r w:rsidRPr="00567F51">
        <w:rPr>
          <w:lang w:val="en-US"/>
        </w:rPr>
        <w:t xml:space="preserve"> Becoming a deliberately developmental organization: Using competency based assessment data for organizational development. </w:t>
      </w:r>
      <w:r w:rsidRPr="00567F51">
        <w:rPr>
          <w:i/>
          <w:iCs/>
          <w:lang w:val="en-US"/>
        </w:rPr>
        <w:t>Medical Teacher</w:t>
      </w:r>
      <w:r w:rsidRPr="00567F51">
        <w:rPr>
          <w:lang w:val="en-US"/>
        </w:rPr>
        <w:t>, 43(7), pp.801–809. doi:https://doi.org/10.1080/0142159x.2021.1925100.</w:t>
      </w:r>
    </w:p>
    <w:p w:rsidR="001F136B" w:rsidRPr="00567F51" w:rsidRDefault="00567F51" w:rsidP="00567F51">
      <w:pPr>
        <w:ind w:left="720" w:hanging="360"/>
      </w:pPr>
      <w:r w:rsidRPr="00567F51">
        <w:rPr>
          <w:lang w:val="en-US"/>
        </w:rPr>
        <w:t>Wei</w:t>
      </w:r>
      <w:r w:rsidR="001C3C65">
        <w:rPr>
          <w:lang w:val="en-US"/>
        </w:rPr>
        <w:t>sz, G. and Nannestad, B. (2021)</w:t>
      </w:r>
      <w:r w:rsidRPr="00567F51">
        <w:rPr>
          <w:lang w:val="en-US"/>
        </w:rPr>
        <w:t xml:space="preserve"> The World Health Organization and the global standardization of medical training, a history. </w:t>
      </w:r>
      <w:r w:rsidRPr="00567F51">
        <w:rPr>
          <w:i/>
          <w:iCs/>
          <w:lang w:val="en-US"/>
        </w:rPr>
        <w:t>Globalization and Health</w:t>
      </w:r>
      <w:r w:rsidRPr="00567F51">
        <w:rPr>
          <w:lang w:val="en-US"/>
        </w:rPr>
        <w:t>, 17(1). doi:https://doi.org/10.1186/s12992-021-00733-0.</w:t>
      </w:r>
    </w:p>
    <w:p w:rsidR="001F136B" w:rsidRPr="00567F51" w:rsidRDefault="00567F51" w:rsidP="00567F51">
      <w:pPr>
        <w:ind w:left="720" w:hanging="360"/>
      </w:pPr>
      <w:r w:rsidRPr="00567F51">
        <w:rPr>
          <w:lang w:val="en-US"/>
        </w:rPr>
        <w:t>Winiger</w:t>
      </w:r>
      <w:r w:rsidR="001C3C65">
        <w:rPr>
          <w:lang w:val="en-US"/>
        </w:rPr>
        <w:t>, F. and Peng-Keller, S. (2021)</w:t>
      </w:r>
      <w:r w:rsidRPr="00567F51">
        <w:rPr>
          <w:lang w:val="en-US"/>
        </w:rPr>
        <w:t xml:space="preserve"> Religion and the World Health Organization: an evolving relationship. </w:t>
      </w:r>
      <w:r w:rsidRPr="00567F51">
        <w:rPr>
          <w:i/>
          <w:iCs/>
          <w:lang w:val="en-US"/>
        </w:rPr>
        <w:t>BMJ Global Health</w:t>
      </w:r>
      <w:r w:rsidR="001C3C65">
        <w:rPr>
          <w:lang w:val="en-US"/>
        </w:rPr>
        <w:t>.</w:t>
      </w:r>
    </w:p>
    <w:p w:rsidR="001F136B" w:rsidRPr="00567F51" w:rsidRDefault="00567F51" w:rsidP="00567F51">
      <w:pPr>
        <w:ind w:left="720" w:hanging="360"/>
      </w:pPr>
      <w:r w:rsidRPr="00567F51">
        <w:rPr>
          <w:lang w:val="en-US"/>
        </w:rPr>
        <w:t>Yiadom, M.Y.A.B., Napoli, A., Granovsky, M., Parker, R.B., Pilgrim, R., Pines, J.M., Schuur, J., Augustine, J., Jouriles, N. and Welch,</w:t>
      </w:r>
      <w:r w:rsidR="001C3C65">
        <w:rPr>
          <w:lang w:val="en-US"/>
        </w:rPr>
        <w:t xml:space="preserve"> S. (2020)</w:t>
      </w:r>
      <w:r w:rsidRPr="00567F51">
        <w:rPr>
          <w:lang w:val="en-US"/>
        </w:rPr>
        <w:t xml:space="preserve"> Managing and Measuring Emergency Department Care: Results of the Fourth Emergency Department Benchmarking Definitions Summit. </w:t>
      </w:r>
      <w:r w:rsidRPr="00567F51">
        <w:rPr>
          <w:i/>
          <w:iCs/>
          <w:lang w:val="en-US"/>
        </w:rPr>
        <w:t>Academic Emergency Medicine</w:t>
      </w:r>
      <w:r w:rsidR="001C3C65">
        <w:rPr>
          <w:lang w:val="en-US"/>
        </w:rPr>
        <w:t>, 27(7), pp.600–611.</w:t>
      </w:r>
    </w:p>
    <w:p w:rsidR="001F136B" w:rsidRPr="00567F51" w:rsidRDefault="00567F51" w:rsidP="00567F51">
      <w:pPr>
        <w:ind w:left="720" w:hanging="360"/>
      </w:pPr>
      <w:r w:rsidRPr="00567F51">
        <w:rPr>
          <w:lang w:val="en-US"/>
        </w:rPr>
        <w:t>Ziporyn, T.D., Owens, J.A., Wahlstrom, K.L., Wolfson, A.R., Troxel, W.M., Saletin, J.M., Rubens, S.L., Pelayo, R., Payne, P.A., Hale, L., Keller</w:t>
      </w:r>
      <w:r w:rsidR="001C3C65">
        <w:rPr>
          <w:lang w:val="en-US"/>
        </w:rPr>
        <w:t>, I. and Carskadon, M.A. (2022)</w:t>
      </w:r>
      <w:r w:rsidRPr="00567F51">
        <w:rPr>
          <w:lang w:val="en-US"/>
        </w:rPr>
        <w:t xml:space="preserve"> Adolescent sleep health and school start times: Setting the research agenda for California and beyond. A research summit summary. </w:t>
      </w:r>
      <w:r w:rsidRPr="00567F51">
        <w:rPr>
          <w:i/>
          <w:iCs/>
          <w:lang w:val="en-US"/>
        </w:rPr>
        <w:t>Sleep Health</w:t>
      </w:r>
      <w:r w:rsidRPr="00567F51">
        <w:rPr>
          <w:lang w:val="en-US"/>
        </w:rPr>
        <w:t xml:space="preserve">, 8(1), pp.11–22. </w:t>
      </w:r>
    </w:p>
    <w:p w:rsidR="00567F51" w:rsidRDefault="00567F51" w:rsidP="007546FC"/>
    <w:sectPr w:rsidR="00567F51" w:rsidSect="00DD4E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975BC"/>
    <w:multiLevelType w:val="hybridMultilevel"/>
    <w:tmpl w:val="1BEA2B6E"/>
    <w:lvl w:ilvl="0" w:tplc="65E8CA46">
      <w:start w:val="1"/>
      <w:numFmt w:val="bullet"/>
      <w:lvlText w:val="●"/>
      <w:lvlJc w:val="left"/>
      <w:pPr>
        <w:tabs>
          <w:tab w:val="num" w:pos="720"/>
        </w:tabs>
        <w:ind w:left="720" w:hanging="360"/>
      </w:pPr>
      <w:rPr>
        <w:rFonts w:ascii="Times New Roman" w:hAnsi="Times New Roman" w:hint="default"/>
      </w:rPr>
    </w:lvl>
    <w:lvl w:ilvl="1" w:tplc="68F2AD7A" w:tentative="1">
      <w:start w:val="1"/>
      <w:numFmt w:val="bullet"/>
      <w:lvlText w:val="●"/>
      <w:lvlJc w:val="left"/>
      <w:pPr>
        <w:tabs>
          <w:tab w:val="num" w:pos="1440"/>
        </w:tabs>
        <w:ind w:left="1440" w:hanging="360"/>
      </w:pPr>
      <w:rPr>
        <w:rFonts w:ascii="Times New Roman" w:hAnsi="Times New Roman" w:hint="default"/>
      </w:rPr>
    </w:lvl>
    <w:lvl w:ilvl="2" w:tplc="D39244BC" w:tentative="1">
      <w:start w:val="1"/>
      <w:numFmt w:val="bullet"/>
      <w:lvlText w:val="●"/>
      <w:lvlJc w:val="left"/>
      <w:pPr>
        <w:tabs>
          <w:tab w:val="num" w:pos="2160"/>
        </w:tabs>
        <w:ind w:left="2160" w:hanging="360"/>
      </w:pPr>
      <w:rPr>
        <w:rFonts w:ascii="Times New Roman" w:hAnsi="Times New Roman" w:hint="default"/>
      </w:rPr>
    </w:lvl>
    <w:lvl w:ilvl="3" w:tplc="36805E26" w:tentative="1">
      <w:start w:val="1"/>
      <w:numFmt w:val="bullet"/>
      <w:lvlText w:val="●"/>
      <w:lvlJc w:val="left"/>
      <w:pPr>
        <w:tabs>
          <w:tab w:val="num" w:pos="2880"/>
        </w:tabs>
        <w:ind w:left="2880" w:hanging="360"/>
      </w:pPr>
      <w:rPr>
        <w:rFonts w:ascii="Times New Roman" w:hAnsi="Times New Roman" w:hint="default"/>
      </w:rPr>
    </w:lvl>
    <w:lvl w:ilvl="4" w:tplc="4C548EA0" w:tentative="1">
      <w:start w:val="1"/>
      <w:numFmt w:val="bullet"/>
      <w:lvlText w:val="●"/>
      <w:lvlJc w:val="left"/>
      <w:pPr>
        <w:tabs>
          <w:tab w:val="num" w:pos="3600"/>
        </w:tabs>
        <w:ind w:left="3600" w:hanging="360"/>
      </w:pPr>
      <w:rPr>
        <w:rFonts w:ascii="Times New Roman" w:hAnsi="Times New Roman" w:hint="default"/>
      </w:rPr>
    </w:lvl>
    <w:lvl w:ilvl="5" w:tplc="20C47730" w:tentative="1">
      <w:start w:val="1"/>
      <w:numFmt w:val="bullet"/>
      <w:lvlText w:val="●"/>
      <w:lvlJc w:val="left"/>
      <w:pPr>
        <w:tabs>
          <w:tab w:val="num" w:pos="4320"/>
        </w:tabs>
        <w:ind w:left="4320" w:hanging="360"/>
      </w:pPr>
      <w:rPr>
        <w:rFonts w:ascii="Times New Roman" w:hAnsi="Times New Roman" w:hint="default"/>
      </w:rPr>
    </w:lvl>
    <w:lvl w:ilvl="6" w:tplc="11789BFA" w:tentative="1">
      <w:start w:val="1"/>
      <w:numFmt w:val="bullet"/>
      <w:lvlText w:val="●"/>
      <w:lvlJc w:val="left"/>
      <w:pPr>
        <w:tabs>
          <w:tab w:val="num" w:pos="5040"/>
        </w:tabs>
        <w:ind w:left="5040" w:hanging="360"/>
      </w:pPr>
      <w:rPr>
        <w:rFonts w:ascii="Times New Roman" w:hAnsi="Times New Roman" w:hint="default"/>
      </w:rPr>
    </w:lvl>
    <w:lvl w:ilvl="7" w:tplc="6B4A843A" w:tentative="1">
      <w:start w:val="1"/>
      <w:numFmt w:val="bullet"/>
      <w:lvlText w:val="●"/>
      <w:lvlJc w:val="left"/>
      <w:pPr>
        <w:tabs>
          <w:tab w:val="num" w:pos="5760"/>
        </w:tabs>
        <w:ind w:left="5760" w:hanging="360"/>
      </w:pPr>
      <w:rPr>
        <w:rFonts w:ascii="Times New Roman" w:hAnsi="Times New Roman" w:hint="default"/>
      </w:rPr>
    </w:lvl>
    <w:lvl w:ilvl="8" w:tplc="2340A110"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D8819C2"/>
    <w:multiLevelType w:val="hybridMultilevel"/>
    <w:tmpl w:val="A258A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8D5B37"/>
    <w:multiLevelType w:val="hybridMultilevel"/>
    <w:tmpl w:val="4BD0E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BF59E9"/>
    <w:multiLevelType w:val="hybridMultilevel"/>
    <w:tmpl w:val="0C740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9538D5"/>
    <w:multiLevelType w:val="hybridMultilevel"/>
    <w:tmpl w:val="17BA8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9951B5"/>
    <w:multiLevelType w:val="hybridMultilevel"/>
    <w:tmpl w:val="83968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744DB9"/>
    <w:multiLevelType w:val="hybridMultilevel"/>
    <w:tmpl w:val="E5DE0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310AD5"/>
    <w:multiLevelType w:val="hybridMultilevel"/>
    <w:tmpl w:val="68727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7936C1"/>
    <w:multiLevelType w:val="hybridMultilevel"/>
    <w:tmpl w:val="9DA2D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48731B"/>
    <w:multiLevelType w:val="hybridMultilevel"/>
    <w:tmpl w:val="5E5ED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DF5AF7"/>
    <w:multiLevelType w:val="hybridMultilevel"/>
    <w:tmpl w:val="F99ED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48592330">
    <w:abstractNumId w:val="3"/>
  </w:num>
  <w:num w:numId="2" w16cid:durableId="265426777">
    <w:abstractNumId w:val="4"/>
  </w:num>
  <w:num w:numId="3" w16cid:durableId="1508785768">
    <w:abstractNumId w:val="7"/>
  </w:num>
  <w:num w:numId="4" w16cid:durableId="1938059727">
    <w:abstractNumId w:val="8"/>
  </w:num>
  <w:num w:numId="5" w16cid:durableId="915630048">
    <w:abstractNumId w:val="9"/>
  </w:num>
  <w:num w:numId="6" w16cid:durableId="130446705">
    <w:abstractNumId w:val="1"/>
  </w:num>
  <w:num w:numId="7" w16cid:durableId="503857047">
    <w:abstractNumId w:val="6"/>
  </w:num>
  <w:num w:numId="8" w16cid:durableId="443035615">
    <w:abstractNumId w:val="2"/>
  </w:num>
  <w:num w:numId="9" w16cid:durableId="1316379822">
    <w:abstractNumId w:val="5"/>
  </w:num>
  <w:num w:numId="10" w16cid:durableId="252520505">
    <w:abstractNumId w:val="10"/>
  </w:num>
  <w:num w:numId="11" w16cid:durableId="5545861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6FC"/>
    <w:rsid w:val="001C3C65"/>
    <w:rsid w:val="001D6EBE"/>
    <w:rsid w:val="001F136B"/>
    <w:rsid w:val="00567F51"/>
    <w:rsid w:val="007546FC"/>
    <w:rsid w:val="007F386D"/>
    <w:rsid w:val="00AC27E6"/>
    <w:rsid w:val="00B62F4B"/>
    <w:rsid w:val="00BA21B0"/>
    <w:rsid w:val="00DD4ECF"/>
    <w:rsid w:val="00E8488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DE33B2"/>
  <w15:docId w15:val="{66433F17-9E5B-3649-B622-DB810E31C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6F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546FC"/>
    <w:pPr>
      <w:keepNext/>
      <w:keepLines/>
      <w:spacing w:before="240" w:after="0"/>
      <w:outlineLvl w:val="0"/>
    </w:pPr>
    <w:rPr>
      <w:rFonts w:eastAsiaTheme="majorEastAsia" w:cstheme="majorBidi"/>
      <w:b/>
      <w:color w:val="44546A" w:themeColor="text2"/>
      <w:sz w:val="28"/>
      <w:szCs w:val="32"/>
    </w:rPr>
  </w:style>
  <w:style w:type="paragraph" w:styleId="Heading2">
    <w:name w:val="heading 2"/>
    <w:basedOn w:val="Normal"/>
    <w:next w:val="Normal"/>
    <w:link w:val="Heading2Char"/>
    <w:uiPriority w:val="9"/>
    <w:unhideWhenUsed/>
    <w:qFormat/>
    <w:rsid w:val="007546FC"/>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7F386D"/>
    <w:pPr>
      <w:keepNext/>
      <w:keepLines/>
      <w:spacing w:before="40" w:after="0"/>
      <w:outlineLvl w:val="2"/>
    </w:pPr>
    <w:rPr>
      <w:rFonts w:eastAsiaTheme="majorEastAsia"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46FC"/>
    <w:rPr>
      <w:rFonts w:ascii="Times New Roman" w:eastAsiaTheme="majorEastAsia" w:hAnsi="Times New Roman" w:cstheme="majorBidi"/>
      <w:b/>
      <w:color w:val="44546A" w:themeColor="text2"/>
      <w:sz w:val="28"/>
      <w:szCs w:val="32"/>
    </w:rPr>
  </w:style>
  <w:style w:type="character" w:customStyle="1" w:styleId="Heading2Char">
    <w:name w:val="Heading 2 Char"/>
    <w:basedOn w:val="DefaultParagraphFont"/>
    <w:link w:val="Heading2"/>
    <w:uiPriority w:val="9"/>
    <w:rsid w:val="007546FC"/>
    <w:rPr>
      <w:rFonts w:ascii="Times New Roman" w:eastAsiaTheme="majorEastAsia" w:hAnsi="Times New Roman" w:cstheme="majorBidi"/>
      <w:b/>
      <w:sz w:val="24"/>
      <w:szCs w:val="26"/>
    </w:rPr>
  </w:style>
  <w:style w:type="paragraph" w:styleId="ListParagraph">
    <w:name w:val="List Paragraph"/>
    <w:basedOn w:val="Normal"/>
    <w:uiPriority w:val="34"/>
    <w:qFormat/>
    <w:rsid w:val="007546FC"/>
    <w:pPr>
      <w:ind w:left="720"/>
      <w:contextualSpacing/>
    </w:pPr>
  </w:style>
  <w:style w:type="character" w:customStyle="1" w:styleId="Heading3Char">
    <w:name w:val="Heading 3 Char"/>
    <w:basedOn w:val="DefaultParagraphFont"/>
    <w:link w:val="Heading3"/>
    <w:uiPriority w:val="9"/>
    <w:rsid w:val="007F386D"/>
    <w:rPr>
      <w:rFonts w:ascii="Times New Roman" w:eastAsiaTheme="majorEastAsia" w:hAnsi="Times New Roman" w:cstheme="majorBidi"/>
      <w:b/>
      <w:i/>
      <w:sz w:val="24"/>
      <w:szCs w:val="24"/>
    </w:rPr>
  </w:style>
  <w:style w:type="paragraph" w:styleId="TOCHeading">
    <w:name w:val="TOC Heading"/>
    <w:basedOn w:val="Heading1"/>
    <w:next w:val="Normal"/>
    <w:uiPriority w:val="39"/>
    <w:unhideWhenUsed/>
    <w:qFormat/>
    <w:rsid w:val="00567F51"/>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567F51"/>
    <w:pPr>
      <w:spacing w:after="100"/>
    </w:pPr>
  </w:style>
  <w:style w:type="paragraph" w:styleId="TOC2">
    <w:name w:val="toc 2"/>
    <w:basedOn w:val="Normal"/>
    <w:next w:val="Normal"/>
    <w:autoRedefine/>
    <w:uiPriority w:val="39"/>
    <w:unhideWhenUsed/>
    <w:rsid w:val="00567F51"/>
    <w:pPr>
      <w:spacing w:after="100"/>
      <w:ind w:left="240"/>
    </w:pPr>
  </w:style>
  <w:style w:type="paragraph" w:styleId="TOC3">
    <w:name w:val="toc 3"/>
    <w:basedOn w:val="Normal"/>
    <w:next w:val="Normal"/>
    <w:autoRedefine/>
    <w:uiPriority w:val="39"/>
    <w:unhideWhenUsed/>
    <w:rsid w:val="00567F51"/>
    <w:pPr>
      <w:spacing w:after="100"/>
      <w:ind w:left="480"/>
    </w:pPr>
  </w:style>
  <w:style w:type="character" w:styleId="Hyperlink">
    <w:name w:val="Hyperlink"/>
    <w:basedOn w:val="DefaultParagraphFont"/>
    <w:uiPriority w:val="99"/>
    <w:unhideWhenUsed/>
    <w:rsid w:val="00567F51"/>
    <w:rPr>
      <w:color w:val="0563C1" w:themeColor="hyperlink"/>
      <w:u w:val="single"/>
    </w:rPr>
  </w:style>
  <w:style w:type="paragraph" w:styleId="BalloonText">
    <w:name w:val="Balloon Text"/>
    <w:basedOn w:val="Normal"/>
    <w:link w:val="BalloonTextChar"/>
    <w:uiPriority w:val="99"/>
    <w:semiHidden/>
    <w:unhideWhenUsed/>
    <w:rsid w:val="00B62F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2F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490779">
      <w:bodyDiv w:val="1"/>
      <w:marLeft w:val="0"/>
      <w:marRight w:val="0"/>
      <w:marTop w:val="0"/>
      <w:marBottom w:val="0"/>
      <w:divBdr>
        <w:top w:val="none" w:sz="0" w:space="0" w:color="auto"/>
        <w:left w:val="none" w:sz="0" w:space="0" w:color="auto"/>
        <w:bottom w:val="none" w:sz="0" w:space="0" w:color="auto"/>
        <w:right w:val="none" w:sz="0" w:space="0" w:color="auto"/>
      </w:divBdr>
      <w:divsChild>
        <w:div w:id="1152715562">
          <w:marLeft w:val="274"/>
          <w:marRight w:val="0"/>
          <w:marTop w:val="0"/>
          <w:marBottom w:val="0"/>
          <w:divBdr>
            <w:top w:val="none" w:sz="0" w:space="0" w:color="auto"/>
            <w:left w:val="none" w:sz="0" w:space="0" w:color="auto"/>
            <w:bottom w:val="none" w:sz="0" w:space="0" w:color="auto"/>
            <w:right w:val="none" w:sz="0" w:space="0" w:color="auto"/>
          </w:divBdr>
        </w:div>
        <w:div w:id="181483342">
          <w:marLeft w:val="274"/>
          <w:marRight w:val="0"/>
          <w:marTop w:val="0"/>
          <w:marBottom w:val="0"/>
          <w:divBdr>
            <w:top w:val="none" w:sz="0" w:space="0" w:color="auto"/>
            <w:left w:val="none" w:sz="0" w:space="0" w:color="auto"/>
            <w:bottom w:val="none" w:sz="0" w:space="0" w:color="auto"/>
            <w:right w:val="none" w:sz="0" w:space="0" w:color="auto"/>
          </w:divBdr>
        </w:div>
        <w:div w:id="522590854">
          <w:marLeft w:val="274"/>
          <w:marRight w:val="0"/>
          <w:marTop w:val="0"/>
          <w:marBottom w:val="0"/>
          <w:divBdr>
            <w:top w:val="none" w:sz="0" w:space="0" w:color="auto"/>
            <w:left w:val="none" w:sz="0" w:space="0" w:color="auto"/>
            <w:bottom w:val="none" w:sz="0" w:space="0" w:color="auto"/>
            <w:right w:val="none" w:sz="0" w:space="0" w:color="auto"/>
          </w:divBdr>
        </w:div>
        <w:div w:id="217254261">
          <w:marLeft w:val="274"/>
          <w:marRight w:val="0"/>
          <w:marTop w:val="0"/>
          <w:marBottom w:val="0"/>
          <w:divBdr>
            <w:top w:val="none" w:sz="0" w:space="0" w:color="auto"/>
            <w:left w:val="none" w:sz="0" w:space="0" w:color="auto"/>
            <w:bottom w:val="none" w:sz="0" w:space="0" w:color="auto"/>
            <w:right w:val="none" w:sz="0" w:space="0" w:color="auto"/>
          </w:divBdr>
        </w:div>
        <w:div w:id="1552810658">
          <w:marLeft w:val="274"/>
          <w:marRight w:val="0"/>
          <w:marTop w:val="0"/>
          <w:marBottom w:val="0"/>
          <w:divBdr>
            <w:top w:val="none" w:sz="0" w:space="0" w:color="auto"/>
            <w:left w:val="none" w:sz="0" w:space="0" w:color="auto"/>
            <w:bottom w:val="none" w:sz="0" w:space="0" w:color="auto"/>
            <w:right w:val="none" w:sz="0" w:space="0" w:color="auto"/>
          </w:divBdr>
        </w:div>
        <w:div w:id="1857500542">
          <w:marLeft w:val="274"/>
          <w:marRight w:val="0"/>
          <w:marTop w:val="0"/>
          <w:marBottom w:val="0"/>
          <w:divBdr>
            <w:top w:val="none" w:sz="0" w:space="0" w:color="auto"/>
            <w:left w:val="none" w:sz="0" w:space="0" w:color="auto"/>
            <w:bottom w:val="none" w:sz="0" w:space="0" w:color="auto"/>
            <w:right w:val="none" w:sz="0" w:space="0" w:color="auto"/>
          </w:divBdr>
        </w:div>
        <w:div w:id="654801152">
          <w:marLeft w:val="274"/>
          <w:marRight w:val="0"/>
          <w:marTop w:val="0"/>
          <w:marBottom w:val="0"/>
          <w:divBdr>
            <w:top w:val="none" w:sz="0" w:space="0" w:color="auto"/>
            <w:left w:val="none" w:sz="0" w:space="0" w:color="auto"/>
            <w:bottom w:val="none" w:sz="0" w:space="0" w:color="auto"/>
            <w:right w:val="none" w:sz="0" w:space="0" w:color="auto"/>
          </w:divBdr>
        </w:div>
        <w:div w:id="1098216697">
          <w:marLeft w:val="274"/>
          <w:marRight w:val="0"/>
          <w:marTop w:val="0"/>
          <w:marBottom w:val="0"/>
          <w:divBdr>
            <w:top w:val="none" w:sz="0" w:space="0" w:color="auto"/>
            <w:left w:val="none" w:sz="0" w:space="0" w:color="auto"/>
            <w:bottom w:val="none" w:sz="0" w:space="0" w:color="auto"/>
            <w:right w:val="none" w:sz="0" w:space="0" w:color="auto"/>
          </w:divBdr>
        </w:div>
        <w:div w:id="662972079">
          <w:marLeft w:val="274"/>
          <w:marRight w:val="0"/>
          <w:marTop w:val="0"/>
          <w:marBottom w:val="0"/>
          <w:divBdr>
            <w:top w:val="none" w:sz="0" w:space="0" w:color="auto"/>
            <w:left w:val="none" w:sz="0" w:space="0" w:color="auto"/>
            <w:bottom w:val="none" w:sz="0" w:space="0" w:color="auto"/>
            <w:right w:val="none" w:sz="0" w:space="0" w:color="auto"/>
          </w:divBdr>
        </w:div>
        <w:div w:id="2093500553">
          <w:marLeft w:val="274"/>
          <w:marRight w:val="0"/>
          <w:marTop w:val="0"/>
          <w:marBottom w:val="0"/>
          <w:divBdr>
            <w:top w:val="none" w:sz="0" w:space="0" w:color="auto"/>
            <w:left w:val="none" w:sz="0" w:space="0" w:color="auto"/>
            <w:bottom w:val="none" w:sz="0" w:space="0" w:color="auto"/>
            <w:right w:val="none" w:sz="0" w:space="0" w:color="auto"/>
          </w:divBdr>
        </w:div>
        <w:div w:id="680089497">
          <w:marLeft w:val="274"/>
          <w:marRight w:val="0"/>
          <w:marTop w:val="0"/>
          <w:marBottom w:val="0"/>
          <w:divBdr>
            <w:top w:val="none" w:sz="0" w:space="0" w:color="auto"/>
            <w:left w:val="none" w:sz="0" w:space="0" w:color="auto"/>
            <w:bottom w:val="none" w:sz="0" w:space="0" w:color="auto"/>
            <w:right w:val="none" w:sz="0" w:space="0" w:color="auto"/>
          </w:divBdr>
        </w:div>
        <w:div w:id="1778866042">
          <w:marLeft w:val="274"/>
          <w:marRight w:val="0"/>
          <w:marTop w:val="0"/>
          <w:marBottom w:val="0"/>
          <w:divBdr>
            <w:top w:val="none" w:sz="0" w:space="0" w:color="auto"/>
            <w:left w:val="none" w:sz="0" w:space="0" w:color="auto"/>
            <w:bottom w:val="none" w:sz="0" w:space="0" w:color="auto"/>
            <w:right w:val="none" w:sz="0" w:space="0" w:color="auto"/>
          </w:divBdr>
        </w:div>
        <w:div w:id="1085763457">
          <w:marLeft w:val="274"/>
          <w:marRight w:val="0"/>
          <w:marTop w:val="0"/>
          <w:marBottom w:val="0"/>
          <w:divBdr>
            <w:top w:val="none" w:sz="0" w:space="0" w:color="auto"/>
            <w:left w:val="none" w:sz="0" w:space="0" w:color="auto"/>
            <w:bottom w:val="none" w:sz="0" w:space="0" w:color="auto"/>
            <w:right w:val="none" w:sz="0" w:space="0" w:color="auto"/>
          </w:divBdr>
        </w:div>
        <w:div w:id="1033337468">
          <w:marLeft w:val="274"/>
          <w:marRight w:val="0"/>
          <w:marTop w:val="0"/>
          <w:marBottom w:val="0"/>
          <w:divBdr>
            <w:top w:val="none" w:sz="0" w:space="0" w:color="auto"/>
            <w:left w:val="none" w:sz="0" w:space="0" w:color="auto"/>
            <w:bottom w:val="none" w:sz="0" w:space="0" w:color="auto"/>
            <w:right w:val="none" w:sz="0" w:space="0" w:color="auto"/>
          </w:divBdr>
        </w:div>
        <w:div w:id="566039047">
          <w:marLeft w:val="274"/>
          <w:marRight w:val="0"/>
          <w:marTop w:val="0"/>
          <w:marBottom w:val="0"/>
          <w:divBdr>
            <w:top w:val="none" w:sz="0" w:space="0" w:color="auto"/>
            <w:left w:val="none" w:sz="0" w:space="0" w:color="auto"/>
            <w:bottom w:val="none" w:sz="0" w:space="0" w:color="auto"/>
            <w:right w:val="none" w:sz="0" w:space="0" w:color="auto"/>
          </w:divBdr>
        </w:div>
        <w:div w:id="1240942938">
          <w:marLeft w:val="274"/>
          <w:marRight w:val="0"/>
          <w:marTop w:val="0"/>
          <w:marBottom w:val="0"/>
          <w:divBdr>
            <w:top w:val="none" w:sz="0" w:space="0" w:color="auto"/>
            <w:left w:val="none" w:sz="0" w:space="0" w:color="auto"/>
            <w:bottom w:val="none" w:sz="0" w:space="0" w:color="auto"/>
            <w:right w:val="none" w:sz="0" w:space="0" w:color="auto"/>
          </w:divBdr>
        </w:div>
        <w:div w:id="248739691">
          <w:marLeft w:val="274"/>
          <w:marRight w:val="0"/>
          <w:marTop w:val="0"/>
          <w:marBottom w:val="0"/>
          <w:divBdr>
            <w:top w:val="none" w:sz="0" w:space="0" w:color="auto"/>
            <w:left w:val="none" w:sz="0" w:space="0" w:color="auto"/>
            <w:bottom w:val="none" w:sz="0" w:space="0" w:color="auto"/>
            <w:right w:val="none" w:sz="0" w:space="0" w:color="auto"/>
          </w:divBdr>
        </w:div>
        <w:div w:id="428543256">
          <w:marLeft w:val="274"/>
          <w:marRight w:val="0"/>
          <w:marTop w:val="0"/>
          <w:marBottom w:val="0"/>
          <w:divBdr>
            <w:top w:val="none" w:sz="0" w:space="0" w:color="auto"/>
            <w:left w:val="none" w:sz="0" w:space="0" w:color="auto"/>
            <w:bottom w:val="none" w:sz="0" w:space="0" w:color="auto"/>
            <w:right w:val="none" w:sz="0" w:space="0" w:color="auto"/>
          </w:divBdr>
        </w:div>
        <w:div w:id="342171970">
          <w:marLeft w:val="274"/>
          <w:marRight w:val="0"/>
          <w:marTop w:val="0"/>
          <w:marBottom w:val="0"/>
          <w:divBdr>
            <w:top w:val="none" w:sz="0" w:space="0" w:color="auto"/>
            <w:left w:val="none" w:sz="0" w:space="0" w:color="auto"/>
            <w:bottom w:val="none" w:sz="0" w:space="0" w:color="auto"/>
            <w:right w:val="none" w:sz="0" w:space="0" w:color="auto"/>
          </w:divBdr>
        </w:div>
        <w:div w:id="454642260">
          <w:marLeft w:val="274"/>
          <w:marRight w:val="0"/>
          <w:marTop w:val="0"/>
          <w:marBottom w:val="0"/>
          <w:divBdr>
            <w:top w:val="none" w:sz="0" w:space="0" w:color="auto"/>
            <w:left w:val="none" w:sz="0" w:space="0" w:color="auto"/>
            <w:bottom w:val="none" w:sz="0" w:space="0" w:color="auto"/>
            <w:right w:val="none" w:sz="0" w:space="0" w:color="auto"/>
          </w:divBdr>
        </w:div>
      </w:divsChild>
    </w:div>
    <w:div w:id="214364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Ana21</b:Tag>
    <b:SourceType>JournalArticle</b:SourceType>
    <b:Guid>{01940432-BA72-49F5-A46B-C3F8B8B0FA65}</b:Guid>
    <b:Author>
      <b:Author>
        <b:NameList>
          <b:Person>
            <b:Last>Anashkina</b:Last>
            <b:First>A.A.,</b:First>
            <b:Middle>Leberfarb, E.Y. and Orlov, Y.L</b:Middle>
          </b:Person>
        </b:NameList>
      </b:Author>
    </b:Author>
    <b:Year>2021</b:Year>
    <b:RefOrder>14</b:RefOrder>
  </b:Source>
  <b:Source>
    <b:Tag>And23</b:Tag>
    <b:SourceType>JournalArticle</b:SourceType>
    <b:Guid>{C4080BDD-C8E3-4A7A-ACAF-ED39BEE3D248}</b:Guid>
    <b:Author>
      <b:Author>
        <b:NameList>
          <b:Person>
            <b:Last>Anderl</b:Last>
            <b:First>F.</b:First>
            <b:Middle>and Hißen, M</b:Middle>
          </b:Person>
        </b:NameList>
      </b:Author>
    </b:Author>
    <b:Year>2023</b:Year>
    <b:RefOrder>1</b:RefOrder>
  </b:Source>
  <b:Source>
    <b:Tag>Cas21</b:Tag>
    <b:SourceType>JournalArticle</b:SourceType>
    <b:Guid>{661BE16D-929B-4059-9709-46C84DE88A3A}</b:Guid>
    <b:Author>
      <b:Author>
        <b:NameList>
          <b:Person>
            <b:Last>Cassoobhoy</b:Last>
            <b:First>A.,</b:First>
            <b:Middle>Sardana, J.J., Benigas, S., Tips, J. and Kees, A</b:Middle>
          </b:Person>
        </b:NameList>
      </b:Author>
    </b:Author>
    <b:Year>2021</b:Year>
    <b:RefOrder>2</b:RefOrder>
  </b:Source>
  <b:Source>
    <b:Tag>Cro20</b:Tag>
    <b:SourceType>JournalArticle</b:SourceType>
    <b:Guid>{B012E201-CE29-4154-9DBE-D471013B5F90}</b:Guid>
    <b:Author>
      <b:Author>
        <b:NameList>
          <b:Person>
            <b:Last>Croti</b:Last>
            <b:First>U.,</b:First>
            <b:Middle>Cavalcante Junior, V., Biscegli Jatene, M., Tsakistos, A. and Zheleva, B.</b:Middle>
          </b:Person>
        </b:NameList>
      </b:Author>
    </b:Author>
    <b:Year>2020</b:Year>
    <b:RefOrder>12</b:RefOrder>
  </b:Source>
  <b:Source>
    <b:Tag>Dam23</b:Tag>
    <b:SourceType>JournalArticle</b:SourceType>
    <b:Guid>{28523639-DE6D-41C0-AC17-EB43FB0AFC1B}</b:Guid>
    <b:Author>
      <b:Author>
        <b:NameList>
          <b:Person>
            <b:Last>Dams-O’Connor</b:Last>
            <b:First>K.,</b:First>
            <b:Middle>Awwad, H.O., Hoffman, S.W., Mary Jo Pugh, Johnson, V.E., C. Dirk Keene, McGavern, L., Mukherjee, P., Opanashuk, L.A., Umoh, N., Sopko, G. and Zetterberg, H.</b:Middle>
          </b:Person>
        </b:NameList>
      </b:Author>
    </b:Author>
    <b:Year>2023</b:Year>
    <b:RefOrder>13</b:RefOrder>
  </b:Source>
  <b:Source>
    <b:Tag>Dou21</b:Tag>
    <b:SourceType>JournalArticle</b:SourceType>
    <b:Guid>{36EC5E6A-FDA6-447C-BEB8-C6E7A2A12CFA}</b:Guid>
    <b:Author>
      <b:Author>
        <b:NameList>
          <b:Person>
            <b:Last>Douglas</b:Last>
            <b:First>S.</b:First>
            <b:Middle>and Ansell, C</b:Middle>
          </b:Person>
        </b:NameList>
      </b:Author>
    </b:Author>
    <b:Year>2021</b:Year>
    <b:RefOrder>15</b:RefOrder>
  </b:Source>
  <b:Source>
    <b:Tag>Fai21</b:Tag>
    <b:SourceType>JournalArticle</b:SourceType>
    <b:Guid>{340712C5-2CDC-4720-9484-097446599C4C}</b:Guid>
    <b:Author>
      <b:Author>
        <b:NameList>
          <b:Person>
            <b:Last>Fairman</b:Last>
            <b:First>J.A.,</b:First>
            <b:Middle>Giordano, N.A., McCauley, K. and Villarruel, A</b:Middle>
          </b:Person>
        </b:NameList>
      </b:Author>
    </b:Author>
    <b:Year>2021</b:Year>
    <b:RefOrder>3</b:RefOrder>
  </b:Source>
  <b:Source>
    <b:Tag>Her21</b:Tag>
    <b:SourceType>JournalArticle</b:SourceType>
    <b:Guid>{D75C0BAC-C066-45AB-964C-7069BD48AB4C}</b:Guid>
    <b:Author>
      <b:Author>
        <b:NameList>
          <b:Person>
            <b:Last>Herman</b:Last>
            <b:First>D.C.,</b:First>
            <b:Middle>Nelson, V.R., Montalvo, A.M., Myer, G.D., Brenner, J.S., DiFiori, J.P., Jayanthi, N.A., Marshall, S.W., Kliethermes, S.A., Beutler, A.I. and Tenforde, A.S.</b:Middle>
          </b:Person>
        </b:NameList>
      </b:Author>
    </b:Author>
    <b:Year>2021</b:Year>
    <b:RefOrder>6</b:RefOrder>
  </b:Source>
  <b:Source>
    <b:Tag>Hil20</b:Tag>
    <b:SourceType>JournalArticle</b:SourceType>
    <b:Guid>{E282B537-70F6-487E-B61E-5317B38EE561}</b:Guid>
    <b:Author>
      <b:Author>
        <b:NameList>
          <b:Person>
            <b:Last>Hilty</b:Last>
            <b:First>D.,</b:First>
            <b:Middle>Chan, S., Torous, J., Luo, J. and Boland, R</b:Middle>
          </b:Person>
        </b:NameList>
      </b:Author>
    </b:Author>
    <b:Year>2020</b:Year>
    <b:RefOrder>4</b:RefOrder>
  </b:Source>
  <b:Source>
    <b:Tag>Jan20</b:Tag>
    <b:SourceType>JournalArticle</b:SourceType>
    <b:Guid>{586BFC5E-1FEB-4A00-99FB-839B45411766}</b:Guid>
    <b:Author>
      <b:Author>
        <b:NameList>
          <b:Person>
            <b:Last>Janda</b:Last>
            <b:First>M.,</b:First>
            <b:Middle>Cust, A.E., Neale, R.E., Aitken, J.F., Baade, P.D., Green, A.C., Khosrotehrani, K., Mar, V., Soyer, H.P. and Whiteman, D.C</b:Middle>
          </b:Person>
        </b:NameList>
      </b:Author>
    </b:Author>
    <b:Year>2020</b:Year>
    <b:RefOrder>5</b:RefOrder>
  </b:Source>
  <b:Source>
    <b:Tag>Kli21</b:Tag>
    <b:SourceType>JournalArticle</b:SourceType>
    <b:Guid>{EA8EC8C0-5B0B-4C1B-AF9E-51D78710E46B}</b:Guid>
    <b:Author>
      <b:Author>
        <b:NameList>
          <b:Person>
            <b:Last>Kliethermes</b:Last>
            <b:First>S.A.,</b:First>
            <b:Middle>Marshall, S.W., LaBella, C.R., Watson, A.M., Brenner, J.S., Nagle, K.B., Jayanthi, N., Brooks, M.A., Tenforde, A.S., Herman, D.C., DiFiori, J.P. and Beutler, A.I</b:Middle>
          </b:Person>
        </b:NameList>
      </b:Author>
    </b:Author>
    <b:Year>2021</b:Year>
    <b:RefOrder>16</b:RefOrder>
  </b:Source>
  <b:Source>
    <b:Tag>Ort20</b:Tag>
    <b:SourceType>JournalArticle</b:SourceType>
    <b:Guid>{1B775A9A-D844-41A6-B0AF-0ABC260E43B2}</b:Guid>
    <b:Author>
      <b:Author>
        <b:NameList>
          <b:Person>
            <b:Last>Ortega</b:Last>
            <b:First>P.,</b:First>
            <b:Middle>Diamond, L., Alemán, M.A., Fatás-Cabeza, J., Magaña, D., Pazo, V., Pérez, N., Girotti, J.A., Ríos, E. and Summit, on behalf of the M.S.</b:Middle>
          </b:Person>
        </b:NameList>
      </b:Author>
    </b:Author>
    <b:Year>2020</b:Year>
    <b:RefOrder>11</b:RefOrder>
  </b:Source>
  <b:Source>
    <b:Tag>Pat20</b:Tag>
    <b:SourceType>JournalArticle</b:SourceType>
    <b:Guid>{4BE3AF1E-55FC-44DA-9833-1626A8B3FE33}</b:Guid>
    <b:Author>
      <b:Author>
        <b:NameList>
          <b:Person>
            <b:Last>Patel</b:Last>
            <b:First>P.,</b:First>
            <b:Middle>Narayana, S., Summit, A., Gold, M., Morgan, Z.J., Peterson, L.E. and Paul, A.</b:Middle>
          </b:Person>
        </b:NameList>
      </b:Author>
    </b:Author>
    <b:Year>2020</b:Year>
    <b:RefOrder>17</b:RefOrder>
  </b:Source>
  <b:Source>
    <b:Tag>Phi20</b:Tag>
    <b:SourceType>JournalArticle</b:SourceType>
    <b:Guid>{0ACBFEE9-5CEB-499F-BD4F-828C0475CF33}</b:Guid>
    <b:Author>
      <b:Author>
        <b:NameList>
          <b:Person>
            <b:Last>Philibert</b:Last>
            <b:First>I.</b:First>
            <b:Middle>and Blouin, D</b:Middle>
          </b:Person>
        </b:NameList>
      </b:Author>
    </b:Author>
    <b:Year>2020</b:Year>
    <b:RefOrder>9</b:RefOrder>
  </b:Source>
  <b:Source>
    <b:Tag>Phi201</b:Tag>
    <b:SourceType>JournalArticle</b:SourceType>
    <b:Guid>{6F53013E-20C2-40CE-ADA2-5EA6C4399490}</b:Guid>
    <b:Author>
      <b:Author>
        <b:NameList>
          <b:Person>
            <b:Last>Phillips</b:Last>
            <b:First>J.P.,</b:First>
            <b:Middle>Ragazzoni, L., Burel, W.G., Burkle, F.M. and Keim, M.</b:Middle>
          </b:Person>
        </b:NameList>
      </b:Author>
    </b:Author>
    <b:Year>2020</b:Year>
    <b:RefOrder>18</b:RefOrder>
  </b:Source>
  <b:Source>
    <b:Tag>Tho21</b:Tag>
    <b:SourceType>JournalArticle</b:SourceType>
    <b:Guid>{771EBC10-AE4B-4815-BC41-0F2AA1DF2D68}</b:Guid>
    <b:Author>
      <b:Author>
        <b:NameList>
          <b:Person>
            <b:Last>Thoma</b:Last>
            <b:First>B.,</b:First>
            <b:Middle>Caretta-Weyer, H., Schumacher, D.J., Warm, E., Hall, A.K., Hamstra, S.J., Cavalcanti, R. and Chan, T.M.</b:Middle>
          </b:Person>
        </b:NameList>
      </b:Author>
    </b:Author>
    <b:Year>2021</b:Year>
    <b:RefOrder>19</b:RefOrder>
  </b:Source>
  <b:Source>
    <b:Tag>Wei21</b:Tag>
    <b:SourceType>JournalArticle</b:SourceType>
    <b:Guid>{E9DC8276-2980-4442-B210-DB2D48C88D66}</b:Guid>
    <b:Author>
      <b:Author>
        <b:NameList>
          <b:Person>
            <b:Last>Weisz</b:Last>
            <b:First>G.</b:First>
            <b:Middle>and Nannestad, B</b:Middle>
          </b:Person>
        </b:NameList>
      </b:Author>
    </b:Author>
    <b:Year>2021</b:Year>
    <b:RefOrder>10</b:RefOrder>
  </b:Source>
  <b:Source>
    <b:Tag>Win21</b:Tag>
    <b:SourceType>JournalArticle</b:SourceType>
    <b:Guid>{9A46BBAE-68A9-4B4F-9FA8-6546DFA7B2C7}</b:Guid>
    <b:Author>
      <b:Author>
        <b:NameList>
          <b:Person>
            <b:Last>Winiger</b:Last>
            <b:First>F.</b:First>
            <b:Middle>and Peng-Keller, S.</b:Middle>
          </b:Person>
        </b:NameList>
      </b:Author>
    </b:Author>
    <b:Year>2021</b:Year>
    <b:RefOrder>8</b:RefOrder>
  </b:Source>
  <b:Source>
    <b:Tag>Yia20</b:Tag>
    <b:SourceType>JournalArticle</b:SourceType>
    <b:Guid>{1AD129E9-205F-4AFE-8779-C25CB02EC1EC}</b:Guid>
    <b:Author>
      <b:Author>
        <b:NameList>
          <b:Person>
            <b:Last>Yiadom</b:Last>
            <b:First>M.Y.A.B.,</b:First>
            <b:Middle>Napoli, A., Granovsky, M., Parker, R.B., Pilgrim, R., Pines, J.M., Schuur, J., Augustine, J., Jouriles, N. and Welch, S</b:Middle>
          </b:Person>
        </b:NameList>
      </b:Author>
    </b:Author>
    <b:Year>2020</b:Year>
    <b:RefOrder>7</b:RefOrder>
  </b:Source>
  <b:Source>
    <b:Tag>Zip22</b:Tag>
    <b:SourceType>JournalArticle</b:SourceType>
    <b:Guid>{9D921628-D9B6-4AAD-8A2F-92EE432403B4}</b:Guid>
    <b:Author>
      <b:Author>
        <b:NameList>
          <b:Person>
            <b:Last>Ziporyn</b:Last>
            <b:First>T.D.,</b:First>
            <b:Middle>Owens, J.A., Wahlstrom, K.L., Wolfson, A.R., Troxel, W.M., Saletin, J.M., Rubens, S.L., Pelayo, R., Payne, P.A., Hale, L., Keller, I. and Carskadon, M.A.</b:Middle>
          </b:Person>
        </b:NameList>
      </b:Author>
    </b:Author>
    <b:Year>2022</b:Year>
    <b:RefOrder>20</b:RefOrder>
  </b:Source>
</b:Sources>
</file>

<file path=customXml/itemProps1.xml><?xml version="1.0" encoding="utf-8"?>
<ds:datastoreItem xmlns:ds="http://schemas.openxmlformats.org/officeDocument/2006/customXml" ds:itemID="{90F6F239-DA20-4062-98F0-E788016F84E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3183</Words>
  <Characters>19863</Characters>
  <Application>Microsoft Office Word</Application>
  <DocSecurity>0</DocSecurity>
  <Lines>165</Lines>
  <Paragraphs>45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FCC</dc:creator>
  <cp:lastModifiedBy>Hasna Kolpana (2121099)</cp:lastModifiedBy>
  <cp:revision>2</cp:revision>
  <dcterms:created xsi:type="dcterms:W3CDTF">2024-06-01T10:05:00Z</dcterms:created>
  <dcterms:modified xsi:type="dcterms:W3CDTF">2024-06-01T10:05:00Z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20081ccf-4c98-4091-86e4-360f64a404ac</vt:lpwstr>
  </property>
</Properties>
</file>