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9278181"/>
        <w:docPartObj>
          <w:docPartGallery w:val="Cover Pages"/>
          <w:docPartUnique/>
        </w:docPartObj>
      </w:sdtPr>
      <w:sdtEndPr>
        <w:rPr>
          <w:rFonts w:asciiTheme="minorHAnsi" w:eastAsia="Arial" w:hAnsiTheme="minorHAnsi" w:cstheme="minorHAnsi"/>
          <w:color w:val="000000" w:themeColor="text1"/>
          <w:sz w:val="24"/>
          <w:szCs w:val="24"/>
        </w:rPr>
      </w:sdtEndPr>
      <w:sdtContent>
        <w:p w14:paraId="611AFBB9" w14:textId="77777777" w:rsidR="00EF2B90" w:rsidRDefault="00EF2B90">
          <w:r>
            <w:rPr>
              <w:noProof/>
            </w:rPr>
            <mc:AlternateContent>
              <mc:Choice Requires="wpg">
                <w:drawing>
                  <wp:anchor distT="0" distB="0" distL="114300" distR="114300" simplePos="0" relativeHeight="251662336" behindDoc="0" locked="0" layoutInCell="1" allowOverlap="1" wp14:anchorId="011BF163" wp14:editId="280804C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0F898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7" o:title="" recolor="t" rotate="t" type="frame"/>
                    </v:rect>
                    <w10:wrap anchorx="page" anchory="page"/>
                  </v:group>
                </w:pict>
              </mc:Fallback>
            </mc:AlternateContent>
          </w:r>
        </w:p>
        <w:p w14:paraId="6337E0B1" w14:textId="2D7DC553" w:rsidR="004A63A5" w:rsidRPr="00EF2B90" w:rsidRDefault="00176B52" w:rsidP="004A63A5">
          <w:pPr>
            <w:rPr>
              <w:sz w:val="24"/>
              <w:szCs w:val="24"/>
            </w:rPr>
          </w:pPr>
          <w:r>
            <w:rPr>
              <w:noProof/>
            </w:rPr>
            <mc:AlternateContent>
              <mc:Choice Requires="wps">
                <w:drawing>
                  <wp:anchor distT="0" distB="0" distL="114300" distR="114300" simplePos="0" relativeHeight="251659264" behindDoc="0" locked="0" layoutInCell="1" allowOverlap="1" wp14:anchorId="56AB5D3E" wp14:editId="072505E8">
                    <wp:simplePos x="0" y="0"/>
                    <wp:positionH relativeFrom="page">
                      <wp:posOffset>292100</wp:posOffset>
                    </wp:positionH>
                    <wp:positionV relativeFrom="page">
                      <wp:posOffset>2235200</wp:posOffset>
                    </wp:positionV>
                    <wp:extent cx="7315200" cy="24257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425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4155C6" w14:textId="77777777" w:rsidR="00EF2B90" w:rsidRDefault="00B03F3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F2B90">
                                      <w:rPr>
                                        <w:caps/>
                                        <w:color w:val="4472C4" w:themeColor="accent1"/>
                                        <w:sz w:val="64"/>
                                        <w:szCs w:val="64"/>
                                      </w:rPr>
                                      <w:t xml:space="preserve">Criminal Law: Reform of </w:t>
                                    </w:r>
                                    <w:r w:rsidR="00524FF4">
                                      <w:rPr>
                                        <w:caps/>
                                        <w:color w:val="4472C4" w:themeColor="accent1"/>
                                        <w:sz w:val="64"/>
                                        <w:szCs w:val="64"/>
                                      </w:rPr>
                                      <w:t xml:space="preserve">the </w:t>
                                    </w:r>
                                    <w:r w:rsidR="00EF2B90">
                                      <w:rPr>
                                        <w:caps/>
                                        <w:color w:val="4472C4" w:themeColor="accent1"/>
                                        <w:sz w:val="64"/>
                                        <w:szCs w:val="64"/>
                                      </w:rPr>
                                      <w:t>Homicide</w:t>
                                    </w:r>
                                    <w:r w:rsidR="00524FF4">
                                      <w:rPr>
                                        <w:caps/>
                                        <w:color w:val="4472C4" w:themeColor="accent1"/>
                                        <w:sz w:val="64"/>
                                        <w:szCs w:val="64"/>
                                      </w:rPr>
                                      <w:t xml:space="preserve"> laws in england and wales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F843013" w14:textId="77777777" w:rsidR="00EF2B90" w:rsidRDefault="00EF2B90">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6AB5D3E" id="_x0000_t202" coordsize="21600,21600" o:spt="202" path="m,l,21600r21600,l21600,xe">
                    <v:stroke joinstyle="miter"/>
                    <v:path gradientshapeok="t" o:connecttype="rect"/>
                  </v:shapetype>
                  <v:shape id="Text Box 154" o:spid="_x0000_s1026" type="#_x0000_t202" style="position:absolute;margin-left:23pt;margin-top:176pt;width:8in;height:19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" filled="f" stroked="f" strokeweight=".5pt">
                    <v:textbox inset="126pt,0,54pt,0">
                      <w:txbxContent>
                        <w:p w14:paraId="024155C6" w14:textId="77777777" w:rsidR="00EF2B90" w:rsidRDefault="00B03F3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F2B90">
                                <w:rPr>
                                  <w:caps/>
                                  <w:color w:val="4472C4" w:themeColor="accent1"/>
                                  <w:sz w:val="64"/>
                                  <w:szCs w:val="64"/>
                                </w:rPr>
                                <w:t xml:space="preserve">Criminal Law: Reform of </w:t>
                              </w:r>
                              <w:r w:rsidR="00524FF4">
                                <w:rPr>
                                  <w:caps/>
                                  <w:color w:val="4472C4" w:themeColor="accent1"/>
                                  <w:sz w:val="64"/>
                                  <w:szCs w:val="64"/>
                                </w:rPr>
                                <w:t xml:space="preserve">the </w:t>
                              </w:r>
                              <w:r w:rsidR="00EF2B90">
                                <w:rPr>
                                  <w:caps/>
                                  <w:color w:val="4472C4" w:themeColor="accent1"/>
                                  <w:sz w:val="64"/>
                                  <w:szCs w:val="64"/>
                                </w:rPr>
                                <w:t>Homicide</w:t>
                              </w:r>
                              <w:r w:rsidR="00524FF4">
                                <w:rPr>
                                  <w:caps/>
                                  <w:color w:val="4472C4" w:themeColor="accent1"/>
                                  <w:sz w:val="64"/>
                                  <w:szCs w:val="64"/>
                                </w:rPr>
                                <w:t xml:space="preserve"> laws in england and wales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F843013" w14:textId="77777777" w:rsidR="00EF2B90" w:rsidRDefault="00EF2B90">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r w:rsidRPr="00EF2B90">
            <w:rPr>
              <w:noProof/>
              <w:sz w:val="24"/>
              <w:szCs w:val="24"/>
            </w:rPr>
            <w:drawing>
              <wp:anchor distT="0" distB="0" distL="114300" distR="114300" simplePos="0" relativeHeight="251663360" behindDoc="0" locked="0" layoutInCell="1" allowOverlap="1" wp14:anchorId="32604024" wp14:editId="31897B06">
                <wp:simplePos x="0" y="0"/>
                <wp:positionH relativeFrom="margin">
                  <wp:posOffset>241300</wp:posOffset>
                </wp:positionH>
                <wp:positionV relativeFrom="margin">
                  <wp:posOffset>4660900</wp:posOffset>
                </wp:positionV>
                <wp:extent cx="5727700" cy="3007360"/>
                <wp:effectExtent l="0" t="0" r="0" b="2540"/>
                <wp:wrapSquare wrapText="bothSides"/>
                <wp:docPr id="1" name="Picture 1" descr="Don&amp;#39;t Look Now, But the Philadelphia Homicide Count Just Broke a Re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amp;#39;t Look Now, But the Philadelphia Homicide Count Just Broke a Recor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007360"/>
                        </a:xfrm>
                        <a:prstGeom prst="rect">
                          <a:avLst/>
                        </a:prstGeom>
                        <a:noFill/>
                        <a:ln>
                          <a:noFill/>
                        </a:ln>
                      </pic:spPr>
                    </pic:pic>
                  </a:graphicData>
                </a:graphic>
              </wp:anchor>
            </w:drawing>
          </w:r>
          <w:r w:rsidR="00EF2B90">
            <w:rPr>
              <w:rFonts w:asciiTheme="minorHAnsi" w:eastAsia="Arial" w:hAnsiTheme="minorHAnsi" w:cstheme="minorHAnsi"/>
              <w:color w:val="000000" w:themeColor="text1"/>
              <w:sz w:val="24"/>
              <w:szCs w:val="24"/>
            </w:rPr>
            <w:br w:type="page"/>
          </w:r>
          <w:r w:rsidR="00EF2B90" w:rsidRPr="00EF2B90">
            <w:rPr>
              <w:sz w:val="24"/>
              <w:szCs w:val="24"/>
            </w:rPr>
            <w:fldChar w:fldCharType="begin"/>
          </w:r>
          <w:r w:rsidR="00B03F3E">
            <w:rPr>
              <w:sz w:val="24"/>
              <w:szCs w:val="24"/>
            </w:rPr>
            <w:instrText xml:space="preserve"> INCLUDEPICTURE "C:\\var\\folders\\qn\\lpj0lr595tx7tk06hqyw77yh0000gp\\T\\com.microsoft.Word\\WebArchiveCopyPasteTempFiles\\philadelphia-homicide-rate-social.jpg" \* MERGEFORMAT </w:instrText>
          </w:r>
          <w:r w:rsidR="00B03F3E">
            <w:rPr>
              <w:sz w:val="24"/>
              <w:szCs w:val="24"/>
            </w:rPr>
            <w:fldChar w:fldCharType="separate"/>
          </w:r>
          <w:r w:rsidR="00EF2B90" w:rsidRPr="00EF2B90">
            <w:rPr>
              <w:sz w:val="24"/>
              <w:szCs w:val="24"/>
            </w:rPr>
            <w:fldChar w:fldCharType="end"/>
          </w:r>
        </w:p>
      </w:sdtContent>
    </w:sdt>
    <w:p w14:paraId="71B3C322" w14:textId="77777777" w:rsidR="004A63A5" w:rsidRDefault="004A63A5" w:rsidP="004A63A5">
      <w:pPr>
        <w:rPr>
          <w:rFonts w:asciiTheme="majorHAnsi" w:eastAsia="Arial" w:hAnsiTheme="majorHAnsi" w:cstheme="majorHAnsi"/>
          <w:b/>
          <w:i/>
          <w:sz w:val="28"/>
          <w:szCs w:val="24"/>
        </w:rPr>
      </w:pPr>
      <w:r w:rsidRPr="004A63A5">
        <w:rPr>
          <w:rFonts w:asciiTheme="majorHAnsi" w:eastAsia="Arial" w:hAnsiTheme="majorHAnsi" w:cstheme="majorHAnsi"/>
          <w:b/>
          <w:i/>
          <w:sz w:val="28"/>
          <w:szCs w:val="24"/>
        </w:rPr>
        <w:lastRenderedPageBreak/>
        <w:t>'The law governing homicide in England and Wales is a rickety</w:t>
      </w:r>
      <w:r>
        <w:rPr>
          <w:rFonts w:asciiTheme="majorHAnsi" w:eastAsia="Arial" w:hAnsiTheme="majorHAnsi" w:cstheme="majorHAnsi"/>
          <w:b/>
          <w:i/>
          <w:sz w:val="28"/>
          <w:szCs w:val="24"/>
        </w:rPr>
        <w:t xml:space="preserve"> </w:t>
      </w:r>
      <w:r w:rsidRPr="004A63A5">
        <w:rPr>
          <w:rFonts w:asciiTheme="majorHAnsi" w:eastAsia="Arial" w:hAnsiTheme="majorHAnsi" w:cstheme="majorHAnsi"/>
          <w:b/>
          <w:i/>
          <w:sz w:val="28"/>
          <w:szCs w:val="24"/>
        </w:rPr>
        <w:t>structure set upon shaky foundations. Some of its rules have been</w:t>
      </w:r>
      <w:r>
        <w:rPr>
          <w:rFonts w:asciiTheme="majorHAnsi" w:eastAsia="Arial" w:hAnsiTheme="majorHAnsi" w:cstheme="majorHAnsi"/>
          <w:b/>
          <w:i/>
          <w:sz w:val="28"/>
          <w:szCs w:val="24"/>
        </w:rPr>
        <w:t xml:space="preserve"> </w:t>
      </w:r>
      <w:r w:rsidRPr="004A63A5">
        <w:rPr>
          <w:rFonts w:asciiTheme="majorHAnsi" w:eastAsia="Arial" w:hAnsiTheme="majorHAnsi" w:cstheme="majorHAnsi"/>
          <w:b/>
          <w:i/>
          <w:sz w:val="28"/>
          <w:szCs w:val="24"/>
        </w:rPr>
        <w:t>unaltered since the seventeenth century, even though it has long</w:t>
      </w:r>
      <w:r>
        <w:rPr>
          <w:rFonts w:asciiTheme="majorHAnsi" w:eastAsia="Arial" w:hAnsiTheme="majorHAnsi" w:cstheme="majorHAnsi"/>
          <w:b/>
          <w:i/>
          <w:sz w:val="28"/>
          <w:szCs w:val="24"/>
        </w:rPr>
        <w:t xml:space="preserve"> </w:t>
      </w:r>
      <w:r w:rsidRPr="004A63A5">
        <w:rPr>
          <w:rFonts w:asciiTheme="majorHAnsi" w:eastAsia="Arial" w:hAnsiTheme="majorHAnsi" w:cstheme="majorHAnsi"/>
          <w:b/>
          <w:i/>
          <w:sz w:val="28"/>
          <w:szCs w:val="24"/>
        </w:rPr>
        <w:t>been acknowledged that they are in dire need of reform' (Law Commission, 2005)</w:t>
      </w:r>
    </w:p>
    <w:p w14:paraId="1851F194" w14:textId="77777777" w:rsidR="004A63A5" w:rsidRDefault="004A63A5" w:rsidP="004A63A5">
      <w:pPr>
        <w:rPr>
          <w:rFonts w:asciiTheme="majorHAnsi" w:eastAsia="Arial" w:hAnsiTheme="majorHAnsi" w:cstheme="majorHAnsi"/>
          <w:b/>
          <w:i/>
          <w:sz w:val="28"/>
          <w:szCs w:val="24"/>
        </w:rPr>
      </w:pPr>
    </w:p>
    <w:p w14:paraId="1AAD88EB" w14:textId="77777777" w:rsidR="004A63A5" w:rsidRPr="00987312" w:rsidRDefault="004A63A5" w:rsidP="004A63A5">
      <w:pPr>
        <w:rPr>
          <w:rFonts w:asciiTheme="minorHAnsi" w:eastAsia="Arial" w:hAnsiTheme="minorHAnsi" w:cstheme="minorHAnsi"/>
          <w:color w:val="000000" w:themeColor="text1"/>
          <w:sz w:val="24"/>
          <w:szCs w:val="24"/>
        </w:rPr>
      </w:pPr>
      <w:r w:rsidRPr="00987312">
        <w:rPr>
          <w:rFonts w:asciiTheme="minorHAnsi" w:eastAsia="Arial" w:hAnsiTheme="minorHAnsi" w:cstheme="minorHAnsi"/>
          <w:color w:val="000000" w:themeColor="text1"/>
          <w:sz w:val="24"/>
          <w:szCs w:val="24"/>
        </w:rPr>
        <w:t>Consider the statement above and decide whether the law governing homicide in England and Wales is in need of a reform</w:t>
      </w:r>
      <w:r w:rsidR="00AA1837">
        <w:rPr>
          <w:rFonts w:asciiTheme="minorHAnsi" w:eastAsia="Arial" w:hAnsiTheme="minorHAnsi" w:cstheme="minorHAnsi"/>
          <w:color w:val="000000" w:themeColor="text1"/>
          <w:sz w:val="24"/>
          <w:szCs w:val="24"/>
        </w:rPr>
        <w:t>:</w:t>
      </w:r>
    </w:p>
    <w:p w14:paraId="0E6A6429" w14:textId="77777777" w:rsidR="00FC37C1" w:rsidRDefault="000E2A68" w:rsidP="00FC37C1">
      <w:pPr>
        <w:pStyle w:val="NormalWeb"/>
        <w:rPr>
          <w:rFonts w:asciiTheme="minorHAnsi" w:hAnsiTheme="minorHAnsi"/>
        </w:rPr>
      </w:pPr>
      <w:r w:rsidRPr="000B7970">
        <w:rPr>
          <w:rFonts w:asciiTheme="minorHAnsi" w:eastAsia="Arial" w:hAnsiTheme="minorHAnsi" w:cstheme="minorHAnsi"/>
          <w:color w:val="000000" w:themeColor="text1"/>
        </w:rPr>
        <w:t xml:space="preserve">A place we can start to discuss, is at the current </w:t>
      </w:r>
      <w:r w:rsidR="00C03280" w:rsidRPr="000B7970">
        <w:rPr>
          <w:rFonts w:asciiTheme="minorHAnsi" w:eastAsia="Arial" w:hAnsiTheme="minorHAnsi" w:cstheme="minorHAnsi"/>
          <w:color w:val="000000" w:themeColor="text1"/>
        </w:rPr>
        <w:t>Laws governing Homicide in England and Wales.</w:t>
      </w:r>
      <w:r w:rsidR="003A07E4" w:rsidRPr="000B7970">
        <w:rPr>
          <w:rFonts w:asciiTheme="minorHAnsi" w:eastAsia="Arial" w:hAnsiTheme="minorHAnsi" w:cstheme="minorHAnsi"/>
          <w:color w:val="000000" w:themeColor="text1"/>
        </w:rPr>
        <w:t xml:space="preserve"> </w:t>
      </w:r>
      <w:r w:rsidR="00FC37C1" w:rsidRPr="000B7970">
        <w:rPr>
          <w:rFonts w:asciiTheme="minorHAnsi" w:eastAsia="Arial" w:hAnsiTheme="minorHAnsi" w:cstheme="minorHAnsi"/>
          <w:color w:val="000000" w:themeColor="text1"/>
        </w:rPr>
        <w:t>From research on the</w:t>
      </w:r>
      <w:r w:rsidR="00FC37C1" w:rsidRPr="000B7970">
        <w:rPr>
          <w:rFonts w:asciiTheme="minorHAnsi" w:eastAsia="Arial" w:hAnsiTheme="minorHAnsi" w:cstheme="majorHAnsi"/>
        </w:rPr>
        <w:t xml:space="preserve"> House of Commons Library </w:t>
      </w:r>
      <w:sdt>
        <w:sdtPr>
          <w:rPr>
            <w:rFonts w:asciiTheme="minorHAnsi" w:eastAsia="Arial" w:hAnsiTheme="minorHAnsi" w:cstheme="majorHAnsi"/>
          </w:rPr>
          <w:id w:val="1263038379"/>
          <w:citation/>
        </w:sdtPr>
        <w:sdtEndPr/>
        <w:sdtContent>
          <w:r w:rsidR="00FC37C1" w:rsidRPr="000B7970">
            <w:rPr>
              <w:rFonts w:asciiTheme="minorHAnsi" w:eastAsia="Arial" w:hAnsiTheme="minorHAnsi" w:cstheme="majorHAnsi"/>
            </w:rPr>
            <w:fldChar w:fldCharType="begin"/>
          </w:r>
          <w:r w:rsidR="00FC37C1" w:rsidRPr="000B7970">
            <w:rPr>
              <w:rFonts w:asciiTheme="minorHAnsi" w:eastAsia="Arial" w:hAnsiTheme="minorHAnsi" w:cstheme="majorHAnsi"/>
            </w:rPr>
            <w:instrText xml:space="preserve"> CITATION Leg57 \l 2057 </w:instrText>
          </w:r>
          <w:r w:rsidR="00FC37C1" w:rsidRPr="000B7970">
            <w:rPr>
              <w:rFonts w:asciiTheme="minorHAnsi" w:eastAsia="Arial" w:hAnsiTheme="minorHAnsi" w:cstheme="majorHAnsi"/>
            </w:rPr>
            <w:fldChar w:fldCharType="separate"/>
          </w:r>
          <w:r w:rsidR="00FC37C1" w:rsidRPr="000B7970">
            <w:rPr>
              <w:rFonts w:asciiTheme="minorHAnsi" w:eastAsia="Arial" w:hAnsiTheme="minorHAnsi" w:cstheme="majorHAnsi"/>
              <w:noProof/>
            </w:rPr>
            <w:t>(Legislation.gov.uk, 1957)</w:t>
          </w:r>
          <w:r w:rsidR="00FC37C1" w:rsidRPr="000B7970">
            <w:rPr>
              <w:rFonts w:asciiTheme="minorHAnsi" w:eastAsia="Arial" w:hAnsiTheme="minorHAnsi" w:cstheme="majorHAnsi"/>
            </w:rPr>
            <w:fldChar w:fldCharType="end"/>
          </w:r>
        </w:sdtContent>
      </w:sdt>
      <w:r w:rsidR="00FC37C1" w:rsidRPr="000B7970">
        <w:rPr>
          <w:rFonts w:asciiTheme="minorHAnsi" w:eastAsia="Arial" w:hAnsiTheme="minorHAnsi" w:cstheme="majorHAnsi"/>
        </w:rPr>
        <w:t xml:space="preserve">, </w:t>
      </w:r>
      <w:r w:rsidR="00FC37C1" w:rsidRPr="000B7970">
        <w:rPr>
          <w:rFonts w:asciiTheme="minorHAnsi" w:eastAsia="Arial" w:hAnsiTheme="minorHAnsi" w:cstheme="minorHAnsi"/>
          <w:color w:val="000000" w:themeColor="text1"/>
        </w:rPr>
        <w:t>At</w:t>
      </w:r>
      <w:r w:rsidR="003A07E4" w:rsidRPr="000B7970">
        <w:rPr>
          <w:rFonts w:asciiTheme="minorHAnsi" w:eastAsia="Arial" w:hAnsiTheme="minorHAnsi" w:cstheme="minorHAnsi"/>
          <w:color w:val="000000" w:themeColor="text1"/>
        </w:rPr>
        <w:t xml:space="preserve"> the moment, Homicide can be defined simply as “the killing of one person by another”. There are other kinds of Homicide</w:t>
      </w:r>
      <w:r w:rsidR="00FC37C1" w:rsidRPr="000B7970">
        <w:rPr>
          <w:rFonts w:asciiTheme="minorHAnsi" w:eastAsia="Arial" w:hAnsiTheme="minorHAnsi" w:cstheme="minorHAnsi"/>
          <w:color w:val="000000" w:themeColor="text1"/>
        </w:rPr>
        <w:t xml:space="preserve"> to deal with more complex grounds of conviction</w:t>
      </w:r>
      <w:r w:rsidR="003A07E4" w:rsidRPr="000B7970">
        <w:rPr>
          <w:rFonts w:asciiTheme="minorHAnsi" w:eastAsia="Arial" w:hAnsiTheme="minorHAnsi" w:cstheme="minorHAnsi"/>
          <w:color w:val="000000" w:themeColor="text1"/>
        </w:rPr>
        <w:t>, including</w:t>
      </w:r>
      <w:r w:rsidR="00FC37C1" w:rsidRPr="000B7970">
        <w:rPr>
          <w:rFonts w:asciiTheme="minorHAnsi" w:eastAsia="Arial" w:hAnsiTheme="minorHAnsi" w:cstheme="minorHAnsi"/>
          <w:color w:val="000000" w:themeColor="text1"/>
        </w:rPr>
        <w:t xml:space="preserve"> ‘Infanticide’ which can be defined as “the killing of a </w:t>
      </w:r>
      <w:r w:rsidR="00FC37C1" w:rsidRPr="000B7970">
        <w:rPr>
          <w:rFonts w:asciiTheme="minorHAnsi" w:eastAsia="Arial" w:hAnsiTheme="minorHAnsi" w:cstheme="majorHAnsi"/>
          <w:color w:val="000000" w:themeColor="text1"/>
        </w:rPr>
        <w:t>b</w:t>
      </w:r>
      <w:r w:rsidR="00FC37C1" w:rsidRPr="000B7970">
        <w:rPr>
          <w:rFonts w:asciiTheme="minorHAnsi" w:hAnsiTheme="minorHAnsi" w:cstheme="majorHAnsi"/>
        </w:rPr>
        <w:t>aby under 1-year- old by their mother while the balance of her mind was disturbed as a result of giving birth</w:t>
      </w:r>
      <w:r w:rsidR="000B7970" w:rsidRPr="000B7970">
        <w:rPr>
          <w:rFonts w:asciiTheme="minorHAnsi" w:hAnsiTheme="minorHAnsi"/>
        </w:rPr>
        <w:t>” or other related circumstances, and other grounds, such as death from careless driving, or ‘corporate manslaughter’.</w:t>
      </w:r>
    </w:p>
    <w:p w14:paraId="229122A2" w14:textId="77777777" w:rsidR="004A63A5" w:rsidRPr="00525016" w:rsidRDefault="00525016" w:rsidP="00525016">
      <w:pPr>
        <w:pStyle w:val="NormalWeb"/>
        <w:rPr>
          <w:rFonts w:asciiTheme="minorHAnsi" w:hAnsiTheme="minorHAnsi"/>
        </w:rPr>
      </w:pPr>
      <w:r>
        <w:rPr>
          <w:rFonts w:asciiTheme="minorHAnsi" w:hAnsiTheme="minorHAnsi"/>
        </w:rPr>
        <w:t>An important aspect of determining if someone is guilty of Homicide in any degree</w:t>
      </w:r>
      <w:r w:rsidR="000B7970">
        <w:rPr>
          <w:rFonts w:asciiTheme="minorHAnsi" w:hAnsiTheme="minorHAnsi"/>
        </w:rPr>
        <w:t xml:space="preserve">, </w:t>
      </w:r>
      <w:r>
        <w:rPr>
          <w:rFonts w:asciiTheme="minorHAnsi" w:hAnsiTheme="minorHAnsi"/>
        </w:rPr>
        <w:t xml:space="preserve">is </w:t>
      </w:r>
      <w:r w:rsidR="000B7970">
        <w:rPr>
          <w:rFonts w:asciiTheme="minorHAnsi" w:hAnsiTheme="minorHAnsi"/>
        </w:rPr>
        <w:t>determining</w:t>
      </w:r>
      <w:r>
        <w:rPr>
          <w:rFonts w:asciiTheme="minorHAnsi" w:hAnsiTheme="minorHAnsi"/>
        </w:rPr>
        <w:t>, and proving</w:t>
      </w:r>
      <w:r w:rsidR="000B7970">
        <w:rPr>
          <w:rFonts w:asciiTheme="minorHAnsi" w:hAnsiTheme="minorHAnsi"/>
        </w:rPr>
        <w:t xml:space="preserve"> the </w:t>
      </w:r>
      <w:proofErr w:type="spellStart"/>
      <w:r w:rsidR="000B7970">
        <w:rPr>
          <w:rFonts w:asciiTheme="minorHAnsi" w:hAnsiTheme="minorHAnsi"/>
        </w:rPr>
        <w:t>Mens</w:t>
      </w:r>
      <w:proofErr w:type="spellEnd"/>
      <w:r w:rsidR="000B7970">
        <w:rPr>
          <w:rFonts w:asciiTheme="minorHAnsi" w:hAnsiTheme="minorHAnsi"/>
        </w:rPr>
        <w:t xml:space="preserve"> </w:t>
      </w:r>
      <w:r w:rsidR="00F934B4">
        <w:rPr>
          <w:rFonts w:asciiTheme="minorHAnsi" w:hAnsiTheme="minorHAnsi"/>
        </w:rPr>
        <w:t>Rea, and</w:t>
      </w:r>
      <w:r w:rsidR="000B7970">
        <w:rPr>
          <w:rFonts w:asciiTheme="minorHAnsi" w:hAnsiTheme="minorHAnsi"/>
        </w:rPr>
        <w:t xml:space="preserve"> Actus Reus of </w:t>
      </w:r>
      <w:r>
        <w:rPr>
          <w:rFonts w:asciiTheme="minorHAnsi" w:hAnsiTheme="minorHAnsi"/>
        </w:rPr>
        <w:t>the defendant. This</w:t>
      </w:r>
      <w:r w:rsidR="000B7970">
        <w:rPr>
          <w:rFonts w:asciiTheme="minorHAnsi" w:hAnsiTheme="minorHAnsi"/>
        </w:rPr>
        <w:t xml:space="preserve"> can differ the final grounds of prosecution, and what </w:t>
      </w:r>
      <w:r>
        <w:rPr>
          <w:rFonts w:asciiTheme="minorHAnsi" w:hAnsiTheme="minorHAnsi"/>
        </w:rPr>
        <w:t>the defendant will be convicted of, if anything at all</w:t>
      </w:r>
      <w:r w:rsidR="000B7970">
        <w:rPr>
          <w:rFonts w:asciiTheme="minorHAnsi" w:hAnsiTheme="minorHAnsi"/>
        </w:rPr>
        <w:t>.</w:t>
      </w:r>
      <w:r>
        <w:rPr>
          <w:rFonts w:asciiTheme="minorHAnsi" w:hAnsiTheme="minorHAnsi"/>
        </w:rPr>
        <w:t xml:space="preserve"> To start off, the definition of proving the</w:t>
      </w:r>
      <w:r w:rsidR="000B7970">
        <w:rPr>
          <w:rFonts w:asciiTheme="minorHAnsi" w:hAnsiTheme="minorHAnsi"/>
        </w:rPr>
        <w:t xml:space="preserve"> </w:t>
      </w:r>
      <w:proofErr w:type="spellStart"/>
      <w:r w:rsidR="000B7970">
        <w:rPr>
          <w:rFonts w:asciiTheme="minorHAnsi" w:hAnsiTheme="minorHAnsi"/>
        </w:rPr>
        <w:t>Mens</w:t>
      </w:r>
      <w:proofErr w:type="spellEnd"/>
      <w:r w:rsidR="000B7970">
        <w:rPr>
          <w:rFonts w:asciiTheme="minorHAnsi" w:hAnsiTheme="minorHAnsi"/>
        </w:rPr>
        <w:t xml:space="preserve"> Rea, means </w:t>
      </w:r>
      <w:r w:rsidR="00F934B4">
        <w:rPr>
          <w:rFonts w:asciiTheme="minorHAnsi" w:hAnsiTheme="minorHAnsi"/>
        </w:rPr>
        <w:t>“To have a guilty mind”, and if it is not proven, then it can result in being charged with murder</w:t>
      </w:r>
      <w:r>
        <w:rPr>
          <w:rFonts w:asciiTheme="minorHAnsi" w:hAnsiTheme="minorHAnsi"/>
        </w:rPr>
        <w:t>, as it would prove liability, and possible intent to kill</w:t>
      </w:r>
      <w:r w:rsidR="00F934B4">
        <w:rPr>
          <w:rFonts w:asciiTheme="minorHAnsi" w:hAnsiTheme="minorHAnsi"/>
        </w:rPr>
        <w:t>, but along with that, the Actus Reus, analyses if a defendant’s actions, were guilty</w:t>
      </w:r>
      <w:r>
        <w:rPr>
          <w:rFonts w:asciiTheme="minorHAnsi" w:hAnsiTheme="minorHAnsi"/>
        </w:rPr>
        <w:t>, as in they did act in a violent or reckless way</w:t>
      </w:r>
      <w:r w:rsidR="00B64617">
        <w:rPr>
          <w:rFonts w:asciiTheme="minorHAnsi" w:hAnsiTheme="minorHAnsi"/>
        </w:rPr>
        <w:t>, as defined by the Law Library</w:t>
      </w:r>
      <w:r w:rsidR="00F934B4">
        <w:rPr>
          <w:rFonts w:asciiTheme="minorHAnsi" w:hAnsiTheme="minorHAnsi"/>
        </w:rPr>
        <w:t xml:space="preserve"> </w:t>
      </w:r>
      <w:sdt>
        <w:sdtPr>
          <w:rPr>
            <w:rFonts w:asciiTheme="minorHAnsi" w:hAnsiTheme="minorHAnsi"/>
          </w:rPr>
          <w:id w:val="1085427511"/>
          <w:citation/>
        </w:sdtPr>
        <w:sdtEndPr/>
        <w:sdtContent>
          <w:r w:rsidR="00F934B4">
            <w:rPr>
              <w:rFonts w:asciiTheme="minorHAnsi" w:hAnsiTheme="minorHAnsi"/>
            </w:rPr>
            <w:fldChar w:fldCharType="begin"/>
          </w:r>
          <w:r w:rsidR="00F934B4">
            <w:rPr>
              <w:rFonts w:asciiTheme="minorHAnsi" w:hAnsiTheme="minorHAnsi"/>
            </w:rPr>
            <w:instrText xml:space="preserve"> CITATION Law21 \l 2057 </w:instrText>
          </w:r>
          <w:r w:rsidR="00F934B4">
            <w:rPr>
              <w:rFonts w:asciiTheme="minorHAnsi" w:hAnsiTheme="minorHAnsi"/>
            </w:rPr>
            <w:fldChar w:fldCharType="separate"/>
          </w:r>
          <w:r w:rsidR="00F934B4" w:rsidRPr="00F934B4">
            <w:rPr>
              <w:rFonts w:asciiTheme="minorHAnsi" w:hAnsiTheme="minorHAnsi"/>
              <w:noProof/>
            </w:rPr>
            <w:t>(Law Library, n.d.)</w:t>
          </w:r>
          <w:r w:rsidR="00F934B4">
            <w:rPr>
              <w:rFonts w:asciiTheme="minorHAnsi" w:hAnsiTheme="minorHAnsi"/>
            </w:rPr>
            <w:fldChar w:fldCharType="end"/>
          </w:r>
        </w:sdtContent>
      </w:sdt>
      <w:r w:rsidR="00AA1837">
        <w:rPr>
          <w:rFonts w:asciiTheme="minorHAnsi" w:hAnsiTheme="minorHAnsi"/>
        </w:rPr>
        <w:t xml:space="preserve">. If both the </w:t>
      </w:r>
      <w:proofErr w:type="spellStart"/>
      <w:r w:rsidR="00AA1837">
        <w:rPr>
          <w:rFonts w:asciiTheme="minorHAnsi" w:hAnsiTheme="minorHAnsi"/>
        </w:rPr>
        <w:t>Mens</w:t>
      </w:r>
      <w:proofErr w:type="spellEnd"/>
      <w:r w:rsidR="00AA1837">
        <w:rPr>
          <w:rFonts w:asciiTheme="minorHAnsi" w:hAnsiTheme="minorHAnsi"/>
        </w:rPr>
        <w:t xml:space="preserve"> Rea and the Actus Reus are proven, then the defendant can be found innocent</w:t>
      </w:r>
      <w:r>
        <w:rPr>
          <w:rFonts w:asciiTheme="minorHAnsi" w:hAnsiTheme="minorHAnsi"/>
        </w:rPr>
        <w:t>, and if one cannot be proven, then it could lead to a charge of murder, for intent to kill, or manslaughter, without the intent to kill.</w:t>
      </w:r>
    </w:p>
    <w:p w14:paraId="34EA5AFF" w14:textId="77777777" w:rsidR="00426E29" w:rsidRDefault="00525016" w:rsidP="00525016">
      <w:pPr>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However, there is some controversy with this way of proving someone is guilty of a crime or not, and the way they are treated differently, if the </w:t>
      </w:r>
      <w:proofErr w:type="spellStart"/>
      <w:r>
        <w:rPr>
          <w:rFonts w:asciiTheme="minorHAnsi" w:eastAsia="Arial" w:hAnsiTheme="minorHAnsi" w:cstheme="minorHAnsi"/>
          <w:color w:val="000000" w:themeColor="text1"/>
          <w:sz w:val="24"/>
          <w:szCs w:val="24"/>
        </w:rPr>
        <w:t>Mens</w:t>
      </w:r>
      <w:proofErr w:type="spellEnd"/>
      <w:r>
        <w:rPr>
          <w:rFonts w:asciiTheme="minorHAnsi" w:eastAsia="Arial" w:hAnsiTheme="minorHAnsi" w:cstheme="minorHAnsi"/>
          <w:color w:val="000000" w:themeColor="text1"/>
          <w:sz w:val="24"/>
          <w:szCs w:val="24"/>
        </w:rPr>
        <w:t xml:space="preserve"> Rea, and Actus Reus can, or cannot be proven. For example, an example of one of these issues surrounds partial defence</w:t>
      </w:r>
      <w:r w:rsidR="00B64617">
        <w:rPr>
          <w:rFonts w:asciiTheme="minorHAnsi" w:eastAsia="Arial" w:hAnsiTheme="minorHAnsi" w:cstheme="minorHAnsi"/>
          <w:color w:val="000000" w:themeColor="text1"/>
          <w:sz w:val="24"/>
          <w:szCs w:val="24"/>
        </w:rPr>
        <w:t xml:space="preserve">. Partial Defence to Murder, can be defined 3 different situations, or reasoning for murder, them being the defendant </w:t>
      </w:r>
      <w:r w:rsidR="00DD18D9">
        <w:rPr>
          <w:rFonts w:asciiTheme="minorHAnsi" w:eastAsia="Arial" w:hAnsiTheme="minorHAnsi" w:cstheme="minorHAnsi"/>
          <w:color w:val="000000" w:themeColor="text1"/>
          <w:sz w:val="24"/>
          <w:szCs w:val="24"/>
        </w:rPr>
        <w:t>had</w:t>
      </w:r>
      <w:r w:rsidR="00B64617">
        <w:rPr>
          <w:rFonts w:asciiTheme="minorHAnsi" w:eastAsia="Arial" w:hAnsiTheme="minorHAnsi" w:cstheme="minorHAnsi"/>
          <w:color w:val="000000" w:themeColor="text1"/>
          <w:sz w:val="24"/>
          <w:szCs w:val="24"/>
        </w:rPr>
        <w:t xml:space="preserve"> ‘diminished responsibilities’</w:t>
      </w:r>
      <w:r w:rsidR="00DD18D9">
        <w:rPr>
          <w:rFonts w:asciiTheme="minorHAnsi" w:eastAsia="Arial" w:hAnsiTheme="minorHAnsi" w:cstheme="minorHAnsi"/>
          <w:color w:val="000000" w:themeColor="text1"/>
          <w:sz w:val="24"/>
          <w:szCs w:val="24"/>
        </w:rPr>
        <w:t xml:space="preserve"> through being intoxicated, or other influences that may affect their normal way of thinking</w:t>
      </w:r>
      <w:r w:rsidR="00B64617">
        <w:rPr>
          <w:rFonts w:asciiTheme="minorHAnsi" w:eastAsia="Arial" w:hAnsiTheme="minorHAnsi" w:cstheme="minorHAnsi"/>
          <w:color w:val="000000" w:themeColor="text1"/>
          <w:sz w:val="24"/>
          <w:szCs w:val="24"/>
        </w:rPr>
        <w:t xml:space="preserve">, </w:t>
      </w:r>
      <w:r w:rsidR="00DD18D9">
        <w:rPr>
          <w:rFonts w:asciiTheme="minorHAnsi" w:eastAsia="Arial" w:hAnsiTheme="minorHAnsi" w:cstheme="minorHAnsi"/>
          <w:color w:val="000000" w:themeColor="text1"/>
          <w:sz w:val="24"/>
          <w:szCs w:val="24"/>
        </w:rPr>
        <w:t>they experienced</w:t>
      </w:r>
      <w:r w:rsidR="00B64617">
        <w:rPr>
          <w:rFonts w:asciiTheme="minorHAnsi" w:eastAsia="Arial" w:hAnsiTheme="minorHAnsi" w:cstheme="minorHAnsi"/>
          <w:color w:val="000000" w:themeColor="text1"/>
          <w:sz w:val="24"/>
          <w:szCs w:val="24"/>
        </w:rPr>
        <w:t xml:space="preserve"> a ‘loss of control’</w:t>
      </w:r>
      <w:r w:rsidR="00DD18D9">
        <w:rPr>
          <w:rFonts w:asciiTheme="minorHAnsi" w:eastAsia="Arial" w:hAnsiTheme="minorHAnsi" w:cstheme="minorHAnsi"/>
          <w:color w:val="000000" w:themeColor="text1"/>
          <w:sz w:val="24"/>
          <w:szCs w:val="24"/>
        </w:rPr>
        <w:t xml:space="preserve"> such as acting out of rage, </w:t>
      </w:r>
      <w:r w:rsidR="00552AAE">
        <w:rPr>
          <w:rFonts w:asciiTheme="minorHAnsi" w:eastAsia="Arial" w:hAnsiTheme="minorHAnsi" w:cstheme="minorHAnsi"/>
          <w:color w:val="000000" w:themeColor="text1"/>
          <w:sz w:val="24"/>
          <w:szCs w:val="24"/>
        </w:rPr>
        <w:t>causing them to act violently and rash</w:t>
      </w:r>
      <w:r w:rsidR="00B64617">
        <w:rPr>
          <w:rFonts w:asciiTheme="minorHAnsi" w:eastAsia="Arial" w:hAnsiTheme="minorHAnsi" w:cstheme="minorHAnsi"/>
          <w:color w:val="000000" w:themeColor="text1"/>
          <w:sz w:val="24"/>
          <w:szCs w:val="24"/>
        </w:rPr>
        <w:t>, or even they killed “in pursuance of a suicide pact”</w:t>
      </w:r>
      <w:r w:rsidR="00552AAE">
        <w:rPr>
          <w:rFonts w:asciiTheme="minorHAnsi" w:eastAsia="Arial" w:hAnsiTheme="minorHAnsi" w:cstheme="minorHAnsi"/>
          <w:color w:val="000000" w:themeColor="text1"/>
          <w:sz w:val="24"/>
          <w:szCs w:val="24"/>
        </w:rPr>
        <w:t xml:space="preserve"> meaning they killed because the person dead said that the defendant would kill themselves also,</w:t>
      </w:r>
      <w:r w:rsidR="00B64617">
        <w:rPr>
          <w:rFonts w:asciiTheme="minorHAnsi" w:eastAsia="Arial" w:hAnsiTheme="minorHAnsi" w:cstheme="minorHAnsi"/>
          <w:color w:val="000000" w:themeColor="text1"/>
          <w:sz w:val="24"/>
          <w:szCs w:val="24"/>
        </w:rPr>
        <w:t xml:space="preserve"> as defined by the CPS </w:t>
      </w:r>
      <w:sdt>
        <w:sdtPr>
          <w:rPr>
            <w:rFonts w:asciiTheme="minorHAnsi" w:eastAsia="Arial" w:hAnsiTheme="minorHAnsi" w:cstheme="minorHAnsi"/>
            <w:color w:val="000000" w:themeColor="text1"/>
            <w:sz w:val="24"/>
            <w:szCs w:val="24"/>
          </w:rPr>
          <w:id w:val="1146467786"/>
          <w:citation/>
        </w:sdtPr>
        <w:sdtEndPr/>
        <w:sdtContent>
          <w:r w:rsidR="00B64617">
            <w:rPr>
              <w:rFonts w:asciiTheme="minorHAnsi" w:eastAsia="Arial" w:hAnsiTheme="minorHAnsi" w:cstheme="minorHAnsi"/>
              <w:color w:val="000000" w:themeColor="text1"/>
              <w:sz w:val="24"/>
              <w:szCs w:val="24"/>
            </w:rPr>
            <w:fldChar w:fldCharType="begin"/>
          </w:r>
          <w:r w:rsidR="00B64617">
            <w:rPr>
              <w:rFonts w:asciiTheme="minorHAnsi" w:eastAsia="Arial" w:hAnsiTheme="minorHAnsi" w:cstheme="minorHAnsi"/>
              <w:color w:val="000000" w:themeColor="text1"/>
              <w:sz w:val="24"/>
              <w:szCs w:val="24"/>
            </w:rPr>
            <w:instrText xml:space="preserve"> CITATION CPS19 \l 2057 </w:instrText>
          </w:r>
          <w:r w:rsidR="00B64617">
            <w:rPr>
              <w:rFonts w:asciiTheme="minorHAnsi" w:eastAsia="Arial" w:hAnsiTheme="minorHAnsi" w:cstheme="minorHAnsi"/>
              <w:color w:val="000000" w:themeColor="text1"/>
              <w:sz w:val="24"/>
              <w:szCs w:val="24"/>
            </w:rPr>
            <w:fldChar w:fldCharType="separate"/>
          </w:r>
          <w:r w:rsidR="00B64617" w:rsidRPr="00B64617">
            <w:rPr>
              <w:rFonts w:asciiTheme="minorHAnsi" w:eastAsia="Arial" w:hAnsiTheme="minorHAnsi" w:cstheme="minorHAnsi"/>
              <w:noProof/>
              <w:color w:val="000000" w:themeColor="text1"/>
              <w:sz w:val="24"/>
              <w:szCs w:val="24"/>
            </w:rPr>
            <w:t>(CPS, 2019)</w:t>
          </w:r>
          <w:r w:rsidR="00B64617">
            <w:rPr>
              <w:rFonts w:asciiTheme="minorHAnsi" w:eastAsia="Arial" w:hAnsiTheme="minorHAnsi" w:cstheme="minorHAnsi"/>
              <w:color w:val="000000" w:themeColor="text1"/>
              <w:sz w:val="24"/>
              <w:szCs w:val="24"/>
            </w:rPr>
            <w:fldChar w:fldCharType="end"/>
          </w:r>
        </w:sdtContent>
      </w:sdt>
      <w:r w:rsidR="00B64617">
        <w:rPr>
          <w:rFonts w:asciiTheme="minorHAnsi" w:eastAsia="Arial" w:hAnsiTheme="minorHAnsi" w:cstheme="minorHAnsi"/>
          <w:color w:val="000000" w:themeColor="text1"/>
          <w:sz w:val="24"/>
          <w:szCs w:val="24"/>
        </w:rPr>
        <w:t>.</w:t>
      </w:r>
      <w:r w:rsidR="00DD18D9">
        <w:rPr>
          <w:rFonts w:asciiTheme="minorHAnsi" w:eastAsia="Arial" w:hAnsiTheme="minorHAnsi" w:cstheme="minorHAnsi"/>
          <w:color w:val="000000" w:themeColor="text1"/>
          <w:sz w:val="24"/>
          <w:szCs w:val="24"/>
        </w:rPr>
        <w:t xml:space="preserve"> The problem</w:t>
      </w:r>
      <w:r w:rsidR="00552AAE">
        <w:rPr>
          <w:rFonts w:asciiTheme="minorHAnsi" w:eastAsia="Arial" w:hAnsiTheme="minorHAnsi" w:cstheme="minorHAnsi"/>
          <w:color w:val="000000" w:themeColor="text1"/>
          <w:sz w:val="24"/>
          <w:szCs w:val="24"/>
        </w:rPr>
        <w:t xml:space="preserve"> with this is, it can be taken advantage of, and can sway the sentence of the defendant in their favour. An example of this would be in the R v </w:t>
      </w:r>
      <w:proofErr w:type="spellStart"/>
      <w:r w:rsidR="00552AAE">
        <w:rPr>
          <w:rFonts w:asciiTheme="minorHAnsi" w:eastAsia="Arial" w:hAnsiTheme="minorHAnsi" w:cstheme="minorHAnsi"/>
          <w:color w:val="000000" w:themeColor="text1"/>
          <w:sz w:val="24"/>
          <w:szCs w:val="24"/>
        </w:rPr>
        <w:t>Woolin</w:t>
      </w:r>
      <w:proofErr w:type="spellEnd"/>
      <w:r w:rsidR="00552AAE">
        <w:rPr>
          <w:rFonts w:asciiTheme="minorHAnsi" w:eastAsia="Arial" w:hAnsiTheme="minorHAnsi" w:cstheme="minorHAnsi"/>
          <w:color w:val="000000" w:themeColor="text1"/>
          <w:sz w:val="24"/>
          <w:szCs w:val="24"/>
        </w:rPr>
        <w:t xml:space="preserve"> case I have found a case summary on</w:t>
      </w:r>
      <w:r w:rsidR="00763ED5">
        <w:rPr>
          <w:rFonts w:asciiTheme="minorHAnsi" w:eastAsia="Arial" w:hAnsiTheme="minorHAnsi" w:cstheme="minorHAnsi"/>
          <w:color w:val="000000" w:themeColor="text1"/>
          <w:sz w:val="24"/>
          <w:szCs w:val="24"/>
        </w:rPr>
        <w:t xml:space="preserve"> the Law teacher website </w:t>
      </w:r>
      <w:r w:rsidR="00552AAE">
        <w:rPr>
          <w:rFonts w:asciiTheme="minorHAnsi" w:eastAsia="Arial" w:hAnsiTheme="minorHAnsi" w:cstheme="minorHAnsi"/>
          <w:color w:val="000000" w:themeColor="text1"/>
          <w:sz w:val="24"/>
          <w:szCs w:val="24"/>
        </w:rPr>
        <w:t xml:space="preserve"> </w:t>
      </w:r>
      <w:sdt>
        <w:sdtPr>
          <w:rPr>
            <w:rFonts w:asciiTheme="minorHAnsi" w:eastAsia="Arial" w:hAnsiTheme="minorHAnsi" w:cstheme="minorHAnsi"/>
            <w:color w:val="000000" w:themeColor="text1"/>
            <w:sz w:val="24"/>
            <w:szCs w:val="24"/>
          </w:rPr>
          <w:id w:val="-38904667"/>
          <w:citation/>
        </w:sdtPr>
        <w:sdtEndPr/>
        <w:sdtContent>
          <w:r w:rsidR="00552AAE">
            <w:rPr>
              <w:rFonts w:asciiTheme="minorHAnsi" w:eastAsia="Arial" w:hAnsiTheme="minorHAnsi" w:cstheme="minorHAnsi"/>
              <w:color w:val="000000" w:themeColor="text1"/>
              <w:sz w:val="24"/>
              <w:szCs w:val="24"/>
            </w:rPr>
            <w:fldChar w:fldCharType="begin"/>
          </w:r>
          <w:r w:rsidR="00552AAE">
            <w:rPr>
              <w:rFonts w:asciiTheme="minorHAnsi" w:eastAsia="Arial" w:hAnsiTheme="minorHAnsi" w:cstheme="minorHAnsi"/>
              <w:color w:val="000000" w:themeColor="text1"/>
              <w:sz w:val="24"/>
              <w:szCs w:val="24"/>
            </w:rPr>
            <w:instrText xml:space="preserve">CITATION RvW21 \l 2057 </w:instrText>
          </w:r>
          <w:r w:rsidR="00552AAE">
            <w:rPr>
              <w:rFonts w:asciiTheme="minorHAnsi" w:eastAsia="Arial" w:hAnsiTheme="minorHAnsi" w:cstheme="minorHAnsi"/>
              <w:color w:val="000000" w:themeColor="text1"/>
              <w:sz w:val="24"/>
              <w:szCs w:val="24"/>
            </w:rPr>
            <w:fldChar w:fldCharType="separate"/>
          </w:r>
          <w:r w:rsidR="00552AAE" w:rsidRPr="00552AAE">
            <w:rPr>
              <w:rFonts w:asciiTheme="minorHAnsi" w:eastAsia="Arial" w:hAnsiTheme="minorHAnsi" w:cstheme="minorHAnsi"/>
              <w:noProof/>
              <w:color w:val="000000" w:themeColor="text1"/>
              <w:sz w:val="24"/>
              <w:szCs w:val="24"/>
            </w:rPr>
            <w:t>(Law Teacher, 2021)</w:t>
          </w:r>
          <w:r w:rsidR="00552AAE">
            <w:rPr>
              <w:rFonts w:asciiTheme="minorHAnsi" w:eastAsia="Arial" w:hAnsiTheme="minorHAnsi" w:cstheme="minorHAnsi"/>
              <w:color w:val="000000" w:themeColor="text1"/>
              <w:sz w:val="24"/>
              <w:szCs w:val="24"/>
            </w:rPr>
            <w:fldChar w:fldCharType="end"/>
          </w:r>
        </w:sdtContent>
      </w:sdt>
      <w:r w:rsidR="00552AAE">
        <w:rPr>
          <w:rFonts w:asciiTheme="minorHAnsi" w:eastAsia="Arial" w:hAnsiTheme="minorHAnsi" w:cstheme="minorHAnsi"/>
          <w:color w:val="000000" w:themeColor="text1"/>
          <w:sz w:val="24"/>
          <w:szCs w:val="24"/>
        </w:rPr>
        <w:t xml:space="preserve">. The case involved the “defendant throwing his </w:t>
      </w:r>
      <w:r w:rsidR="008808BE">
        <w:rPr>
          <w:rFonts w:asciiTheme="minorHAnsi" w:eastAsia="Arial" w:hAnsiTheme="minorHAnsi" w:cstheme="minorHAnsi"/>
          <w:color w:val="000000" w:themeColor="text1"/>
          <w:sz w:val="24"/>
          <w:szCs w:val="24"/>
        </w:rPr>
        <w:t>three month old</w:t>
      </w:r>
      <w:r w:rsidR="00552AAE">
        <w:rPr>
          <w:rFonts w:asciiTheme="minorHAnsi" w:eastAsia="Arial" w:hAnsiTheme="minorHAnsi" w:cstheme="minorHAnsi"/>
          <w:color w:val="000000" w:themeColor="text1"/>
          <w:sz w:val="24"/>
          <w:szCs w:val="24"/>
        </w:rPr>
        <w:t xml:space="preserve"> baby to the ground in frustration</w:t>
      </w:r>
      <w:r w:rsidR="008808BE">
        <w:rPr>
          <w:rFonts w:asciiTheme="minorHAnsi" w:eastAsia="Arial" w:hAnsiTheme="minorHAnsi" w:cstheme="minorHAnsi"/>
          <w:color w:val="000000" w:themeColor="text1"/>
          <w:sz w:val="24"/>
          <w:szCs w:val="24"/>
        </w:rPr>
        <w:t xml:space="preserve"> when it would not stop crying, leading to the baby dying from a fractured skull”. Due to partial defence, and the rules of </w:t>
      </w:r>
      <w:proofErr w:type="spellStart"/>
      <w:r w:rsidR="008808BE">
        <w:rPr>
          <w:rFonts w:asciiTheme="minorHAnsi" w:eastAsia="Arial" w:hAnsiTheme="minorHAnsi" w:cstheme="minorHAnsi"/>
          <w:color w:val="000000" w:themeColor="text1"/>
          <w:sz w:val="24"/>
          <w:szCs w:val="24"/>
        </w:rPr>
        <w:t>Mens</w:t>
      </w:r>
      <w:proofErr w:type="spellEnd"/>
      <w:r w:rsidR="008808BE">
        <w:rPr>
          <w:rFonts w:asciiTheme="minorHAnsi" w:eastAsia="Arial" w:hAnsiTheme="minorHAnsi" w:cstheme="minorHAnsi"/>
          <w:color w:val="000000" w:themeColor="text1"/>
          <w:sz w:val="24"/>
          <w:szCs w:val="24"/>
        </w:rPr>
        <w:t xml:space="preserve"> Rea and Actus Reus, “The court accepted that the defendant did not intend to cause serious harm to the child but the defendant foresaw there was a risk of causing serious harm to the baby as a result of his actions”. This means because there was no intent to kill the baby, at the moment it would class under manslaughter, as the </w:t>
      </w:r>
      <w:r w:rsidR="008808BE">
        <w:rPr>
          <w:rFonts w:asciiTheme="minorHAnsi" w:eastAsia="Arial" w:hAnsiTheme="minorHAnsi" w:cstheme="minorHAnsi"/>
          <w:color w:val="000000" w:themeColor="text1"/>
          <w:sz w:val="24"/>
          <w:szCs w:val="24"/>
        </w:rPr>
        <w:lastRenderedPageBreak/>
        <w:t xml:space="preserve">guilty mind cannot be proven, as he did not have the intent to kill the baby. The Court of Appeal upheld the murder conviction but “upon appeal, the House of Lords overturned the conviction for murder and substituted it for manslaughter”. </w:t>
      </w:r>
      <w:r w:rsidR="00426E29">
        <w:rPr>
          <w:rFonts w:asciiTheme="minorHAnsi" w:eastAsia="Arial" w:hAnsiTheme="minorHAnsi" w:cstheme="minorHAnsi"/>
          <w:color w:val="000000" w:themeColor="text1"/>
          <w:sz w:val="24"/>
          <w:szCs w:val="24"/>
        </w:rPr>
        <w:t xml:space="preserve">Morally, many people believe that this ruling from the House of Lords is wrong, as the defendant has acted recklessly, and killed the child because of his actions, by the hands of them. Due </w:t>
      </w:r>
      <w:r w:rsidR="004A57DE">
        <w:rPr>
          <w:rFonts w:asciiTheme="minorHAnsi" w:eastAsia="Arial" w:hAnsiTheme="minorHAnsi" w:cstheme="minorHAnsi"/>
          <w:color w:val="000000" w:themeColor="text1"/>
          <w:sz w:val="24"/>
          <w:szCs w:val="24"/>
        </w:rPr>
        <w:t>to there</w:t>
      </w:r>
      <w:r w:rsidR="00426E29">
        <w:rPr>
          <w:rFonts w:asciiTheme="minorHAnsi" w:eastAsia="Arial" w:hAnsiTheme="minorHAnsi" w:cstheme="minorHAnsi"/>
          <w:color w:val="000000" w:themeColor="text1"/>
          <w:sz w:val="24"/>
          <w:szCs w:val="24"/>
        </w:rPr>
        <w:t xml:space="preserve"> being no </w:t>
      </w:r>
      <w:proofErr w:type="spellStart"/>
      <w:r w:rsidR="00426E29">
        <w:rPr>
          <w:rFonts w:asciiTheme="minorHAnsi" w:eastAsia="Arial" w:hAnsiTheme="minorHAnsi" w:cstheme="minorHAnsi"/>
          <w:color w:val="000000" w:themeColor="text1"/>
          <w:sz w:val="24"/>
          <w:szCs w:val="24"/>
        </w:rPr>
        <w:t>Mens</w:t>
      </w:r>
      <w:proofErr w:type="spellEnd"/>
      <w:r w:rsidR="00426E29">
        <w:rPr>
          <w:rFonts w:asciiTheme="minorHAnsi" w:eastAsia="Arial" w:hAnsiTheme="minorHAnsi" w:cstheme="minorHAnsi"/>
          <w:color w:val="000000" w:themeColor="text1"/>
          <w:sz w:val="24"/>
          <w:szCs w:val="24"/>
        </w:rPr>
        <w:t xml:space="preserve"> Rea, the defendant has been able to get away with acting recklessly, and irresponsibly with their baby child. </w:t>
      </w:r>
    </w:p>
    <w:p w14:paraId="1DB1C0AE" w14:textId="77777777" w:rsidR="00426E29" w:rsidRDefault="00426E29" w:rsidP="00525016">
      <w:pPr>
        <w:rPr>
          <w:rFonts w:asciiTheme="minorHAnsi" w:eastAsia="Arial" w:hAnsiTheme="minorHAnsi" w:cstheme="minorHAnsi"/>
          <w:color w:val="000000" w:themeColor="text1"/>
          <w:sz w:val="24"/>
          <w:szCs w:val="24"/>
        </w:rPr>
      </w:pPr>
    </w:p>
    <w:p w14:paraId="47399719" w14:textId="77777777" w:rsidR="00C0181C" w:rsidRPr="00C0181C" w:rsidRDefault="00C0181C" w:rsidP="00C0181C">
      <w:pPr>
        <w:rPr>
          <w:rFonts w:asciiTheme="minorHAnsi" w:hAnsiTheme="minorHAnsi" w:cstheme="majorHAnsi"/>
          <w:color w:val="000000" w:themeColor="text1"/>
          <w:sz w:val="24"/>
          <w:szCs w:val="24"/>
        </w:rPr>
      </w:pPr>
      <w:r>
        <w:rPr>
          <w:rFonts w:asciiTheme="minorHAnsi" w:eastAsia="Arial" w:hAnsiTheme="minorHAnsi" w:cstheme="minorHAnsi"/>
          <w:color w:val="000000" w:themeColor="text1"/>
          <w:sz w:val="24"/>
          <w:szCs w:val="24"/>
        </w:rPr>
        <w:t xml:space="preserve">On the other hand, there is an example of the current </w:t>
      </w:r>
      <w:r w:rsidR="00426E29">
        <w:rPr>
          <w:rFonts w:asciiTheme="minorHAnsi" w:eastAsia="Arial" w:hAnsiTheme="minorHAnsi" w:cstheme="minorHAnsi"/>
          <w:color w:val="000000" w:themeColor="text1"/>
          <w:sz w:val="24"/>
          <w:szCs w:val="24"/>
        </w:rPr>
        <w:t>surrounding homicide in England and Wales</w:t>
      </w:r>
      <w:r w:rsidR="00763ED5">
        <w:rPr>
          <w:rFonts w:asciiTheme="minorHAnsi" w:eastAsia="Arial" w:hAnsiTheme="minorHAnsi" w:cstheme="minorHAnsi"/>
          <w:color w:val="000000" w:themeColor="text1"/>
          <w:sz w:val="24"/>
          <w:szCs w:val="24"/>
        </w:rPr>
        <w:t xml:space="preserve"> </w:t>
      </w:r>
      <w:r>
        <w:rPr>
          <w:rFonts w:asciiTheme="minorHAnsi" w:eastAsia="Arial" w:hAnsiTheme="minorHAnsi" w:cstheme="minorHAnsi"/>
          <w:color w:val="000000" w:themeColor="text1"/>
          <w:sz w:val="24"/>
          <w:szCs w:val="24"/>
        </w:rPr>
        <w:t xml:space="preserve">against the discussion of reform due to the </w:t>
      </w:r>
      <w:r w:rsidR="004A57DE">
        <w:rPr>
          <w:rFonts w:asciiTheme="minorHAnsi" w:eastAsia="Arial" w:hAnsiTheme="minorHAnsi" w:cstheme="minorHAnsi"/>
          <w:color w:val="000000" w:themeColor="text1"/>
          <w:sz w:val="24"/>
          <w:szCs w:val="24"/>
        </w:rPr>
        <w:t>defendant</w:t>
      </w:r>
      <w:r>
        <w:rPr>
          <w:rFonts w:asciiTheme="minorHAnsi" w:eastAsia="Arial" w:hAnsiTheme="minorHAnsi" w:cstheme="minorHAnsi"/>
          <w:color w:val="000000" w:themeColor="text1"/>
          <w:sz w:val="24"/>
          <w:szCs w:val="24"/>
        </w:rPr>
        <w:t>s actions, and that would be that of the</w:t>
      </w:r>
      <w:r w:rsidR="00426E29">
        <w:rPr>
          <w:rFonts w:asciiTheme="minorHAnsi" w:eastAsia="Arial" w:hAnsiTheme="minorHAnsi" w:cstheme="minorHAnsi"/>
          <w:color w:val="000000" w:themeColor="text1"/>
          <w:sz w:val="24"/>
          <w:szCs w:val="24"/>
        </w:rPr>
        <w:t xml:space="preserve"> case called R v Cheshire</w:t>
      </w:r>
      <w:r w:rsidR="00763ED5">
        <w:rPr>
          <w:rFonts w:asciiTheme="minorHAnsi" w:eastAsia="Arial" w:hAnsiTheme="minorHAnsi" w:cstheme="minorHAnsi"/>
          <w:color w:val="000000" w:themeColor="text1"/>
          <w:sz w:val="24"/>
          <w:szCs w:val="24"/>
        </w:rPr>
        <w:t xml:space="preserve"> on The Law teacher again </w:t>
      </w:r>
      <w:sdt>
        <w:sdtPr>
          <w:rPr>
            <w:rFonts w:asciiTheme="minorHAnsi" w:eastAsia="Arial" w:hAnsiTheme="minorHAnsi" w:cstheme="minorHAnsi"/>
            <w:color w:val="000000" w:themeColor="text1"/>
            <w:sz w:val="24"/>
            <w:szCs w:val="24"/>
          </w:rPr>
          <w:id w:val="2066449039"/>
          <w:citation/>
        </w:sdtPr>
        <w:sdtEndPr/>
        <w:sdtContent>
          <w:r w:rsidR="00763ED5">
            <w:rPr>
              <w:rFonts w:asciiTheme="minorHAnsi" w:eastAsia="Arial" w:hAnsiTheme="minorHAnsi" w:cstheme="minorHAnsi"/>
              <w:color w:val="000000" w:themeColor="text1"/>
              <w:sz w:val="24"/>
              <w:szCs w:val="24"/>
            </w:rPr>
            <w:fldChar w:fldCharType="begin"/>
          </w:r>
          <w:r w:rsidR="00763ED5">
            <w:rPr>
              <w:rFonts w:asciiTheme="minorHAnsi" w:eastAsia="Arial" w:hAnsiTheme="minorHAnsi" w:cstheme="minorHAnsi"/>
              <w:color w:val="000000" w:themeColor="text1"/>
              <w:sz w:val="24"/>
              <w:szCs w:val="24"/>
            </w:rPr>
            <w:instrText xml:space="preserve"> CITATION Law211 \l 2057 </w:instrText>
          </w:r>
          <w:r w:rsidR="00763ED5">
            <w:rPr>
              <w:rFonts w:asciiTheme="minorHAnsi" w:eastAsia="Arial" w:hAnsiTheme="minorHAnsi" w:cstheme="minorHAnsi"/>
              <w:color w:val="000000" w:themeColor="text1"/>
              <w:sz w:val="24"/>
              <w:szCs w:val="24"/>
            </w:rPr>
            <w:fldChar w:fldCharType="separate"/>
          </w:r>
          <w:r w:rsidR="00763ED5" w:rsidRPr="00763ED5">
            <w:rPr>
              <w:rFonts w:asciiTheme="minorHAnsi" w:eastAsia="Arial" w:hAnsiTheme="minorHAnsi" w:cstheme="minorHAnsi"/>
              <w:noProof/>
              <w:color w:val="000000" w:themeColor="text1"/>
              <w:sz w:val="24"/>
              <w:szCs w:val="24"/>
            </w:rPr>
            <w:t>(Law Teacher, 2021)</w:t>
          </w:r>
          <w:r w:rsidR="00763ED5">
            <w:rPr>
              <w:rFonts w:asciiTheme="minorHAnsi" w:eastAsia="Arial" w:hAnsiTheme="minorHAnsi" w:cstheme="minorHAnsi"/>
              <w:color w:val="000000" w:themeColor="text1"/>
              <w:sz w:val="24"/>
              <w:szCs w:val="24"/>
            </w:rPr>
            <w:fldChar w:fldCharType="end"/>
          </w:r>
        </w:sdtContent>
      </w:sdt>
      <w:r w:rsidR="00763ED5">
        <w:rPr>
          <w:rFonts w:asciiTheme="minorHAnsi" w:eastAsia="Arial" w:hAnsiTheme="minorHAnsi" w:cstheme="minorHAnsi"/>
          <w:color w:val="000000" w:themeColor="text1"/>
          <w:sz w:val="24"/>
          <w:szCs w:val="24"/>
        </w:rPr>
        <w:t xml:space="preserve"> The case states “Cheshire shot a man during the course of an argument. The victim was </w:t>
      </w:r>
      <w:r w:rsidR="004A57DE">
        <w:rPr>
          <w:rFonts w:asciiTheme="minorHAnsi" w:eastAsia="Arial" w:hAnsiTheme="minorHAnsi" w:cstheme="minorHAnsi"/>
          <w:color w:val="000000" w:themeColor="text1"/>
          <w:sz w:val="24"/>
          <w:szCs w:val="24"/>
        </w:rPr>
        <w:t>taken</w:t>
      </w:r>
      <w:r w:rsidR="00763ED5">
        <w:rPr>
          <w:rFonts w:asciiTheme="minorHAnsi" w:eastAsia="Arial" w:hAnsiTheme="minorHAnsi" w:cstheme="minorHAnsi"/>
          <w:color w:val="000000" w:themeColor="text1"/>
          <w:sz w:val="24"/>
          <w:szCs w:val="24"/>
        </w:rPr>
        <w:t xml:space="preserve"> to the hospital to have surgery and shortly after developed respiratory issues</w:t>
      </w:r>
      <w:r w:rsidR="004A57DE">
        <w:rPr>
          <w:rFonts w:asciiTheme="minorHAnsi" w:eastAsia="Arial" w:hAnsiTheme="minorHAnsi" w:cstheme="minorHAnsi"/>
          <w:color w:val="000000" w:themeColor="text1"/>
          <w:sz w:val="24"/>
          <w:szCs w:val="24"/>
        </w:rPr>
        <w:t>.” After the doctors had placed a tracheotomy tube and it had been 4 weeks since it was put in and it improved his condition for a time.</w:t>
      </w:r>
      <w:r>
        <w:rPr>
          <w:rFonts w:asciiTheme="minorHAnsi" w:eastAsia="Arial" w:hAnsiTheme="minorHAnsi" w:cstheme="minorHAnsi"/>
          <w:color w:val="000000" w:themeColor="text1"/>
          <w:sz w:val="24"/>
          <w:szCs w:val="24"/>
        </w:rPr>
        <w:t xml:space="preserve"> However, </w:t>
      </w:r>
      <w:r w:rsidRPr="00C0181C">
        <w:rPr>
          <w:rFonts w:asciiTheme="minorHAnsi" w:eastAsia="Arial" w:hAnsiTheme="minorHAnsi" w:cstheme="minorHAnsi"/>
          <w:color w:val="000000" w:themeColor="text1"/>
          <w:sz w:val="24"/>
          <w:szCs w:val="24"/>
        </w:rPr>
        <w:t>“</w:t>
      </w:r>
      <w:r w:rsidRPr="00C0181C">
        <w:rPr>
          <w:rFonts w:asciiTheme="minorHAnsi" w:eastAsia="Arial" w:hAnsiTheme="minorHAnsi" w:cstheme="majorHAnsi"/>
          <w:color w:val="000000" w:themeColor="text1"/>
          <w:sz w:val="24"/>
          <w:szCs w:val="24"/>
        </w:rPr>
        <w:t xml:space="preserve">Seven days later </w:t>
      </w:r>
      <w:r w:rsidRPr="00C0181C">
        <w:rPr>
          <w:rFonts w:asciiTheme="minorHAnsi" w:hAnsiTheme="minorHAnsi" w:cstheme="majorHAnsi"/>
          <w:color w:val="000000" w:themeColor="text1"/>
          <w:sz w:val="24"/>
          <w:szCs w:val="24"/>
          <w:shd w:val="clear" w:color="auto" w:fill="FFFFFF"/>
        </w:rPr>
        <w:t>the victim complained of respiratory issues, his condition soon worsened and he died shortly afterwards” Due to the tube that had been inserted</w:t>
      </w:r>
      <w:r>
        <w:rPr>
          <w:rFonts w:asciiTheme="minorHAnsi" w:hAnsiTheme="minorHAnsi" w:cstheme="majorHAnsi"/>
          <w:color w:val="000000" w:themeColor="text1"/>
          <w:sz w:val="24"/>
          <w:szCs w:val="24"/>
          <w:shd w:val="clear" w:color="auto" w:fill="FFFFFF"/>
        </w:rPr>
        <w:t xml:space="preserve"> had caused the victims windpipe to narrow, causing him further respiratory issues and struggles. </w:t>
      </w:r>
      <w:r w:rsidR="0091177B">
        <w:rPr>
          <w:rFonts w:asciiTheme="minorHAnsi" w:hAnsiTheme="minorHAnsi" w:cstheme="majorHAnsi"/>
          <w:color w:val="000000" w:themeColor="text1"/>
          <w:sz w:val="24"/>
          <w:szCs w:val="24"/>
          <w:shd w:val="clear" w:color="auto" w:fill="FFFFFF"/>
        </w:rPr>
        <w:t>However, the conviction still went ahead, and Cheshire was charged with murder, however he did appeal the conviction. The whole issue of this case was to judge what the cause of death really was, as the doctors failing to recognise the victims case worsening very well could have caused him to die. In the end, Cheshire lost his appeal, and the original charge of Murder was upheld. Although the medical treatment caused the victim to die, that didn’t ‘absolve the cause of why the victim needed surgery in the first place.</w:t>
      </w:r>
    </w:p>
    <w:p w14:paraId="0766634A" w14:textId="77777777" w:rsidR="00426E29" w:rsidRPr="00C0181C" w:rsidRDefault="00426E29" w:rsidP="00525016">
      <w:pPr>
        <w:rPr>
          <w:rFonts w:asciiTheme="minorHAnsi" w:eastAsia="Arial" w:hAnsiTheme="minorHAnsi" w:cstheme="majorHAnsi"/>
          <w:color w:val="000000" w:themeColor="text1"/>
          <w:sz w:val="24"/>
          <w:szCs w:val="24"/>
        </w:rPr>
      </w:pPr>
    </w:p>
    <w:p w14:paraId="7DFBD31D" w14:textId="77777777" w:rsidR="004A63A5" w:rsidRDefault="0091177B" w:rsidP="0091177B">
      <w:pPr>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Manslaughter has been debated also to be too wide for interpretation, and it should have a simpler definition. Manslaughter, can currently be defined as </w:t>
      </w:r>
      <w:r w:rsidR="00762D83">
        <w:rPr>
          <w:rFonts w:asciiTheme="minorHAnsi" w:eastAsia="Arial" w:hAnsiTheme="minorHAnsi" w:cstheme="minorHAnsi"/>
          <w:color w:val="000000" w:themeColor="text1"/>
          <w:sz w:val="24"/>
          <w:szCs w:val="24"/>
        </w:rPr>
        <w:t>“a homicide that is the unintentional killing of another person” as stated on the Stein and Mar</w:t>
      </w:r>
      <w:r w:rsidR="002F0F05">
        <w:rPr>
          <w:rFonts w:asciiTheme="minorHAnsi" w:eastAsia="Arial" w:hAnsiTheme="minorHAnsi" w:cstheme="minorHAnsi"/>
          <w:color w:val="000000" w:themeColor="text1"/>
          <w:sz w:val="24"/>
          <w:szCs w:val="24"/>
        </w:rPr>
        <w:t>k</w:t>
      </w:r>
      <w:r w:rsidR="00762D83">
        <w:rPr>
          <w:rFonts w:asciiTheme="minorHAnsi" w:eastAsia="Arial" w:hAnsiTheme="minorHAnsi" w:cstheme="minorHAnsi"/>
          <w:color w:val="000000" w:themeColor="text1"/>
          <w:sz w:val="24"/>
          <w:szCs w:val="24"/>
        </w:rPr>
        <w:t xml:space="preserve">us website </w:t>
      </w:r>
      <w:sdt>
        <w:sdtPr>
          <w:rPr>
            <w:rFonts w:asciiTheme="minorHAnsi" w:eastAsia="Arial" w:hAnsiTheme="minorHAnsi" w:cstheme="minorHAnsi"/>
            <w:color w:val="000000" w:themeColor="text1"/>
            <w:sz w:val="24"/>
            <w:szCs w:val="24"/>
          </w:rPr>
          <w:id w:val="1471862938"/>
          <w:citation/>
        </w:sdtPr>
        <w:sdtEndPr/>
        <w:sdtContent>
          <w:r w:rsidR="00762D83">
            <w:rPr>
              <w:rFonts w:asciiTheme="minorHAnsi" w:eastAsia="Arial" w:hAnsiTheme="minorHAnsi" w:cstheme="minorHAnsi"/>
              <w:color w:val="000000" w:themeColor="text1"/>
              <w:sz w:val="24"/>
              <w:szCs w:val="24"/>
            </w:rPr>
            <w:fldChar w:fldCharType="begin"/>
          </w:r>
          <w:r w:rsidR="002F0F05">
            <w:rPr>
              <w:rFonts w:asciiTheme="minorHAnsi" w:eastAsia="Arial" w:hAnsiTheme="minorHAnsi" w:cstheme="minorHAnsi"/>
              <w:color w:val="000000" w:themeColor="text1"/>
              <w:sz w:val="24"/>
              <w:szCs w:val="24"/>
            </w:rPr>
            <w:instrText xml:space="preserve">CITATION The19 \l 2057 </w:instrText>
          </w:r>
          <w:r w:rsidR="00762D83">
            <w:rPr>
              <w:rFonts w:asciiTheme="minorHAnsi" w:eastAsia="Arial" w:hAnsiTheme="minorHAnsi" w:cstheme="minorHAnsi"/>
              <w:color w:val="000000" w:themeColor="text1"/>
              <w:sz w:val="24"/>
              <w:szCs w:val="24"/>
            </w:rPr>
            <w:fldChar w:fldCharType="separate"/>
          </w:r>
          <w:r w:rsidR="002F0F05" w:rsidRPr="002F0F05">
            <w:rPr>
              <w:rFonts w:asciiTheme="minorHAnsi" w:eastAsia="Arial" w:hAnsiTheme="minorHAnsi" w:cstheme="minorHAnsi"/>
              <w:noProof/>
              <w:color w:val="000000" w:themeColor="text1"/>
              <w:sz w:val="24"/>
              <w:szCs w:val="24"/>
            </w:rPr>
            <w:t>(The Law office of Stein and Markus, 2019)</w:t>
          </w:r>
          <w:r w:rsidR="00762D83">
            <w:rPr>
              <w:rFonts w:asciiTheme="minorHAnsi" w:eastAsia="Arial" w:hAnsiTheme="minorHAnsi" w:cstheme="minorHAnsi"/>
              <w:color w:val="000000" w:themeColor="text1"/>
              <w:sz w:val="24"/>
              <w:szCs w:val="24"/>
            </w:rPr>
            <w:fldChar w:fldCharType="end"/>
          </w:r>
        </w:sdtContent>
      </w:sdt>
      <w:r w:rsidR="002F0F05">
        <w:rPr>
          <w:rFonts w:asciiTheme="minorHAnsi" w:eastAsia="Arial" w:hAnsiTheme="minorHAnsi" w:cstheme="minorHAnsi"/>
          <w:color w:val="000000" w:themeColor="text1"/>
          <w:sz w:val="24"/>
          <w:szCs w:val="24"/>
        </w:rPr>
        <w:t xml:space="preserve">. </w:t>
      </w:r>
    </w:p>
    <w:p w14:paraId="40DEF972" w14:textId="77777777" w:rsidR="002F0F05" w:rsidRDefault="002F0F05" w:rsidP="0091177B">
      <w:pPr>
        <w:rPr>
          <w:rFonts w:asciiTheme="minorHAnsi" w:eastAsia="Arial" w:hAnsiTheme="minorHAnsi" w:cstheme="minorHAnsi"/>
          <w:color w:val="000000" w:themeColor="text1"/>
          <w:sz w:val="24"/>
          <w:szCs w:val="24"/>
        </w:rPr>
      </w:pPr>
    </w:p>
    <w:p w14:paraId="45145245" w14:textId="77777777" w:rsidR="00FA4BC0" w:rsidRDefault="002F0F05" w:rsidP="00B33F83">
      <w:pPr>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But if there were to be a reform on homicide in England and Wales, what would it include? What laws would change? What would be the new process be like? </w:t>
      </w:r>
      <w:r w:rsidR="00B33F83">
        <w:rPr>
          <w:rFonts w:asciiTheme="minorHAnsi" w:eastAsia="Arial" w:hAnsiTheme="minorHAnsi" w:cstheme="minorHAnsi"/>
          <w:color w:val="000000" w:themeColor="text1"/>
          <w:sz w:val="24"/>
          <w:szCs w:val="24"/>
        </w:rPr>
        <w:t xml:space="preserve">Would </w:t>
      </w:r>
      <w:r w:rsidR="00B33F83">
        <w:rPr>
          <w:rFonts w:asciiTheme="minorHAnsi" w:hAnsiTheme="minorHAnsi"/>
          <w:sz w:val="24"/>
        </w:rPr>
        <w:t>the</w:t>
      </w:r>
      <w:r w:rsidR="004A63A5" w:rsidRPr="00B33F83">
        <w:rPr>
          <w:rFonts w:asciiTheme="minorHAnsi" w:eastAsia="Arial" w:hAnsiTheme="minorHAnsi" w:cstheme="minorHAnsi"/>
          <w:color w:val="000000" w:themeColor="text1"/>
          <w:sz w:val="24"/>
          <w:szCs w:val="24"/>
        </w:rPr>
        <w:t xml:space="preserve"> proposals that have been brought up to replace the current laws, and why have some been accepted and some been declined? </w:t>
      </w:r>
      <w:r w:rsidR="00B33F83" w:rsidRPr="00B33F83">
        <w:rPr>
          <w:rFonts w:asciiTheme="minorHAnsi" w:eastAsia="Arial" w:hAnsiTheme="minorHAnsi" w:cstheme="minorHAnsi"/>
          <w:color w:val="000000" w:themeColor="text1"/>
          <w:sz w:val="24"/>
          <w:szCs w:val="24"/>
        </w:rPr>
        <w:t>Would the new laws be able to identify though, who mean Malice better? As the old law not being able to recognise Malice in some of the defendants is what is the most controversial, including the case already mentioned</w:t>
      </w:r>
      <w:r w:rsidR="00B33F83">
        <w:rPr>
          <w:rFonts w:asciiTheme="minorHAnsi" w:eastAsia="Arial" w:hAnsiTheme="minorHAnsi" w:cstheme="minorHAnsi"/>
          <w:color w:val="000000" w:themeColor="text1"/>
          <w:sz w:val="24"/>
          <w:szCs w:val="24"/>
        </w:rPr>
        <w:t xml:space="preserve">, R v </w:t>
      </w:r>
      <w:proofErr w:type="spellStart"/>
      <w:r w:rsidR="00B33F83">
        <w:rPr>
          <w:rFonts w:asciiTheme="minorHAnsi" w:eastAsia="Arial" w:hAnsiTheme="minorHAnsi" w:cstheme="minorHAnsi"/>
          <w:color w:val="000000" w:themeColor="text1"/>
          <w:sz w:val="24"/>
          <w:szCs w:val="24"/>
        </w:rPr>
        <w:t>Woolins</w:t>
      </w:r>
      <w:proofErr w:type="spellEnd"/>
      <w:r w:rsidR="00B33F83">
        <w:rPr>
          <w:rFonts w:asciiTheme="minorHAnsi" w:eastAsia="Arial" w:hAnsiTheme="minorHAnsi" w:cstheme="minorHAnsi"/>
          <w:color w:val="000000" w:themeColor="text1"/>
          <w:sz w:val="24"/>
          <w:szCs w:val="24"/>
        </w:rPr>
        <w:t>, where the irresponsibility, should have added up to a murder charge. Malice can be identified as “the intention, without justification or excuse, to commit an act</w:t>
      </w:r>
      <w:r w:rsidR="00FA4BC0">
        <w:rPr>
          <w:rFonts w:asciiTheme="minorHAnsi" w:eastAsia="Arial" w:hAnsiTheme="minorHAnsi" w:cstheme="minorHAnsi"/>
          <w:color w:val="000000" w:themeColor="text1"/>
          <w:sz w:val="24"/>
          <w:szCs w:val="24"/>
        </w:rPr>
        <w:t xml:space="preserve"> that is unlawful”. As said by the Cornwall Law School </w:t>
      </w:r>
      <w:sdt>
        <w:sdtPr>
          <w:rPr>
            <w:rFonts w:asciiTheme="minorHAnsi" w:eastAsia="Arial" w:hAnsiTheme="minorHAnsi" w:cstheme="minorHAnsi"/>
            <w:color w:val="000000" w:themeColor="text1"/>
            <w:sz w:val="24"/>
            <w:szCs w:val="24"/>
          </w:rPr>
          <w:id w:val="-1714646380"/>
          <w:citation/>
        </w:sdtPr>
        <w:sdtEndPr/>
        <w:sdtContent>
          <w:r w:rsidR="00FA4BC0">
            <w:rPr>
              <w:rFonts w:asciiTheme="minorHAnsi" w:eastAsia="Arial" w:hAnsiTheme="minorHAnsi" w:cstheme="minorHAnsi"/>
              <w:color w:val="000000" w:themeColor="text1"/>
              <w:sz w:val="24"/>
              <w:szCs w:val="24"/>
            </w:rPr>
            <w:fldChar w:fldCharType="begin"/>
          </w:r>
          <w:r w:rsidR="00FA4BC0">
            <w:rPr>
              <w:rFonts w:asciiTheme="minorHAnsi" w:eastAsia="Arial" w:hAnsiTheme="minorHAnsi" w:cstheme="minorHAnsi"/>
              <w:color w:val="000000" w:themeColor="text1"/>
              <w:sz w:val="24"/>
              <w:szCs w:val="24"/>
            </w:rPr>
            <w:instrText xml:space="preserve"> CITATION Cor92 \l 2057 </w:instrText>
          </w:r>
          <w:r w:rsidR="00FA4BC0">
            <w:rPr>
              <w:rFonts w:asciiTheme="minorHAnsi" w:eastAsia="Arial" w:hAnsiTheme="minorHAnsi" w:cstheme="minorHAnsi"/>
              <w:color w:val="000000" w:themeColor="text1"/>
              <w:sz w:val="24"/>
              <w:szCs w:val="24"/>
            </w:rPr>
            <w:fldChar w:fldCharType="separate"/>
          </w:r>
          <w:r w:rsidR="00FA4BC0" w:rsidRPr="00FA4BC0">
            <w:rPr>
              <w:rFonts w:asciiTheme="minorHAnsi" w:eastAsia="Arial" w:hAnsiTheme="minorHAnsi" w:cstheme="minorHAnsi"/>
              <w:noProof/>
              <w:color w:val="000000" w:themeColor="text1"/>
              <w:sz w:val="24"/>
              <w:szCs w:val="24"/>
            </w:rPr>
            <w:t>(Cornwell Law School, 1992)</w:t>
          </w:r>
          <w:r w:rsidR="00FA4BC0">
            <w:rPr>
              <w:rFonts w:asciiTheme="minorHAnsi" w:eastAsia="Arial" w:hAnsiTheme="minorHAnsi" w:cstheme="minorHAnsi"/>
              <w:color w:val="000000" w:themeColor="text1"/>
              <w:sz w:val="24"/>
              <w:szCs w:val="24"/>
            </w:rPr>
            <w:fldChar w:fldCharType="end"/>
          </w:r>
        </w:sdtContent>
      </w:sdt>
      <w:r w:rsidR="00FA4BC0">
        <w:rPr>
          <w:rFonts w:asciiTheme="minorHAnsi" w:eastAsia="Arial" w:hAnsiTheme="minorHAnsi" w:cstheme="minorHAnsi"/>
          <w:color w:val="000000" w:themeColor="text1"/>
          <w:sz w:val="24"/>
          <w:szCs w:val="24"/>
        </w:rPr>
        <w:t>.</w:t>
      </w:r>
    </w:p>
    <w:p w14:paraId="37A50253" w14:textId="77777777" w:rsidR="00FA4BC0" w:rsidRDefault="00FA4BC0" w:rsidP="00B33F83">
      <w:pPr>
        <w:rPr>
          <w:rFonts w:asciiTheme="minorHAnsi" w:eastAsia="Arial" w:hAnsiTheme="minorHAnsi" w:cstheme="minorHAnsi"/>
          <w:color w:val="000000" w:themeColor="text1"/>
          <w:sz w:val="24"/>
          <w:szCs w:val="24"/>
        </w:rPr>
      </w:pPr>
    </w:p>
    <w:p w14:paraId="5056FB26" w14:textId="77777777" w:rsidR="00BC44AE" w:rsidRPr="00BC44AE" w:rsidRDefault="00FA4BC0" w:rsidP="00BC44AE">
      <w:pPr>
        <w:rPr>
          <w:rFonts w:asciiTheme="minorHAnsi" w:hAnsiTheme="minorHAnsi"/>
          <w:color w:val="000000" w:themeColor="text1"/>
          <w:sz w:val="28"/>
          <w:szCs w:val="24"/>
        </w:rPr>
      </w:pPr>
      <w:r>
        <w:rPr>
          <w:rFonts w:asciiTheme="minorHAnsi" w:eastAsia="Arial" w:hAnsiTheme="minorHAnsi" w:cstheme="minorHAnsi"/>
          <w:color w:val="000000" w:themeColor="text1"/>
          <w:sz w:val="24"/>
          <w:szCs w:val="24"/>
        </w:rPr>
        <w:t xml:space="preserve">Carrying on from the previous report on the Homicide law reform, Justice.org, a British law website </w:t>
      </w:r>
      <w:sdt>
        <w:sdtPr>
          <w:rPr>
            <w:rFonts w:asciiTheme="minorHAnsi" w:eastAsia="Arial" w:hAnsiTheme="minorHAnsi" w:cstheme="minorHAnsi"/>
            <w:color w:val="000000" w:themeColor="text1"/>
            <w:sz w:val="24"/>
            <w:szCs w:val="24"/>
          </w:rPr>
          <w:id w:val="-1594556636"/>
          <w:citation/>
        </w:sdtPr>
        <w:sdtEndPr/>
        <w:sdtContent>
          <w:r>
            <w:rPr>
              <w:rFonts w:asciiTheme="minorHAnsi" w:eastAsia="Arial" w:hAnsiTheme="minorHAnsi" w:cstheme="minorHAnsi"/>
              <w:color w:val="000000" w:themeColor="text1"/>
              <w:sz w:val="24"/>
              <w:szCs w:val="24"/>
            </w:rPr>
            <w:fldChar w:fldCharType="begin"/>
          </w:r>
          <w:r>
            <w:rPr>
              <w:rFonts w:asciiTheme="minorHAnsi" w:eastAsia="Arial" w:hAnsiTheme="minorHAnsi" w:cstheme="minorHAnsi"/>
              <w:color w:val="000000" w:themeColor="text1"/>
              <w:sz w:val="24"/>
              <w:szCs w:val="24"/>
            </w:rPr>
            <w:instrText xml:space="preserve"> CITATION Jus08 \l 2057 </w:instrText>
          </w:r>
          <w:r>
            <w:rPr>
              <w:rFonts w:asciiTheme="minorHAnsi" w:eastAsia="Arial" w:hAnsiTheme="minorHAnsi" w:cstheme="minorHAnsi"/>
              <w:color w:val="000000" w:themeColor="text1"/>
              <w:sz w:val="24"/>
              <w:szCs w:val="24"/>
            </w:rPr>
            <w:fldChar w:fldCharType="separate"/>
          </w:r>
          <w:r w:rsidRPr="00FA4BC0">
            <w:rPr>
              <w:rFonts w:asciiTheme="minorHAnsi" w:eastAsia="Arial" w:hAnsiTheme="minorHAnsi" w:cstheme="minorHAnsi"/>
              <w:noProof/>
              <w:color w:val="000000" w:themeColor="text1"/>
              <w:sz w:val="24"/>
              <w:szCs w:val="24"/>
            </w:rPr>
            <w:t>(Justice, 2008)</w:t>
          </w:r>
          <w:r>
            <w:rPr>
              <w:rFonts w:asciiTheme="minorHAnsi" w:eastAsia="Arial" w:hAnsiTheme="minorHAnsi" w:cstheme="minorHAnsi"/>
              <w:color w:val="000000" w:themeColor="text1"/>
              <w:sz w:val="24"/>
              <w:szCs w:val="24"/>
            </w:rPr>
            <w:fldChar w:fldCharType="end"/>
          </w:r>
        </w:sdtContent>
      </w:sdt>
      <w:r>
        <w:rPr>
          <w:rFonts w:asciiTheme="minorHAnsi" w:eastAsia="Arial" w:hAnsiTheme="minorHAnsi" w:cstheme="minorHAnsi"/>
          <w:color w:val="000000" w:themeColor="text1"/>
          <w:sz w:val="24"/>
          <w:szCs w:val="24"/>
        </w:rPr>
        <w:t>, It is important for the laws to change, as “any amendment of the law of homicide is, naturally important-both because homicide offences are amongst the most serious of all criminal offences” and “will result in serious restrictions upon the liberty of the offender</w:t>
      </w:r>
      <w:r w:rsidR="006B260C">
        <w:rPr>
          <w:rFonts w:asciiTheme="minorHAnsi" w:eastAsia="Arial" w:hAnsiTheme="minorHAnsi" w:cstheme="minorHAnsi"/>
          <w:color w:val="000000" w:themeColor="text1"/>
          <w:sz w:val="24"/>
          <w:szCs w:val="24"/>
        </w:rPr>
        <w:t xml:space="preserve">, and </w:t>
      </w:r>
      <w:r w:rsidR="006B260C" w:rsidRPr="006B260C">
        <w:rPr>
          <w:rFonts w:asciiTheme="minorHAnsi" w:eastAsia="Arial" w:hAnsiTheme="minorHAnsi" w:cstheme="minorHAnsi"/>
          <w:color w:val="000000" w:themeColor="text1"/>
          <w:sz w:val="24"/>
          <w:szCs w:val="24"/>
        </w:rPr>
        <w:t xml:space="preserve">because </w:t>
      </w:r>
      <w:r w:rsidR="006B260C" w:rsidRPr="006B260C">
        <w:rPr>
          <w:rFonts w:asciiTheme="minorHAnsi" w:hAnsiTheme="minorHAnsi"/>
          <w:color w:val="000000" w:themeColor="text1"/>
          <w:sz w:val="24"/>
          <w:szCs w:val="24"/>
          <w:shd w:val="clear" w:color="auto" w:fill="FFFFFF"/>
        </w:rPr>
        <w:t>they form part of the state’s obligations to protect the right to life under Article 2 European Convention on Human Rights (ECHR</w:t>
      </w:r>
      <w:r w:rsidR="006B260C">
        <w:rPr>
          <w:rFonts w:asciiTheme="minorHAnsi" w:hAnsiTheme="minorHAnsi"/>
          <w:color w:val="000000" w:themeColor="text1"/>
          <w:sz w:val="24"/>
          <w:szCs w:val="24"/>
          <w:shd w:val="clear" w:color="auto" w:fill="FFFFFF"/>
        </w:rPr>
        <w:t xml:space="preserve">)” This shows that, the new Homicide law reform will fix loopholes in the old reform. The website also states what the </w:t>
      </w:r>
      <w:r w:rsidR="006B260C">
        <w:rPr>
          <w:rFonts w:asciiTheme="minorHAnsi" w:hAnsiTheme="minorHAnsi"/>
          <w:color w:val="000000" w:themeColor="text1"/>
          <w:sz w:val="24"/>
          <w:szCs w:val="24"/>
          <w:shd w:val="clear" w:color="auto" w:fill="FFFFFF"/>
        </w:rPr>
        <w:lastRenderedPageBreak/>
        <w:t xml:space="preserve">Law commission, the people behind the reform, actually proposed in 2006. It states the Law commission proposed a “three-tier system of </w:t>
      </w:r>
      <w:r w:rsidR="006B260C" w:rsidRPr="006B260C">
        <w:rPr>
          <w:rFonts w:asciiTheme="minorHAnsi" w:hAnsiTheme="minorHAnsi"/>
          <w:color w:val="000000" w:themeColor="text1"/>
          <w:sz w:val="24"/>
          <w:szCs w:val="24"/>
          <w:shd w:val="clear" w:color="auto" w:fill="FFFFFF"/>
        </w:rPr>
        <w:t>general homicide o</w:t>
      </w:r>
      <w:r w:rsidR="006B260C" w:rsidRPr="006B260C">
        <w:rPr>
          <w:rFonts w:asciiTheme="minorHAnsi" w:hAnsiTheme="minorHAnsi"/>
          <w:color w:val="000000" w:themeColor="text1"/>
          <w:sz w:val="24"/>
          <w:szCs w:val="22"/>
          <w:shd w:val="clear" w:color="auto" w:fill="FFFFFF"/>
        </w:rPr>
        <w:t>ffences: first degree murder</w:t>
      </w:r>
      <w:r w:rsidR="006B260C">
        <w:rPr>
          <w:rFonts w:asciiTheme="minorHAnsi" w:hAnsiTheme="minorHAnsi"/>
          <w:color w:val="000000" w:themeColor="text1"/>
          <w:sz w:val="24"/>
          <w:szCs w:val="22"/>
          <w:shd w:val="clear" w:color="auto" w:fill="FFFFFF"/>
        </w:rPr>
        <w:t>” which inflicted a mandatory life sentence in prison, “</w:t>
      </w:r>
      <w:r w:rsidR="006B260C" w:rsidRPr="006B260C">
        <w:rPr>
          <w:rFonts w:asciiTheme="minorHAnsi" w:hAnsiTheme="minorHAnsi"/>
          <w:color w:val="000000" w:themeColor="text1"/>
          <w:sz w:val="24"/>
          <w:szCs w:val="22"/>
          <w:shd w:val="clear" w:color="auto" w:fill="FFFFFF"/>
        </w:rPr>
        <w:t>second degree murder</w:t>
      </w:r>
      <w:r w:rsidR="006B260C">
        <w:rPr>
          <w:rFonts w:asciiTheme="minorHAnsi" w:hAnsiTheme="minorHAnsi"/>
          <w:color w:val="000000" w:themeColor="text1"/>
          <w:sz w:val="24"/>
          <w:szCs w:val="22"/>
          <w:shd w:val="clear" w:color="auto" w:fill="FFFFFF"/>
        </w:rPr>
        <w:t xml:space="preserve">” which would have a discretionary life sentence (meaning it would be up to the defendant to make people aware of it) as well as </w:t>
      </w:r>
      <w:r w:rsidR="00BC44AE">
        <w:rPr>
          <w:rFonts w:asciiTheme="minorHAnsi" w:hAnsiTheme="minorHAnsi"/>
          <w:color w:val="000000" w:themeColor="text1"/>
          <w:sz w:val="24"/>
          <w:szCs w:val="22"/>
          <w:shd w:val="clear" w:color="auto" w:fill="FFFFFF"/>
        </w:rPr>
        <w:t>“</w:t>
      </w:r>
      <w:r w:rsidR="006B260C">
        <w:rPr>
          <w:rFonts w:asciiTheme="minorHAnsi" w:hAnsiTheme="minorHAnsi"/>
          <w:color w:val="000000" w:themeColor="text1"/>
          <w:sz w:val="24"/>
          <w:szCs w:val="22"/>
          <w:shd w:val="clear" w:color="auto" w:fill="FFFFFF"/>
        </w:rPr>
        <w:t>Manslaughter</w:t>
      </w:r>
      <w:r w:rsidR="00BC44AE">
        <w:rPr>
          <w:rFonts w:asciiTheme="minorHAnsi" w:hAnsiTheme="minorHAnsi"/>
          <w:color w:val="000000" w:themeColor="text1"/>
          <w:sz w:val="24"/>
          <w:szCs w:val="22"/>
          <w:shd w:val="clear" w:color="auto" w:fill="FFFFFF"/>
        </w:rPr>
        <w:t>”. However, the Government “elected not to proceed with the reforms”, but in the wake of the ideas created “</w:t>
      </w:r>
      <w:r w:rsidR="00BC44AE" w:rsidRPr="00BC44AE">
        <w:rPr>
          <w:rFonts w:asciiTheme="minorHAnsi" w:hAnsiTheme="minorHAnsi"/>
          <w:color w:val="000000" w:themeColor="text1"/>
          <w:sz w:val="24"/>
          <w:szCs w:val="22"/>
          <w:shd w:val="clear" w:color="auto" w:fill="FFFFFF"/>
        </w:rPr>
        <w:t>proposals regarding provocation and diminished responsibility, which in its conception would as now reduce murder to manslaughter</w:t>
      </w:r>
      <w:r w:rsidR="00E42CBA">
        <w:rPr>
          <w:rFonts w:asciiTheme="minorHAnsi" w:hAnsiTheme="minorHAnsi"/>
          <w:color w:val="000000" w:themeColor="text1"/>
          <w:sz w:val="24"/>
          <w:szCs w:val="22"/>
          <w:shd w:val="clear" w:color="auto" w:fill="FFFFFF"/>
        </w:rPr>
        <w:t>” This means, the reform was impactful, as it caused the government to act on some of the falls of the previous law. However, this created diminished responsibility, which meant that people can’t be found as liable, if they are found under the influence unnormal circumstances</w:t>
      </w:r>
      <w:r w:rsidR="00BC44AE" w:rsidRPr="00BC44AE">
        <w:rPr>
          <w:rFonts w:asciiTheme="minorHAnsi" w:hAnsiTheme="minorHAnsi"/>
          <w:color w:val="000000" w:themeColor="text1"/>
          <w:sz w:val="24"/>
          <w:szCs w:val="22"/>
          <w:shd w:val="clear" w:color="auto" w:fill="FFFFFF"/>
        </w:rPr>
        <w:t>. </w:t>
      </w:r>
    </w:p>
    <w:p w14:paraId="33EDC835" w14:textId="77777777" w:rsidR="00BC44AE" w:rsidRDefault="00BC44AE" w:rsidP="006B260C">
      <w:pPr>
        <w:rPr>
          <w:rFonts w:asciiTheme="minorHAnsi" w:hAnsiTheme="minorHAnsi"/>
          <w:color w:val="000000" w:themeColor="text1"/>
          <w:sz w:val="24"/>
          <w:szCs w:val="22"/>
          <w:shd w:val="clear" w:color="auto" w:fill="FFFFFF"/>
        </w:rPr>
      </w:pPr>
    </w:p>
    <w:p w14:paraId="44266635" w14:textId="77777777" w:rsidR="00E42CBA" w:rsidRPr="00987312" w:rsidRDefault="00BC44AE" w:rsidP="00E42CBA">
      <w:pPr>
        <w:jc w:val="both"/>
        <w:rPr>
          <w:rFonts w:asciiTheme="majorHAnsi" w:eastAsia="Arial" w:hAnsiTheme="majorHAnsi" w:cstheme="majorHAnsi"/>
          <w:sz w:val="28"/>
          <w:szCs w:val="24"/>
        </w:rPr>
      </w:pPr>
      <w:r>
        <w:rPr>
          <w:rFonts w:asciiTheme="minorHAnsi" w:hAnsiTheme="minorHAnsi"/>
          <w:color w:val="000000" w:themeColor="text1"/>
          <w:sz w:val="24"/>
          <w:szCs w:val="22"/>
          <w:shd w:val="clear" w:color="auto" w:fill="FFFFFF"/>
        </w:rPr>
        <w:t>There should be a reform in homicide laws in England and Wales as we know it</w:t>
      </w:r>
      <w:r w:rsidR="00E42CBA">
        <w:rPr>
          <w:rFonts w:asciiTheme="minorHAnsi" w:hAnsiTheme="minorHAnsi"/>
          <w:color w:val="000000" w:themeColor="text1"/>
          <w:sz w:val="24"/>
          <w:szCs w:val="22"/>
          <w:shd w:val="clear" w:color="auto" w:fill="FFFFFF"/>
        </w:rPr>
        <w:t xml:space="preserve">, as I have found credible information, that backs that the reform of 2005, would have amended the flawed aspects of the current law regarding Homicide in England and Wales. From further research into Homicide statistics from the House of Commons website </w:t>
      </w:r>
      <w:sdt>
        <w:sdtPr>
          <w:rPr>
            <w:rFonts w:asciiTheme="minorHAnsi" w:eastAsia="Arial" w:hAnsiTheme="minorHAnsi" w:cstheme="majorHAnsi"/>
            <w:color w:val="000000" w:themeColor="text1"/>
            <w:sz w:val="24"/>
            <w:szCs w:val="24"/>
          </w:rPr>
          <w:id w:val="-1691517953"/>
          <w:citation/>
        </w:sdtPr>
        <w:sdtEndPr/>
        <w:sdtContent>
          <w:r w:rsidR="00E42CBA" w:rsidRPr="00E42CBA">
            <w:rPr>
              <w:rFonts w:asciiTheme="minorHAnsi" w:eastAsia="Arial" w:hAnsiTheme="minorHAnsi" w:cstheme="majorHAnsi"/>
              <w:color w:val="000000" w:themeColor="text1"/>
              <w:sz w:val="24"/>
              <w:szCs w:val="24"/>
            </w:rPr>
            <w:fldChar w:fldCharType="begin"/>
          </w:r>
          <w:r w:rsidR="00E42CBA" w:rsidRPr="00E42CBA">
            <w:rPr>
              <w:rFonts w:asciiTheme="minorHAnsi" w:eastAsia="Arial" w:hAnsiTheme="minorHAnsi" w:cstheme="majorHAnsi"/>
              <w:color w:val="000000" w:themeColor="text1"/>
              <w:sz w:val="24"/>
              <w:szCs w:val="24"/>
            </w:rPr>
            <w:instrText xml:space="preserve"> CITATION All21 \l 2057 </w:instrText>
          </w:r>
          <w:r w:rsidR="00E42CBA" w:rsidRPr="00E42CBA">
            <w:rPr>
              <w:rFonts w:asciiTheme="minorHAnsi" w:eastAsia="Arial" w:hAnsiTheme="minorHAnsi" w:cstheme="majorHAnsi"/>
              <w:color w:val="000000" w:themeColor="text1"/>
              <w:sz w:val="24"/>
              <w:szCs w:val="24"/>
            </w:rPr>
            <w:fldChar w:fldCharType="separate"/>
          </w:r>
          <w:r w:rsidR="00E42CBA" w:rsidRPr="00E42CBA">
            <w:rPr>
              <w:rFonts w:asciiTheme="minorHAnsi" w:eastAsia="Arial" w:hAnsiTheme="minorHAnsi" w:cstheme="majorHAnsi"/>
              <w:noProof/>
              <w:color w:val="000000" w:themeColor="text1"/>
              <w:sz w:val="24"/>
              <w:szCs w:val="24"/>
            </w:rPr>
            <w:t>(Allen &amp; Zayed, 2021)</w:t>
          </w:r>
          <w:r w:rsidR="00E42CBA" w:rsidRPr="00E42CBA">
            <w:rPr>
              <w:rFonts w:asciiTheme="minorHAnsi" w:eastAsia="Arial" w:hAnsiTheme="minorHAnsi" w:cstheme="majorHAnsi"/>
              <w:color w:val="000000" w:themeColor="text1"/>
              <w:sz w:val="24"/>
              <w:szCs w:val="24"/>
            </w:rPr>
            <w:fldChar w:fldCharType="end"/>
          </w:r>
        </w:sdtContent>
      </w:sdt>
      <w:r w:rsidR="00E42CBA">
        <w:rPr>
          <w:rFonts w:asciiTheme="minorHAnsi" w:eastAsia="Arial" w:hAnsiTheme="minorHAnsi" w:cstheme="majorHAnsi"/>
          <w:color w:val="000000" w:themeColor="text1"/>
          <w:sz w:val="24"/>
          <w:szCs w:val="24"/>
        </w:rPr>
        <w:t xml:space="preserve">, Homicide cases have been on a gradual rise since 2015-2020, going from </w:t>
      </w:r>
      <w:r w:rsidR="00176B52">
        <w:rPr>
          <w:rFonts w:asciiTheme="minorHAnsi" w:eastAsia="Arial" w:hAnsiTheme="minorHAnsi" w:cstheme="majorHAnsi"/>
          <w:color w:val="000000" w:themeColor="text1"/>
          <w:sz w:val="24"/>
          <w:szCs w:val="24"/>
        </w:rPr>
        <w:t>a rate of 540 homicide cases between men and women in 2015, to 694 homicides between men and women, showing there is an increase. This is why the UK government, desperately need to create a new reform of these laws, as by the statistics, it looks as if the homicide rate is on the rise.</w:t>
      </w:r>
    </w:p>
    <w:p w14:paraId="102BC7A3" w14:textId="77777777" w:rsidR="00BC44AE" w:rsidRDefault="00BC44AE" w:rsidP="006B260C">
      <w:pPr>
        <w:rPr>
          <w:rFonts w:asciiTheme="minorHAnsi" w:hAnsiTheme="minorHAnsi"/>
          <w:color w:val="000000" w:themeColor="text1"/>
          <w:sz w:val="24"/>
          <w:szCs w:val="22"/>
          <w:shd w:val="clear" w:color="auto" w:fill="FFFFFF"/>
        </w:rPr>
      </w:pPr>
    </w:p>
    <w:sdt>
      <w:sdtPr>
        <w:rPr>
          <w:rFonts w:ascii="Times New Roman" w:eastAsia="Times New Roman" w:hAnsi="Times New Roman" w:cs="Times New Roman"/>
          <w:b w:val="0"/>
          <w:bCs w:val="0"/>
          <w:color w:val="auto"/>
          <w:sz w:val="20"/>
          <w:szCs w:val="20"/>
          <w:lang w:val="en-GB" w:bidi="ar-SA"/>
        </w:rPr>
        <w:id w:val="267284368"/>
        <w:docPartObj>
          <w:docPartGallery w:val="Bibliographies"/>
          <w:docPartUnique/>
        </w:docPartObj>
      </w:sdtPr>
      <w:sdtEndPr/>
      <w:sdtContent>
        <w:p w14:paraId="7A967D85" w14:textId="77777777" w:rsidR="00176B52" w:rsidRDefault="00176B52">
          <w:pPr>
            <w:pStyle w:val="Heading1"/>
          </w:pPr>
          <w:r>
            <w:t>Bibliography</w:t>
          </w:r>
        </w:p>
        <w:sdt>
          <w:sdtPr>
            <w:id w:val="111145805"/>
            <w:bibliography/>
          </w:sdtPr>
          <w:sdtEndPr/>
          <w:sdtContent>
            <w:p w14:paraId="7A5A5831" w14:textId="77777777" w:rsidR="00176B52" w:rsidRDefault="00176B52" w:rsidP="00176B52">
              <w:pPr>
                <w:pStyle w:val="Bibliography"/>
                <w:rPr>
                  <w:noProof/>
                  <w:sz w:val="24"/>
                  <w:szCs w:val="24"/>
                  <w:lang w:val="en-US"/>
                </w:rPr>
              </w:pPr>
              <w:r>
                <w:fldChar w:fldCharType="begin"/>
              </w:r>
              <w:r>
                <w:instrText xml:space="preserve"> BIBLIOGRAPHY </w:instrText>
              </w:r>
              <w:r>
                <w:fldChar w:fldCharType="separate"/>
              </w:r>
              <w:r>
                <w:rPr>
                  <w:noProof/>
                  <w:lang w:val="en-US"/>
                </w:rPr>
                <w:t xml:space="preserve">Allen, G. &amp; Zayed, Y., 2021. </w:t>
              </w:r>
              <w:r>
                <w:rPr>
                  <w:i/>
                  <w:iCs/>
                  <w:noProof/>
                  <w:lang w:val="en-US"/>
                </w:rPr>
                <w:t xml:space="preserve">Homicide Statistics. </w:t>
              </w:r>
              <w:r>
                <w:rPr>
                  <w:noProof/>
                  <w:lang w:val="en-US"/>
                </w:rPr>
                <w:t xml:space="preserve">[Online] </w:t>
              </w:r>
              <w:r>
                <w:rPr>
                  <w:noProof/>
                  <w:lang w:val="en-US"/>
                </w:rPr>
                <w:br/>
                <w:t xml:space="preserve">Available at: </w:t>
              </w:r>
              <w:r>
                <w:rPr>
                  <w:noProof/>
                  <w:u w:val="single"/>
                  <w:lang w:val="en-US"/>
                </w:rPr>
                <w:t>https://researchbriefings.files.parliament.uk/documents/CBP-8224/CBP-8224.pdf</w:t>
              </w:r>
              <w:r>
                <w:rPr>
                  <w:noProof/>
                  <w:lang w:val="en-US"/>
                </w:rPr>
                <w:br/>
                <w:t>[Accessed 25 October 2021].</w:t>
              </w:r>
            </w:p>
            <w:p w14:paraId="76F639D2" w14:textId="77777777" w:rsidR="00176B52" w:rsidRDefault="00176B52" w:rsidP="00176B52">
              <w:pPr>
                <w:pStyle w:val="Bibliography"/>
                <w:rPr>
                  <w:noProof/>
                  <w:lang w:val="en-US"/>
                </w:rPr>
              </w:pPr>
              <w:r>
                <w:rPr>
                  <w:noProof/>
                  <w:lang w:val="en-US"/>
                </w:rPr>
                <w:t xml:space="preserve">Cornwell Law School, 1992. </w:t>
              </w:r>
              <w:r>
                <w:rPr>
                  <w:i/>
                  <w:iCs/>
                  <w:noProof/>
                  <w:lang w:val="en-US"/>
                </w:rPr>
                <w:t xml:space="preserve">Legal Information Institute. </w:t>
              </w:r>
              <w:r>
                <w:rPr>
                  <w:noProof/>
                  <w:lang w:val="en-US"/>
                </w:rPr>
                <w:t xml:space="preserve">[Online] </w:t>
              </w:r>
              <w:r>
                <w:rPr>
                  <w:noProof/>
                  <w:lang w:val="en-US"/>
                </w:rPr>
                <w:br/>
                <w:t xml:space="preserve">Available at: </w:t>
              </w:r>
              <w:r>
                <w:rPr>
                  <w:noProof/>
                  <w:u w:val="single"/>
                  <w:lang w:val="en-US"/>
                </w:rPr>
                <w:t>https://www.law.cornell.edu/wex/malice</w:t>
              </w:r>
              <w:r>
                <w:rPr>
                  <w:noProof/>
                  <w:lang w:val="en-US"/>
                </w:rPr>
                <w:br/>
                <w:t>[Accessed 5 November 2021].</w:t>
              </w:r>
            </w:p>
            <w:p w14:paraId="5F152E64" w14:textId="77777777" w:rsidR="00176B52" w:rsidRDefault="00176B52" w:rsidP="00176B52">
              <w:pPr>
                <w:pStyle w:val="Bibliography"/>
                <w:rPr>
                  <w:noProof/>
                  <w:lang w:val="en-US"/>
                </w:rPr>
              </w:pPr>
              <w:r>
                <w:rPr>
                  <w:noProof/>
                  <w:lang w:val="en-US"/>
                </w:rPr>
                <w:t xml:space="preserve">CPS, 2019. </w:t>
              </w:r>
              <w:r>
                <w:rPr>
                  <w:i/>
                  <w:iCs/>
                  <w:noProof/>
                  <w:lang w:val="en-US"/>
                </w:rPr>
                <w:t xml:space="preserve">Homicide: Murder and Manslaughter. </w:t>
              </w:r>
              <w:r>
                <w:rPr>
                  <w:noProof/>
                  <w:lang w:val="en-US"/>
                </w:rPr>
                <w:t xml:space="preserve">[Online] </w:t>
              </w:r>
              <w:r>
                <w:rPr>
                  <w:noProof/>
                  <w:lang w:val="en-US"/>
                </w:rPr>
                <w:br/>
                <w:t xml:space="preserve">Available at: </w:t>
              </w:r>
              <w:r>
                <w:rPr>
                  <w:noProof/>
                  <w:u w:val="single"/>
                  <w:lang w:val="en-US"/>
                </w:rPr>
                <w:t>https://www.cps.gov.uk/legal-guidance/homicide-murder-and-manslaughter</w:t>
              </w:r>
              <w:r>
                <w:rPr>
                  <w:noProof/>
                  <w:lang w:val="en-US"/>
                </w:rPr>
                <w:br/>
                <w:t>[Accessed 5 November 2021].</w:t>
              </w:r>
            </w:p>
            <w:p w14:paraId="4AA18AF8" w14:textId="77777777" w:rsidR="00176B52" w:rsidRDefault="00176B52" w:rsidP="00176B52">
              <w:pPr>
                <w:pStyle w:val="Bibliography"/>
                <w:rPr>
                  <w:noProof/>
                  <w:lang w:val="en-US"/>
                </w:rPr>
              </w:pPr>
              <w:r>
                <w:rPr>
                  <w:noProof/>
                  <w:lang w:val="en-US"/>
                </w:rPr>
                <w:t xml:space="preserve">Hughes, D., 2005. </w:t>
              </w:r>
              <w:r>
                <w:rPr>
                  <w:i/>
                  <w:iCs/>
                  <w:noProof/>
                  <w:lang w:val="en-US"/>
                </w:rPr>
                <w:t xml:space="preserve">A NEW HOMICIDE ACT FOR ENGLAND AND WALES? , </w:t>
              </w:r>
              <w:r>
                <w:rPr>
                  <w:noProof/>
                  <w:lang w:val="en-US"/>
                </w:rPr>
                <w:t>London: Gov.UK.</w:t>
              </w:r>
            </w:p>
            <w:p w14:paraId="325D215D" w14:textId="77777777" w:rsidR="00176B52" w:rsidRDefault="00176B52" w:rsidP="00176B52">
              <w:pPr>
                <w:pStyle w:val="Bibliography"/>
                <w:rPr>
                  <w:noProof/>
                  <w:lang w:val="en-US"/>
                </w:rPr>
              </w:pPr>
              <w:r>
                <w:rPr>
                  <w:noProof/>
                  <w:lang w:val="en-US"/>
                </w:rPr>
                <w:t xml:space="preserve">Justice, 2008. </w:t>
              </w:r>
              <w:r>
                <w:rPr>
                  <w:i/>
                  <w:iCs/>
                  <w:noProof/>
                  <w:lang w:val="en-US"/>
                </w:rPr>
                <w:t xml:space="preserve">Homicide law reform. </w:t>
              </w:r>
              <w:r>
                <w:rPr>
                  <w:noProof/>
                  <w:lang w:val="en-US"/>
                </w:rPr>
                <w:t xml:space="preserve">[Online] </w:t>
              </w:r>
              <w:r>
                <w:rPr>
                  <w:noProof/>
                  <w:lang w:val="en-US"/>
                </w:rPr>
                <w:br/>
                <w:t xml:space="preserve">Available at: </w:t>
              </w:r>
              <w:r>
                <w:rPr>
                  <w:noProof/>
                  <w:u w:val="single"/>
                  <w:lang w:val="en-US"/>
                </w:rPr>
                <w:t>https://justice.org.uk/homicide-law-reform/</w:t>
              </w:r>
              <w:r>
                <w:rPr>
                  <w:noProof/>
                  <w:lang w:val="en-US"/>
                </w:rPr>
                <w:br/>
                <w:t>[Accessed 5 November 2021].</w:t>
              </w:r>
            </w:p>
            <w:p w14:paraId="39D5BB63" w14:textId="77777777" w:rsidR="00176B52" w:rsidRDefault="00176B52" w:rsidP="00176B52">
              <w:pPr>
                <w:pStyle w:val="Bibliography"/>
                <w:rPr>
                  <w:noProof/>
                  <w:lang w:val="en-US"/>
                </w:rPr>
              </w:pPr>
              <w:r>
                <w:rPr>
                  <w:noProof/>
                  <w:lang w:val="en-US"/>
                </w:rPr>
                <w:t xml:space="preserve">Law Library, n.d. </w:t>
              </w:r>
              <w:r>
                <w:rPr>
                  <w:i/>
                  <w:iCs/>
                  <w:noProof/>
                  <w:lang w:val="en-US"/>
                </w:rPr>
                <w:t xml:space="preserve">Criminal Law Elements Of A Crime: Mens Rea And Actus Reus Read more: Criminal Law - Elements Of A Crime: Mens Rea And Actus Reus - Intent, Defendant, Liability, and Guilty - JRank Articles https://law.jrank.org/pages/22506/Criminal-Law-Elements-Crime-Men. </w:t>
              </w:r>
              <w:r>
                <w:rPr>
                  <w:noProof/>
                  <w:lang w:val="en-US"/>
                </w:rPr>
                <w:t xml:space="preserve">[Online] </w:t>
              </w:r>
              <w:r>
                <w:rPr>
                  <w:noProof/>
                  <w:lang w:val="en-US"/>
                </w:rPr>
                <w:br/>
                <w:t xml:space="preserve">Available at: </w:t>
              </w:r>
              <w:r>
                <w:rPr>
                  <w:noProof/>
                  <w:u w:val="single"/>
                  <w:lang w:val="en-US"/>
                </w:rPr>
                <w:t>https://law.jrank.org/pages/22506/Criminal-Law-Elements-Crime-Mens-Rea-Actus-Reus.html</w:t>
              </w:r>
              <w:r>
                <w:rPr>
                  <w:noProof/>
                  <w:lang w:val="en-US"/>
                </w:rPr>
                <w:br/>
                <w:t>[Accessed 4 November 2021].</w:t>
              </w:r>
            </w:p>
            <w:p w14:paraId="57828D32" w14:textId="77777777" w:rsidR="00176B52" w:rsidRDefault="00176B52" w:rsidP="00176B52">
              <w:pPr>
                <w:pStyle w:val="Bibliography"/>
                <w:rPr>
                  <w:noProof/>
                  <w:lang w:val="en-US"/>
                </w:rPr>
              </w:pPr>
              <w:r>
                <w:rPr>
                  <w:noProof/>
                  <w:lang w:val="en-US"/>
                </w:rPr>
                <w:t xml:space="preserve">Law Teacher, 2021. </w:t>
              </w:r>
              <w:r>
                <w:rPr>
                  <w:i/>
                  <w:iCs/>
                  <w:noProof/>
                  <w:lang w:val="en-US"/>
                </w:rPr>
                <w:t xml:space="preserve">R v Cheshire 1991. </w:t>
              </w:r>
              <w:r>
                <w:rPr>
                  <w:noProof/>
                  <w:lang w:val="en-US"/>
                </w:rPr>
                <w:t xml:space="preserve">[Online] </w:t>
              </w:r>
              <w:r>
                <w:rPr>
                  <w:noProof/>
                  <w:lang w:val="en-US"/>
                </w:rPr>
                <w:br/>
                <w:t xml:space="preserve">Available at: </w:t>
              </w:r>
              <w:r>
                <w:rPr>
                  <w:noProof/>
                  <w:u w:val="single"/>
                  <w:lang w:val="en-US"/>
                </w:rPr>
                <w:t>https://www.lawteacher.net/cases/r-v-cheshire.php</w:t>
              </w:r>
              <w:r>
                <w:rPr>
                  <w:noProof/>
                  <w:lang w:val="en-US"/>
                </w:rPr>
                <w:br/>
                <w:t>[Accessed 5 November 2021].</w:t>
              </w:r>
            </w:p>
            <w:p w14:paraId="466F94E6" w14:textId="77777777" w:rsidR="00176B52" w:rsidRDefault="00176B52" w:rsidP="00176B52">
              <w:pPr>
                <w:pStyle w:val="Bibliography"/>
                <w:rPr>
                  <w:noProof/>
                  <w:lang w:val="en-US"/>
                </w:rPr>
              </w:pPr>
              <w:r>
                <w:rPr>
                  <w:noProof/>
                  <w:lang w:val="en-US"/>
                </w:rPr>
                <w:t xml:space="preserve">Law Teacher, 2021. </w:t>
              </w:r>
              <w:r>
                <w:rPr>
                  <w:i/>
                  <w:iCs/>
                  <w:noProof/>
                  <w:lang w:val="en-US"/>
                </w:rPr>
                <w:t xml:space="preserve">R v Woolin. </w:t>
              </w:r>
              <w:r>
                <w:rPr>
                  <w:noProof/>
                  <w:lang w:val="en-US"/>
                </w:rPr>
                <w:t xml:space="preserve">[Online] </w:t>
              </w:r>
              <w:r>
                <w:rPr>
                  <w:noProof/>
                  <w:lang w:val="en-US"/>
                </w:rPr>
                <w:br/>
                <w:t xml:space="preserve">Available at: </w:t>
              </w:r>
              <w:r>
                <w:rPr>
                  <w:noProof/>
                  <w:u w:val="single"/>
                  <w:lang w:val="en-US"/>
                </w:rPr>
                <w:t>https://www.lawteacher.net/cases/r-v-woollin.php</w:t>
              </w:r>
              <w:r>
                <w:rPr>
                  <w:noProof/>
                  <w:lang w:val="en-US"/>
                </w:rPr>
                <w:br/>
                <w:t>[Accessed 5 November 2021].</w:t>
              </w:r>
            </w:p>
            <w:p w14:paraId="41B01E4F" w14:textId="77777777" w:rsidR="00176B52" w:rsidRDefault="00176B52" w:rsidP="00176B52">
              <w:pPr>
                <w:pStyle w:val="Bibliography"/>
                <w:rPr>
                  <w:noProof/>
                  <w:lang w:val="en-US"/>
                </w:rPr>
              </w:pPr>
              <w:r>
                <w:rPr>
                  <w:noProof/>
                  <w:lang w:val="en-US"/>
                </w:rPr>
                <w:t xml:space="preserve">Legal Dictionary, 2021. </w:t>
              </w:r>
              <w:r>
                <w:rPr>
                  <w:i/>
                  <w:iCs/>
                  <w:noProof/>
                  <w:lang w:val="en-US"/>
                </w:rPr>
                <w:t xml:space="preserve">Search Legal Terms and Definitions. </w:t>
              </w:r>
              <w:r>
                <w:rPr>
                  <w:noProof/>
                  <w:lang w:val="en-US"/>
                </w:rPr>
                <w:t xml:space="preserve">[Online] </w:t>
              </w:r>
              <w:r>
                <w:rPr>
                  <w:noProof/>
                  <w:lang w:val="en-US"/>
                </w:rPr>
                <w:br/>
                <w:t xml:space="preserve">Available at: </w:t>
              </w:r>
              <w:r>
                <w:rPr>
                  <w:noProof/>
                  <w:u w:val="single"/>
                  <w:lang w:val="en-US"/>
                </w:rPr>
                <w:t>https://dictionary.law.com/default.aspx?selected=1198</w:t>
              </w:r>
              <w:r>
                <w:rPr>
                  <w:noProof/>
                  <w:lang w:val="en-US"/>
                </w:rPr>
                <w:br/>
                <w:t>[Accessed 5 November 2021].</w:t>
              </w:r>
            </w:p>
            <w:p w14:paraId="1C87A5FA" w14:textId="77777777" w:rsidR="00176B52" w:rsidRDefault="00176B52" w:rsidP="00176B52">
              <w:pPr>
                <w:pStyle w:val="Bibliography"/>
                <w:rPr>
                  <w:noProof/>
                  <w:lang w:val="en-US"/>
                </w:rPr>
              </w:pPr>
              <w:r>
                <w:rPr>
                  <w:noProof/>
                  <w:lang w:val="en-US"/>
                </w:rPr>
                <w:t xml:space="preserve">Legislation.gov.uk, 1957. </w:t>
              </w:r>
              <w:r>
                <w:rPr>
                  <w:i/>
                  <w:iCs/>
                  <w:noProof/>
                  <w:lang w:val="en-US"/>
                </w:rPr>
                <w:t xml:space="preserve">Homicide Act 1957. </w:t>
              </w:r>
              <w:r>
                <w:rPr>
                  <w:noProof/>
                  <w:lang w:val="en-US"/>
                </w:rPr>
                <w:t>London: Gov.uk.</w:t>
              </w:r>
            </w:p>
            <w:p w14:paraId="1AF7232B" w14:textId="77777777" w:rsidR="00176B52" w:rsidRDefault="00176B52" w:rsidP="00176B52">
              <w:pPr>
                <w:pStyle w:val="Bibliography"/>
                <w:rPr>
                  <w:noProof/>
                  <w:lang w:val="en-US"/>
                </w:rPr>
              </w:pPr>
              <w:r>
                <w:rPr>
                  <w:noProof/>
                  <w:lang w:val="en-US"/>
                </w:rPr>
                <w:lastRenderedPageBreak/>
                <w:t xml:space="preserve">The Law office of Stein and Markus, 2019. </w:t>
              </w:r>
              <w:r>
                <w:rPr>
                  <w:i/>
                  <w:iCs/>
                  <w:noProof/>
                  <w:lang w:val="en-US"/>
                </w:rPr>
                <w:t xml:space="preserve">What’s the Difference Between Homicide, Murder, and Manslaughter?. </w:t>
              </w:r>
              <w:r>
                <w:rPr>
                  <w:noProof/>
                  <w:lang w:val="en-US"/>
                </w:rPr>
                <w:t xml:space="preserve">[Online] </w:t>
              </w:r>
              <w:r>
                <w:rPr>
                  <w:noProof/>
                  <w:lang w:val="en-US"/>
                </w:rPr>
                <w:br/>
                <w:t xml:space="preserve">Available at: </w:t>
              </w:r>
              <w:r>
                <w:rPr>
                  <w:noProof/>
                  <w:u w:val="single"/>
                  <w:lang w:val="en-US"/>
                </w:rPr>
                <w:t>https://www.steinandmarkuslaw.com/whats-the-difference-between-homicide-murder-and-manslaughter/</w:t>
              </w:r>
              <w:r>
                <w:rPr>
                  <w:noProof/>
                  <w:lang w:val="en-US"/>
                </w:rPr>
                <w:br/>
                <w:t>[Accessed 5 November 2021].</w:t>
              </w:r>
            </w:p>
            <w:p w14:paraId="160CD6B4" w14:textId="77777777" w:rsidR="00176B52" w:rsidRDefault="00176B52" w:rsidP="00176B52">
              <w:pPr>
                <w:pStyle w:val="Bibliography"/>
                <w:rPr>
                  <w:noProof/>
                  <w:lang w:val="en-US"/>
                </w:rPr>
              </w:pPr>
              <w:r>
                <w:rPr>
                  <w:noProof/>
                  <w:lang w:val="en-US"/>
                </w:rPr>
                <w:t xml:space="preserve">Zayed, G. A. &amp;. Y., 2021. </w:t>
              </w:r>
              <w:r>
                <w:rPr>
                  <w:i/>
                  <w:iCs/>
                  <w:noProof/>
                  <w:lang w:val="en-US"/>
                </w:rPr>
                <w:t xml:space="preserve">Homicide Statistics. </w:t>
              </w:r>
              <w:r>
                <w:rPr>
                  <w:noProof/>
                  <w:lang w:val="en-US"/>
                </w:rPr>
                <w:t xml:space="preserve">[Online] </w:t>
              </w:r>
              <w:r>
                <w:rPr>
                  <w:noProof/>
                  <w:lang w:val="en-US"/>
                </w:rPr>
                <w:br/>
                <w:t xml:space="preserve">Available at: </w:t>
              </w:r>
              <w:r>
                <w:rPr>
                  <w:noProof/>
                  <w:u w:val="single"/>
                  <w:lang w:val="en-US"/>
                </w:rPr>
                <w:t>https://researchbriefings.files.parliament.uk/documents/CBP-8224/CBP-8224.pdf</w:t>
              </w:r>
              <w:r>
                <w:rPr>
                  <w:noProof/>
                  <w:lang w:val="en-US"/>
                </w:rPr>
                <w:br/>
                <w:t>[Accessed 25thg October 2021].</w:t>
              </w:r>
            </w:p>
            <w:p w14:paraId="05958612" w14:textId="77777777" w:rsidR="00176B52" w:rsidRDefault="00176B52" w:rsidP="00176B52">
              <w:r>
                <w:rPr>
                  <w:b/>
                  <w:bCs/>
                  <w:noProof/>
                </w:rPr>
                <w:fldChar w:fldCharType="end"/>
              </w:r>
            </w:p>
          </w:sdtContent>
        </w:sdt>
      </w:sdtContent>
    </w:sdt>
    <w:p w14:paraId="54450960" w14:textId="77777777" w:rsidR="00176B52" w:rsidRPr="00BC44AE" w:rsidRDefault="00176B52" w:rsidP="006B260C">
      <w:pPr>
        <w:rPr>
          <w:rFonts w:asciiTheme="minorHAnsi" w:hAnsiTheme="minorHAnsi"/>
          <w:color w:val="000000" w:themeColor="text1"/>
          <w:sz w:val="24"/>
          <w:szCs w:val="22"/>
          <w:shd w:val="clear" w:color="auto" w:fill="FFFFFF"/>
        </w:rPr>
      </w:pPr>
    </w:p>
    <w:p w14:paraId="7785817C" w14:textId="77777777" w:rsidR="006B260C" w:rsidRPr="006B260C" w:rsidRDefault="006B260C" w:rsidP="006B260C">
      <w:pPr>
        <w:rPr>
          <w:rFonts w:asciiTheme="minorHAnsi" w:hAnsiTheme="minorHAnsi"/>
          <w:color w:val="000000" w:themeColor="text1"/>
          <w:sz w:val="28"/>
          <w:szCs w:val="24"/>
        </w:rPr>
      </w:pPr>
    </w:p>
    <w:p w14:paraId="57C57B8A" w14:textId="77777777" w:rsidR="00FA4BC0" w:rsidRPr="00FA4BC0" w:rsidRDefault="00FA4BC0" w:rsidP="00B33F83">
      <w:pPr>
        <w:rPr>
          <w:rFonts w:asciiTheme="minorHAnsi" w:eastAsia="Arial" w:hAnsiTheme="minorHAnsi" w:cstheme="minorHAnsi"/>
          <w:color w:val="000000" w:themeColor="text1"/>
          <w:sz w:val="24"/>
          <w:szCs w:val="24"/>
        </w:rPr>
      </w:pPr>
    </w:p>
    <w:p w14:paraId="4E2142F6" w14:textId="77777777" w:rsidR="004A63A5" w:rsidRDefault="004A63A5" w:rsidP="004A63A5">
      <w:pPr>
        <w:ind w:left="720"/>
        <w:rPr>
          <w:rFonts w:asciiTheme="majorHAnsi" w:eastAsia="Arial" w:hAnsiTheme="majorHAnsi" w:cstheme="majorHAnsi"/>
          <w:sz w:val="28"/>
          <w:szCs w:val="24"/>
        </w:rPr>
      </w:pPr>
    </w:p>
    <w:p w14:paraId="6D12AB6F" w14:textId="77777777" w:rsidR="00EF2B90" w:rsidRDefault="00EF2B90" w:rsidP="004A63A5">
      <w:pPr>
        <w:ind w:left="720"/>
        <w:rPr>
          <w:rFonts w:asciiTheme="majorHAnsi" w:eastAsia="Arial" w:hAnsiTheme="majorHAnsi" w:cstheme="majorHAnsi"/>
          <w:sz w:val="28"/>
          <w:szCs w:val="24"/>
        </w:rPr>
      </w:pPr>
    </w:p>
    <w:p w14:paraId="0047B9E3" w14:textId="77777777" w:rsidR="00EF2B90" w:rsidRDefault="00EF2B90" w:rsidP="004A63A5">
      <w:pPr>
        <w:ind w:left="720"/>
        <w:rPr>
          <w:rFonts w:asciiTheme="majorHAnsi" w:eastAsia="Arial" w:hAnsiTheme="majorHAnsi" w:cstheme="majorHAnsi"/>
          <w:sz w:val="28"/>
          <w:szCs w:val="24"/>
        </w:rPr>
      </w:pPr>
    </w:p>
    <w:p w14:paraId="5AB2F6FB" w14:textId="77777777" w:rsidR="00EF2B90" w:rsidRDefault="00EF2B90" w:rsidP="004A63A5">
      <w:pPr>
        <w:ind w:left="720"/>
        <w:rPr>
          <w:rFonts w:asciiTheme="majorHAnsi" w:eastAsia="Arial" w:hAnsiTheme="majorHAnsi" w:cstheme="majorHAnsi"/>
          <w:sz w:val="28"/>
          <w:szCs w:val="24"/>
        </w:rPr>
      </w:pPr>
    </w:p>
    <w:p w14:paraId="1EB9D9E6" w14:textId="77777777" w:rsidR="00EF2B90" w:rsidRDefault="00EF2B90" w:rsidP="004A63A5">
      <w:pPr>
        <w:ind w:left="720"/>
        <w:rPr>
          <w:rFonts w:asciiTheme="majorHAnsi" w:eastAsia="Arial" w:hAnsiTheme="majorHAnsi" w:cstheme="majorHAnsi"/>
          <w:sz w:val="28"/>
          <w:szCs w:val="24"/>
        </w:rPr>
      </w:pPr>
    </w:p>
    <w:p w14:paraId="5AE8FED5" w14:textId="77777777" w:rsidR="00EF2B90" w:rsidRDefault="00EF2B90" w:rsidP="004A63A5">
      <w:pPr>
        <w:ind w:left="720"/>
        <w:rPr>
          <w:rFonts w:asciiTheme="majorHAnsi" w:eastAsia="Arial" w:hAnsiTheme="majorHAnsi" w:cstheme="majorHAnsi"/>
          <w:sz w:val="28"/>
          <w:szCs w:val="24"/>
        </w:rPr>
      </w:pPr>
    </w:p>
    <w:p w14:paraId="378506A6" w14:textId="77777777" w:rsidR="00EF2B90" w:rsidRDefault="00EF2B90" w:rsidP="004A63A5">
      <w:pPr>
        <w:ind w:left="720"/>
        <w:rPr>
          <w:rFonts w:asciiTheme="majorHAnsi" w:eastAsia="Arial" w:hAnsiTheme="majorHAnsi" w:cstheme="majorHAnsi"/>
          <w:sz w:val="28"/>
          <w:szCs w:val="24"/>
        </w:rPr>
      </w:pPr>
    </w:p>
    <w:p w14:paraId="055CDCE9" w14:textId="77777777" w:rsidR="00EF2B90" w:rsidRDefault="00EF2B90" w:rsidP="004A63A5">
      <w:pPr>
        <w:ind w:left="720"/>
        <w:rPr>
          <w:rFonts w:asciiTheme="majorHAnsi" w:eastAsia="Arial" w:hAnsiTheme="majorHAnsi" w:cstheme="majorHAnsi"/>
          <w:sz w:val="28"/>
          <w:szCs w:val="24"/>
        </w:rPr>
      </w:pPr>
    </w:p>
    <w:p w14:paraId="56937883" w14:textId="77777777" w:rsidR="00EF2B90" w:rsidRDefault="00EF2B90" w:rsidP="004A63A5">
      <w:pPr>
        <w:ind w:left="720"/>
        <w:rPr>
          <w:rFonts w:asciiTheme="majorHAnsi" w:eastAsia="Arial" w:hAnsiTheme="majorHAnsi" w:cstheme="majorHAnsi"/>
          <w:sz w:val="28"/>
          <w:szCs w:val="24"/>
        </w:rPr>
      </w:pPr>
    </w:p>
    <w:p w14:paraId="72831753" w14:textId="77777777" w:rsidR="00EF2B90" w:rsidRDefault="00EF2B90" w:rsidP="004A63A5">
      <w:pPr>
        <w:ind w:left="720"/>
        <w:rPr>
          <w:rFonts w:asciiTheme="majorHAnsi" w:eastAsia="Arial" w:hAnsiTheme="majorHAnsi" w:cstheme="majorHAnsi"/>
          <w:sz w:val="28"/>
          <w:szCs w:val="24"/>
        </w:rPr>
      </w:pPr>
    </w:p>
    <w:p w14:paraId="2A22ADE9" w14:textId="77777777" w:rsidR="00EF2B90" w:rsidRDefault="00EF2B90" w:rsidP="004A63A5">
      <w:pPr>
        <w:ind w:left="720"/>
        <w:rPr>
          <w:rFonts w:asciiTheme="majorHAnsi" w:eastAsia="Arial" w:hAnsiTheme="majorHAnsi" w:cstheme="majorHAnsi"/>
          <w:sz w:val="28"/>
          <w:szCs w:val="24"/>
        </w:rPr>
      </w:pPr>
    </w:p>
    <w:p w14:paraId="0F7686B5" w14:textId="77777777" w:rsidR="00EF2B90" w:rsidRDefault="00EF2B90" w:rsidP="00E331B9">
      <w:pPr>
        <w:rPr>
          <w:rFonts w:asciiTheme="majorHAnsi" w:eastAsia="Arial" w:hAnsiTheme="majorHAnsi" w:cstheme="majorHAnsi"/>
          <w:sz w:val="28"/>
          <w:szCs w:val="24"/>
        </w:rPr>
      </w:pPr>
    </w:p>
    <w:p w14:paraId="511A9708" w14:textId="77777777" w:rsidR="00987312" w:rsidRPr="00987312" w:rsidRDefault="00987312" w:rsidP="00987312">
      <w:pPr>
        <w:jc w:val="both"/>
        <w:rPr>
          <w:rFonts w:asciiTheme="majorHAnsi" w:eastAsia="Arial" w:hAnsiTheme="majorHAnsi" w:cstheme="majorHAnsi"/>
          <w:sz w:val="28"/>
          <w:szCs w:val="24"/>
        </w:rPr>
      </w:pPr>
    </w:p>
    <w:p w14:paraId="0421007A" w14:textId="77777777" w:rsidR="00746D7D" w:rsidRPr="004A63A5" w:rsidRDefault="00B03F3E">
      <w:pPr>
        <w:rPr>
          <w:sz w:val="32"/>
        </w:rPr>
      </w:pPr>
    </w:p>
    <w:sectPr w:rsidR="00746D7D" w:rsidRPr="004A63A5" w:rsidSect="00EF2B90">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58509F"/>
    <w:multiLevelType w:val="hybridMultilevel"/>
    <w:tmpl w:val="470058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3A5"/>
    <w:rsid w:val="00037F3E"/>
    <w:rsid w:val="000A4C75"/>
    <w:rsid w:val="000B7970"/>
    <w:rsid w:val="000C3E71"/>
    <w:rsid w:val="000E2A68"/>
    <w:rsid w:val="00145FFA"/>
    <w:rsid w:val="0015708D"/>
    <w:rsid w:val="00176609"/>
    <w:rsid w:val="00176B52"/>
    <w:rsid w:val="002F0F05"/>
    <w:rsid w:val="003A07E4"/>
    <w:rsid w:val="00426E29"/>
    <w:rsid w:val="004326CF"/>
    <w:rsid w:val="004A57DE"/>
    <w:rsid w:val="004A63A5"/>
    <w:rsid w:val="00524FF4"/>
    <w:rsid w:val="00525016"/>
    <w:rsid w:val="00552AAE"/>
    <w:rsid w:val="006B260C"/>
    <w:rsid w:val="00762D83"/>
    <w:rsid w:val="00763ED5"/>
    <w:rsid w:val="0078607E"/>
    <w:rsid w:val="008808BE"/>
    <w:rsid w:val="0091177B"/>
    <w:rsid w:val="00987312"/>
    <w:rsid w:val="00AA1837"/>
    <w:rsid w:val="00AC281B"/>
    <w:rsid w:val="00B03F3E"/>
    <w:rsid w:val="00B33F83"/>
    <w:rsid w:val="00B64617"/>
    <w:rsid w:val="00BC44AE"/>
    <w:rsid w:val="00C0181C"/>
    <w:rsid w:val="00C03280"/>
    <w:rsid w:val="00D07F3E"/>
    <w:rsid w:val="00DD18D9"/>
    <w:rsid w:val="00E331B9"/>
    <w:rsid w:val="00E42CBA"/>
    <w:rsid w:val="00E800E7"/>
    <w:rsid w:val="00EF2B90"/>
    <w:rsid w:val="00F751CA"/>
    <w:rsid w:val="00F934B4"/>
    <w:rsid w:val="00FA4BC0"/>
    <w:rsid w:val="00FC37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5199"/>
  <w15:chartTrackingRefBased/>
  <w15:docId w15:val="{A86A5B2E-1567-8649-9E9D-D5070571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3A5"/>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176B5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3A5"/>
    <w:pPr>
      <w:ind w:left="720"/>
      <w:contextualSpacing/>
    </w:pPr>
  </w:style>
  <w:style w:type="character" w:styleId="Hyperlink">
    <w:name w:val="Hyperlink"/>
    <w:basedOn w:val="DefaultParagraphFont"/>
    <w:uiPriority w:val="99"/>
    <w:unhideWhenUsed/>
    <w:rsid w:val="00987312"/>
    <w:rPr>
      <w:color w:val="0563C1" w:themeColor="hyperlink"/>
      <w:u w:val="single"/>
    </w:rPr>
  </w:style>
  <w:style w:type="character" w:styleId="UnresolvedMention">
    <w:name w:val="Unresolved Mention"/>
    <w:basedOn w:val="DefaultParagraphFont"/>
    <w:uiPriority w:val="99"/>
    <w:semiHidden/>
    <w:unhideWhenUsed/>
    <w:rsid w:val="00987312"/>
    <w:rPr>
      <w:color w:val="605E5C"/>
      <w:shd w:val="clear" w:color="auto" w:fill="E1DFDD"/>
    </w:rPr>
  </w:style>
  <w:style w:type="paragraph" w:styleId="NoSpacing">
    <w:name w:val="No Spacing"/>
    <w:link w:val="NoSpacingChar"/>
    <w:uiPriority w:val="1"/>
    <w:qFormat/>
    <w:rsid w:val="00EF2B90"/>
    <w:rPr>
      <w:rFonts w:eastAsiaTheme="minorEastAsia"/>
      <w:sz w:val="22"/>
      <w:szCs w:val="22"/>
      <w:lang w:val="en-US" w:eastAsia="zh-CN"/>
    </w:rPr>
  </w:style>
  <w:style w:type="character" w:customStyle="1" w:styleId="NoSpacingChar">
    <w:name w:val="No Spacing Char"/>
    <w:basedOn w:val="DefaultParagraphFont"/>
    <w:link w:val="NoSpacing"/>
    <w:uiPriority w:val="1"/>
    <w:rsid w:val="00EF2B90"/>
    <w:rPr>
      <w:rFonts w:eastAsiaTheme="minorEastAsia"/>
      <w:sz w:val="22"/>
      <w:szCs w:val="22"/>
      <w:lang w:val="en-US" w:eastAsia="zh-CN"/>
    </w:rPr>
  </w:style>
  <w:style w:type="character" w:styleId="FollowedHyperlink">
    <w:name w:val="FollowedHyperlink"/>
    <w:basedOn w:val="DefaultParagraphFont"/>
    <w:uiPriority w:val="99"/>
    <w:semiHidden/>
    <w:unhideWhenUsed/>
    <w:rsid w:val="00EF2B90"/>
    <w:rPr>
      <w:color w:val="954F72" w:themeColor="followedHyperlink"/>
      <w:u w:val="single"/>
    </w:rPr>
  </w:style>
  <w:style w:type="paragraph" w:styleId="NormalWeb">
    <w:name w:val="Normal (Web)"/>
    <w:basedOn w:val="Normal"/>
    <w:uiPriority w:val="99"/>
    <w:unhideWhenUsed/>
    <w:rsid w:val="00FC37C1"/>
    <w:pPr>
      <w:spacing w:before="100" w:beforeAutospacing="1" w:after="100" w:afterAutospacing="1"/>
    </w:pPr>
    <w:rPr>
      <w:sz w:val="24"/>
      <w:szCs w:val="24"/>
    </w:rPr>
  </w:style>
  <w:style w:type="character" w:customStyle="1" w:styleId="apple-converted-space">
    <w:name w:val="apple-converted-space"/>
    <w:basedOn w:val="DefaultParagraphFont"/>
    <w:rsid w:val="006B260C"/>
  </w:style>
  <w:style w:type="character" w:customStyle="1" w:styleId="Heading1Char">
    <w:name w:val="Heading 1 Char"/>
    <w:basedOn w:val="DefaultParagraphFont"/>
    <w:link w:val="Heading1"/>
    <w:uiPriority w:val="9"/>
    <w:rsid w:val="00176B5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76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3166">
      <w:bodyDiv w:val="1"/>
      <w:marLeft w:val="0"/>
      <w:marRight w:val="0"/>
      <w:marTop w:val="0"/>
      <w:marBottom w:val="0"/>
      <w:divBdr>
        <w:top w:val="none" w:sz="0" w:space="0" w:color="auto"/>
        <w:left w:val="none" w:sz="0" w:space="0" w:color="auto"/>
        <w:bottom w:val="none" w:sz="0" w:space="0" w:color="auto"/>
        <w:right w:val="none" w:sz="0" w:space="0" w:color="auto"/>
      </w:divBdr>
    </w:div>
    <w:div w:id="203565441">
      <w:bodyDiv w:val="1"/>
      <w:marLeft w:val="0"/>
      <w:marRight w:val="0"/>
      <w:marTop w:val="0"/>
      <w:marBottom w:val="0"/>
      <w:divBdr>
        <w:top w:val="none" w:sz="0" w:space="0" w:color="auto"/>
        <w:left w:val="none" w:sz="0" w:space="0" w:color="auto"/>
        <w:bottom w:val="none" w:sz="0" w:space="0" w:color="auto"/>
        <w:right w:val="none" w:sz="0" w:space="0" w:color="auto"/>
      </w:divBdr>
    </w:div>
    <w:div w:id="369499665">
      <w:bodyDiv w:val="1"/>
      <w:marLeft w:val="0"/>
      <w:marRight w:val="0"/>
      <w:marTop w:val="0"/>
      <w:marBottom w:val="0"/>
      <w:divBdr>
        <w:top w:val="none" w:sz="0" w:space="0" w:color="auto"/>
        <w:left w:val="none" w:sz="0" w:space="0" w:color="auto"/>
        <w:bottom w:val="none" w:sz="0" w:space="0" w:color="auto"/>
        <w:right w:val="none" w:sz="0" w:space="0" w:color="auto"/>
      </w:divBdr>
    </w:div>
    <w:div w:id="375475673">
      <w:bodyDiv w:val="1"/>
      <w:marLeft w:val="0"/>
      <w:marRight w:val="0"/>
      <w:marTop w:val="0"/>
      <w:marBottom w:val="0"/>
      <w:divBdr>
        <w:top w:val="none" w:sz="0" w:space="0" w:color="auto"/>
        <w:left w:val="none" w:sz="0" w:space="0" w:color="auto"/>
        <w:bottom w:val="none" w:sz="0" w:space="0" w:color="auto"/>
        <w:right w:val="none" w:sz="0" w:space="0" w:color="auto"/>
      </w:divBdr>
    </w:div>
    <w:div w:id="403916203">
      <w:bodyDiv w:val="1"/>
      <w:marLeft w:val="0"/>
      <w:marRight w:val="0"/>
      <w:marTop w:val="0"/>
      <w:marBottom w:val="0"/>
      <w:divBdr>
        <w:top w:val="none" w:sz="0" w:space="0" w:color="auto"/>
        <w:left w:val="none" w:sz="0" w:space="0" w:color="auto"/>
        <w:bottom w:val="none" w:sz="0" w:space="0" w:color="auto"/>
        <w:right w:val="none" w:sz="0" w:space="0" w:color="auto"/>
      </w:divBdr>
    </w:div>
    <w:div w:id="423577474">
      <w:bodyDiv w:val="1"/>
      <w:marLeft w:val="0"/>
      <w:marRight w:val="0"/>
      <w:marTop w:val="0"/>
      <w:marBottom w:val="0"/>
      <w:divBdr>
        <w:top w:val="none" w:sz="0" w:space="0" w:color="auto"/>
        <w:left w:val="none" w:sz="0" w:space="0" w:color="auto"/>
        <w:bottom w:val="none" w:sz="0" w:space="0" w:color="auto"/>
        <w:right w:val="none" w:sz="0" w:space="0" w:color="auto"/>
      </w:divBdr>
    </w:div>
    <w:div w:id="509375870">
      <w:bodyDiv w:val="1"/>
      <w:marLeft w:val="0"/>
      <w:marRight w:val="0"/>
      <w:marTop w:val="0"/>
      <w:marBottom w:val="0"/>
      <w:divBdr>
        <w:top w:val="none" w:sz="0" w:space="0" w:color="auto"/>
        <w:left w:val="none" w:sz="0" w:space="0" w:color="auto"/>
        <w:bottom w:val="none" w:sz="0" w:space="0" w:color="auto"/>
        <w:right w:val="none" w:sz="0" w:space="0" w:color="auto"/>
      </w:divBdr>
    </w:div>
    <w:div w:id="710610913">
      <w:bodyDiv w:val="1"/>
      <w:marLeft w:val="0"/>
      <w:marRight w:val="0"/>
      <w:marTop w:val="0"/>
      <w:marBottom w:val="0"/>
      <w:divBdr>
        <w:top w:val="none" w:sz="0" w:space="0" w:color="auto"/>
        <w:left w:val="none" w:sz="0" w:space="0" w:color="auto"/>
        <w:bottom w:val="none" w:sz="0" w:space="0" w:color="auto"/>
        <w:right w:val="none" w:sz="0" w:space="0" w:color="auto"/>
      </w:divBdr>
    </w:div>
    <w:div w:id="718209096">
      <w:bodyDiv w:val="1"/>
      <w:marLeft w:val="0"/>
      <w:marRight w:val="0"/>
      <w:marTop w:val="0"/>
      <w:marBottom w:val="0"/>
      <w:divBdr>
        <w:top w:val="none" w:sz="0" w:space="0" w:color="auto"/>
        <w:left w:val="none" w:sz="0" w:space="0" w:color="auto"/>
        <w:bottom w:val="none" w:sz="0" w:space="0" w:color="auto"/>
        <w:right w:val="none" w:sz="0" w:space="0" w:color="auto"/>
      </w:divBdr>
    </w:div>
    <w:div w:id="768042903">
      <w:bodyDiv w:val="1"/>
      <w:marLeft w:val="0"/>
      <w:marRight w:val="0"/>
      <w:marTop w:val="0"/>
      <w:marBottom w:val="0"/>
      <w:divBdr>
        <w:top w:val="none" w:sz="0" w:space="0" w:color="auto"/>
        <w:left w:val="none" w:sz="0" w:space="0" w:color="auto"/>
        <w:bottom w:val="none" w:sz="0" w:space="0" w:color="auto"/>
        <w:right w:val="none" w:sz="0" w:space="0" w:color="auto"/>
      </w:divBdr>
    </w:div>
    <w:div w:id="797644221">
      <w:bodyDiv w:val="1"/>
      <w:marLeft w:val="0"/>
      <w:marRight w:val="0"/>
      <w:marTop w:val="0"/>
      <w:marBottom w:val="0"/>
      <w:divBdr>
        <w:top w:val="none" w:sz="0" w:space="0" w:color="auto"/>
        <w:left w:val="none" w:sz="0" w:space="0" w:color="auto"/>
        <w:bottom w:val="none" w:sz="0" w:space="0" w:color="auto"/>
        <w:right w:val="none" w:sz="0" w:space="0" w:color="auto"/>
      </w:divBdr>
    </w:div>
    <w:div w:id="995232551">
      <w:bodyDiv w:val="1"/>
      <w:marLeft w:val="0"/>
      <w:marRight w:val="0"/>
      <w:marTop w:val="0"/>
      <w:marBottom w:val="0"/>
      <w:divBdr>
        <w:top w:val="none" w:sz="0" w:space="0" w:color="auto"/>
        <w:left w:val="none" w:sz="0" w:space="0" w:color="auto"/>
        <w:bottom w:val="none" w:sz="0" w:space="0" w:color="auto"/>
        <w:right w:val="none" w:sz="0" w:space="0" w:color="auto"/>
      </w:divBdr>
    </w:div>
    <w:div w:id="1010840747">
      <w:bodyDiv w:val="1"/>
      <w:marLeft w:val="0"/>
      <w:marRight w:val="0"/>
      <w:marTop w:val="0"/>
      <w:marBottom w:val="0"/>
      <w:divBdr>
        <w:top w:val="none" w:sz="0" w:space="0" w:color="auto"/>
        <w:left w:val="none" w:sz="0" w:space="0" w:color="auto"/>
        <w:bottom w:val="none" w:sz="0" w:space="0" w:color="auto"/>
        <w:right w:val="none" w:sz="0" w:space="0" w:color="auto"/>
      </w:divBdr>
    </w:div>
    <w:div w:id="1048652822">
      <w:bodyDiv w:val="1"/>
      <w:marLeft w:val="0"/>
      <w:marRight w:val="0"/>
      <w:marTop w:val="0"/>
      <w:marBottom w:val="0"/>
      <w:divBdr>
        <w:top w:val="none" w:sz="0" w:space="0" w:color="auto"/>
        <w:left w:val="none" w:sz="0" w:space="0" w:color="auto"/>
        <w:bottom w:val="none" w:sz="0" w:space="0" w:color="auto"/>
        <w:right w:val="none" w:sz="0" w:space="0" w:color="auto"/>
      </w:divBdr>
    </w:div>
    <w:div w:id="1075281660">
      <w:bodyDiv w:val="1"/>
      <w:marLeft w:val="0"/>
      <w:marRight w:val="0"/>
      <w:marTop w:val="0"/>
      <w:marBottom w:val="0"/>
      <w:divBdr>
        <w:top w:val="none" w:sz="0" w:space="0" w:color="auto"/>
        <w:left w:val="none" w:sz="0" w:space="0" w:color="auto"/>
        <w:bottom w:val="none" w:sz="0" w:space="0" w:color="auto"/>
        <w:right w:val="none" w:sz="0" w:space="0" w:color="auto"/>
      </w:divBdr>
    </w:div>
    <w:div w:id="1078332352">
      <w:bodyDiv w:val="1"/>
      <w:marLeft w:val="0"/>
      <w:marRight w:val="0"/>
      <w:marTop w:val="0"/>
      <w:marBottom w:val="0"/>
      <w:divBdr>
        <w:top w:val="none" w:sz="0" w:space="0" w:color="auto"/>
        <w:left w:val="none" w:sz="0" w:space="0" w:color="auto"/>
        <w:bottom w:val="none" w:sz="0" w:space="0" w:color="auto"/>
        <w:right w:val="none" w:sz="0" w:space="0" w:color="auto"/>
      </w:divBdr>
    </w:div>
    <w:div w:id="1353650663">
      <w:bodyDiv w:val="1"/>
      <w:marLeft w:val="0"/>
      <w:marRight w:val="0"/>
      <w:marTop w:val="0"/>
      <w:marBottom w:val="0"/>
      <w:divBdr>
        <w:top w:val="none" w:sz="0" w:space="0" w:color="auto"/>
        <w:left w:val="none" w:sz="0" w:space="0" w:color="auto"/>
        <w:bottom w:val="none" w:sz="0" w:space="0" w:color="auto"/>
        <w:right w:val="none" w:sz="0" w:space="0" w:color="auto"/>
      </w:divBdr>
    </w:div>
    <w:div w:id="1479421188">
      <w:bodyDiv w:val="1"/>
      <w:marLeft w:val="0"/>
      <w:marRight w:val="0"/>
      <w:marTop w:val="0"/>
      <w:marBottom w:val="0"/>
      <w:divBdr>
        <w:top w:val="none" w:sz="0" w:space="0" w:color="auto"/>
        <w:left w:val="none" w:sz="0" w:space="0" w:color="auto"/>
        <w:bottom w:val="none" w:sz="0" w:space="0" w:color="auto"/>
        <w:right w:val="none" w:sz="0" w:space="0" w:color="auto"/>
      </w:divBdr>
    </w:div>
    <w:div w:id="1490633196">
      <w:bodyDiv w:val="1"/>
      <w:marLeft w:val="0"/>
      <w:marRight w:val="0"/>
      <w:marTop w:val="0"/>
      <w:marBottom w:val="0"/>
      <w:divBdr>
        <w:top w:val="none" w:sz="0" w:space="0" w:color="auto"/>
        <w:left w:val="none" w:sz="0" w:space="0" w:color="auto"/>
        <w:bottom w:val="none" w:sz="0" w:space="0" w:color="auto"/>
        <w:right w:val="none" w:sz="0" w:space="0" w:color="auto"/>
      </w:divBdr>
    </w:div>
    <w:div w:id="1547332423">
      <w:bodyDiv w:val="1"/>
      <w:marLeft w:val="0"/>
      <w:marRight w:val="0"/>
      <w:marTop w:val="0"/>
      <w:marBottom w:val="0"/>
      <w:divBdr>
        <w:top w:val="none" w:sz="0" w:space="0" w:color="auto"/>
        <w:left w:val="none" w:sz="0" w:space="0" w:color="auto"/>
        <w:bottom w:val="none" w:sz="0" w:space="0" w:color="auto"/>
        <w:right w:val="none" w:sz="0" w:space="0" w:color="auto"/>
      </w:divBdr>
    </w:div>
    <w:div w:id="1763647871">
      <w:bodyDiv w:val="1"/>
      <w:marLeft w:val="0"/>
      <w:marRight w:val="0"/>
      <w:marTop w:val="0"/>
      <w:marBottom w:val="0"/>
      <w:divBdr>
        <w:top w:val="none" w:sz="0" w:space="0" w:color="auto"/>
        <w:left w:val="none" w:sz="0" w:space="0" w:color="auto"/>
        <w:bottom w:val="none" w:sz="0" w:space="0" w:color="auto"/>
        <w:right w:val="none" w:sz="0" w:space="0" w:color="auto"/>
      </w:divBdr>
    </w:div>
    <w:div w:id="1901593429">
      <w:bodyDiv w:val="1"/>
      <w:marLeft w:val="0"/>
      <w:marRight w:val="0"/>
      <w:marTop w:val="0"/>
      <w:marBottom w:val="0"/>
      <w:divBdr>
        <w:top w:val="none" w:sz="0" w:space="0" w:color="auto"/>
        <w:left w:val="none" w:sz="0" w:space="0" w:color="auto"/>
        <w:bottom w:val="none" w:sz="0" w:space="0" w:color="auto"/>
        <w:right w:val="none" w:sz="0" w:space="0" w:color="auto"/>
      </w:divBdr>
    </w:div>
    <w:div w:id="2047482308">
      <w:bodyDiv w:val="1"/>
      <w:marLeft w:val="0"/>
      <w:marRight w:val="0"/>
      <w:marTop w:val="0"/>
      <w:marBottom w:val="0"/>
      <w:divBdr>
        <w:top w:val="none" w:sz="0" w:space="0" w:color="auto"/>
        <w:left w:val="none" w:sz="0" w:space="0" w:color="auto"/>
        <w:bottom w:val="none" w:sz="0" w:space="0" w:color="auto"/>
        <w:right w:val="none" w:sz="0" w:space="0" w:color="auto"/>
      </w:divBdr>
    </w:div>
    <w:div w:id="2124878806">
      <w:bodyDiv w:val="1"/>
      <w:marLeft w:val="0"/>
      <w:marRight w:val="0"/>
      <w:marTop w:val="0"/>
      <w:marBottom w:val="0"/>
      <w:divBdr>
        <w:top w:val="none" w:sz="0" w:space="0" w:color="auto"/>
        <w:left w:val="none" w:sz="0" w:space="0" w:color="auto"/>
        <w:bottom w:val="none" w:sz="0" w:space="0" w:color="auto"/>
        <w:right w:val="none" w:sz="0" w:space="0" w:color="auto"/>
      </w:divBdr>
      <w:divsChild>
        <w:div w:id="984234395">
          <w:marLeft w:val="0"/>
          <w:marRight w:val="0"/>
          <w:marTop w:val="0"/>
          <w:marBottom w:val="0"/>
          <w:divBdr>
            <w:top w:val="none" w:sz="0" w:space="0" w:color="auto"/>
            <w:left w:val="none" w:sz="0" w:space="0" w:color="auto"/>
            <w:bottom w:val="none" w:sz="0" w:space="0" w:color="auto"/>
            <w:right w:val="none" w:sz="0" w:space="0" w:color="auto"/>
          </w:divBdr>
          <w:divsChild>
            <w:div w:id="20015466">
              <w:marLeft w:val="0"/>
              <w:marRight w:val="0"/>
              <w:marTop w:val="0"/>
              <w:marBottom w:val="0"/>
              <w:divBdr>
                <w:top w:val="none" w:sz="0" w:space="0" w:color="auto"/>
                <w:left w:val="none" w:sz="0" w:space="0" w:color="auto"/>
                <w:bottom w:val="none" w:sz="0" w:space="0" w:color="auto"/>
                <w:right w:val="none" w:sz="0" w:space="0" w:color="auto"/>
              </w:divBdr>
              <w:divsChild>
                <w:div w:id="107697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Gra21</b:Tag>
    <b:SourceType>InternetSite</b:SourceType>
    <b:Guid>{24BC1BFF-B4D6-B94C-B031-25D6E3D11FE5}</b:Guid>
    <b:Author>
      <b:Author>
        <b:NameList>
          <b:Person>
            <b:Last>Zayed</b:Last>
            <b:First>Grahame</b:First>
            <b:Middle>Allen &amp; Yago</b:Middle>
          </b:Person>
        </b:NameList>
      </b:Author>
    </b:Author>
    <b:Title>Homicide Statistics</b:Title>
    <b:URL>https://researchbriefings.files.parliament.uk/documents/CBP-8224/CBP-8224.pdf</b:URL>
    <b:Year>2021</b:Year>
    <b:YearAccessed>2021</b:YearAccessed>
    <b:MonthAccessed>October</b:MonthAccessed>
    <b:DayAccessed>25thg</b:DayAccessed>
    <b:RefOrder>10</b:RefOrder>
  </b:Source>
  <b:Source>
    <b:Tag>All21</b:Tag>
    <b:SourceType>InternetSite</b:SourceType>
    <b:Guid>{89DB3745-C30F-1C45-8DE6-D0049F3E5417}</b:Guid>
    <b:Title>Homicide Statistics</b:Title>
    <b:Year>2021</b:Year>
    <b:Author>
      <b:Author>
        <b:NameList>
          <b:Person>
            <b:Last>Allen</b:Last>
            <b:First>Grahame</b:First>
          </b:Person>
          <b:Person>
            <b:Last>Zayed</b:Last>
            <b:First>Yago</b:First>
          </b:Person>
        </b:NameList>
      </b:Author>
    </b:Author>
    <b:URL>https://researchbriefings.files.parliament.uk/documents/CBP-8224/CBP-8224.pdf</b:URL>
    <b:YearAccessed>2021</b:YearAccessed>
    <b:MonthAccessed>October</b:MonthAccessed>
    <b:DayAccessed>25</b:DayAccessed>
    <b:RefOrder>9</b:RefOrder>
  </b:Source>
  <b:Source>
    <b:Tag>Leg57</b:Tag>
    <b:SourceType>Misc</b:SourceType>
    <b:Guid>{1EB962A9-8DAC-6742-AAED-6D5180272196}</b:Guid>
    <b:Author>
      <b:Author>
        <b:Corporate>Legislation.gov.uk</b:Corporate>
      </b:Author>
    </b:Author>
    <b:Title>Homicide Act 1957</b:Title>
    <b:URL>https://www.legislation.gov.uk/ukpga/Eliz2/5-6/11/enacted</b:URL>
    <b:Year>1957</b:Year>
    <b:YearAccessed>2021</b:YearAccessed>
    <b:Publisher>Gov.uk</b:Publisher>
    <b:City>London</b:City>
    <b:RefOrder>1</b:RefOrder>
  </b:Source>
  <b:Source>
    <b:Tag>Law21</b:Tag>
    <b:SourceType>InternetSite</b:SourceType>
    <b:Guid>{E9F79AB7-94DD-454B-9ABA-F7933B97C94D}</b:Guid>
    <b:Author>
      <b:Author>
        <b:Corporate>Law Library</b:Corporate>
      </b:Author>
    </b:Author>
    <b:Title>Criminal Law Elements Of A Crime: Mens Rea And Actus Reus  Read more: Criminal Law - Elements Of A Crime: Mens Rea And Actus Reus - Intent, Defendant, Liability, and Guilty - JRank Articles https://law.jrank.org/pages/22506/Criminal-Law-Elements-Crime-Men</b:Title>
    <b:URL>https://law.jrank.org/pages/22506/Criminal-Law-Elements-Crime-Mens-Rea-Actus-Reus.html</b:URL>
    <b:YearAccessed>2021</b:YearAccessed>
    <b:MonthAccessed>November</b:MonthAccessed>
    <b:DayAccessed>4</b:DayAccessed>
    <b:RefOrder>2</b:RefOrder>
  </b:Source>
  <b:Source>
    <b:Tag>CPS19</b:Tag>
    <b:SourceType>InternetSite</b:SourceType>
    <b:Guid>{62704D10-7F9E-E243-AF17-D961B3B6F804}</b:Guid>
    <b:Author>
      <b:Author>
        <b:Corporate>CPS</b:Corporate>
      </b:Author>
    </b:Author>
    <b:Title>Homicide: Murder and Manslaughter</b:Title>
    <b:URL>https://www.cps.gov.uk/legal-guidance/homicide-murder-and-manslaughter</b:URL>
    <b:Year>2019</b:Year>
    <b:YearAccessed>2021</b:YearAccessed>
    <b:MonthAccessed>November</b:MonthAccessed>
    <b:DayAccessed>5</b:DayAccessed>
    <b:RefOrder>3</b:RefOrder>
  </b:Source>
  <b:Source>
    <b:Tag>RvW21</b:Tag>
    <b:SourceType>InternetSite</b:SourceType>
    <b:Guid>{2A8E1CD2-162C-DE47-BA58-D8601EA296D3}</b:Guid>
    <b:Title>R v Woolin</b:Title>
    <b:URL>https://www.lawteacher.net/cases/r-v-woollin.php</b:URL>
    <b:Year>2021</b:Year>
    <b:YearAccessed>2021</b:YearAccessed>
    <b:MonthAccessed>November</b:MonthAccessed>
    <b:DayAccessed>5</b:DayAccessed>
    <b:Author>
      <b:Author>
        <b:Corporate>Law Teacher</b:Corporate>
      </b:Author>
    </b:Author>
    <b:RefOrder>4</b:RefOrder>
  </b:Source>
  <b:Source>
    <b:Tag>Law211</b:Tag>
    <b:SourceType>InternetSite</b:SourceType>
    <b:Guid>{C73F7BC4-592C-3840-AAD2-B4D4DCA025EC}</b:Guid>
    <b:Author>
      <b:Author>
        <b:Corporate>Law Teacher</b:Corporate>
      </b:Author>
    </b:Author>
    <b:Title>R v Cheshire 1991</b:Title>
    <b:URL>https://www.lawteacher.net/cases/r-v-cheshire.php</b:URL>
    <b:Year>2021</b:Year>
    <b:YearAccessed>2021</b:YearAccessed>
    <b:MonthAccessed>November</b:MonthAccessed>
    <b:DayAccessed>5</b:DayAccessed>
    <b:RefOrder>5</b:RefOrder>
  </b:Source>
  <b:Source>
    <b:Tag>The19</b:Tag>
    <b:SourceType>InternetSite</b:SourceType>
    <b:Guid>{8672F57E-5FD6-9E44-B00B-8D4E0B445E44}</b:Guid>
    <b:Author>
      <b:Author>
        <b:Corporate>The Law office of Stein and Markus</b:Corporate>
      </b:Author>
    </b:Author>
    <b:Title>What’s the Difference Between Homicide, Murder, and Manslaughter?</b:Title>
    <b:URL>https://www.steinandmarkuslaw.com/whats-the-difference-between-homicide-murder-and-manslaughter/</b:URL>
    <b:Year>2019</b:Year>
    <b:YearAccessed>2021</b:YearAccessed>
    <b:MonthAccessed>November</b:MonthAccessed>
    <b:DayAccessed>5</b:DayAccessed>
    <b:RefOrder>6</b:RefOrder>
  </b:Source>
  <b:Source>
    <b:Tag>Dav05</b:Tag>
    <b:SourceType>Report</b:SourceType>
    <b:Guid>{7E8A30A3-C822-C143-9897-84FED4E3029D}</b:Guid>
    <b:Title>A NEW HOMICIDE ACT FOR ENGLAND AND WALES? </b:Title>
    <b:Year>2005</b:Year>
    <b:Author>
      <b:Author>
        <b:NameList>
          <b:Person>
            <b:Last>Hughes</b:Last>
            <b:First>David</b:First>
          </b:Person>
        </b:NameList>
      </b:Author>
    </b:Author>
    <b:Publisher>Gov.UK</b:Publisher>
    <b:City>London</b:City>
    <b:RefOrder>11</b:RefOrder>
  </b:Source>
  <b:Source>
    <b:Tag>Leg21</b:Tag>
    <b:SourceType>InternetSite</b:SourceType>
    <b:Guid>{BBEF35EF-6046-9D42-A95B-328FA9D37A09}</b:Guid>
    <b:Author>
      <b:Author>
        <b:Corporate>Legal Dictionary</b:Corporate>
      </b:Author>
    </b:Author>
    <b:Title>Search Legal Terms and Definitions</b:Title>
    <b:Year>2021</b:Year>
    <b:URL>https://dictionary.law.com/default.aspx?selected=1198</b:URL>
    <b:YearAccessed>2021</b:YearAccessed>
    <b:MonthAccessed>November</b:MonthAccessed>
    <b:DayAccessed>5</b:DayAccessed>
    <b:RefOrder>12</b:RefOrder>
  </b:Source>
  <b:Source>
    <b:Tag>Cor92</b:Tag>
    <b:SourceType>InternetSite</b:SourceType>
    <b:Guid>{375D79B7-B218-9E43-AC97-6C91AD041E34}</b:Guid>
    <b:Author>
      <b:Author>
        <b:Corporate>Cornwell Law School</b:Corporate>
      </b:Author>
    </b:Author>
    <b:Title>Legal Information Institute</b:Title>
    <b:URL>https://www.law.cornell.edu/wex/malice</b:URL>
    <b:Year>1992</b:Year>
    <b:YearAccessed>2021</b:YearAccessed>
    <b:MonthAccessed>November</b:MonthAccessed>
    <b:DayAccessed>5</b:DayAccessed>
    <b:RefOrder>7</b:RefOrder>
  </b:Source>
  <b:Source>
    <b:Tag>Jus08</b:Tag>
    <b:SourceType>InternetSite</b:SourceType>
    <b:Guid>{C2D0BC70-EAF2-BD4E-8C2D-1E56051BB7D1}</b:Guid>
    <b:Author>
      <b:Author>
        <b:Corporate>Justice</b:Corporate>
      </b:Author>
    </b:Author>
    <b:Title>Homicide law reform</b:Title>
    <b:URL>https://justice.org.uk/homicide-law-reform/</b:URL>
    <b:Year>2008</b:Year>
    <b:YearAccessed>2021</b:YearAccessed>
    <b:MonthAccessed>November</b:MonthAccessed>
    <b:DayAccessed>5</b:DayAccessed>
    <b:RefOrder>8</b:RefOrder>
  </b:Source>
</b:Sources>
</file>

<file path=customXml/itemProps1.xml><?xml version="1.0" encoding="utf-8"?>
<ds:datastoreItem xmlns:ds="http://schemas.openxmlformats.org/officeDocument/2006/customXml" ds:itemID="{0DB4CFB9-72E2-0F4A-B4ED-517862188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1694</Words>
  <Characters>9659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Reform of the Homicide laws in england and wales</dc:title>
  <dc:subject>Assignment 1</dc:subject>
  <dc:creator>Microsoft Office User</dc:creator>
  <cp:keywords/>
  <dc:description/>
  <cp:lastModifiedBy>Laura Knight</cp:lastModifiedBy>
  <cp:revision>2</cp:revision>
  <dcterms:created xsi:type="dcterms:W3CDTF">2021-11-08T09:09:00Z</dcterms:created>
  <dcterms:modified xsi:type="dcterms:W3CDTF">2021-11-08T09:09:00Z</dcterms:modified>
</cp:coreProperties>
</file>