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9852D" w14:textId="77777777" w:rsidR="00CE70F5" w:rsidRPr="00AB2CC3" w:rsidRDefault="00D819E4" w:rsidP="00D819E4">
      <w:pPr>
        <w:pStyle w:val="ListParagraph"/>
        <w:numPr>
          <w:ilvl w:val="0"/>
          <w:numId w:val="2"/>
        </w:numPr>
        <w:rPr>
          <w:color w:val="0070C0"/>
        </w:rPr>
      </w:pPr>
      <w:r w:rsidRPr="00AB2CC3">
        <w:rPr>
          <w:color w:val="0070C0"/>
        </w:rPr>
        <w:t>Differentiate between employee involvement and employee participation and how they build relationships (AC 1.1)</w:t>
      </w:r>
    </w:p>
    <w:p w14:paraId="2F1072A6" w14:textId="50631875" w:rsidR="00876F9E" w:rsidRDefault="00CE70F5" w:rsidP="00CE70F5">
      <w:r>
        <w:t xml:space="preserve">Employee involvement and employee participation are closely related concepts within human resources management, both concerned with employee voice. However, scholars highlight that they differ in terms of formality, level of influence and purpose. Understanding these differences is essential for organisations seeking to build trust, engagement, and effective workplace relationships. </w:t>
      </w:r>
    </w:p>
    <w:p w14:paraId="04AE2E81" w14:textId="35945824" w:rsidR="00CE70F5" w:rsidRDefault="00CE70F5" w:rsidP="00CE70F5">
      <w:r>
        <w:t xml:space="preserve">Employee involvement refers to management-led practices that encourage employees to contribute ideas, effort and commitment to their work and organisational improvement. </w:t>
      </w:r>
      <w:r w:rsidRPr="00C04B75">
        <w:rPr>
          <w:color w:val="FF0000"/>
        </w:rPr>
        <w:t xml:space="preserve">Lawler (1992) </w:t>
      </w:r>
      <w:r>
        <w:t xml:space="preserve">defines employee involvement as practices that enhance employee’s psychological and behavioural engagement at work, while </w:t>
      </w:r>
      <w:r w:rsidRPr="00C04B75">
        <w:rPr>
          <w:color w:val="FF0000"/>
        </w:rPr>
        <w:t xml:space="preserve">Armstrong (2020) </w:t>
      </w:r>
      <w:r>
        <w:t xml:space="preserve">highlights its role in improving motivation, </w:t>
      </w:r>
      <w:r w:rsidR="00C04B75">
        <w:t xml:space="preserve">commitment, and productivity. </w:t>
      </w:r>
    </w:p>
    <w:p w14:paraId="17062370" w14:textId="782CDFC1" w:rsidR="00C04B75" w:rsidRDefault="00C04B75" w:rsidP="00CE70F5">
      <w:r w:rsidRPr="00C04B75">
        <w:rPr>
          <w:color w:val="FF0000"/>
        </w:rPr>
        <w:t xml:space="preserve">Lawler and Mohrman (1989, cited in Kasaya and Munjuri, 2018) </w:t>
      </w:r>
      <w:r>
        <w:t xml:space="preserve">further describe employee involvement as the systematic use of employee input in decision-making, problem-solving, and planning activities in order to harness employee knowledge and experience. </w:t>
      </w:r>
    </w:p>
    <w:p w14:paraId="6C90E0A1" w14:textId="54415517" w:rsidR="00C04B75" w:rsidRDefault="00C04B75" w:rsidP="00CE70F5">
      <w:r>
        <w:t xml:space="preserve">From a relationship building perspective, employee involvement strengthens day to day working relationships by fostering open communication, mutual respect and shared understanding. When employees feel their opinions are valued, trust in management increases, leading to stronger cooperation and engagement. </w:t>
      </w:r>
    </w:p>
    <w:p w14:paraId="696A4385" w14:textId="035D8B28" w:rsidR="00C04B75" w:rsidRDefault="00C04B75" w:rsidP="00CE70F5">
      <w:r>
        <w:t xml:space="preserve">Employee participation, by contrast, refers to formal and structured mechanisms that allow employees or their representatives to influence or share in the organisational decision making. This often includes representative bodies such as work councils, joint consultative committees, or trade unions. </w:t>
      </w:r>
    </w:p>
    <w:p w14:paraId="36B0258B" w14:textId="71CA361E" w:rsidR="00C04B75" w:rsidRDefault="00C04B75" w:rsidP="00CE70F5">
      <w:r w:rsidRPr="00C04B75">
        <w:rPr>
          <w:color w:val="FF0000"/>
        </w:rPr>
        <w:t>Boxall and Purcell (2016)</w:t>
      </w:r>
      <w:r>
        <w:t xml:space="preserve"> emphasise that participation provides employees with a recognised voice in decisions that affect their work, enhancing accountability and commitment. Similarly, the </w:t>
      </w:r>
      <w:r w:rsidRPr="00C04B75">
        <w:rPr>
          <w:color w:val="FF0000"/>
        </w:rPr>
        <w:t xml:space="preserve">CIPD (2023) </w:t>
      </w:r>
      <w:r>
        <w:t xml:space="preserve">notes that employees participation enables employees to understand and influence change initiatives, making organisational change more legitimate and sustainable. </w:t>
      </w:r>
    </w:p>
    <w:p w14:paraId="758B0CFD" w14:textId="09AD50F5" w:rsidR="00C04B75" w:rsidRDefault="00C04B75" w:rsidP="00CE70F5">
      <w:r>
        <w:t xml:space="preserve">In terms of relationships, participation builds longer-term employment relationships by promoting fairness, transparency and trust between employees and management. Formal participation mechanisms help reduce conflict and improve cooperation by ensuring employee interests are represented. </w:t>
      </w:r>
    </w:p>
    <w:p w14:paraId="5907795B" w14:textId="442B0B28" w:rsidR="00C04B75" w:rsidRDefault="00C04B75" w:rsidP="00CE70F5">
      <w:r>
        <w:t xml:space="preserve">The main distinction is that employee involvement is informal and </w:t>
      </w:r>
      <w:r w:rsidR="00475E9D">
        <w:t xml:space="preserve">focused on improving performance and engagement, with limited decision-making power, while employee participation is formal and provides shared or consultative influence. Together, both approaches support strong workplace relationships by enhancing trust, communication and mutual commitment. </w:t>
      </w:r>
    </w:p>
    <w:p w14:paraId="698F89E5" w14:textId="017B8394" w:rsidR="001B698B" w:rsidRDefault="001B698B" w:rsidP="00CE70F5">
      <w:r>
        <w:t xml:space="preserve">In relation to the case study; the newly formed management/HR team can build effective relationships by using employee involvement and participation to create trust, openness and shared ownership. Establishing clear and credible employee voice mechanisms, such as consultation forums or working with employee representatives, can help employees feel heard and valued. Involving employees in problem solving and decision making, rather than relying on one-way communication, increases engagement and commitment. Therefore, if the people director, is prepared to invest in equipping the managers with the skills to listen and consult effectively, employee involvement will become embedded in every practice, supporting both positive and sustainable employee relationships. </w:t>
      </w:r>
    </w:p>
    <w:p w14:paraId="276C5B43" w14:textId="46BEEF75" w:rsidR="00AE363C" w:rsidRPr="00DC7138" w:rsidRDefault="00AE363C" w:rsidP="00AE363C">
      <w:pPr>
        <w:pStyle w:val="ListParagraph"/>
        <w:numPr>
          <w:ilvl w:val="0"/>
          <w:numId w:val="2"/>
        </w:numPr>
        <w:rPr>
          <w:color w:val="0070C0"/>
        </w:rPr>
      </w:pPr>
      <w:r w:rsidRPr="00DC7138">
        <w:rPr>
          <w:color w:val="0070C0"/>
        </w:rPr>
        <w:lastRenderedPageBreak/>
        <w:t>Compare forms of union and non-union employee representation (AC 1.2)</w:t>
      </w:r>
    </w:p>
    <w:p w14:paraId="5FCDB5F4" w14:textId="0A4E8DBE" w:rsidR="00C04B75" w:rsidRDefault="001772DC" w:rsidP="00CE70F5">
      <w:r>
        <w:t xml:space="preserve">According to the </w:t>
      </w:r>
      <w:r w:rsidRPr="001772DC">
        <w:rPr>
          <w:color w:val="FF0000"/>
        </w:rPr>
        <w:t xml:space="preserve">(CIPD 2025), </w:t>
      </w:r>
      <w:r>
        <w:t xml:space="preserve">trade union representatives are employees -often referred to as local representatives – who are elected or appointed by union members to act as the collective voice of employees. Their role includes representing members interests in discussions with employers, participating in collective bargaining, engaging in consultation on workplace change, and supporting employees through disciplinary or grievance procedures. Where trade unions are formally recognised, the CIPD stresses the importance of HR professionals working constructively with union representatives to support effective employment relations. </w:t>
      </w:r>
    </w:p>
    <w:p w14:paraId="02A07B3C" w14:textId="28F5FCFC" w:rsidR="00F42FB2" w:rsidRDefault="00CE222B" w:rsidP="00CE70F5">
      <w:r>
        <w:t xml:space="preserve">Union representation is characterised by its independence from management as representatives are governed by external trade union organisations. This provides institutionalised legitimacy, access to training and legal support, and the ability to negotiate binding agreements on pay, terms and conditions. As noted by </w:t>
      </w:r>
      <w:r w:rsidRPr="00CE222B">
        <w:rPr>
          <w:color w:val="FF0000"/>
        </w:rPr>
        <w:t>Bryson</w:t>
      </w:r>
      <w:ins w:id="0" w:author="Ellis, Brogan" w:date="2025-12-29T10:39:00Z">
        <w:r w:rsidR="008B27E0">
          <w:rPr>
            <w:color w:val="FF0000"/>
          </w:rPr>
          <w:t>,</w:t>
        </w:r>
      </w:ins>
      <w:r w:rsidRPr="00CE222B">
        <w:rPr>
          <w:color w:val="FF0000"/>
        </w:rPr>
        <w:t xml:space="preserve"> et al. (2013). </w:t>
      </w:r>
      <w:r>
        <w:t xml:space="preserve">Union representatives play a key role in protecting statutory employment rights and balancing managerial power. </w:t>
      </w:r>
    </w:p>
    <w:p w14:paraId="2AC1D62A" w14:textId="4191CB86" w:rsidR="00CE222B" w:rsidRDefault="00CE222B" w:rsidP="00CE70F5">
      <w:r>
        <w:t xml:space="preserve">In contrast, where trade unions are not recognised, organisations may adopt non-union employee representation mechanisms, such as employee forums or staff councils </w:t>
      </w:r>
      <w:r w:rsidRPr="00CE222B">
        <w:rPr>
          <w:color w:val="FF0000"/>
        </w:rPr>
        <w:t xml:space="preserve">(CIPD, 2025). </w:t>
      </w:r>
      <w:r>
        <w:t xml:space="preserve">These representatives are typically selected by employees to express collective views to management and to support information sharing and consultation. </w:t>
      </w:r>
    </w:p>
    <w:p w14:paraId="1139BDC8" w14:textId="0E352C6D" w:rsidR="00CE222B" w:rsidRDefault="00CE222B" w:rsidP="00CE70F5">
      <w:r>
        <w:t xml:space="preserve">However, non-union-representation differs significantly from union voice. </w:t>
      </w:r>
      <w:r w:rsidRPr="00CE222B">
        <w:rPr>
          <w:color w:val="FF0000"/>
        </w:rPr>
        <w:t>Bryson</w:t>
      </w:r>
      <w:ins w:id="1" w:author="Ellis, Brogan" w:date="2025-12-29T10:39:00Z">
        <w:r w:rsidR="008B27E0">
          <w:rPr>
            <w:color w:val="FF0000"/>
          </w:rPr>
          <w:t>,</w:t>
        </w:r>
      </w:ins>
      <w:r w:rsidRPr="00CE222B">
        <w:rPr>
          <w:color w:val="FF0000"/>
        </w:rPr>
        <w:t xml:space="preserve"> et al</w:t>
      </w:r>
      <w:del w:id="2" w:author="Ellis, Brogan" w:date="2025-12-29T10:39:00Z">
        <w:r w:rsidRPr="00CE222B" w:rsidDel="008B27E0">
          <w:rPr>
            <w:color w:val="FF0000"/>
          </w:rPr>
          <w:delText>l</w:delText>
        </w:r>
      </w:del>
      <w:r w:rsidRPr="00CE222B">
        <w:rPr>
          <w:color w:val="FF0000"/>
        </w:rPr>
        <w:t xml:space="preserve">. (2013) </w:t>
      </w:r>
      <w:r>
        <w:t xml:space="preserve">highlight those non-union representatives are shaped by internal organisational structures and operate largely within consultative, rather than bargaining, rights. Their influence depends heavily on management willingness to listen and engage, and they are not empowered to negotiate binding agreements.  </w:t>
      </w:r>
    </w:p>
    <w:p w14:paraId="48006A11" w14:textId="27B5ABB4" w:rsidR="00CE222B" w:rsidRDefault="00731C53" w:rsidP="00CE70F5">
      <w:r>
        <w:t xml:space="preserve">Union representation is far more prevalent in the public sector than the private sector. UK government statistics show that approximately 50% of public sector employees are union members, compared to around 10% in the private sector </w:t>
      </w:r>
      <w:r w:rsidRPr="00731C53">
        <w:rPr>
          <w:color w:val="FF0000"/>
        </w:rPr>
        <w:t>(GOV, 2025)</w:t>
      </w:r>
      <w:r>
        <w:rPr>
          <w:color w:val="FF0000"/>
        </w:rPr>
        <w:t xml:space="preserve">. </w:t>
      </w:r>
      <w:r>
        <w:t xml:space="preserve">This reflects greater job stability, long-term careers and institutionalised employment frameworks in the public sector, compared to more precarious and flexible employment patterns in the private sector. </w:t>
      </w:r>
    </w:p>
    <w:p w14:paraId="7F88CFE9" w14:textId="4D8B6C41" w:rsidR="00731C53" w:rsidRDefault="00731C53" w:rsidP="00CE70F5">
      <w:r>
        <w:t xml:space="preserve">Following the merger with another public sector organisation, introducing or strengthening union representation would provide legitimate and structured employee voice. However, management and HR teams transitioning from private sector backgrounds may face challenges adapting to formal consultation processes, statutory frameworks and collective bargaining constrains. Developing skills in constructive engagement with trade unions will therefore be essential to building effective working relationships and supporting employee voice in the merged organisation. </w:t>
      </w:r>
    </w:p>
    <w:p w14:paraId="78C4E1D6" w14:textId="4D0BBBBC" w:rsidR="003F7AEC" w:rsidRDefault="003F7AEC" w:rsidP="003F7AEC">
      <w:pPr>
        <w:pStyle w:val="ListParagraph"/>
        <w:numPr>
          <w:ilvl w:val="0"/>
          <w:numId w:val="2"/>
        </w:numPr>
        <w:rPr>
          <w:color w:val="4472C4" w:themeColor="accent1"/>
        </w:rPr>
      </w:pPr>
      <w:r w:rsidRPr="003F7AEC">
        <w:rPr>
          <w:color w:val="4472C4" w:themeColor="accent1"/>
        </w:rPr>
        <w:t xml:space="preserve">Evaluate the relationship between employee voice and organisational performance. (AC 1.3) </w:t>
      </w:r>
    </w:p>
    <w:p w14:paraId="6275A85B" w14:textId="436DEF73" w:rsidR="003F7AEC" w:rsidRDefault="00530338" w:rsidP="003F7AEC">
      <w:pPr>
        <w:rPr>
          <w:color w:val="FF0000"/>
        </w:rPr>
      </w:pPr>
      <w:r>
        <w:t xml:space="preserve">Employee voice refers to the ways in which employees communicate ideas, concerns, opinions or suggestions with the intention of influencing organisational outcomes. Voice can be exercised through formal mechanisms such as surveys and consultation committees, or informal channels, including day to day interactions with managers </w:t>
      </w:r>
      <w:r w:rsidRPr="00530338">
        <w:rPr>
          <w:color w:val="FF0000"/>
        </w:rPr>
        <w:t>(Mowbray, Wilkinson &amp; Tse, 2014)</w:t>
      </w:r>
    </w:p>
    <w:p w14:paraId="1EAFE188" w14:textId="77777777" w:rsidR="00530338" w:rsidRDefault="00530338" w:rsidP="003F7AEC">
      <w:r>
        <w:t>HR academics broadly argue that when organisations enable employee voice through high commitment HR practices, employees feel valued and respected, which enhances motivation, engagement and discretionary effort. This is consistent with social exchange perspectives, where positive treatment is reciprocated through higher performance.</w:t>
      </w:r>
    </w:p>
    <w:p w14:paraId="6B87F92C" w14:textId="088CB8DF" w:rsidR="00530338" w:rsidRPr="00530338" w:rsidRDefault="00530338" w:rsidP="003F7AEC">
      <w:r>
        <w:lastRenderedPageBreak/>
        <w:t xml:space="preserve">Empirical research consistently links employee voice to improved organisational outcomes. Voice enables early identification of operational issues, promotes innovation and enhances organisational adaptability in dynamic environments. For example, </w:t>
      </w:r>
      <w:r w:rsidRPr="00530338">
        <w:rPr>
          <w:color w:val="FF0000"/>
        </w:rPr>
        <w:t xml:space="preserve">Garcia-Cabrera and Garcia-Lorenz (2019) </w:t>
      </w:r>
      <w:r>
        <w:t xml:space="preserve">found that organisations with strong voice mechanisms outperform competitors in terms of innovation performance.   </w:t>
      </w:r>
    </w:p>
    <w:p w14:paraId="02D054C2" w14:textId="3C55754B" w:rsidR="00CE70F5" w:rsidRDefault="00D15E43" w:rsidP="00CE70F5">
      <w:r>
        <w:t xml:space="preserve">Employee voice also contributes indirectly to performance through improvements in employee wellbeing and engagement. Research shows that voice is associated with higher job satisfaction, reduced turnover intentions and improved mental wellbeing, all of which reduce recruitment costs and support productivity </w:t>
      </w:r>
      <w:r w:rsidRPr="00D15E43">
        <w:rPr>
          <w:color w:val="FF0000"/>
        </w:rPr>
        <w:t>(Bryson, Forth &amp; Stokes, 2017)</w:t>
      </w:r>
      <w:r>
        <w:rPr>
          <w:color w:val="FF0000"/>
        </w:rPr>
        <w:t xml:space="preserve">. </w:t>
      </w:r>
      <w:r w:rsidRPr="00D15E43">
        <w:rPr>
          <w:color w:val="FF0000"/>
        </w:rPr>
        <w:t xml:space="preserve">Detert and Burris (2007) </w:t>
      </w:r>
      <w:r>
        <w:t xml:space="preserve">further argue that voice fosters psychological safety, allowing employees to speak up about problems and mistakes, which supports learning and continuous performance improvement. </w:t>
      </w:r>
    </w:p>
    <w:p w14:paraId="408483E7" w14:textId="2CCE78D8" w:rsidR="00D15E43" w:rsidRPr="00D15E43" w:rsidRDefault="00D15E43" w:rsidP="00CE70F5">
      <w:r>
        <w:t xml:space="preserve">Despite these benefits, HR scholars caution that employee voice does not automatically lead to improved performance. The effectiveness of voice depends heavily on managerial responsiveness and organisational culture characterised by trust and empowerment. </w:t>
      </w:r>
      <w:r w:rsidRPr="00D15E43">
        <w:rPr>
          <w:color w:val="FF0000"/>
        </w:rPr>
        <w:t>(Boxall &amp; Purcell, 2016)</w:t>
      </w:r>
      <w:r>
        <w:rPr>
          <w:color w:val="FF0000"/>
        </w:rPr>
        <w:t xml:space="preserve">. </w:t>
      </w:r>
      <w:r w:rsidRPr="00D15E43">
        <w:t xml:space="preserve">Where employee input is ignored or poorly handled, voice may result in disengagement rather than improvement. </w:t>
      </w:r>
    </w:p>
    <w:p w14:paraId="26D66435" w14:textId="7B806F92" w:rsidR="00D15E43" w:rsidRDefault="00D15E43" w:rsidP="00CE70F5">
      <w:r w:rsidRPr="00D15E43">
        <w:t>Additionally, employee voice can increase conflict if divergent views are not managed constructively</w:t>
      </w:r>
      <w:r>
        <w:rPr>
          <w:color w:val="FF0000"/>
        </w:rPr>
        <w:t xml:space="preserve">. Millward (2017) </w:t>
      </w:r>
      <w:r w:rsidRPr="00D15E43">
        <w:t xml:space="preserve">argues that excessive or poorly structures voice mechanisms may overburden both employees and managers, limiting their effectiveness and potentially undermining performance. </w:t>
      </w:r>
    </w:p>
    <w:p w14:paraId="0945390A" w14:textId="4D56111C" w:rsidR="00D15E43" w:rsidRDefault="00D15E43" w:rsidP="00CE70F5">
      <w:r>
        <w:t xml:space="preserve">Overall, HR academics generally agree that employee voice is positively linked to organisational performance; however, this relationship is context dependant. When supported by effective leadership, trust and clear structures, employee voice functions as a strategics mechanisms that enhances innovation, engagement and sustainable performance. </w:t>
      </w:r>
    </w:p>
    <w:p w14:paraId="79DB2CB8" w14:textId="2FB375E4" w:rsidR="00D15E43" w:rsidRDefault="00B40992" w:rsidP="00CE70F5">
      <w:r>
        <w:t xml:space="preserve">To effectively harness employee voice within our organisation, it is essential that the management team considers how voice can be used constructively. For employee voice to positively influence performance any feedback mechanisms must be well structured and aligned with expert guidance. This ensures that employee input is manageable, realistic and actionable, rather than overwhelming or unachievable. Providing a genuine platform where feedback is actively listened to and appropriately responded to will strengthen trust and engagement. Implemented effectively, employee voice can support improved performance, innovation and employee wellbeing across the organisation.  </w:t>
      </w:r>
    </w:p>
    <w:p w14:paraId="12BE6CF2" w14:textId="2E13E808" w:rsidR="00851B62" w:rsidRDefault="00851B62" w:rsidP="00851B62">
      <w:pPr>
        <w:pStyle w:val="ListParagraph"/>
        <w:numPr>
          <w:ilvl w:val="0"/>
          <w:numId w:val="2"/>
        </w:numPr>
        <w:rPr>
          <w:color w:val="4472C4" w:themeColor="accent1"/>
        </w:rPr>
      </w:pPr>
      <w:r w:rsidRPr="00851B62">
        <w:rPr>
          <w:color w:val="4472C4" w:themeColor="accent1"/>
        </w:rPr>
        <w:t>Explain the concept of better working lives and how this can be designed. (AC 1.4)</w:t>
      </w:r>
    </w:p>
    <w:p w14:paraId="53F2A49A" w14:textId="77777777" w:rsidR="00853914" w:rsidRDefault="00DE0921" w:rsidP="00674331">
      <w:r>
        <w:t>Better working lives refer to improving the quality of work and work experiences so that employees experience enhanced wellbeing, satisfaction, engagement and overall life quality</w:t>
      </w:r>
      <w:r w:rsidR="00853914">
        <w:t xml:space="preserve">, rather than focusing solely on pay or job security. The concept includes job design, workplace conditions, phycological health, opportunities for development and the extent to which work enables people to thrive. </w:t>
      </w:r>
    </w:p>
    <w:p w14:paraId="0224A24F" w14:textId="4ED8CB23" w:rsidR="0019119E" w:rsidRDefault="00853914" w:rsidP="00674331">
      <w:r>
        <w:t xml:space="preserve">The </w:t>
      </w:r>
      <w:r w:rsidRPr="00853914">
        <w:rPr>
          <w:color w:val="FF0000"/>
        </w:rPr>
        <w:t xml:space="preserve">(CIPD, 2025) </w:t>
      </w:r>
      <w:r>
        <w:t xml:space="preserve">aligns better working lives with the idea of good work, which incorporates fair play, meaningful work, supportive environments, work-life balance, career development and employee voice. From an HR perspective, better working lives are achieved when organisations intentionally shape work and workplaces to support both employee wellbeing and sustainable performance. </w:t>
      </w:r>
    </w:p>
    <w:p w14:paraId="6DF5D4B4" w14:textId="0D28EABC" w:rsidR="00853914" w:rsidRDefault="00853914" w:rsidP="00674331">
      <w:r>
        <w:lastRenderedPageBreak/>
        <w:t xml:space="preserve">HR academics highlight, work design theory as a central framework for designing better working lives. Work design focuses on how jobs are structures and how this structure influences employee’s wellbeing, motivation and performance. </w:t>
      </w:r>
    </w:p>
    <w:p w14:paraId="75C1F5ED" w14:textId="00BEF4EC" w:rsidR="00853914" w:rsidRDefault="00853914" w:rsidP="00674331">
      <w:r>
        <w:t xml:space="preserve">A key model within this theory, is ‘Job Characteristic Theory’.  </w:t>
      </w:r>
      <w:r w:rsidRPr="00853914">
        <w:rPr>
          <w:color w:val="FF0000"/>
        </w:rPr>
        <w:t xml:space="preserve">(Hackman &amp; Oldham, 1975). </w:t>
      </w:r>
      <w:r>
        <w:t xml:space="preserve">This model proposes that jobs designed with skill verity, task identity, task significance, autonomy and feedback create positive phycological states for employees. These states increase job satisfaction and motivation, while reducing absenteeism and turnover. </w:t>
      </w:r>
    </w:p>
    <w:p w14:paraId="38C6A494" w14:textId="1FE887A4" w:rsidR="00853914" w:rsidRDefault="00C3731A" w:rsidP="00674331">
      <w:r>
        <w:t xml:space="preserve">Hackman and Oldham argue that good work should be intellectually stimulating and aligned with individual capabilities. HR can support this by ensuring roles provide appropriate challenge, task verity and opportunities for skills development though clear goals, regular feedback and development pathways. </w:t>
      </w:r>
    </w:p>
    <w:p w14:paraId="36A85128" w14:textId="679B219B" w:rsidR="00C3731A" w:rsidRDefault="00C3731A" w:rsidP="00674331">
      <w:r>
        <w:t xml:space="preserve">Autonomy is particularly important in promoting wellbeing. Allowing employees </w:t>
      </w:r>
      <w:r w:rsidR="00B5478D">
        <w:t>discretion</w:t>
      </w:r>
      <w:r>
        <w:t xml:space="preserve"> over </w:t>
      </w:r>
      <w:r w:rsidR="00B5478D">
        <w:t xml:space="preserve">how work is carried out increased ownership and accountability, reduces stress and enhances motivation. </w:t>
      </w:r>
      <w:r w:rsidR="00B5478D" w:rsidRPr="00B5478D">
        <w:rPr>
          <w:color w:val="FF0000"/>
        </w:rPr>
        <w:t xml:space="preserve">Morgeson and Humphrey (2006) </w:t>
      </w:r>
      <w:r w:rsidR="00B5478D">
        <w:t xml:space="preserve">suggest that flexible working arrangements and decision latitude are effective wats if embedding autonomy into job design. </w:t>
      </w:r>
    </w:p>
    <w:p w14:paraId="4565242E" w14:textId="0AF71880" w:rsidR="00B5478D" w:rsidRPr="00674331" w:rsidRDefault="00B5478D" w:rsidP="00674331">
      <w:r>
        <w:t xml:space="preserve">However, </w:t>
      </w:r>
      <w:r w:rsidRPr="00B5478D">
        <w:rPr>
          <w:color w:val="FF0000"/>
        </w:rPr>
        <w:t xml:space="preserve">Daniels et al. (2017) </w:t>
      </w:r>
      <w:r>
        <w:t xml:space="preserve">argue that work design should not operate in isolation. Better outcomes are achieved when job design is integrated with wider HR systems, including training, performance management, participation and wellbeing initiatives. Manager capability is critical in sustaining these changes. </w:t>
      </w:r>
    </w:p>
    <w:p w14:paraId="3C4232DA" w14:textId="4ADC5B95" w:rsidR="00E458C8" w:rsidRDefault="004F206F" w:rsidP="00D819E4">
      <w:r>
        <w:t>For organisations, particularly during periods of change, such as mergers like ours, applying academic work design frameworks can support better working lives while maintaining performance. Evidence supports this approach: as OECD (2025) report</w:t>
      </w:r>
      <w:r w:rsidR="00D34E0E">
        <w:t xml:space="preserve"> </w:t>
      </w:r>
      <w:r>
        <w:t xml:space="preserve">that job redesign initiatives led to a 40% reduction in sickness absence. </w:t>
      </w:r>
      <w:r w:rsidR="00FC7C39">
        <w:t>Our HR team however,</w:t>
      </w:r>
      <w:r w:rsidR="00D34E0E">
        <w:t xml:space="preserve"> may</w:t>
      </w:r>
      <w:r w:rsidR="00FC7C39">
        <w:t xml:space="preserve"> face some challenges when trying to implement </w:t>
      </w:r>
      <w:r w:rsidR="00D34E0E">
        <w:t xml:space="preserve">initiatives, as public sector organisations tend to face greater budget restraints, limited flexibility and restrictions in pay and/or job design. This can limit </w:t>
      </w:r>
      <w:r w:rsidR="005B0EAC">
        <w:t>the</w:t>
      </w:r>
      <w:r w:rsidR="00D34E0E">
        <w:t xml:space="preserve"> freedom to implement effective better working lives frameworks. </w:t>
      </w:r>
    </w:p>
    <w:p w14:paraId="02B24B49" w14:textId="248E796F" w:rsidR="002E3BBC" w:rsidRDefault="002E3BBC" w:rsidP="002E3BBC">
      <w:pPr>
        <w:pStyle w:val="ListParagraph"/>
        <w:numPr>
          <w:ilvl w:val="0"/>
          <w:numId w:val="2"/>
        </w:numPr>
        <w:rPr>
          <w:color w:val="0070C0"/>
        </w:rPr>
      </w:pPr>
      <w:r w:rsidRPr="002E3BBC">
        <w:rPr>
          <w:color w:val="0070C0"/>
        </w:rPr>
        <w:t>Distinguish between organisational conflict and misbehaviour. (AC 2.1)</w:t>
      </w:r>
    </w:p>
    <w:p w14:paraId="690B3E45" w14:textId="51332BB7" w:rsidR="00E676A7" w:rsidRDefault="00CD160C" w:rsidP="00E676A7">
      <w:r>
        <w:t xml:space="preserve">Organisational conflict is a state of disagreement or perceived incompatibility between individuals or groups in a workplace due to differences in goals, values, interests, or perceptions. It is an interactive process where at least one party perceives interference from another in achieving objectives, and may involve interpersonal, intergroup or structural tensions. </w:t>
      </w:r>
      <w:r w:rsidRPr="00CD160C">
        <w:rPr>
          <w:color w:val="FF0000"/>
        </w:rPr>
        <w:t xml:space="preserve">Rahim (2023) </w:t>
      </w:r>
      <w:r>
        <w:t>notes that conflict is not inher</w:t>
      </w:r>
      <w:r w:rsidR="00201A3D">
        <w:t xml:space="preserve">ently harmful; it can be functional/constructive or dysfunctional/destructive, depending on how it is managed. </w:t>
      </w:r>
    </w:p>
    <w:p w14:paraId="3320F6DB" w14:textId="1088FC64" w:rsidR="00201A3D" w:rsidRDefault="00201A3D" w:rsidP="00E676A7">
      <w:pPr>
        <w:rPr>
          <w:color w:val="FF0000"/>
        </w:rPr>
      </w:pPr>
      <w:r>
        <w:t xml:space="preserve">A common academic example is task conflict between departments, such as operations and marketing, where groups disagree over work-related goals, priorities, or methods rather than personal issues. For instance, marketing may push for rapid product customisation to meet demand, while operations priorities standardisation to maintain efficiency. Moderate task conflict can improve decision quality and innovation, but poorly managed conflict may escalate into relationship conflict, reducing performance. </w:t>
      </w:r>
      <w:r w:rsidRPr="00201A3D">
        <w:rPr>
          <w:color w:val="FF0000"/>
        </w:rPr>
        <w:t xml:space="preserve">(De Dreu &amp; Weingart, 2003). </w:t>
      </w:r>
    </w:p>
    <w:p w14:paraId="7247435E" w14:textId="4C086992" w:rsidR="00201A3D" w:rsidRDefault="00201A3D" w:rsidP="00E676A7">
      <w:r>
        <w:t xml:space="preserve">In the context of a newly merged public sector organisation, like ours, with significant leadership turnover and private sector managers joining, the risk of organisational conflict is high. Research suggests that conflict can be reduced and channelled constructively through structural, cultural and people management interventions. </w:t>
      </w:r>
      <w:r w:rsidRPr="00201A3D">
        <w:rPr>
          <w:color w:val="FF0000"/>
        </w:rPr>
        <w:t xml:space="preserve">Tajfel and Turner (1979) </w:t>
      </w:r>
      <w:r>
        <w:t xml:space="preserve">suggest that we emphasise co-creating </w:t>
      </w:r>
      <w:r>
        <w:lastRenderedPageBreak/>
        <w:t xml:space="preserve">a shared mission, values and service narrative to align staff with our public service objectives. Recognising both legacy organisational cultures and using structured forums, such as town halls and workshops, to help surface concerns and algin expectations. </w:t>
      </w:r>
    </w:p>
    <w:p w14:paraId="79C6D592" w14:textId="3B5BC80D" w:rsidR="00201A3D" w:rsidRDefault="00454D7D" w:rsidP="00E676A7">
      <w:pPr>
        <w:rPr>
          <w:color w:val="FF0000"/>
        </w:rPr>
      </w:pPr>
      <w:r>
        <w:t xml:space="preserve">Organisational misbehaviour, in contrast, refers to intentional actions that violate organisational norms, values or rules, harming operations, stakeholders or workplace relationships. </w:t>
      </w:r>
      <w:r w:rsidRPr="00CA2170">
        <w:rPr>
          <w:color w:val="FF0000"/>
        </w:rPr>
        <w:t xml:space="preserve">Vardi and Wiener (1996) </w:t>
      </w:r>
      <w:r>
        <w:t xml:space="preserve">define misbehaviour as behaviour that defies shared organisational </w:t>
      </w:r>
      <w:r w:rsidR="00CA2170">
        <w:t>expectations</w:t>
      </w:r>
      <w:r>
        <w:t xml:space="preserve">. A classic example is employee sabotage, which includes slowing work, withholding </w:t>
      </w:r>
      <w:r w:rsidR="00CA2170">
        <w:t xml:space="preserve">information, damaging equipment or delivering poor service. </w:t>
      </w:r>
      <w:r w:rsidR="00CA2170" w:rsidRPr="00CA2170">
        <w:rPr>
          <w:color w:val="FF0000"/>
        </w:rPr>
        <w:t>(Robinson and Bennett, 1995)</w:t>
      </w:r>
      <w:r w:rsidRPr="00CA2170">
        <w:rPr>
          <w:color w:val="FF0000"/>
        </w:rPr>
        <w:t xml:space="preserve"> </w:t>
      </w:r>
    </w:p>
    <w:p w14:paraId="4B167396" w14:textId="0F7B0CD0" w:rsidR="00CA2170" w:rsidRDefault="00CA2170" w:rsidP="00E676A7">
      <w:r>
        <w:t xml:space="preserve">To minimise misbehaviour post-merger, our organisation should focus on clear rules, cultural integration and support systems. Our Key HR strategies will include; </w:t>
      </w:r>
    </w:p>
    <w:p w14:paraId="319A75B1" w14:textId="6056ADC3" w:rsidR="00CA2170" w:rsidRDefault="00CA2170" w:rsidP="00CA2170">
      <w:pPr>
        <w:pStyle w:val="ListParagraph"/>
        <w:numPr>
          <w:ilvl w:val="0"/>
          <w:numId w:val="5"/>
        </w:numPr>
      </w:pPr>
      <w:r>
        <w:t xml:space="preserve">Clarifying policies, roles and expectations </w:t>
      </w:r>
    </w:p>
    <w:p w14:paraId="7EC50C01" w14:textId="6D9A3B9A" w:rsidR="00CA2170" w:rsidRDefault="00CA2170" w:rsidP="00CA2170">
      <w:pPr>
        <w:pStyle w:val="ListParagraph"/>
        <w:numPr>
          <w:ilvl w:val="0"/>
          <w:numId w:val="5"/>
        </w:numPr>
      </w:pPr>
      <w:r>
        <w:t xml:space="preserve">Training private-sector managers in public sector governance and values </w:t>
      </w:r>
    </w:p>
    <w:p w14:paraId="6F2CF180" w14:textId="09859457" w:rsidR="00CA2170" w:rsidRDefault="00CA2170" w:rsidP="00CA2170">
      <w:pPr>
        <w:pStyle w:val="ListParagraph"/>
        <w:numPr>
          <w:ilvl w:val="0"/>
          <w:numId w:val="5"/>
        </w:numPr>
      </w:pPr>
      <w:r>
        <w:t>Strengthening employee voice and grievance mechanisms to reduce covert behaviours such as sabotage and absenteeism</w:t>
      </w:r>
    </w:p>
    <w:p w14:paraId="7761BBF0" w14:textId="544AAC0B" w:rsidR="00CA2170" w:rsidRDefault="00CA2170" w:rsidP="00CA2170">
      <w:r>
        <w:t xml:space="preserve">By distinguishing between conflict and misbehaviour the organisation can implement targeted HR interventions that promote both operational efficiency and ethical workplace behaviour. </w:t>
      </w:r>
    </w:p>
    <w:p w14:paraId="4FB6FED5" w14:textId="5222DC27" w:rsidR="00FB7369" w:rsidRDefault="00C20930" w:rsidP="00C20930">
      <w:pPr>
        <w:pStyle w:val="ListParagraph"/>
        <w:numPr>
          <w:ilvl w:val="0"/>
          <w:numId w:val="2"/>
        </w:numPr>
        <w:rPr>
          <w:color w:val="0070C0"/>
        </w:rPr>
      </w:pPr>
      <w:r w:rsidRPr="00C20930">
        <w:rPr>
          <w:color w:val="0070C0"/>
        </w:rPr>
        <w:t>Assess emerging trends in the types of conflict and industrial sanctions (AC 2.2)</w:t>
      </w:r>
    </w:p>
    <w:p w14:paraId="49FF2267" w14:textId="454B69BE" w:rsidR="002212A1" w:rsidRDefault="0007664D" w:rsidP="002212A1">
      <w:r>
        <w:t>Organisations are rapidly digitalising, with technologies such as artificial intelligence, algorithmic management and automation creating ambiguity in roles, eroding traditional job boundaries, and raising concerns about surveillance and fairness. These factors generate conflict over control, autonomy and job security, as employees may feel over-monitored and disempowered by algorithmic decision making</w:t>
      </w:r>
      <w:r w:rsidR="002A2288">
        <w:t xml:space="preserve">. </w:t>
      </w:r>
      <w:r w:rsidR="002A2288" w:rsidRPr="002A2288">
        <w:rPr>
          <w:color w:val="FF0000"/>
        </w:rPr>
        <w:t xml:space="preserve">(Sparrow and Nemeth, 2021). </w:t>
      </w:r>
    </w:p>
    <w:p w14:paraId="792469C6" w14:textId="07C03D2C" w:rsidR="002A2288" w:rsidRDefault="002A2288" w:rsidP="002212A1">
      <w:pPr>
        <w:rPr>
          <w:color w:val="FF0000"/>
        </w:rPr>
      </w:pPr>
      <w:r>
        <w:t xml:space="preserve">AI tools are increasingly used in recruitment, screening resumes, ranking candidates and conducting initial interviews. While they promise efficiency and bias reduction, poorly designed systems can embed or amplify existing bias. </w:t>
      </w:r>
      <w:r w:rsidRPr="002A2288">
        <w:rPr>
          <w:color w:val="FF0000"/>
        </w:rPr>
        <w:t xml:space="preserve">(Gideon, 2020). </w:t>
      </w:r>
      <w:r>
        <w:t xml:space="preserve">AI also monitors productivity, tracking metrics like response times and suggesting performance ratings. Critics argue this can dehumanise evaluation and reduce trust between employees and management. </w:t>
      </w:r>
      <w:r w:rsidRPr="002A2288">
        <w:rPr>
          <w:color w:val="FF0000"/>
        </w:rPr>
        <w:t xml:space="preserve">(Mejerink et al., 2021). </w:t>
      </w:r>
      <w:r>
        <w:t xml:space="preserve">Predictive models identifying employees at risk of leaving can </w:t>
      </w:r>
      <w:r w:rsidR="00312665">
        <w:t xml:space="preserve">also </w:t>
      </w:r>
      <w:r>
        <w:t xml:space="preserve">enhance retention strategies, but may feel intrusive if employees are unaware of </w:t>
      </w:r>
      <w:r w:rsidR="00312665">
        <w:t xml:space="preserve">the </w:t>
      </w:r>
      <w:r>
        <w:t xml:space="preserve">analytic use, raising privacy concerns. </w:t>
      </w:r>
      <w:r w:rsidRPr="002A2288">
        <w:rPr>
          <w:color w:val="FF0000"/>
        </w:rPr>
        <w:t>(Leicht-Deobald et al., 2019)</w:t>
      </w:r>
    </w:p>
    <w:p w14:paraId="2674BF43" w14:textId="77522C64" w:rsidR="008B1264" w:rsidRDefault="008B1264" w:rsidP="002212A1">
      <w:pPr>
        <w:rPr>
          <w:color w:val="FF0000"/>
        </w:rPr>
      </w:pPr>
      <w:r>
        <w:t>Remote and hybrid working models</w:t>
      </w:r>
      <w:r w:rsidR="00312665">
        <w:t xml:space="preserve"> that were </w:t>
      </w:r>
      <w:r>
        <w:t>accelerated by</w:t>
      </w:r>
      <w:r w:rsidR="00312665">
        <w:t xml:space="preserve"> the</w:t>
      </w:r>
      <w:r>
        <w:t xml:space="preserve"> COVID-19</w:t>
      </w:r>
      <w:r w:rsidR="00312665">
        <w:t xml:space="preserve"> pandemic</w:t>
      </w:r>
      <w:r>
        <w:t>, have increased flexibility and productivity</w:t>
      </w:r>
      <w:r w:rsidR="00312665">
        <w:t xml:space="preserve"> in workplaces,</w:t>
      </w:r>
      <w:r>
        <w:t xml:space="preserve"> but </w:t>
      </w:r>
      <w:r w:rsidR="00312665">
        <w:t>introduced</w:t>
      </w:r>
      <w:r>
        <w:t xml:space="preserve"> conflict around fairness, visibility, workload distribution and performance evaluation. </w:t>
      </w:r>
      <w:r w:rsidRPr="008B1264">
        <w:rPr>
          <w:color w:val="FF0000"/>
        </w:rPr>
        <w:t>(Bloom et al., 2023)</w:t>
      </w:r>
    </w:p>
    <w:p w14:paraId="1261338F" w14:textId="78D2FC8A" w:rsidR="00A35D5B" w:rsidRPr="00A35D5B" w:rsidRDefault="00312665" w:rsidP="002212A1">
      <w:r>
        <w:t>When c</w:t>
      </w:r>
      <w:r w:rsidR="00A35D5B">
        <w:t xml:space="preserve">onsidering the above, I feel our organisation needs to </w:t>
      </w:r>
      <w:r>
        <w:t xml:space="preserve">strategically ensure that </w:t>
      </w:r>
      <w:r w:rsidR="00A35D5B">
        <w:t xml:space="preserve">privacy, fairness, autonomy, and workload distribution is considered </w:t>
      </w:r>
      <w:r>
        <w:t xml:space="preserve">before </w:t>
      </w:r>
      <w:r w:rsidR="00A35D5B">
        <w:t>implementing any</w:t>
      </w:r>
      <w:r>
        <w:t xml:space="preserve"> </w:t>
      </w:r>
      <w:r w:rsidR="00CC7F98">
        <w:t xml:space="preserve">new </w:t>
      </w:r>
      <w:r>
        <w:t>policies and practices</w:t>
      </w:r>
      <w:r w:rsidR="00A35D5B">
        <w:t>.</w:t>
      </w:r>
      <w:r>
        <w:t xml:space="preserve"> This is to ensure employees feel involved, and the likelihood of engagement being lost is minimised.</w:t>
      </w:r>
      <w:r w:rsidR="00A35D5B">
        <w:t xml:space="preserve"> </w:t>
      </w:r>
      <w:r>
        <w:t xml:space="preserve">I predict we can </w:t>
      </w:r>
      <w:r w:rsidR="00A35D5B">
        <w:t>overcome</w:t>
      </w:r>
      <w:r>
        <w:t xml:space="preserve"> some of the</w:t>
      </w:r>
      <w:r w:rsidR="00A35D5B">
        <w:t xml:space="preserve"> conflict mentioned above</w:t>
      </w:r>
      <w:r w:rsidR="00CC7F98">
        <w:t>, by</w:t>
      </w:r>
      <w:r>
        <w:t xml:space="preserve"> e</w:t>
      </w:r>
      <w:r w:rsidR="00A35D5B">
        <w:t xml:space="preserve">nsuring AI </w:t>
      </w:r>
      <w:r>
        <w:t xml:space="preserve">is used </w:t>
      </w:r>
      <w:r w:rsidR="00A35D5B">
        <w:t>transparently,</w:t>
      </w:r>
      <w:r>
        <w:t xml:space="preserve"> we</w:t>
      </w:r>
      <w:r w:rsidR="00A35D5B">
        <w:t xml:space="preserve"> foster inclusive policies, and </w:t>
      </w:r>
      <w:r w:rsidR="00CC7F98">
        <w:t xml:space="preserve">involve our </w:t>
      </w:r>
      <w:r w:rsidR="00A35D5B">
        <w:t xml:space="preserve">employees </w:t>
      </w:r>
      <w:r>
        <w:t>in decision-making</w:t>
      </w:r>
      <w:r w:rsidR="00A35D5B">
        <w:t xml:space="preserve"> </w:t>
      </w:r>
      <w:r w:rsidR="00CC7F98">
        <w:t>processes</w:t>
      </w:r>
      <w:r>
        <w:t xml:space="preserve">. This </w:t>
      </w:r>
      <w:r w:rsidR="00A35D5B">
        <w:t>build</w:t>
      </w:r>
      <w:r>
        <w:t>s</w:t>
      </w:r>
      <w:r w:rsidR="00A35D5B">
        <w:t xml:space="preserve"> trust</w:t>
      </w:r>
      <w:r w:rsidR="00CC7F98">
        <w:t>,</w:t>
      </w:r>
      <w:r w:rsidR="00A35D5B">
        <w:t xml:space="preserve"> commitment</w:t>
      </w:r>
      <w:r w:rsidR="00CC7F98">
        <w:t xml:space="preserve"> and</w:t>
      </w:r>
      <w:r>
        <w:t xml:space="preserve"> limit</w:t>
      </w:r>
      <w:r w:rsidR="00CC7F98">
        <w:t>s any</w:t>
      </w:r>
      <w:r>
        <w:t xml:space="preserve"> potential fallout. </w:t>
      </w:r>
    </w:p>
    <w:p w14:paraId="626C9C19" w14:textId="6AF72A0D" w:rsidR="008B1264" w:rsidRDefault="000A7C50" w:rsidP="002212A1">
      <w:r>
        <w:t>Although union membership has declined, industrial action</w:t>
      </w:r>
      <w:r w:rsidR="00312665">
        <w:t xml:space="preserve"> still</w:t>
      </w:r>
      <w:r w:rsidR="009A2AAA">
        <w:t xml:space="preserve"> persists in shorter, targeted forms such as flash strikes and sector specific walkouts</w:t>
      </w:r>
      <w:r w:rsidR="00312665">
        <w:t>. This</w:t>
      </w:r>
      <w:r w:rsidR="009A2AAA">
        <w:t xml:space="preserve"> complicat</w:t>
      </w:r>
      <w:r w:rsidR="00312665">
        <w:t xml:space="preserve">es </w:t>
      </w:r>
      <w:r w:rsidR="009A2AAA">
        <w:t>workforce planning</w:t>
      </w:r>
      <w:r w:rsidR="00312665">
        <w:t>, but reduces the likelihood of</w:t>
      </w:r>
      <w:r w:rsidR="009A2AAA">
        <w:t xml:space="preserve"> prolonged </w:t>
      </w:r>
      <w:r w:rsidR="00312665">
        <w:t xml:space="preserve">workforce </w:t>
      </w:r>
      <w:r w:rsidR="009A2AAA">
        <w:t xml:space="preserve">disruption. </w:t>
      </w:r>
      <w:r w:rsidR="009A2AAA" w:rsidRPr="009A2AAA">
        <w:rPr>
          <w:color w:val="FF0000"/>
        </w:rPr>
        <w:t xml:space="preserve">(ResearchGate, 2025). </w:t>
      </w:r>
      <w:r w:rsidR="009A2AAA" w:rsidRPr="003564D5">
        <w:t>Workers</w:t>
      </w:r>
      <w:r w:rsidR="009A2AAA" w:rsidRPr="009A2AAA">
        <w:rPr>
          <w:color w:val="FF0000"/>
        </w:rPr>
        <w:t xml:space="preserve"> </w:t>
      </w:r>
      <w:r w:rsidR="009A2AAA">
        <w:t>increasingly use digital mobilisation and informal sanctions, such as social media campaigns</w:t>
      </w:r>
      <w:r w:rsidR="00312665">
        <w:t xml:space="preserve"> and </w:t>
      </w:r>
      <w:r w:rsidR="009A2AAA">
        <w:t xml:space="preserve">petitions, to </w:t>
      </w:r>
      <w:r w:rsidR="00312665">
        <w:lastRenderedPageBreak/>
        <w:t>promote</w:t>
      </w:r>
      <w:r w:rsidR="009A2AAA">
        <w:t xml:space="preserve"> engagement</w:t>
      </w:r>
      <w:r w:rsidR="00312665">
        <w:t xml:space="preserve">. This can </w:t>
      </w:r>
      <w:r w:rsidR="003564D5">
        <w:t xml:space="preserve">however </w:t>
      </w:r>
      <w:r w:rsidR="009A2AAA">
        <w:t>amplify</w:t>
      </w:r>
      <w:r w:rsidR="00312665">
        <w:t xml:space="preserve"> the potential for</w:t>
      </w:r>
      <w:r w:rsidR="009A2AAA">
        <w:t xml:space="preserve"> grievances and </w:t>
      </w:r>
      <w:r w:rsidR="00312665">
        <w:t xml:space="preserve">the likelihood of </w:t>
      </w:r>
      <w:r w:rsidR="009A2AAA">
        <w:t xml:space="preserve">reputational risks. </w:t>
      </w:r>
    </w:p>
    <w:p w14:paraId="39B2692C" w14:textId="0E1F8B12" w:rsidR="003564D5" w:rsidRDefault="00FE1929" w:rsidP="002212A1">
      <w:r>
        <w:t xml:space="preserve">As a result, our organisation needs to </w:t>
      </w:r>
      <w:r w:rsidR="00312665">
        <w:t>evaluate the</w:t>
      </w:r>
      <w:r>
        <w:t xml:space="preserve"> unpredictability of strikes, short term industrial actions, </w:t>
      </w:r>
      <w:r w:rsidR="00312665">
        <w:t xml:space="preserve">and </w:t>
      </w:r>
      <w:r>
        <w:t>the impact of digital mobilisation</w:t>
      </w:r>
      <w:r w:rsidR="00312665">
        <w:t xml:space="preserve"> can have on increasing reputational</w:t>
      </w:r>
      <w:r>
        <w:t xml:space="preserve"> risks</w:t>
      </w:r>
      <w:r w:rsidR="00312665">
        <w:t xml:space="preserve">. </w:t>
      </w:r>
      <w:r>
        <w:t xml:space="preserve">I do believe however, we can </w:t>
      </w:r>
      <w:r w:rsidR="00312665">
        <w:t xml:space="preserve">minimise this </w:t>
      </w:r>
      <w:r>
        <w:t>conflict by implementing flexible negotiation frameworks, proactive conflict management</w:t>
      </w:r>
      <w:r w:rsidR="00312665">
        <w:t xml:space="preserve"> practices</w:t>
      </w:r>
      <w:r>
        <w:t xml:space="preserve"> and clear communication</w:t>
      </w:r>
      <w:r w:rsidR="00312665">
        <w:t xml:space="preserve"> strategies.</w:t>
      </w:r>
      <w:r>
        <w:t xml:space="preserve"> This will ensure we remain compli</w:t>
      </w:r>
      <w:r w:rsidR="00312665">
        <w:t>ant</w:t>
      </w:r>
      <w:r>
        <w:t xml:space="preserve"> with employment law, maintain trust, and organisational stability. </w:t>
      </w:r>
    </w:p>
    <w:p w14:paraId="01A80316" w14:textId="7FD171C0" w:rsidR="009A2AAA" w:rsidRDefault="009A2AAA" w:rsidP="002212A1">
      <w:r>
        <w:t>Overall, these trends demonstrate that while digitalisation, AI, Hybrid work and evolving industrial action can improve efficiency and engagement, they can also introduce new sources of conflict requiring proactive</w:t>
      </w:r>
      <w:r w:rsidR="00312665">
        <w:t xml:space="preserve"> and </w:t>
      </w:r>
      <w:r>
        <w:t xml:space="preserve">flexible HR strategies. </w:t>
      </w:r>
    </w:p>
    <w:p w14:paraId="2105BDE6" w14:textId="4907F6B8" w:rsidR="00A40231" w:rsidRPr="00A40231" w:rsidRDefault="00A40231" w:rsidP="00A40231">
      <w:pPr>
        <w:pStyle w:val="ListParagraph"/>
        <w:numPr>
          <w:ilvl w:val="0"/>
          <w:numId w:val="2"/>
        </w:numPr>
        <w:rPr>
          <w:color w:val="4472C4" w:themeColor="accent1"/>
        </w:rPr>
      </w:pPr>
      <w:r w:rsidRPr="00A40231">
        <w:rPr>
          <w:color w:val="4472C4" w:themeColor="accent1"/>
        </w:rPr>
        <w:t xml:space="preserve">Distinguish between third-party conciliation, mediation and arbitration (AC 2.3) </w:t>
      </w:r>
    </w:p>
    <w:p w14:paraId="1132F901" w14:textId="52A24FA6" w:rsidR="006C5A76" w:rsidRDefault="006C5A76" w:rsidP="002212A1">
      <w:r>
        <w:t xml:space="preserve">Third party conciliation is a form of alternative dispute resolution in which a neutral third party helps disputing parties communicate, clarify issues and explore possible outcomes. The conciliator may suggest options or assist in framing settlement terms, but does not impose a biding decision. Conciliation is voluntary, informal and non-binding, and aims to help parties reach agreement without escalation to formal processes such as employment tribunals. In the UK, it is widely used in employment disputes and is a core service provided by ACAS. HR research suggest organisation are most likely to use conciliation after internal procedures such as informal discussions or grievances have failed, as it introduced impartial support to break deadlock while preserving working relationships. </w:t>
      </w:r>
      <w:r w:rsidRPr="006C5A76">
        <w:rPr>
          <w:color w:val="FF0000"/>
        </w:rPr>
        <w:t xml:space="preserve">(Dix and Oxenbridge, 2008). </w:t>
      </w:r>
    </w:p>
    <w:p w14:paraId="64C66A38" w14:textId="7913702D" w:rsidR="00113BAF" w:rsidRDefault="00113BAF" w:rsidP="002212A1">
      <w:pPr>
        <w:rPr>
          <w:color w:val="FF0000"/>
        </w:rPr>
      </w:pPr>
      <w:r>
        <w:t xml:space="preserve"> </w:t>
      </w:r>
      <w:r w:rsidR="00E357A8">
        <w:t xml:space="preserve">Mediation is a more structured but still facilitative ADR process in which an independent mediator supports parties to better understand each other’s perspectives, clarify interests and negotiate a mutually acceptable, voluntary agreement. Unlike arbitration, mediators do not make decisions or impose outcomes </w:t>
      </w:r>
      <w:r w:rsidR="00E357A8" w:rsidRPr="00E357A8">
        <w:rPr>
          <w:color w:val="FF0000"/>
        </w:rPr>
        <w:t xml:space="preserve">(CIPD, 2025). </w:t>
      </w:r>
      <w:r w:rsidR="00E357A8">
        <w:t xml:space="preserve">According to HR academics and CIPD guidance, mediation is most effective when used early in conflict, before position become entrenched or formal procedures begin. It is valued for confidentiality, flexibility and focus on repairing working relationships, and reducing the likelihood of grievances or tribunal claims </w:t>
      </w:r>
      <w:r w:rsidR="00E357A8" w:rsidRPr="00E357A8">
        <w:rPr>
          <w:color w:val="FF0000"/>
        </w:rPr>
        <w:t xml:space="preserve">(ACAS, 2013) </w:t>
      </w:r>
    </w:p>
    <w:p w14:paraId="79C3754A" w14:textId="65F1D364" w:rsidR="00E357A8" w:rsidRPr="00E357A8" w:rsidRDefault="00BF4FE2" w:rsidP="002212A1">
      <w:r>
        <w:t>Arbitration</w:t>
      </w:r>
      <w:r w:rsidR="00E357A8">
        <w:t xml:space="preserve"> is the most formal of the three approaches. It involves an independent arbitrator who heard evidence and arguments from both sides and issues a binding decision. Arbitration resembles a private judicial process and us typically used when disputes cannot be resolves through </w:t>
      </w:r>
      <w:r>
        <w:t>negotiation</w:t>
      </w:r>
      <w:r w:rsidR="00E357A8">
        <w:t xml:space="preserve">, conciliation or mediation. </w:t>
      </w:r>
      <w:r>
        <w:t xml:space="preserve">HR scholars note that organisations are most likely to choose arbitration when they require certainty, finality and enforceability, and when parties have agreed in advance to accept the </w:t>
      </w:r>
      <w:r w:rsidR="006E4D3C">
        <w:t>arbitrators’</w:t>
      </w:r>
      <w:r>
        <w:t xml:space="preserve"> rulings as an alliterative to litigation. </w:t>
      </w:r>
      <w:r w:rsidRPr="00BF4FE2">
        <w:rPr>
          <w:color w:val="FF0000"/>
        </w:rPr>
        <w:t xml:space="preserve">(ACAS, 2022) (GOV. UK, 2024) </w:t>
      </w:r>
    </w:p>
    <w:p w14:paraId="3B3E26AA" w14:textId="71E12591" w:rsidR="00E458C8" w:rsidRDefault="004B6378" w:rsidP="00D819E4">
      <w:r>
        <w:t xml:space="preserve">When considering what type of conflict resolution would be more suitable for our organisation research suggests that mediation is the most widely used within public sector organisations. Mediation is favourited because it is informal, cost effective and aligned with public sector values of fairness and employee voice. The benefits our leadership team will see include, quicker conflict resolution, reduced grievances, and improved workplace relationships. Challenges however, may include the need for skilled mediators and inconsistent outcomes. When considering the benefit this may have on our employees though, it outweighs what challenges we may face, as mediation can increase trust, participation and employee wellbeing. </w:t>
      </w:r>
    </w:p>
    <w:p w14:paraId="656B1519" w14:textId="55DF9F33" w:rsidR="00DA45F4" w:rsidRDefault="00DA45F4" w:rsidP="00DA45F4">
      <w:pPr>
        <w:pStyle w:val="ListParagraph"/>
        <w:numPr>
          <w:ilvl w:val="0"/>
          <w:numId w:val="2"/>
        </w:numPr>
        <w:rPr>
          <w:color w:val="4472C4" w:themeColor="accent1"/>
        </w:rPr>
      </w:pPr>
      <w:r w:rsidRPr="00DA45F4">
        <w:rPr>
          <w:color w:val="4472C4" w:themeColor="accent1"/>
        </w:rPr>
        <w:lastRenderedPageBreak/>
        <w:t>Explain the principles of legislation relating to unfair dismissal in respect of capability and misconduct issues. (AC 3</w:t>
      </w:r>
      <w:r w:rsidR="00DE702D">
        <w:rPr>
          <w:color w:val="4472C4" w:themeColor="accent1"/>
        </w:rPr>
        <w:t>.1</w:t>
      </w:r>
      <w:r w:rsidRPr="00DA45F4">
        <w:rPr>
          <w:color w:val="4472C4" w:themeColor="accent1"/>
        </w:rPr>
        <w:t>.)</w:t>
      </w:r>
    </w:p>
    <w:p w14:paraId="18877FF8" w14:textId="64E92D56" w:rsidR="0053282E" w:rsidRDefault="00AE7431" w:rsidP="00DA45F4">
      <w:r>
        <w:t xml:space="preserve">Legislation on unfair dismissal requires employers to follow clear principles when dismissing employees for capability or misconduct, primarily under the Employment Rights Act 1996. While both are recognised as potentially fair reasons for dismissal, employers must demonstrate fairness in both reason and procedure. </w:t>
      </w:r>
    </w:p>
    <w:p w14:paraId="607D19D3" w14:textId="7D06E414" w:rsidR="00AE7431" w:rsidRDefault="00A51175" w:rsidP="00DA45F4">
      <w:r>
        <w:t xml:space="preserve">In relation to capability, dismissal must concern the employee’s skill, aptitude, health or performance. Employers are expected to clearly identify and evidence capability concerns, provide appropriate support such as training or reasonable adjustments, issue warnings, and allow sufficient time for improvement. A dismissal will be deemed unfair if these steps are not followed or if the employer acts unreasonably or disproportionally. </w:t>
      </w:r>
      <w:r w:rsidRPr="00A51175">
        <w:rPr>
          <w:color w:val="FF0000"/>
        </w:rPr>
        <w:t>(Taylor and Emir, 2023)</w:t>
      </w:r>
    </w:p>
    <w:p w14:paraId="0C68CF0D" w14:textId="647BF328" w:rsidR="00A51175" w:rsidRDefault="00A51175" w:rsidP="00DA45F4">
      <w:r>
        <w:t xml:space="preserve">In cases involving ill health, employers must also consider medical evidence and may be required to make reasonable adjustments under the Equality Act 2010. Failure to follow a fair capability process or the ACAS code of Practice, is likely to render a dismissal unfair. </w:t>
      </w:r>
    </w:p>
    <w:p w14:paraId="022C25F8" w14:textId="17D8F0EB" w:rsidR="00A51175" w:rsidRDefault="00A51175" w:rsidP="00DA45F4">
      <w:r>
        <w:t xml:space="preserve">For misconduct, employers must show that they had genuine belief that the employee was guilty of misconduct, that this belief was based on reasonable grounds, and that a reasonable investigation was carried out before dismissal. These principles are well established in case law and supported by the </w:t>
      </w:r>
      <w:r w:rsidRPr="00A51175">
        <w:rPr>
          <w:color w:val="FF0000"/>
        </w:rPr>
        <w:t>ACAS code of practice on disciplinary and grievance procedure. (2015)</w:t>
      </w:r>
      <w:r>
        <w:rPr>
          <w:color w:val="FF0000"/>
        </w:rPr>
        <w:t xml:space="preserve"> </w:t>
      </w:r>
      <w:r>
        <w:t xml:space="preserve">Employees must be informed of allegations, given the opportunity to respond, and treated fairly. </w:t>
      </w:r>
    </w:p>
    <w:p w14:paraId="789F2170" w14:textId="6513BC4F" w:rsidR="00A51175" w:rsidRDefault="00A51175" w:rsidP="00DA45F4">
      <w:r>
        <w:t xml:space="preserve">A dismissal for conduct will be unfair where an employer fails to follow fair disciplinary procedure, applies sanctions inconsistently, or disproportionately, or dismisses where a reasonable employer would have imposed a lesser sanction. Even in cases of gross misconduct, summery dismissal may still be unfair if procedural fairness is not observed. </w:t>
      </w:r>
    </w:p>
    <w:p w14:paraId="412C18B6" w14:textId="4DEC2146" w:rsidR="00A51175" w:rsidRDefault="00A51175" w:rsidP="00DA45F4">
      <w:r>
        <w:t xml:space="preserve">Overall, the key legislative principles underpinning unfair dismissal are fairness, reasonableness and procedural justice. </w:t>
      </w:r>
    </w:p>
    <w:p w14:paraId="76C556D0" w14:textId="3B1A9126" w:rsidR="00CD5A56" w:rsidRDefault="00CD5A56" w:rsidP="00DA45F4">
      <w:r>
        <w:t xml:space="preserve">Taking this information into account, I think it’s really important we, as a public sector, we ensure demonstrate fairness, transparency, and compliance with employment legislation consistently, when dealing with any potential dismissals. </w:t>
      </w:r>
    </w:p>
    <w:p w14:paraId="23BF390D" w14:textId="68FB04E9" w:rsidR="00CD5A56" w:rsidRDefault="00CD5A56" w:rsidP="00DA45F4">
      <w:r>
        <w:t xml:space="preserve">This means we should gather evidence, follow formal procedures and allow employees the right to respond to allegations at all times. For capability specifically, we need to ensure we provide appropriate training, and reasonable time to improve, alongside implementing any reasonable adjustments for ill health under the Equality Act 2010. </w:t>
      </w:r>
    </w:p>
    <w:p w14:paraId="00F856E9" w14:textId="3F938DF3" w:rsidR="00CD5A56" w:rsidRDefault="00CD5A56" w:rsidP="00DA45F4">
      <w:r>
        <w:t xml:space="preserve">For misconduct, a thorough, unbiased investigation is needed, in addition to adherence to ACAS code of practice. Consistency, proportionality and thorough documentation will help us to reduce the risk of unfair dismissal claims being brought forward, and it will help us to maintain employee trust and organisational credibility. </w:t>
      </w:r>
    </w:p>
    <w:p w14:paraId="772B7F49" w14:textId="77833C3C" w:rsidR="00E43F86" w:rsidRDefault="00A44ACF" w:rsidP="00E43F86">
      <w:pPr>
        <w:pStyle w:val="ListParagraph"/>
        <w:numPr>
          <w:ilvl w:val="0"/>
          <w:numId w:val="2"/>
        </w:numPr>
        <w:rPr>
          <w:color w:val="4472C4" w:themeColor="accent1"/>
        </w:rPr>
      </w:pPr>
      <w:r w:rsidRPr="00A44ACF">
        <w:rPr>
          <w:color w:val="4472C4" w:themeColor="accent1"/>
        </w:rPr>
        <w:t xml:space="preserve">Analyse three key causes of employee grievances (AC 3.2) </w:t>
      </w:r>
    </w:p>
    <w:p w14:paraId="00AAC4D5" w14:textId="2FB939A5" w:rsidR="00C93C71" w:rsidRPr="00C93C71" w:rsidRDefault="00C93C71" w:rsidP="00C93C71">
      <w:r w:rsidRPr="00C93C71">
        <w:t xml:space="preserve">Below I have summarised three key areas, we as a public organisation need to be mindful of, in terms of possible grievances that could be raised, and what we can do to overcome these challenges.  </w:t>
      </w:r>
    </w:p>
    <w:p w14:paraId="36699979" w14:textId="340A1D2D" w:rsidR="00D85A90" w:rsidRPr="00D85A90" w:rsidRDefault="00D85A90" w:rsidP="00D85A90">
      <w:pPr>
        <w:rPr>
          <w:b/>
          <w:bCs/>
        </w:rPr>
      </w:pPr>
      <w:r w:rsidRPr="00D85A90">
        <w:rPr>
          <w:b/>
          <w:bCs/>
        </w:rPr>
        <w:t xml:space="preserve">Poor </w:t>
      </w:r>
      <w:r>
        <w:rPr>
          <w:b/>
          <w:bCs/>
        </w:rPr>
        <w:t>I</w:t>
      </w:r>
      <w:r w:rsidRPr="00D85A90">
        <w:rPr>
          <w:b/>
          <w:bCs/>
        </w:rPr>
        <w:t xml:space="preserve">nterpersonal </w:t>
      </w:r>
      <w:r>
        <w:rPr>
          <w:b/>
          <w:bCs/>
        </w:rPr>
        <w:t>R</w:t>
      </w:r>
      <w:r w:rsidRPr="00D85A90">
        <w:rPr>
          <w:b/>
          <w:bCs/>
        </w:rPr>
        <w:t xml:space="preserve">elationships and </w:t>
      </w:r>
      <w:r>
        <w:rPr>
          <w:b/>
          <w:bCs/>
        </w:rPr>
        <w:t>W</w:t>
      </w:r>
      <w:r w:rsidRPr="00D85A90">
        <w:rPr>
          <w:b/>
          <w:bCs/>
        </w:rPr>
        <w:t xml:space="preserve">orkplace </w:t>
      </w:r>
      <w:r>
        <w:rPr>
          <w:b/>
          <w:bCs/>
        </w:rPr>
        <w:t>C</w:t>
      </w:r>
      <w:r w:rsidRPr="00D85A90">
        <w:rPr>
          <w:b/>
          <w:bCs/>
        </w:rPr>
        <w:t xml:space="preserve">onflict </w:t>
      </w:r>
    </w:p>
    <w:p w14:paraId="740B2BB5" w14:textId="05447512" w:rsidR="00E458C8" w:rsidRDefault="0029279A" w:rsidP="00D819E4">
      <w:pPr>
        <w:rPr>
          <w:color w:val="FF0000"/>
        </w:rPr>
      </w:pPr>
      <w:r>
        <w:lastRenderedPageBreak/>
        <w:t xml:space="preserve">Conflict between employees, particularly with manager and colleagues, is a major cause of grievances. When relationships break down, employees often perceive no informal way to resolve issues, promoting formal complaints. In a survey of 158 UK organisations covering 324,545 employees, bullying or harassment was cited in 67% of grievance cases, relationship issues with managers in 54% and issues with colleagues in 49%. </w:t>
      </w:r>
      <w:r w:rsidRPr="0029279A">
        <w:rPr>
          <w:color w:val="FF0000"/>
        </w:rPr>
        <w:t xml:space="preserve">(Flett, 2023). </w:t>
      </w:r>
      <w:r>
        <w:t xml:space="preserve">Additionally, 25% of UK employees reported experiencing workplace conflict in the past year </w:t>
      </w:r>
      <w:r w:rsidRPr="0029279A">
        <w:rPr>
          <w:color w:val="FF0000"/>
        </w:rPr>
        <w:t xml:space="preserve">(Mayne, 2024) </w:t>
      </w:r>
    </w:p>
    <w:p w14:paraId="2E4BDC00" w14:textId="38A7A326" w:rsidR="0029279A" w:rsidRDefault="00AF31EB" w:rsidP="00D819E4">
      <w:r>
        <w:t xml:space="preserve">Poor interpersonal relationships undermine trust increase miscommunication and create perceptions of unfair treatment. Unresolves conflict low morale, reduce productivity, increase absenteeism and place extra strain on management. Organisations can mitigate these risks by promoting open communication, providing conflict management training, setting clear behavioural expectations, addressing issues early, encouraging teamwork and ensuring managers model respectful behaviour. </w:t>
      </w:r>
    </w:p>
    <w:p w14:paraId="122AB77C" w14:textId="362F408D" w:rsidR="00D85A90" w:rsidRPr="00D85A90" w:rsidRDefault="00D85A90" w:rsidP="00D819E4">
      <w:pPr>
        <w:rPr>
          <w:b/>
          <w:bCs/>
        </w:rPr>
      </w:pPr>
      <w:r w:rsidRPr="00D85A90">
        <w:rPr>
          <w:b/>
          <w:bCs/>
        </w:rPr>
        <w:t xml:space="preserve">Unfair </w:t>
      </w:r>
      <w:r>
        <w:rPr>
          <w:b/>
          <w:bCs/>
        </w:rPr>
        <w:t>T</w:t>
      </w:r>
      <w:r w:rsidRPr="00D85A90">
        <w:rPr>
          <w:b/>
          <w:bCs/>
        </w:rPr>
        <w:t xml:space="preserve">reatment: Bullying, Harassment and </w:t>
      </w:r>
      <w:r>
        <w:rPr>
          <w:b/>
          <w:bCs/>
        </w:rPr>
        <w:t>P</w:t>
      </w:r>
      <w:r w:rsidRPr="00D85A90">
        <w:rPr>
          <w:b/>
          <w:bCs/>
        </w:rPr>
        <w:t xml:space="preserve">erceived </w:t>
      </w:r>
      <w:r>
        <w:rPr>
          <w:b/>
          <w:bCs/>
        </w:rPr>
        <w:t>I</w:t>
      </w:r>
      <w:r w:rsidRPr="00D85A90">
        <w:rPr>
          <w:b/>
          <w:bCs/>
        </w:rPr>
        <w:t xml:space="preserve">nequity </w:t>
      </w:r>
    </w:p>
    <w:p w14:paraId="5EA605F4" w14:textId="049B1F6A" w:rsidR="00E458C8" w:rsidRDefault="00B31CB3" w:rsidP="00D819E4">
      <w:r>
        <w:t xml:space="preserve">Perceived unfair treatment such as bullying, harassment, discrimination or unequal policy application leads employees to feel undervalued, increasing grievance submissions. The public sector faces particular challenges, with </w:t>
      </w:r>
      <w:r w:rsidRPr="00B31CB3">
        <w:rPr>
          <w:color w:val="FF0000"/>
        </w:rPr>
        <w:t xml:space="preserve">CIPD (2024) </w:t>
      </w:r>
      <w:r>
        <w:t xml:space="preserve">noting more barriers to addressing bullying and harassment than in the private sector. </w:t>
      </w:r>
    </w:p>
    <w:p w14:paraId="4E10D4DD" w14:textId="5F4851B2" w:rsidR="004B6F94" w:rsidRDefault="004B6F94" w:rsidP="00D819E4">
      <w:r>
        <w:t xml:space="preserve">Unfair treatment damages trust, lowers morale, and creates physiological stress. When unresolves, it leads to higher grievance volumes, increased workplace conflict, reduced productivity and reputational risks. Organisations can address this by enforcing clear policies, training managers, promoting respectful behaviour, encouraging early reporting, ensuring transparent decision-making, and fostering strong leadership accountability to maintain fair, inclusive workplace culture. </w:t>
      </w:r>
    </w:p>
    <w:p w14:paraId="74730063" w14:textId="01CD3645" w:rsidR="00D85A90" w:rsidRPr="00D85A90" w:rsidRDefault="00D85A90" w:rsidP="00D819E4">
      <w:pPr>
        <w:rPr>
          <w:b/>
          <w:bCs/>
        </w:rPr>
      </w:pPr>
      <w:r w:rsidRPr="00D85A90">
        <w:rPr>
          <w:b/>
          <w:bCs/>
        </w:rPr>
        <w:t>Workload Pressures, Staffing Shortages and Organisational Strain</w:t>
      </w:r>
    </w:p>
    <w:p w14:paraId="0433400A" w14:textId="7D6D50B3" w:rsidR="00960785" w:rsidRDefault="00960785" w:rsidP="00D819E4">
      <w:pPr>
        <w:rPr>
          <w:color w:val="FF0000"/>
        </w:rPr>
      </w:pPr>
      <w:r>
        <w:t xml:space="preserve">Resource constraints, tight budgets and increasing service demands create heavy workloads and stress in public sector organisations. Research indicates that workload pressures and staff shortages are major contributors to declining morale and rising grievances. </w:t>
      </w:r>
      <w:r w:rsidRPr="00960785">
        <w:rPr>
          <w:color w:val="FF0000"/>
        </w:rPr>
        <w:t xml:space="preserve">(CIPD,2023) </w:t>
      </w:r>
    </w:p>
    <w:p w14:paraId="65BDDE5B" w14:textId="4468720A" w:rsidR="00960785" w:rsidRDefault="00960785" w:rsidP="00D819E4">
      <w:r>
        <w:t xml:space="preserve">Excessive workload and organisational strain cause stress, burnout, and job dissatisfaction. Employees may feel unsupported, leading to complaints about working conditions and management practices. If unaddressed, informal concerns escalate into formal grievances. Organisation can reduce this by monitoring workloads, ensuring fair staff allocation, recruiting to fill gaps, offering flexible working, communicating expectations clearly and providing wellbeing support to prevent stress from escalation. </w:t>
      </w:r>
    </w:p>
    <w:p w14:paraId="394AD11A" w14:textId="564D78FC" w:rsidR="002D7DB0" w:rsidRDefault="00276CE5" w:rsidP="00276CE5">
      <w:pPr>
        <w:pStyle w:val="ListParagraph"/>
        <w:numPr>
          <w:ilvl w:val="0"/>
          <w:numId w:val="2"/>
        </w:numPr>
        <w:rPr>
          <w:color w:val="4472C4" w:themeColor="accent1"/>
        </w:rPr>
      </w:pPr>
      <w:r w:rsidRPr="00276CE5">
        <w:rPr>
          <w:color w:val="4472C4" w:themeColor="accent1"/>
        </w:rPr>
        <w:t xml:space="preserve">Advise on the importance of handling grievances effectively (AC 3.3) </w:t>
      </w:r>
    </w:p>
    <w:p w14:paraId="75273D40" w14:textId="2EC171B2" w:rsidR="00276CE5" w:rsidRDefault="00276CE5" w:rsidP="00276CE5">
      <w:r>
        <w:t xml:space="preserve">Effective grievance handling is a critical component of huma resource management, contributing directly to employee relations, organisational justice, and overall organisational performance. A grievance can be defined as a formal expression of dissatisfaction by an employee regarding workplace issues such as unfair treatment, working conditions, or managerial decisions </w:t>
      </w:r>
      <w:r w:rsidRPr="00662501">
        <w:rPr>
          <w:color w:val="FF0000"/>
        </w:rPr>
        <w:t xml:space="preserve">(Armstrong and Taylor, 2023) </w:t>
      </w:r>
      <w:r>
        <w:t xml:space="preserve">How organisations manage grievances significantly influence trust, engagement and compliance with legal and ethical standards. </w:t>
      </w:r>
    </w:p>
    <w:p w14:paraId="4E33960D" w14:textId="758713D5" w:rsidR="00276CE5" w:rsidRDefault="00276CE5" w:rsidP="00276CE5">
      <w:r>
        <w:t xml:space="preserve">Handling </w:t>
      </w:r>
      <w:r w:rsidR="004A2A23">
        <w:t>grievances</w:t>
      </w:r>
      <w:r>
        <w:t xml:space="preserve"> fairly and consistently reinforces perceptions of organisational justice. According to </w:t>
      </w:r>
      <w:r w:rsidRPr="00662501">
        <w:rPr>
          <w:color w:val="FF0000"/>
        </w:rPr>
        <w:t>Greenber</w:t>
      </w:r>
      <w:r w:rsidR="004A2A23" w:rsidRPr="00662501">
        <w:rPr>
          <w:color w:val="FF0000"/>
        </w:rPr>
        <w:t>g</w:t>
      </w:r>
      <w:r w:rsidRPr="00662501">
        <w:rPr>
          <w:color w:val="FF0000"/>
        </w:rPr>
        <w:t xml:space="preserve"> (2011), </w:t>
      </w:r>
      <w:r>
        <w:t xml:space="preserve">employees </w:t>
      </w:r>
      <w:r w:rsidR="004A2A23">
        <w:t xml:space="preserve">who believe that procedures are transparent and unbiased are more likely to trust management, even when outcomes are unfavourable. Effective </w:t>
      </w:r>
      <w:r w:rsidR="004A2A23">
        <w:lastRenderedPageBreak/>
        <w:t xml:space="preserve">grievance mechanisms demonstrate procedural justice by ensuring employees are heard and treated with respect. This trust is essential for sustaining positive employee/employer relationships and reducing adversarial workplace climates. </w:t>
      </w:r>
    </w:p>
    <w:p w14:paraId="5A10BC1A" w14:textId="3C871944" w:rsidR="004A2A23" w:rsidRDefault="004A2A23" w:rsidP="00276CE5">
      <w:r>
        <w:t xml:space="preserve">Unresolved grievances can lead to stress, reduced morale, and disengagement. Research by the </w:t>
      </w:r>
      <w:r w:rsidRPr="00662501">
        <w:rPr>
          <w:color w:val="FF0000"/>
        </w:rPr>
        <w:t xml:space="preserve">CIPD (2023) </w:t>
      </w:r>
      <w:r>
        <w:t>indicates that employees who feel their concerns are ignore</w:t>
      </w:r>
      <w:r w:rsidR="0036756A">
        <w:t xml:space="preserve">d </w:t>
      </w:r>
      <w:r>
        <w:t xml:space="preserve">are more likely to experience dissatisfaction and withdraw discretionary effort. </w:t>
      </w:r>
      <w:r w:rsidR="0036756A">
        <w:t xml:space="preserve">Conversely, timely and empathetic grievance handling signals that the organisation values employee wellbeing, which can enhance commitment, motivation and psychological safety. </w:t>
      </w:r>
    </w:p>
    <w:p w14:paraId="25E11C66" w14:textId="6B9F3F3C" w:rsidR="0036756A" w:rsidRDefault="0036756A" w:rsidP="00276CE5">
      <w:r>
        <w:t xml:space="preserve">Poorly managed grievances may escalate into formal disputes, absenteeism, or employment tribunal claims. </w:t>
      </w:r>
      <w:r w:rsidRPr="00662501">
        <w:rPr>
          <w:color w:val="FF0000"/>
        </w:rPr>
        <w:t xml:space="preserve">Gennard and Judge (2010) </w:t>
      </w:r>
      <w:r>
        <w:t xml:space="preserve">argue that early and effective resolution of </w:t>
      </w:r>
      <w:r w:rsidR="005B1004">
        <w:t>grievances</w:t>
      </w:r>
      <w:r>
        <w:t xml:space="preserve"> acts as a risk management tool, </w:t>
      </w:r>
      <w:r w:rsidR="005B1004">
        <w:t xml:space="preserve">reducing legal exposure and associated costs. Adhering to established grievance procedures also ensures compliance with employment legislation and codes of practice such as ACAS code of practice on Disciplinary and Grievances </w:t>
      </w:r>
      <w:r w:rsidR="005B1004" w:rsidRPr="00662501">
        <w:rPr>
          <w:color w:val="FF0000"/>
        </w:rPr>
        <w:t xml:space="preserve">(ACAS, 2020) </w:t>
      </w:r>
    </w:p>
    <w:p w14:paraId="0C0EA60F" w14:textId="5C4F86EB" w:rsidR="005B1004" w:rsidRDefault="005B1004" w:rsidP="00276CE5">
      <w:r>
        <w:t xml:space="preserve">An effective grievance-handling framework contributes to a culture of openness and continuous improvement. </w:t>
      </w:r>
      <w:r w:rsidRPr="00662501">
        <w:rPr>
          <w:color w:val="FF0000"/>
        </w:rPr>
        <w:t>Tayl</w:t>
      </w:r>
      <w:r w:rsidR="00E92E15">
        <w:rPr>
          <w:color w:val="FF0000"/>
        </w:rPr>
        <w:t>or</w:t>
      </w:r>
      <w:r w:rsidRPr="00662501">
        <w:rPr>
          <w:color w:val="FF0000"/>
        </w:rPr>
        <w:t xml:space="preserve"> (2023) </w:t>
      </w:r>
      <w:r>
        <w:t xml:space="preserve">emphasises that organisations which encourage employees to raise concerns without fear of retaliation are more likely to identify systematic issues early. This learning-orientated approach supports ethical management practices and long-term organisational sustainability. </w:t>
      </w:r>
    </w:p>
    <w:p w14:paraId="46C4A70A" w14:textId="7278795F" w:rsidR="005B1004" w:rsidRPr="00276CE5" w:rsidRDefault="005B1004" w:rsidP="00276CE5">
      <w:r>
        <w:t xml:space="preserve">As a public sector organisation, to ensure we deal with grievances effectively, we need to ensure we establish fair, transparent and consistent grievance handling practices. Clear procedures aligned with statutory requirements and recognised codes of practice are essential to building employee trust and organisational credibility. Our managers should be adequately trained to handle grievances sensitively and impartially, ensuring employees feel heard and respected. </w:t>
      </w:r>
    </w:p>
    <w:p w14:paraId="32323044" w14:textId="77777777" w:rsidR="00822625" w:rsidRDefault="00822625" w:rsidP="00D819E4">
      <w:pPr>
        <w:rPr>
          <w:sz w:val="40"/>
          <w:szCs w:val="40"/>
          <w:u w:val="single"/>
        </w:rPr>
      </w:pPr>
    </w:p>
    <w:p w14:paraId="259A4F3F" w14:textId="77777777" w:rsidR="00822625" w:rsidRDefault="00822625" w:rsidP="00D819E4">
      <w:pPr>
        <w:rPr>
          <w:sz w:val="40"/>
          <w:szCs w:val="40"/>
          <w:u w:val="single"/>
        </w:rPr>
      </w:pPr>
    </w:p>
    <w:p w14:paraId="2248D64F" w14:textId="77777777" w:rsidR="00822625" w:rsidRDefault="00822625" w:rsidP="00D819E4">
      <w:pPr>
        <w:rPr>
          <w:sz w:val="40"/>
          <w:szCs w:val="40"/>
          <w:u w:val="single"/>
        </w:rPr>
      </w:pPr>
    </w:p>
    <w:p w14:paraId="745F843B" w14:textId="77777777" w:rsidR="00822625" w:rsidRDefault="00822625" w:rsidP="00D819E4">
      <w:pPr>
        <w:rPr>
          <w:sz w:val="40"/>
          <w:szCs w:val="40"/>
          <w:u w:val="single"/>
        </w:rPr>
      </w:pPr>
    </w:p>
    <w:p w14:paraId="0CDEBBA8" w14:textId="77777777" w:rsidR="00822625" w:rsidRDefault="00822625" w:rsidP="00D819E4">
      <w:pPr>
        <w:rPr>
          <w:sz w:val="40"/>
          <w:szCs w:val="40"/>
          <w:u w:val="single"/>
        </w:rPr>
      </w:pPr>
    </w:p>
    <w:p w14:paraId="26CAA322" w14:textId="77777777" w:rsidR="00822625" w:rsidRDefault="00822625" w:rsidP="00D819E4">
      <w:pPr>
        <w:rPr>
          <w:sz w:val="40"/>
          <w:szCs w:val="40"/>
          <w:u w:val="single"/>
        </w:rPr>
      </w:pPr>
    </w:p>
    <w:p w14:paraId="45160412" w14:textId="77777777" w:rsidR="00822625" w:rsidRDefault="00822625" w:rsidP="00D819E4">
      <w:pPr>
        <w:rPr>
          <w:sz w:val="40"/>
          <w:szCs w:val="40"/>
          <w:u w:val="single"/>
        </w:rPr>
      </w:pPr>
    </w:p>
    <w:p w14:paraId="395BFFB2" w14:textId="77777777" w:rsidR="00822625" w:rsidRDefault="00822625" w:rsidP="00D819E4">
      <w:pPr>
        <w:rPr>
          <w:sz w:val="40"/>
          <w:szCs w:val="40"/>
          <w:u w:val="single"/>
        </w:rPr>
      </w:pPr>
    </w:p>
    <w:p w14:paraId="0BAA4DDE" w14:textId="77777777" w:rsidR="00822625" w:rsidRDefault="00822625" w:rsidP="00D819E4">
      <w:pPr>
        <w:rPr>
          <w:sz w:val="40"/>
          <w:szCs w:val="40"/>
          <w:u w:val="single"/>
        </w:rPr>
      </w:pPr>
    </w:p>
    <w:p w14:paraId="561814ED" w14:textId="196D2828" w:rsidR="00E458C8" w:rsidRPr="00453367" w:rsidRDefault="00E458C8" w:rsidP="00D819E4">
      <w:pPr>
        <w:rPr>
          <w:sz w:val="40"/>
          <w:szCs w:val="40"/>
          <w:u w:val="single"/>
        </w:rPr>
      </w:pPr>
      <w:r w:rsidRPr="00453367">
        <w:rPr>
          <w:sz w:val="40"/>
          <w:szCs w:val="40"/>
          <w:u w:val="single"/>
        </w:rPr>
        <w:lastRenderedPageBreak/>
        <w:t xml:space="preserve">References </w:t>
      </w:r>
    </w:p>
    <w:p w14:paraId="33CB8CE9" w14:textId="77777777" w:rsidR="00DD31EB" w:rsidRDefault="00DD31EB" w:rsidP="00113BAF">
      <w:pPr>
        <w:pStyle w:val="ListParagraph"/>
        <w:numPr>
          <w:ilvl w:val="0"/>
          <w:numId w:val="4"/>
        </w:numPr>
      </w:pPr>
      <w:r>
        <w:t xml:space="preserve">ACAS (2013) </w:t>
      </w:r>
      <w:r w:rsidRPr="00113BAF">
        <w:rPr>
          <w:i/>
          <w:iCs/>
        </w:rPr>
        <w:t>Mediation: An approach to resolving workplace issues</w:t>
      </w:r>
      <w:r>
        <w:t xml:space="preserve">. Available at: </w:t>
      </w:r>
      <w:hyperlink r:id="rId7" w:history="1">
        <w:r w:rsidRPr="00116FA9">
          <w:rPr>
            <w:rStyle w:val="Hyperlink"/>
          </w:rPr>
          <w:t>https://www.acas.org.uk/sites/default/files/2021-03/mediation-an-approach-to-resolving-workplace-issues.pdf</w:t>
        </w:r>
      </w:hyperlink>
      <w:r>
        <w:t xml:space="preserve"> (Accessed: 11/01/2026)</w:t>
      </w:r>
    </w:p>
    <w:p w14:paraId="22E9A13C" w14:textId="77777777" w:rsidR="00DD31EB" w:rsidRDefault="00DD31EB" w:rsidP="00113BAF">
      <w:pPr>
        <w:pStyle w:val="ListParagraph"/>
        <w:numPr>
          <w:ilvl w:val="0"/>
          <w:numId w:val="4"/>
        </w:numPr>
      </w:pPr>
      <w:r>
        <w:t xml:space="preserve">ACAS (2015) </w:t>
      </w:r>
      <w:r w:rsidRPr="0053282E">
        <w:rPr>
          <w:i/>
          <w:iCs/>
        </w:rPr>
        <w:t xml:space="preserve">Code of practice on disciplinary and grievance procedures. </w:t>
      </w:r>
      <w:hyperlink r:id="rId8" w:history="1">
        <w:r w:rsidRPr="00F4203D">
          <w:rPr>
            <w:rStyle w:val="Hyperlink"/>
          </w:rPr>
          <w:t>https://www.acas.org.uk/acas-code-of-practice-on-disciplinary-and-grievance-procedures</w:t>
        </w:r>
      </w:hyperlink>
      <w:r>
        <w:t xml:space="preserve"> (Accessed: 11/01/2026)</w:t>
      </w:r>
    </w:p>
    <w:p w14:paraId="77DB456C" w14:textId="77777777" w:rsidR="00DD31EB" w:rsidRDefault="00DD31EB" w:rsidP="00113BAF">
      <w:pPr>
        <w:pStyle w:val="ListParagraph"/>
        <w:numPr>
          <w:ilvl w:val="0"/>
          <w:numId w:val="4"/>
        </w:numPr>
      </w:pPr>
      <w:r>
        <w:t xml:space="preserve">  ACAS (2020) ‘Code of Practice on Disciplinary and Grievance procedures. ACAS. Available at: </w:t>
      </w:r>
      <w:hyperlink r:id="rId9" w:history="1">
        <w:r w:rsidRPr="00A4216B">
          <w:rPr>
            <w:rStyle w:val="Hyperlink"/>
          </w:rPr>
          <w:t>https://www.acas.org.uk/acas-code-of-practice-on-disciplinary-and-grievance-procedures</w:t>
        </w:r>
      </w:hyperlink>
      <w:r>
        <w:t xml:space="preserve"> </w:t>
      </w:r>
      <w:r>
        <w:t>(Accessed: 15/01/2026)</w:t>
      </w:r>
      <w:r>
        <w:t xml:space="preserve"> </w:t>
      </w:r>
    </w:p>
    <w:p w14:paraId="32033D24" w14:textId="77777777" w:rsidR="00DD31EB" w:rsidRDefault="00DD31EB" w:rsidP="00113BAF">
      <w:pPr>
        <w:pStyle w:val="ListParagraph"/>
        <w:numPr>
          <w:ilvl w:val="0"/>
          <w:numId w:val="4"/>
        </w:numPr>
      </w:pPr>
      <w:r>
        <w:t xml:space="preserve">ACAS (2022) </w:t>
      </w:r>
      <w:r w:rsidRPr="00113BAF">
        <w:rPr>
          <w:i/>
          <w:iCs/>
        </w:rPr>
        <w:t>Arbitration</w:t>
      </w:r>
      <w:r>
        <w:t xml:space="preserve">. Available at: </w:t>
      </w:r>
      <w:hyperlink r:id="rId10" w:history="1">
        <w:r w:rsidRPr="00116FA9">
          <w:rPr>
            <w:rStyle w:val="Hyperlink"/>
          </w:rPr>
          <w:t>https://www.acas.org.uk/arbitration</w:t>
        </w:r>
      </w:hyperlink>
      <w:r>
        <w:t xml:space="preserve"> (Accessed: 11/01/2026)</w:t>
      </w:r>
    </w:p>
    <w:p w14:paraId="414D6020" w14:textId="77777777" w:rsidR="00DD31EB" w:rsidRDefault="00DD31EB" w:rsidP="00545EAF">
      <w:pPr>
        <w:pStyle w:val="ListParagraph"/>
        <w:numPr>
          <w:ilvl w:val="0"/>
          <w:numId w:val="4"/>
        </w:numPr>
      </w:pPr>
      <w:r>
        <w:t xml:space="preserve">Armstrong, M. (2020) </w:t>
      </w:r>
      <w:r w:rsidRPr="00E656CD">
        <w:rPr>
          <w:i/>
          <w:iCs/>
        </w:rPr>
        <w:t>Armstrong’s handbook of Human Resource Management Practice</w:t>
      </w:r>
      <w:r>
        <w:t>. 15</w:t>
      </w:r>
      <w:r w:rsidRPr="00E656CD">
        <w:rPr>
          <w:vertAlign w:val="superscript"/>
        </w:rPr>
        <w:t>th</w:t>
      </w:r>
      <w:r>
        <w:t xml:space="preserve"> edn. Kogan Page. London. </w:t>
      </w:r>
    </w:p>
    <w:p w14:paraId="506D817E" w14:textId="77777777" w:rsidR="00DD31EB" w:rsidRDefault="00DD31EB" w:rsidP="00113BAF">
      <w:pPr>
        <w:pStyle w:val="ListParagraph"/>
        <w:numPr>
          <w:ilvl w:val="0"/>
          <w:numId w:val="4"/>
        </w:numPr>
      </w:pPr>
      <w:r>
        <w:t>Armstrong, M. and Taylor, S (2023) Armstrong’s handbook of Human Resource Management Practice. 15</w:t>
      </w:r>
      <w:r w:rsidRPr="00662501">
        <w:rPr>
          <w:vertAlign w:val="superscript"/>
        </w:rPr>
        <w:t>th</w:t>
      </w:r>
      <w:r>
        <w:t xml:space="preserve"> edn. London: Kogan Page </w:t>
      </w:r>
    </w:p>
    <w:p w14:paraId="140D9EC2" w14:textId="77777777" w:rsidR="00DD31EB" w:rsidRPr="00DF1142" w:rsidRDefault="00DD31EB" w:rsidP="008B27E0">
      <w:pPr>
        <w:pStyle w:val="ListParagraph"/>
        <w:numPr>
          <w:ilvl w:val="0"/>
          <w:numId w:val="4"/>
        </w:numPr>
        <w:rPr>
          <w:i/>
          <w:iCs/>
        </w:rPr>
      </w:pPr>
      <w:r>
        <w:t>Bloom, N. Liang, J. Roberts, J. &amp; Ying, Z.J. (2023) ‘Remote and Hybrid Work: Organisational Implications and Conflict</w:t>
      </w:r>
      <w:r w:rsidRPr="00A52A46">
        <w:rPr>
          <w:i/>
          <w:iCs/>
        </w:rPr>
        <w:t>. Journal of Management Studies</w:t>
      </w:r>
      <w:r>
        <w:t xml:space="preserve">. 60(4), PP. 789-812. </w:t>
      </w:r>
    </w:p>
    <w:p w14:paraId="6990461A" w14:textId="77777777" w:rsidR="00DD31EB" w:rsidRDefault="00DD31EB" w:rsidP="00B10DFE">
      <w:pPr>
        <w:pStyle w:val="ListParagraph"/>
        <w:numPr>
          <w:ilvl w:val="0"/>
          <w:numId w:val="4"/>
        </w:numPr>
      </w:pPr>
      <w:r>
        <w:t xml:space="preserve">Boxall, P. And Purcell, J. (2016) </w:t>
      </w:r>
      <w:r w:rsidRPr="00C44D7E">
        <w:rPr>
          <w:i/>
          <w:iCs/>
        </w:rPr>
        <w:t>Strategy and Human Resource Management</w:t>
      </w:r>
      <w:r>
        <w:t>.</w:t>
      </w:r>
      <w:r w:rsidRPr="006F2887">
        <w:t xml:space="preserve"> </w:t>
      </w:r>
      <w:r>
        <w:t>4</w:t>
      </w:r>
      <w:r w:rsidRPr="007C2578">
        <w:rPr>
          <w:vertAlign w:val="superscript"/>
        </w:rPr>
        <w:t>th</w:t>
      </w:r>
      <w:r>
        <w:t xml:space="preserve"> edn. Palgrave Macmillan. London.</w:t>
      </w:r>
    </w:p>
    <w:p w14:paraId="5EDE342D" w14:textId="77777777" w:rsidR="00DD31EB" w:rsidRDefault="00DD31EB" w:rsidP="00253BD5">
      <w:pPr>
        <w:pStyle w:val="ListParagraph"/>
        <w:numPr>
          <w:ilvl w:val="0"/>
          <w:numId w:val="4"/>
        </w:numPr>
      </w:pPr>
      <w:r>
        <w:t xml:space="preserve">Boxall, P. And Purcell, J. (2016) </w:t>
      </w:r>
      <w:r w:rsidRPr="00C44D7E">
        <w:rPr>
          <w:i/>
          <w:iCs/>
        </w:rPr>
        <w:t>Strategy and Human Resource Management</w:t>
      </w:r>
      <w:r>
        <w:t>.</w:t>
      </w:r>
      <w:r w:rsidRPr="006F2887">
        <w:t xml:space="preserve"> </w:t>
      </w:r>
      <w:r>
        <w:t>4</w:t>
      </w:r>
      <w:r w:rsidRPr="007C2578">
        <w:rPr>
          <w:vertAlign w:val="superscript"/>
        </w:rPr>
        <w:t>th</w:t>
      </w:r>
      <w:r>
        <w:t xml:space="preserve"> edn. Palgrave Macmillan. London.</w:t>
      </w:r>
    </w:p>
    <w:p w14:paraId="0D848F4C" w14:textId="77777777" w:rsidR="00DD31EB" w:rsidRDefault="00DD31EB" w:rsidP="00B10DFE">
      <w:pPr>
        <w:pStyle w:val="ListParagraph"/>
        <w:numPr>
          <w:ilvl w:val="0"/>
          <w:numId w:val="4"/>
        </w:numPr>
      </w:pPr>
      <w:r>
        <w:t xml:space="preserve">Bryson, A., Forth, J. &amp; Stokes, L. (2017). </w:t>
      </w:r>
      <w:r w:rsidRPr="00253BD5">
        <w:rPr>
          <w:i/>
          <w:iCs/>
        </w:rPr>
        <w:t>Does worker voice improve workplace performance?</w:t>
      </w:r>
      <w:r>
        <w:t xml:space="preserve"> CIPD. Available at: </w:t>
      </w:r>
      <w:hyperlink r:id="rId11" w:history="1">
        <w:r w:rsidRPr="00564368">
          <w:rPr>
            <w:rStyle w:val="Hyperlink"/>
          </w:rPr>
          <w:t>https://www.cipd.org/uk/knowledge/factsheets/voice-factsheet/</w:t>
        </w:r>
      </w:hyperlink>
      <w:r>
        <w:t xml:space="preserve"> (Accessed: 22/12/2025)</w:t>
      </w:r>
    </w:p>
    <w:p w14:paraId="317A0E22" w14:textId="77777777" w:rsidR="00DD31EB" w:rsidRDefault="00DD31EB" w:rsidP="00113BAF">
      <w:pPr>
        <w:pStyle w:val="ListParagraph"/>
        <w:numPr>
          <w:ilvl w:val="0"/>
          <w:numId w:val="4"/>
        </w:numPr>
      </w:pPr>
      <w:r>
        <w:t xml:space="preserve">CIPD (2023) ‘Managing Conflict in the Modern Workplace’. CIPD. Available at: </w:t>
      </w:r>
      <w:hyperlink r:id="rId12" w:history="1">
        <w:r w:rsidRPr="00A4216B">
          <w:rPr>
            <w:rStyle w:val="Hyperlink"/>
          </w:rPr>
          <w:t>https://www.cipd.org/uk/knowledge/reports/managing-workplace-conflict-report/</w:t>
        </w:r>
      </w:hyperlink>
      <w:r>
        <w:t xml:space="preserve"> </w:t>
      </w:r>
      <w:r>
        <w:t>(Accessed: 1</w:t>
      </w:r>
      <w:r>
        <w:t>5</w:t>
      </w:r>
      <w:r>
        <w:t>/01/2026)</w:t>
      </w:r>
    </w:p>
    <w:p w14:paraId="327CF8AE" w14:textId="77777777" w:rsidR="00DD31EB" w:rsidRDefault="00DD31EB" w:rsidP="00113BAF">
      <w:pPr>
        <w:pStyle w:val="ListParagraph"/>
        <w:numPr>
          <w:ilvl w:val="0"/>
          <w:numId w:val="4"/>
        </w:numPr>
      </w:pPr>
      <w:r>
        <w:t xml:space="preserve">CIPD (2023) ‘Public sector morale is in decline’. CIPD. Available at: </w:t>
      </w:r>
      <w:r w:rsidRPr="00AC2B63">
        <w:t xml:space="preserve"> </w:t>
      </w:r>
      <w:hyperlink r:id="rId13" w:history="1">
        <w:r w:rsidRPr="008E12D0">
          <w:rPr>
            <w:rStyle w:val="Hyperlink"/>
          </w:rPr>
          <w:t>https://www.cipd.org/uk/views-and-insights/thought-leadership/cipd-voice/public-sector-morale/</w:t>
        </w:r>
      </w:hyperlink>
      <w:r>
        <w:t xml:space="preserve"> (Accessed: 14/01/2026)</w:t>
      </w:r>
    </w:p>
    <w:p w14:paraId="7F5D0C3D" w14:textId="77777777" w:rsidR="00DD31EB" w:rsidRDefault="00DD31EB" w:rsidP="00B10DFE">
      <w:pPr>
        <w:pStyle w:val="ListParagraph"/>
        <w:numPr>
          <w:ilvl w:val="0"/>
          <w:numId w:val="4"/>
        </w:numPr>
      </w:pPr>
      <w:r>
        <w:t>CIPD (2023</w:t>
      </w:r>
      <w:r w:rsidRPr="00C44D7E">
        <w:rPr>
          <w:i/>
          <w:iCs/>
        </w:rPr>
        <w:t>) Employee Voice</w:t>
      </w:r>
      <w:r>
        <w:t xml:space="preserve">. Available at: </w:t>
      </w:r>
      <w:hyperlink r:id="rId14" w:history="1">
        <w:r w:rsidRPr="004D6670">
          <w:rPr>
            <w:rStyle w:val="Hyperlink"/>
          </w:rPr>
          <w:t>https://www.cipd.org/uk/knowledge/factsheets/voice-factsheet/</w:t>
        </w:r>
      </w:hyperlink>
      <w:r>
        <w:t xml:space="preserve"> (Accessed: 19/12/2025) </w:t>
      </w:r>
    </w:p>
    <w:p w14:paraId="2FAB88FB" w14:textId="77777777" w:rsidR="00DD31EB" w:rsidRDefault="00DD31EB" w:rsidP="00FB7448">
      <w:pPr>
        <w:pStyle w:val="ListParagraph"/>
        <w:numPr>
          <w:ilvl w:val="0"/>
          <w:numId w:val="4"/>
        </w:numPr>
      </w:pPr>
      <w:r>
        <w:t xml:space="preserve">CIPD (2024). ‘How employers are tackling bullying and harassment at work’. CIPD. Available at: </w:t>
      </w:r>
      <w:hyperlink r:id="rId15" w:history="1">
        <w:r w:rsidRPr="008E12D0">
          <w:rPr>
            <w:rStyle w:val="Hyperlink"/>
          </w:rPr>
          <w:t>https://www.cipd.org/globalassets/media/knowledge/knowledge-hub/reports/2024-pdfs/2024-bullying-and-harassment-report-8660.pdf</w:t>
        </w:r>
      </w:hyperlink>
      <w:r>
        <w:t xml:space="preserve"> (Accessed: 14/01/2026)</w:t>
      </w:r>
    </w:p>
    <w:p w14:paraId="62B2D2BC" w14:textId="77777777" w:rsidR="00DD31EB" w:rsidRDefault="00DD31EB" w:rsidP="00674331">
      <w:pPr>
        <w:pStyle w:val="ListParagraph"/>
        <w:numPr>
          <w:ilvl w:val="0"/>
          <w:numId w:val="4"/>
        </w:numPr>
      </w:pPr>
      <w:r>
        <w:t xml:space="preserve">CIPD (2025) CIPD Good Work Index. Available at: </w:t>
      </w:r>
      <w:hyperlink r:id="rId16" w:history="1">
        <w:r w:rsidRPr="00741930">
          <w:rPr>
            <w:rStyle w:val="Hyperlink"/>
          </w:rPr>
          <w:t>https://www.cipd.org/uk/knowledge/reports/goodwork/</w:t>
        </w:r>
      </w:hyperlink>
      <w:r>
        <w:t xml:space="preserve"> (Accessed: 29/12/2025)</w:t>
      </w:r>
    </w:p>
    <w:p w14:paraId="014B5011" w14:textId="77777777" w:rsidR="00DD31EB" w:rsidRDefault="00DD31EB" w:rsidP="00DF1142">
      <w:pPr>
        <w:pStyle w:val="ListParagraph"/>
        <w:numPr>
          <w:ilvl w:val="0"/>
          <w:numId w:val="4"/>
        </w:numPr>
      </w:pPr>
      <w:r>
        <w:t xml:space="preserve">CIPD (2025) </w:t>
      </w:r>
      <w:r w:rsidRPr="00DF1142">
        <w:rPr>
          <w:i/>
          <w:iCs/>
        </w:rPr>
        <w:t>Mediation: An approach to resolving workplace issues</w:t>
      </w:r>
      <w:r>
        <w:t xml:space="preserve">. Available at: </w:t>
      </w:r>
      <w:hyperlink r:id="rId17" w:history="1">
        <w:r w:rsidRPr="00116FA9">
          <w:rPr>
            <w:rStyle w:val="Hyperlink"/>
          </w:rPr>
          <w:t>https://www.cipd.org/uk/knowledge/guides/workplace-mediation/</w:t>
        </w:r>
      </w:hyperlink>
      <w:r>
        <w:t xml:space="preserve"> (Accessed: 11/01/2026)</w:t>
      </w:r>
    </w:p>
    <w:p w14:paraId="414B4084" w14:textId="77777777" w:rsidR="00DD31EB" w:rsidRDefault="00DD31EB" w:rsidP="00B10DFE">
      <w:pPr>
        <w:pStyle w:val="ListParagraph"/>
        <w:numPr>
          <w:ilvl w:val="0"/>
          <w:numId w:val="4"/>
        </w:numPr>
      </w:pPr>
      <w:r>
        <w:t xml:space="preserve">CIPD (2025) </w:t>
      </w:r>
      <w:r w:rsidRPr="007F08E1">
        <w:rPr>
          <w:i/>
          <w:iCs/>
        </w:rPr>
        <w:t>Trade unions: An introduction</w:t>
      </w:r>
      <w:r>
        <w:t xml:space="preserve">. Available at: </w:t>
      </w:r>
      <w:hyperlink r:id="rId18" w:history="1">
        <w:r w:rsidRPr="004D6670">
          <w:rPr>
            <w:rStyle w:val="Hyperlink"/>
          </w:rPr>
          <w:t>https://www.cipd.org/uk/knowledge/factsheets/trade-unions-factsheet/</w:t>
        </w:r>
      </w:hyperlink>
      <w:r>
        <w:t xml:space="preserve"> (Accessed: 19/12/2025)</w:t>
      </w:r>
    </w:p>
    <w:p w14:paraId="7EF6E576" w14:textId="77777777" w:rsidR="00DD31EB" w:rsidRPr="00586BD4" w:rsidRDefault="00DD31EB" w:rsidP="008B27E0">
      <w:pPr>
        <w:pStyle w:val="ListParagraph"/>
        <w:numPr>
          <w:ilvl w:val="0"/>
          <w:numId w:val="4"/>
        </w:numPr>
        <w:rPr>
          <w:i/>
          <w:iCs/>
        </w:rPr>
      </w:pPr>
      <w:r>
        <w:t>Daniels, K., Gedikli, C., Watson, D. Et al. (2017) ‘Job design, Employment Practices and wellbeing: A systematic Review of Intervention Studies.’</w:t>
      </w:r>
    </w:p>
    <w:p w14:paraId="60CDDF8B" w14:textId="77777777" w:rsidR="00DD31EB" w:rsidRDefault="00DD31EB" w:rsidP="008B27E0">
      <w:pPr>
        <w:pStyle w:val="ListParagraph"/>
        <w:numPr>
          <w:ilvl w:val="0"/>
          <w:numId w:val="4"/>
        </w:numPr>
      </w:pPr>
      <w:r>
        <w:lastRenderedPageBreak/>
        <w:t xml:space="preserve">De Dreu, C.K.W &amp; Weingart, L.R (2003). ‘Task Versus relationship conflict, team performance, and team member satisfaction’. </w:t>
      </w:r>
      <w:r w:rsidRPr="00086179">
        <w:rPr>
          <w:i/>
          <w:iCs/>
        </w:rPr>
        <w:t>Journal of applied psychology</w:t>
      </w:r>
      <w:r>
        <w:t xml:space="preserve">. 88(4), PP.741-749. </w:t>
      </w:r>
      <w:r w:rsidRPr="002C5D58">
        <w:t xml:space="preserve">Available at: </w:t>
      </w:r>
      <w:r>
        <w:t xml:space="preserve"> </w:t>
      </w:r>
      <w:r w:rsidRPr="00086179">
        <w:rPr>
          <w:color w:val="0070C0"/>
          <w:u w:val="single"/>
        </w:rPr>
        <w:t>DOI: 10.1037.0021-9010.88.4.741</w:t>
      </w:r>
    </w:p>
    <w:p w14:paraId="5505C51D" w14:textId="77777777" w:rsidR="00DD31EB" w:rsidRDefault="00DD31EB" w:rsidP="00B10DFE">
      <w:pPr>
        <w:pStyle w:val="ListParagraph"/>
        <w:numPr>
          <w:ilvl w:val="0"/>
          <w:numId w:val="4"/>
        </w:numPr>
      </w:pPr>
      <w:r>
        <w:t xml:space="preserve">Detert, J.R &amp; Burris, E.R (2007). </w:t>
      </w:r>
      <w:r w:rsidRPr="00600AB0">
        <w:t>‘Leadership behaviour and employee voice: Is the door really open?</w:t>
      </w:r>
      <w:r>
        <w:rPr>
          <w:i/>
          <w:iCs/>
        </w:rPr>
        <w:t>’</w:t>
      </w:r>
      <w:r>
        <w:t xml:space="preserve"> </w:t>
      </w:r>
      <w:r w:rsidRPr="00600AB0">
        <w:rPr>
          <w:i/>
          <w:iCs/>
        </w:rPr>
        <w:t>Academy of Management Journal</w:t>
      </w:r>
      <w:r>
        <w:t xml:space="preserve">. 50(4), PP. 869-884. </w:t>
      </w:r>
    </w:p>
    <w:p w14:paraId="5967DFC5" w14:textId="77777777" w:rsidR="00DD31EB" w:rsidRDefault="00DD31EB" w:rsidP="008B3E91">
      <w:pPr>
        <w:pStyle w:val="ListParagraph"/>
        <w:numPr>
          <w:ilvl w:val="0"/>
          <w:numId w:val="4"/>
        </w:numPr>
      </w:pPr>
      <w:r>
        <w:t>Dix, S., Oxenbridge, S. et al. (2008) ‘</w:t>
      </w:r>
      <w:r w:rsidRPr="001A48C9">
        <w:t>Conflict at Work: The Pattern of Disputes in Britain since 1980</w:t>
      </w:r>
      <w:r>
        <w:t>’</w:t>
      </w:r>
      <w:r w:rsidRPr="001A48C9">
        <w:rPr>
          <w:i/>
          <w:iCs/>
        </w:rPr>
        <w:t>. ResearchGate.</w:t>
      </w:r>
      <w:r>
        <w:t xml:space="preserve"> Available at:</w:t>
      </w:r>
      <w:hyperlink r:id="rId19" w:history="1">
        <w:r w:rsidRPr="00116FA9">
          <w:rPr>
            <w:rStyle w:val="Hyperlink"/>
          </w:rPr>
          <w:t>https://www.researchgate.net/publication/5200663_Conflict_at_Work_The_Pattern_of_Disputes_in_Britain_since_1980</w:t>
        </w:r>
      </w:hyperlink>
      <w:r>
        <w:t xml:space="preserve"> (Accessed: 11/01/2026)</w:t>
      </w:r>
    </w:p>
    <w:p w14:paraId="01007A89" w14:textId="77777777" w:rsidR="00DD31EB" w:rsidRDefault="00DD31EB" w:rsidP="00B10DFE">
      <w:pPr>
        <w:pStyle w:val="ListParagraph"/>
        <w:numPr>
          <w:ilvl w:val="0"/>
          <w:numId w:val="4"/>
        </w:numPr>
      </w:pPr>
      <w:r>
        <w:t>Donaghey, J., Cullinane, N., Dundon, T., Dobbins, T. &amp; Hickland, E. (2022) ‘</w:t>
      </w:r>
      <w:r w:rsidRPr="00086179">
        <w:t>Employee choice of voice and non-union worker representation.</w:t>
      </w:r>
      <w:r>
        <w:t xml:space="preserve">’ </w:t>
      </w:r>
      <w:r w:rsidRPr="00086179">
        <w:rPr>
          <w:i/>
          <w:iCs/>
        </w:rPr>
        <w:t>Industrial relations Journal</w:t>
      </w:r>
      <w:r>
        <w:t>. 53(6), PP. 503-522</w:t>
      </w:r>
      <w:proofErr w:type="gramStart"/>
      <w:r>
        <w:t xml:space="preserve">. </w:t>
      </w:r>
      <w:r w:rsidRPr="002C5D58">
        <w:rPr>
          <w:i/>
          <w:iCs/>
        </w:rPr>
        <w:t>.</w:t>
      </w:r>
      <w:proofErr w:type="gramEnd"/>
      <w:r w:rsidRPr="002C5D58">
        <w:rPr>
          <w:i/>
          <w:iCs/>
        </w:rPr>
        <w:t xml:space="preserve"> </w:t>
      </w:r>
      <w:r w:rsidRPr="002C5D58">
        <w:t xml:space="preserve">Available at: </w:t>
      </w:r>
      <w:r w:rsidRPr="00086179">
        <w:rPr>
          <w:color w:val="0070C0"/>
          <w:u w:val="single"/>
        </w:rPr>
        <w:t xml:space="preserve">DOI:10.1111/irj.12383. </w:t>
      </w:r>
    </w:p>
    <w:p w14:paraId="0A6997D0" w14:textId="77777777" w:rsidR="00DD31EB" w:rsidRDefault="00DD31EB" w:rsidP="00113BAF">
      <w:pPr>
        <w:pStyle w:val="ListParagraph"/>
        <w:numPr>
          <w:ilvl w:val="0"/>
          <w:numId w:val="4"/>
        </w:numPr>
      </w:pPr>
      <w:r>
        <w:t xml:space="preserve">Flett, A. (2023) ‘Nearly 30 percent of employers have seen an increase in employee grievances. </w:t>
      </w:r>
      <w:r w:rsidRPr="00FB7448">
        <w:rPr>
          <w:i/>
          <w:iCs/>
        </w:rPr>
        <w:t>Capital Law</w:t>
      </w:r>
      <w:r>
        <w:t xml:space="preserve">. Available at: </w:t>
      </w:r>
      <w:hyperlink r:id="rId20" w:history="1">
        <w:r w:rsidRPr="008E12D0">
          <w:rPr>
            <w:rStyle w:val="Hyperlink"/>
          </w:rPr>
          <w:t>https://www.capitallaw.co.uk/news/nearly-30-percent-of-employers-have-seen-an-increase-in-employee-grievances/</w:t>
        </w:r>
      </w:hyperlink>
      <w:r>
        <w:t xml:space="preserve"> (Accessed: 14/01/2026)</w:t>
      </w:r>
    </w:p>
    <w:p w14:paraId="0FF1C954" w14:textId="77777777" w:rsidR="00DD31EB" w:rsidRDefault="00DD31EB" w:rsidP="00B10DFE">
      <w:pPr>
        <w:pStyle w:val="ListParagraph"/>
        <w:numPr>
          <w:ilvl w:val="0"/>
          <w:numId w:val="4"/>
        </w:numPr>
      </w:pPr>
      <w:r>
        <w:t xml:space="preserve">Garcia-Cabrera, A.M &amp; Garcia-Lorenz, J.L (2019). </w:t>
      </w:r>
      <w:r w:rsidRPr="00600AB0">
        <w:t>‘Employee voice and innovation performance in Spanish firms.’</w:t>
      </w:r>
      <w:r>
        <w:t xml:space="preserve"> </w:t>
      </w:r>
      <w:r w:rsidRPr="00600AB0">
        <w:rPr>
          <w:i/>
          <w:iCs/>
        </w:rPr>
        <w:t>European Journal of Innovation Management</w:t>
      </w:r>
      <w:r>
        <w:t xml:space="preserve">. 22(1), PP. 140-158. </w:t>
      </w:r>
    </w:p>
    <w:p w14:paraId="49C5546C" w14:textId="77777777" w:rsidR="00DD31EB" w:rsidRDefault="00DD31EB" w:rsidP="00113BAF">
      <w:pPr>
        <w:pStyle w:val="ListParagraph"/>
        <w:numPr>
          <w:ilvl w:val="0"/>
          <w:numId w:val="4"/>
        </w:numPr>
      </w:pPr>
      <w:r>
        <w:t>Gennard, J. and Judge, G. (2010). Employee Relations. 5</w:t>
      </w:r>
      <w:r w:rsidRPr="00E92E15">
        <w:rPr>
          <w:vertAlign w:val="superscript"/>
        </w:rPr>
        <w:t>th</w:t>
      </w:r>
      <w:r>
        <w:t xml:space="preserve"> edn. Europe, Middle East &amp; Africa: </w:t>
      </w:r>
      <w:proofErr w:type="spellStart"/>
      <w:r>
        <w:t>MCgraw</w:t>
      </w:r>
      <w:proofErr w:type="spellEnd"/>
      <w:r>
        <w:t xml:space="preserve"> Hill. </w:t>
      </w:r>
    </w:p>
    <w:p w14:paraId="32449E92" w14:textId="77777777" w:rsidR="00DD31EB" w:rsidRDefault="00DD31EB" w:rsidP="008B27E0">
      <w:pPr>
        <w:pStyle w:val="ListParagraph"/>
        <w:numPr>
          <w:ilvl w:val="0"/>
          <w:numId w:val="4"/>
        </w:numPr>
      </w:pPr>
      <w:r>
        <w:t xml:space="preserve">Gideon, J. (2020) </w:t>
      </w:r>
      <w:r w:rsidRPr="00A360E7">
        <w:rPr>
          <w:i/>
          <w:iCs/>
        </w:rPr>
        <w:t>Bias in AI Hiring: Evidence and implications</w:t>
      </w:r>
      <w:r>
        <w:t>. Human Resource Management Review. 30(1), PP. 100688.</w:t>
      </w:r>
    </w:p>
    <w:p w14:paraId="0D84156B" w14:textId="77777777" w:rsidR="00DD31EB" w:rsidRDefault="00DD31EB" w:rsidP="00B10DFE">
      <w:pPr>
        <w:pStyle w:val="ListParagraph"/>
        <w:numPr>
          <w:ilvl w:val="0"/>
          <w:numId w:val="4"/>
        </w:numPr>
      </w:pPr>
      <w:r>
        <w:t>GOV (2025</w:t>
      </w:r>
      <w:r w:rsidRPr="00B7037E">
        <w:rPr>
          <w:i/>
          <w:iCs/>
        </w:rPr>
        <w:t>) Joining a trade union</w:t>
      </w:r>
      <w:r>
        <w:t xml:space="preserve">. Available at: </w:t>
      </w:r>
      <w:hyperlink r:id="rId21" w:history="1">
        <w:r w:rsidRPr="004D6670">
          <w:rPr>
            <w:rStyle w:val="Hyperlink"/>
          </w:rPr>
          <w:t>https://www.gov.uk/join-trade-union/trade-union-membership-your-employment-rights</w:t>
        </w:r>
      </w:hyperlink>
      <w:r>
        <w:t xml:space="preserve"> (Accessed: 19/12/2025)</w:t>
      </w:r>
    </w:p>
    <w:p w14:paraId="1F365D33" w14:textId="77777777" w:rsidR="00DD31EB" w:rsidRPr="001A48C9" w:rsidRDefault="00DD31EB" w:rsidP="008B27E0">
      <w:pPr>
        <w:pStyle w:val="ListParagraph"/>
        <w:numPr>
          <w:ilvl w:val="0"/>
          <w:numId w:val="4"/>
        </w:numPr>
        <w:rPr>
          <w:i/>
          <w:iCs/>
        </w:rPr>
      </w:pPr>
      <w:r>
        <w:t xml:space="preserve">GOV.UK (2024) Solve a workplace dispute: Mediation, conciliation and arbitration. Available at: </w:t>
      </w:r>
      <w:hyperlink r:id="rId22" w:history="1">
        <w:r w:rsidRPr="00116FA9">
          <w:rPr>
            <w:rStyle w:val="Hyperlink"/>
          </w:rPr>
          <w:t>https://www.gov.uk/solve-workplace-dispute/mediation-conciliation-and-arbitration</w:t>
        </w:r>
      </w:hyperlink>
      <w:r>
        <w:t xml:space="preserve"> (Accessed: 11/01/2026)</w:t>
      </w:r>
    </w:p>
    <w:p w14:paraId="03A23144" w14:textId="77777777" w:rsidR="00DD31EB" w:rsidRDefault="00DD31EB" w:rsidP="00113BAF">
      <w:pPr>
        <w:pStyle w:val="ListParagraph"/>
        <w:numPr>
          <w:ilvl w:val="0"/>
          <w:numId w:val="4"/>
        </w:numPr>
      </w:pPr>
      <w:r>
        <w:t>Greenberg, J. (2011) ‘Organisational Justice: the dynamics of fairness in the workplace’ APA Handbook of Industrial and Organisational Psychology. PP. 271-327</w:t>
      </w:r>
    </w:p>
    <w:p w14:paraId="0048B8FA" w14:textId="77777777" w:rsidR="00DD31EB" w:rsidRPr="008217D0" w:rsidRDefault="00DD31EB" w:rsidP="00674331">
      <w:pPr>
        <w:pStyle w:val="ListParagraph"/>
        <w:numPr>
          <w:ilvl w:val="0"/>
          <w:numId w:val="4"/>
        </w:numPr>
      </w:pPr>
      <w:r>
        <w:t xml:space="preserve">Hackman, J.R. &amp; Oldham, G.R (1972) </w:t>
      </w:r>
      <w:r w:rsidRPr="002C5D58">
        <w:rPr>
          <w:i/>
          <w:iCs/>
        </w:rPr>
        <w:t>‘</w:t>
      </w:r>
      <w:r w:rsidRPr="00086179">
        <w:t>Development of the job diagnostic survey’</w:t>
      </w:r>
      <w:r>
        <w:t xml:space="preserve">. </w:t>
      </w:r>
      <w:r w:rsidRPr="002C5D58">
        <w:rPr>
          <w:i/>
          <w:iCs/>
        </w:rPr>
        <w:t xml:space="preserve">Journal of applied Psychology. </w:t>
      </w:r>
      <w:r w:rsidRPr="002C5D58">
        <w:t xml:space="preserve">Available at: </w:t>
      </w:r>
      <w:r w:rsidRPr="00086179">
        <w:rPr>
          <w:color w:val="0070C0"/>
          <w:u w:val="single"/>
        </w:rPr>
        <w:t>DOI: 10.1037/h0076546</w:t>
      </w:r>
    </w:p>
    <w:p w14:paraId="00ECF5F0" w14:textId="77777777" w:rsidR="00DD31EB" w:rsidRDefault="00DD31EB" w:rsidP="00545EAF">
      <w:pPr>
        <w:pStyle w:val="ListParagraph"/>
        <w:numPr>
          <w:ilvl w:val="0"/>
          <w:numId w:val="4"/>
        </w:numPr>
      </w:pPr>
      <w:r>
        <w:t>Kasaya, S. M. and Munjuri, M. G (2018) ‘</w:t>
      </w:r>
      <w:r w:rsidRPr="00086179">
        <w:t>Employee involvement and organisational</w:t>
      </w:r>
      <w:r w:rsidRPr="00C44D7E">
        <w:rPr>
          <w:i/>
          <w:iCs/>
        </w:rPr>
        <w:t xml:space="preserve"> </w:t>
      </w:r>
      <w:r w:rsidRPr="00086179">
        <w:t>performanc</w:t>
      </w:r>
      <w:r w:rsidRPr="00C44D7E">
        <w:rPr>
          <w:i/>
          <w:iCs/>
        </w:rPr>
        <w:t>e</w:t>
      </w:r>
      <w:r>
        <w:rPr>
          <w:i/>
          <w:iCs/>
        </w:rPr>
        <w:t>’</w:t>
      </w:r>
      <w:r>
        <w:t xml:space="preserve">. </w:t>
      </w:r>
      <w:r w:rsidRPr="00086179">
        <w:rPr>
          <w:i/>
          <w:iCs/>
        </w:rPr>
        <w:t>International Journal of Economics, Commerce and Management</w:t>
      </w:r>
      <w:r>
        <w:t xml:space="preserve">, 6 (5), PP. 235-256. </w:t>
      </w:r>
    </w:p>
    <w:p w14:paraId="1DA3A4A0" w14:textId="77777777" w:rsidR="00DD31EB" w:rsidRDefault="00DD31EB" w:rsidP="00545EAF">
      <w:pPr>
        <w:pStyle w:val="ListParagraph"/>
        <w:numPr>
          <w:ilvl w:val="0"/>
          <w:numId w:val="4"/>
        </w:numPr>
      </w:pPr>
      <w:r>
        <w:t xml:space="preserve">Lawler, E.E (1992) </w:t>
      </w:r>
      <w:r w:rsidRPr="00E656CD">
        <w:rPr>
          <w:i/>
          <w:iCs/>
        </w:rPr>
        <w:t>The ultimate advantage: Creating the high-involvement organisation</w:t>
      </w:r>
      <w:r>
        <w:t xml:space="preserve">. Jossey-Bass Management Series. San Francisco.  </w:t>
      </w:r>
    </w:p>
    <w:p w14:paraId="29EF44F6" w14:textId="77777777" w:rsidR="00DD31EB" w:rsidRPr="00F86087" w:rsidRDefault="00DD31EB" w:rsidP="008B27E0">
      <w:pPr>
        <w:pStyle w:val="ListParagraph"/>
        <w:numPr>
          <w:ilvl w:val="0"/>
          <w:numId w:val="4"/>
        </w:numPr>
      </w:pPr>
      <w:r>
        <w:t xml:space="preserve">Leicht-Deobald, U. et all., (2019) ‘The Challenges of Algorithm Based HR Decision Making for Personal Integrity’. </w:t>
      </w:r>
      <w:r w:rsidRPr="009C579C">
        <w:rPr>
          <w:i/>
          <w:iCs/>
        </w:rPr>
        <w:t>Journal of Business Ethics</w:t>
      </w:r>
      <w:r>
        <w:t xml:space="preserve">. 160(2), PP. 377-392.  Available at: DOI: </w:t>
      </w:r>
      <w:r w:rsidRPr="009C579C">
        <w:rPr>
          <w:color w:val="0070C0"/>
          <w:u w:val="single"/>
        </w:rPr>
        <w:t>10.1007/s10551-019-04204-w.</w:t>
      </w:r>
    </w:p>
    <w:p w14:paraId="5B355E51" w14:textId="77777777" w:rsidR="00DD31EB" w:rsidRDefault="00DD31EB" w:rsidP="00113BAF">
      <w:pPr>
        <w:pStyle w:val="ListParagraph"/>
        <w:numPr>
          <w:ilvl w:val="0"/>
          <w:numId w:val="4"/>
        </w:numPr>
      </w:pPr>
      <w:r>
        <w:t xml:space="preserve">Mayne, M. (2024) ‘Quarter of the UK employees have experienced workplace conflict in the past year, CIPD study shows. </w:t>
      </w:r>
      <w:r w:rsidRPr="00FB7448">
        <w:rPr>
          <w:i/>
          <w:iCs/>
        </w:rPr>
        <w:t>People Management Magazine.</w:t>
      </w:r>
      <w:r w:rsidRPr="00FB7448">
        <w:t xml:space="preserve"> </w:t>
      </w:r>
      <w:r>
        <w:t xml:space="preserve">Available at: </w:t>
      </w:r>
      <w:hyperlink r:id="rId23" w:history="1">
        <w:r w:rsidRPr="00FB7448">
          <w:rPr>
            <w:rStyle w:val="Hyperlink"/>
          </w:rPr>
          <w:t>https://www.peoplemanagement.co.uk/article/1876477/quarter-uk-employees-experienced-workplace-conflict-past-year-cipd-study-shows</w:t>
        </w:r>
      </w:hyperlink>
      <w:r>
        <w:rPr>
          <w:i/>
          <w:iCs/>
        </w:rPr>
        <w:t xml:space="preserve"> </w:t>
      </w:r>
      <w:r>
        <w:t>(Accessed: 14/01/2026)</w:t>
      </w:r>
    </w:p>
    <w:p w14:paraId="2970382C" w14:textId="77777777" w:rsidR="00DD31EB" w:rsidRDefault="00DD31EB" w:rsidP="008B27E0">
      <w:pPr>
        <w:pStyle w:val="ListParagraph"/>
        <w:numPr>
          <w:ilvl w:val="0"/>
          <w:numId w:val="4"/>
        </w:numPr>
      </w:pPr>
      <w:r>
        <w:t xml:space="preserve">Mejerink, J. Bondarouk, T. &amp; Lepak, D. P. (2021). </w:t>
      </w:r>
      <w:r w:rsidRPr="0095300B">
        <w:rPr>
          <w:i/>
          <w:iCs/>
        </w:rPr>
        <w:t xml:space="preserve">HRM and Artificial Intelligence Research: A </w:t>
      </w:r>
      <w:r>
        <w:rPr>
          <w:i/>
          <w:iCs/>
        </w:rPr>
        <w:t>B</w:t>
      </w:r>
      <w:r w:rsidRPr="0095300B">
        <w:rPr>
          <w:i/>
          <w:iCs/>
        </w:rPr>
        <w:t xml:space="preserve">iometric </w:t>
      </w:r>
      <w:r>
        <w:rPr>
          <w:i/>
          <w:iCs/>
        </w:rPr>
        <w:t>R</w:t>
      </w:r>
      <w:r w:rsidRPr="0095300B">
        <w:rPr>
          <w:i/>
          <w:iCs/>
        </w:rPr>
        <w:t xml:space="preserve">eview and </w:t>
      </w:r>
      <w:r>
        <w:rPr>
          <w:i/>
          <w:iCs/>
        </w:rPr>
        <w:t>F</w:t>
      </w:r>
      <w:r w:rsidRPr="0095300B">
        <w:rPr>
          <w:i/>
          <w:iCs/>
        </w:rPr>
        <w:t xml:space="preserve">uture </w:t>
      </w:r>
      <w:r>
        <w:rPr>
          <w:i/>
          <w:iCs/>
        </w:rPr>
        <w:t>P</w:t>
      </w:r>
      <w:r w:rsidRPr="0095300B">
        <w:rPr>
          <w:i/>
          <w:iCs/>
        </w:rPr>
        <w:t>rospects</w:t>
      </w:r>
      <w:r>
        <w:t>. Human Resources Management Review, 31(3), PP. 100789.</w:t>
      </w:r>
    </w:p>
    <w:p w14:paraId="5127B54B" w14:textId="77777777" w:rsidR="00DD31EB" w:rsidRDefault="00DD31EB" w:rsidP="00B10DFE">
      <w:pPr>
        <w:pStyle w:val="ListParagraph"/>
        <w:numPr>
          <w:ilvl w:val="0"/>
          <w:numId w:val="4"/>
        </w:numPr>
      </w:pPr>
      <w:r>
        <w:t xml:space="preserve">Millward, N. (2017). </w:t>
      </w:r>
      <w:r w:rsidRPr="00253BD5">
        <w:rPr>
          <w:i/>
          <w:iCs/>
        </w:rPr>
        <w:t>Understanding occupational and organisational psychology</w:t>
      </w:r>
      <w:r>
        <w:t>. 4</w:t>
      </w:r>
      <w:r w:rsidRPr="00253BD5">
        <w:rPr>
          <w:vertAlign w:val="superscript"/>
        </w:rPr>
        <w:t>th</w:t>
      </w:r>
      <w:r>
        <w:t xml:space="preserve"> edn. Sage.</w:t>
      </w:r>
    </w:p>
    <w:p w14:paraId="7B62D8C2" w14:textId="77777777" w:rsidR="00DD31EB" w:rsidRPr="002C5D58" w:rsidRDefault="00DD31EB" w:rsidP="00674331">
      <w:pPr>
        <w:pStyle w:val="ListParagraph"/>
        <w:numPr>
          <w:ilvl w:val="0"/>
          <w:numId w:val="4"/>
        </w:numPr>
        <w:rPr>
          <w:i/>
          <w:iCs/>
        </w:rPr>
      </w:pPr>
      <w:r>
        <w:t xml:space="preserve">Morgeson, F.P &amp; Humphrey, S.E (2006) ‘The work design questionnaire and extensions. </w:t>
      </w:r>
      <w:r w:rsidRPr="00086179">
        <w:rPr>
          <w:i/>
          <w:iCs/>
        </w:rPr>
        <w:t>Journal of applied Phycology</w:t>
      </w:r>
      <w:r>
        <w:t xml:space="preserve">. </w:t>
      </w:r>
      <w:r w:rsidRPr="00C2776C">
        <w:t>91(6)</w:t>
      </w:r>
      <w:r>
        <w:t xml:space="preserve">, </w:t>
      </w:r>
      <w:r w:rsidRPr="00C2776C">
        <w:t>1321-39.</w:t>
      </w:r>
      <w:r w:rsidRPr="002C5D58">
        <w:rPr>
          <w:i/>
          <w:iCs/>
        </w:rPr>
        <w:t xml:space="preserve"> </w:t>
      </w:r>
      <w:r w:rsidRPr="002C5D58">
        <w:t xml:space="preserve">Available at: </w:t>
      </w:r>
      <w:r w:rsidRPr="00086179">
        <w:rPr>
          <w:color w:val="0070C0"/>
          <w:u w:val="single"/>
        </w:rPr>
        <w:t>DOI: 10.1037/0021-9010.91.6.1321</w:t>
      </w:r>
    </w:p>
    <w:p w14:paraId="1A227481" w14:textId="77777777" w:rsidR="00DD31EB" w:rsidRDefault="00DD31EB" w:rsidP="00B10DFE">
      <w:pPr>
        <w:pStyle w:val="ListParagraph"/>
        <w:numPr>
          <w:ilvl w:val="0"/>
          <w:numId w:val="4"/>
        </w:numPr>
      </w:pPr>
      <w:r>
        <w:lastRenderedPageBreak/>
        <w:t xml:space="preserve">Mowbray, P., Wilkinson, A. &amp; Tse, H. (2014). </w:t>
      </w:r>
      <w:r w:rsidRPr="00086179">
        <w:rPr>
          <w:i/>
          <w:iCs/>
        </w:rPr>
        <w:t>‘Employee voice: an antecedent to organisational performance’.</w:t>
      </w:r>
      <w:r>
        <w:rPr>
          <w:i/>
          <w:iCs/>
        </w:rPr>
        <w:t xml:space="preserve"> </w:t>
      </w:r>
      <w:r w:rsidRPr="00086179">
        <w:rPr>
          <w:i/>
          <w:iCs/>
        </w:rPr>
        <w:t>International Journal of Human Resource management</w:t>
      </w:r>
      <w:r>
        <w:t xml:space="preserve">. 25(8), PP. 112-128. </w:t>
      </w:r>
    </w:p>
    <w:p w14:paraId="36DC2D3D" w14:textId="77777777" w:rsidR="00DD31EB" w:rsidRPr="00FF3615" w:rsidRDefault="00DD31EB" w:rsidP="008B27E0">
      <w:pPr>
        <w:pStyle w:val="ListParagraph"/>
        <w:numPr>
          <w:ilvl w:val="0"/>
          <w:numId w:val="4"/>
        </w:numPr>
        <w:rPr>
          <w:i/>
          <w:iCs/>
        </w:rPr>
      </w:pPr>
      <w:r>
        <w:t xml:space="preserve">OECD (2025). </w:t>
      </w:r>
      <w:r w:rsidRPr="00586BD4">
        <w:rPr>
          <w:i/>
          <w:iCs/>
        </w:rPr>
        <w:t>Enhancing job quality for healthier, longer working lives</w:t>
      </w:r>
      <w:r>
        <w:t xml:space="preserve">. OECD. Available at: </w:t>
      </w:r>
      <w:hyperlink r:id="rId24" w:history="1">
        <w:r w:rsidRPr="00741930">
          <w:rPr>
            <w:rStyle w:val="Hyperlink"/>
          </w:rPr>
          <w:t>https://www.oecd.org/en/publications/promoting-better-career-mobility-for-longer-working-lives-in-the-united-kingdom_2b41ab8e-en/full-report/enhancing-job-quality-for-healthier-longer-working-lives_612d7ceb.html</w:t>
        </w:r>
      </w:hyperlink>
      <w:r>
        <w:t xml:space="preserve"> (Accessed: 29/12/2025)</w:t>
      </w:r>
    </w:p>
    <w:p w14:paraId="37C055BA" w14:textId="77777777" w:rsidR="00DD31EB" w:rsidRPr="00FF3615" w:rsidRDefault="00DD31EB" w:rsidP="008B27E0">
      <w:pPr>
        <w:pStyle w:val="ListParagraph"/>
        <w:numPr>
          <w:ilvl w:val="0"/>
          <w:numId w:val="4"/>
        </w:numPr>
        <w:rPr>
          <w:i/>
          <w:iCs/>
        </w:rPr>
      </w:pPr>
      <w:r>
        <w:t xml:space="preserve">Rahim, M.A. (2023) </w:t>
      </w:r>
      <w:r w:rsidRPr="00FF3615">
        <w:rPr>
          <w:i/>
          <w:iCs/>
        </w:rPr>
        <w:t>Managing conflict in organisations</w:t>
      </w:r>
      <w:r>
        <w:t xml:space="preserve">. 5edn. Routledge. New York. </w:t>
      </w:r>
    </w:p>
    <w:p w14:paraId="68A58EDE" w14:textId="77777777" w:rsidR="00DD31EB" w:rsidRPr="00A52A46" w:rsidRDefault="00DD31EB" w:rsidP="008B27E0">
      <w:pPr>
        <w:pStyle w:val="ListParagraph"/>
        <w:numPr>
          <w:ilvl w:val="0"/>
          <w:numId w:val="4"/>
        </w:numPr>
        <w:rPr>
          <w:i/>
          <w:iCs/>
        </w:rPr>
      </w:pPr>
      <w:r>
        <w:t xml:space="preserve">ResearchGate (2025) ‘Industrial conflict: Themes and issues in recent research’. </w:t>
      </w:r>
      <w:r w:rsidRPr="002003A5">
        <w:rPr>
          <w:i/>
          <w:iCs/>
        </w:rPr>
        <w:t>Industrial Relations Review.</w:t>
      </w:r>
      <w:r>
        <w:rPr>
          <w:i/>
          <w:iCs/>
        </w:rPr>
        <w:t xml:space="preserve"> </w:t>
      </w:r>
      <w:r>
        <w:t>30(3), PP.361-404.</w:t>
      </w:r>
      <w:r w:rsidRPr="002003A5">
        <w:rPr>
          <w:i/>
          <w:iCs/>
        </w:rPr>
        <w:t xml:space="preserve"> </w:t>
      </w:r>
      <w:r>
        <w:t xml:space="preserve">Available at: DOI: </w:t>
      </w:r>
      <w:r w:rsidRPr="002003A5">
        <w:rPr>
          <w:color w:val="4472C4" w:themeColor="accent1"/>
          <w:u w:val="single"/>
        </w:rPr>
        <w:t>10.111/j.1467-853. 1992.tb00781</w:t>
      </w:r>
    </w:p>
    <w:p w14:paraId="3266D3BC" w14:textId="77777777" w:rsidR="00DD31EB" w:rsidRPr="00A360E7" w:rsidRDefault="00DD31EB" w:rsidP="008B27E0">
      <w:pPr>
        <w:pStyle w:val="ListParagraph"/>
        <w:numPr>
          <w:ilvl w:val="0"/>
          <w:numId w:val="4"/>
        </w:numPr>
      </w:pPr>
      <w:r>
        <w:t xml:space="preserve">Robinson, S.L &amp; Bennet, R.J (1995) </w:t>
      </w:r>
      <w:r w:rsidRPr="00D504C8">
        <w:rPr>
          <w:i/>
          <w:iCs/>
        </w:rPr>
        <w:t>Misbehaviour in organisations: A motivational framework.</w:t>
      </w:r>
      <w:r>
        <w:t xml:space="preserve"> 7(2). PP 151-165. Organisational Science. Available at: </w:t>
      </w:r>
      <w:r w:rsidRPr="00D504C8">
        <w:rPr>
          <w:color w:val="0070C0"/>
          <w:u w:val="single"/>
        </w:rPr>
        <w:t>DOI: 10.1287. 7.2.151</w:t>
      </w:r>
    </w:p>
    <w:p w14:paraId="2DD59B28" w14:textId="77777777" w:rsidR="00DD31EB" w:rsidRDefault="00DD31EB" w:rsidP="008B27E0">
      <w:pPr>
        <w:pStyle w:val="ListParagraph"/>
        <w:numPr>
          <w:ilvl w:val="0"/>
          <w:numId w:val="4"/>
        </w:numPr>
      </w:pPr>
      <w:r>
        <w:t xml:space="preserve">Sparrow, P. &amp; Nemeth, C. (2021) </w:t>
      </w:r>
      <w:r w:rsidRPr="00A360E7">
        <w:rPr>
          <w:i/>
          <w:iCs/>
        </w:rPr>
        <w:t xml:space="preserve">Algorithmic </w:t>
      </w:r>
      <w:r>
        <w:rPr>
          <w:i/>
          <w:iCs/>
        </w:rPr>
        <w:t>M</w:t>
      </w:r>
      <w:r w:rsidRPr="00A360E7">
        <w:rPr>
          <w:i/>
          <w:iCs/>
        </w:rPr>
        <w:t xml:space="preserve">anagement and </w:t>
      </w:r>
      <w:r>
        <w:rPr>
          <w:i/>
          <w:iCs/>
        </w:rPr>
        <w:t>W</w:t>
      </w:r>
      <w:r w:rsidRPr="00A360E7">
        <w:rPr>
          <w:i/>
          <w:iCs/>
        </w:rPr>
        <w:t xml:space="preserve">orkplace </w:t>
      </w:r>
      <w:r>
        <w:rPr>
          <w:i/>
          <w:iCs/>
        </w:rPr>
        <w:t>C</w:t>
      </w:r>
      <w:r w:rsidRPr="00A360E7">
        <w:rPr>
          <w:i/>
          <w:iCs/>
        </w:rPr>
        <w:t>onflict</w:t>
      </w:r>
      <w:r>
        <w:t>. Human Resource Management Review. 31(3), PP. 100769.</w:t>
      </w:r>
    </w:p>
    <w:p w14:paraId="76AE086C" w14:textId="77777777" w:rsidR="00DD31EB" w:rsidRDefault="00DD31EB" w:rsidP="008B27E0">
      <w:pPr>
        <w:pStyle w:val="ListParagraph"/>
        <w:numPr>
          <w:ilvl w:val="0"/>
          <w:numId w:val="4"/>
        </w:numPr>
      </w:pPr>
      <w:r>
        <w:t xml:space="preserve">Tajfel, H. &amp; Turner, J.C. (1979) </w:t>
      </w:r>
      <w:r w:rsidRPr="00086179">
        <w:rPr>
          <w:i/>
          <w:iCs/>
        </w:rPr>
        <w:t>An integrative theory of intergroup conflict</w:t>
      </w:r>
      <w:r>
        <w:t xml:space="preserve">. The social psychology intergroup relations. PP. 33-47. W.G Austin &amp; S. Worchel (eds.) United States of America. </w:t>
      </w:r>
    </w:p>
    <w:p w14:paraId="0D860E99" w14:textId="77777777" w:rsidR="00DD31EB" w:rsidRDefault="00DD31EB" w:rsidP="00113BAF">
      <w:pPr>
        <w:pStyle w:val="ListParagraph"/>
        <w:numPr>
          <w:ilvl w:val="0"/>
          <w:numId w:val="4"/>
        </w:numPr>
      </w:pPr>
      <w:r>
        <w:t>Taylor, S. &amp; Emir, A. (2023) Employment Law: An introduction. 5</w:t>
      </w:r>
      <w:r w:rsidRPr="0053282E">
        <w:rPr>
          <w:vertAlign w:val="superscript"/>
        </w:rPr>
        <w:t>th</w:t>
      </w:r>
      <w:r>
        <w:t xml:space="preserve"> edn. OUP Oxford. </w:t>
      </w:r>
    </w:p>
    <w:p w14:paraId="6AEAC4B1" w14:textId="77777777" w:rsidR="00DD31EB" w:rsidRDefault="00DD31EB" w:rsidP="006D6181">
      <w:pPr>
        <w:pStyle w:val="ListParagraph"/>
        <w:numPr>
          <w:ilvl w:val="0"/>
          <w:numId w:val="4"/>
        </w:numPr>
      </w:pPr>
      <w:r w:rsidRPr="00B342FB">
        <w:t xml:space="preserve">Vardi, Y. &amp; Wiener, Y. (1996) </w:t>
      </w:r>
      <w:r>
        <w:t>‘</w:t>
      </w:r>
      <w:r w:rsidRPr="00B342FB">
        <w:t>Organisational misbehaviour: definitions and research</w:t>
      </w:r>
      <w:r>
        <w:t>’.</w:t>
      </w:r>
      <w:r w:rsidRPr="00B342FB">
        <w:t xml:space="preserve"> </w:t>
      </w:r>
      <w:r w:rsidRPr="00DD31EB">
        <w:rPr>
          <w:i/>
          <w:iCs/>
        </w:rPr>
        <w:t>Institute of operations research and the management sciences</w:t>
      </w:r>
      <w:r w:rsidRPr="00B342FB">
        <w:t xml:space="preserve">. </w:t>
      </w:r>
      <w:r>
        <w:t xml:space="preserve">7(2), PP, 151-165. </w:t>
      </w:r>
      <w:r w:rsidRPr="002C5D58">
        <w:t>Available at:</w:t>
      </w:r>
      <w:r>
        <w:t xml:space="preserve"> </w:t>
      </w:r>
      <w:r w:rsidRPr="00DD31EB">
        <w:rPr>
          <w:color w:val="0070C0"/>
          <w:u w:val="single"/>
        </w:rPr>
        <w:t>DOI:10.1287.7.2.151</w:t>
      </w:r>
    </w:p>
    <w:sectPr w:rsidR="00DD31EB">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E8EBA0" w14:textId="77777777" w:rsidR="00C44218" w:rsidRDefault="00C44218" w:rsidP="00441706">
      <w:pPr>
        <w:spacing w:after="0" w:line="240" w:lineRule="auto"/>
      </w:pPr>
      <w:r>
        <w:separator/>
      </w:r>
    </w:p>
  </w:endnote>
  <w:endnote w:type="continuationSeparator" w:id="0">
    <w:p w14:paraId="644A6D2F" w14:textId="77777777" w:rsidR="00C44218" w:rsidRDefault="00C44218" w:rsidP="00441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1471306"/>
      <w:docPartObj>
        <w:docPartGallery w:val="Page Numbers (Bottom of Page)"/>
        <w:docPartUnique/>
      </w:docPartObj>
    </w:sdtPr>
    <w:sdtEndPr/>
    <w:sdtContent>
      <w:p w14:paraId="1EA8270F" w14:textId="798985AD" w:rsidR="00441706" w:rsidRDefault="00441706">
        <w:pPr>
          <w:pStyle w:val="Footer"/>
          <w:jc w:val="center"/>
        </w:pPr>
        <w:r>
          <w:fldChar w:fldCharType="begin"/>
        </w:r>
        <w:r>
          <w:instrText>PAGE   \* MERGEFORMAT</w:instrText>
        </w:r>
        <w:r>
          <w:fldChar w:fldCharType="separate"/>
        </w:r>
        <w:r>
          <w:t>2</w:t>
        </w:r>
        <w:r>
          <w:fldChar w:fldCharType="end"/>
        </w:r>
      </w:p>
    </w:sdtContent>
  </w:sdt>
  <w:p w14:paraId="21725FCE" w14:textId="77777777" w:rsidR="00441706" w:rsidRDefault="004417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0A6E10" w14:textId="77777777" w:rsidR="00C44218" w:rsidRDefault="00C44218" w:rsidP="00441706">
      <w:pPr>
        <w:spacing w:after="0" w:line="240" w:lineRule="auto"/>
      </w:pPr>
      <w:r>
        <w:separator/>
      </w:r>
    </w:p>
  </w:footnote>
  <w:footnote w:type="continuationSeparator" w:id="0">
    <w:p w14:paraId="0616D1D8" w14:textId="77777777" w:rsidR="00C44218" w:rsidRDefault="00C44218" w:rsidP="004417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B8B116" w14:textId="34F650BE" w:rsidR="00441706" w:rsidRDefault="00441706">
    <w:pPr>
      <w:pStyle w:val="Header"/>
    </w:pPr>
    <w:r>
      <w:t xml:space="preserve">Employment Relationship Management </w:t>
    </w:r>
    <w:r>
      <w:ptab w:relativeTo="margin" w:alignment="center" w:leader="none"/>
    </w:r>
    <w:r>
      <w:ptab w:relativeTo="margin" w:alignment="right" w:leader="none"/>
    </w:r>
    <w:r>
      <w:t xml:space="preserve">Brogan Ellis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8148C"/>
    <w:multiLevelType w:val="hybridMultilevel"/>
    <w:tmpl w:val="8B1AD6C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FB344DA"/>
    <w:multiLevelType w:val="hybridMultilevel"/>
    <w:tmpl w:val="96AE1F0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2FC63FC"/>
    <w:multiLevelType w:val="hybridMultilevel"/>
    <w:tmpl w:val="F1609B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C167478"/>
    <w:multiLevelType w:val="hybridMultilevel"/>
    <w:tmpl w:val="E7B0D7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5A60C9"/>
    <w:multiLevelType w:val="hybridMultilevel"/>
    <w:tmpl w:val="F33282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F2F32A1"/>
    <w:multiLevelType w:val="hybridMultilevel"/>
    <w:tmpl w:val="96AE1F0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01A6221"/>
    <w:multiLevelType w:val="hybridMultilevel"/>
    <w:tmpl w:val="D39CBD7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1"/>
  </w:num>
  <w:num w:numId="3">
    <w:abstractNumId w:val="2"/>
  </w:num>
  <w:num w:numId="4">
    <w:abstractNumId w:val="4"/>
  </w:num>
  <w:num w:numId="5">
    <w:abstractNumId w:val="0"/>
  </w:num>
  <w:num w:numId="6">
    <w:abstractNumId w:val="3"/>
  </w:num>
  <w:num w:numId="7">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llis, Brogan">
    <w15:presenceInfo w15:providerId="AD" w15:userId="S-1-5-21-370244030-472911665-1845911597-8997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706"/>
    <w:rsid w:val="0003510D"/>
    <w:rsid w:val="00057898"/>
    <w:rsid w:val="000650AA"/>
    <w:rsid w:val="0007664D"/>
    <w:rsid w:val="00086179"/>
    <w:rsid w:val="000873CB"/>
    <w:rsid w:val="000A7C50"/>
    <w:rsid w:val="000B650D"/>
    <w:rsid w:val="00113BAF"/>
    <w:rsid w:val="001772DC"/>
    <w:rsid w:val="0019119E"/>
    <w:rsid w:val="001A23FA"/>
    <w:rsid w:val="001A48C9"/>
    <w:rsid w:val="001B698B"/>
    <w:rsid w:val="001C7BCD"/>
    <w:rsid w:val="002003A5"/>
    <w:rsid w:val="00201A3D"/>
    <w:rsid w:val="002212A1"/>
    <w:rsid w:val="00252F1B"/>
    <w:rsid w:val="00253BD5"/>
    <w:rsid w:val="0025495A"/>
    <w:rsid w:val="00261BE8"/>
    <w:rsid w:val="00276CE5"/>
    <w:rsid w:val="0029279A"/>
    <w:rsid w:val="00294DDC"/>
    <w:rsid w:val="002A0C7C"/>
    <w:rsid w:val="002A2288"/>
    <w:rsid w:val="002C5D58"/>
    <w:rsid w:val="002D05DC"/>
    <w:rsid w:val="002D7DB0"/>
    <w:rsid w:val="002E3BBC"/>
    <w:rsid w:val="00312665"/>
    <w:rsid w:val="00314FFD"/>
    <w:rsid w:val="00327AA5"/>
    <w:rsid w:val="00331925"/>
    <w:rsid w:val="00335AF5"/>
    <w:rsid w:val="003564D5"/>
    <w:rsid w:val="0036756A"/>
    <w:rsid w:val="003723B7"/>
    <w:rsid w:val="003D0332"/>
    <w:rsid w:val="003F7AEC"/>
    <w:rsid w:val="00441706"/>
    <w:rsid w:val="00453367"/>
    <w:rsid w:val="00454D7D"/>
    <w:rsid w:val="00475E9D"/>
    <w:rsid w:val="004A1AA4"/>
    <w:rsid w:val="004A2A23"/>
    <w:rsid w:val="004B6378"/>
    <w:rsid w:val="004B6F94"/>
    <w:rsid w:val="004F206F"/>
    <w:rsid w:val="004F320F"/>
    <w:rsid w:val="00530338"/>
    <w:rsid w:val="0053282E"/>
    <w:rsid w:val="00545EAF"/>
    <w:rsid w:val="005640C9"/>
    <w:rsid w:val="00586BD4"/>
    <w:rsid w:val="005B0EAC"/>
    <w:rsid w:val="005B1004"/>
    <w:rsid w:val="005E2598"/>
    <w:rsid w:val="005E6F96"/>
    <w:rsid w:val="005F1D0B"/>
    <w:rsid w:val="00600AB0"/>
    <w:rsid w:val="006121C6"/>
    <w:rsid w:val="00617060"/>
    <w:rsid w:val="00650850"/>
    <w:rsid w:val="00662501"/>
    <w:rsid w:val="00674331"/>
    <w:rsid w:val="006C5A76"/>
    <w:rsid w:val="006D6CD6"/>
    <w:rsid w:val="006E4D3C"/>
    <w:rsid w:val="006F2887"/>
    <w:rsid w:val="007317FA"/>
    <w:rsid w:val="00731C53"/>
    <w:rsid w:val="007C2578"/>
    <w:rsid w:val="007F08E1"/>
    <w:rsid w:val="008217D0"/>
    <w:rsid w:val="00822625"/>
    <w:rsid w:val="00824B5C"/>
    <w:rsid w:val="00851B62"/>
    <w:rsid w:val="00853914"/>
    <w:rsid w:val="00876F9E"/>
    <w:rsid w:val="008B1264"/>
    <w:rsid w:val="008B27E0"/>
    <w:rsid w:val="008B587E"/>
    <w:rsid w:val="0095300B"/>
    <w:rsid w:val="00960785"/>
    <w:rsid w:val="009914FD"/>
    <w:rsid w:val="009A2AAA"/>
    <w:rsid w:val="009B22F4"/>
    <w:rsid w:val="009C579C"/>
    <w:rsid w:val="00A04AC9"/>
    <w:rsid w:val="00A14BD5"/>
    <w:rsid w:val="00A23BE5"/>
    <w:rsid w:val="00A35D5B"/>
    <w:rsid w:val="00A360E7"/>
    <w:rsid w:val="00A40231"/>
    <w:rsid w:val="00A41DB9"/>
    <w:rsid w:val="00A44ACF"/>
    <w:rsid w:val="00A51175"/>
    <w:rsid w:val="00A52A46"/>
    <w:rsid w:val="00A85FA9"/>
    <w:rsid w:val="00AB2CC3"/>
    <w:rsid w:val="00AC2B63"/>
    <w:rsid w:val="00AE363C"/>
    <w:rsid w:val="00AE7431"/>
    <w:rsid w:val="00AF31EB"/>
    <w:rsid w:val="00B10DFE"/>
    <w:rsid w:val="00B31CB3"/>
    <w:rsid w:val="00B342FB"/>
    <w:rsid w:val="00B40992"/>
    <w:rsid w:val="00B45941"/>
    <w:rsid w:val="00B5478D"/>
    <w:rsid w:val="00B7037E"/>
    <w:rsid w:val="00BD544E"/>
    <w:rsid w:val="00BF4FE2"/>
    <w:rsid w:val="00C04B75"/>
    <w:rsid w:val="00C20930"/>
    <w:rsid w:val="00C2776C"/>
    <w:rsid w:val="00C3731A"/>
    <w:rsid w:val="00C44218"/>
    <w:rsid w:val="00C44D7E"/>
    <w:rsid w:val="00C75FEB"/>
    <w:rsid w:val="00C93C71"/>
    <w:rsid w:val="00CA2170"/>
    <w:rsid w:val="00CA6C4F"/>
    <w:rsid w:val="00CC7F98"/>
    <w:rsid w:val="00CD160C"/>
    <w:rsid w:val="00CD5A56"/>
    <w:rsid w:val="00CE222B"/>
    <w:rsid w:val="00CE4C4B"/>
    <w:rsid w:val="00CE70F5"/>
    <w:rsid w:val="00D15E43"/>
    <w:rsid w:val="00D34E0E"/>
    <w:rsid w:val="00D504C8"/>
    <w:rsid w:val="00D819E4"/>
    <w:rsid w:val="00D85A90"/>
    <w:rsid w:val="00DA45F4"/>
    <w:rsid w:val="00DC7138"/>
    <w:rsid w:val="00DD31EB"/>
    <w:rsid w:val="00DE0921"/>
    <w:rsid w:val="00DE702D"/>
    <w:rsid w:val="00DF1142"/>
    <w:rsid w:val="00E11598"/>
    <w:rsid w:val="00E326DB"/>
    <w:rsid w:val="00E357A8"/>
    <w:rsid w:val="00E43F86"/>
    <w:rsid w:val="00E458C8"/>
    <w:rsid w:val="00E60D16"/>
    <w:rsid w:val="00E656CD"/>
    <w:rsid w:val="00E676A7"/>
    <w:rsid w:val="00E92E15"/>
    <w:rsid w:val="00E96C5B"/>
    <w:rsid w:val="00EA0BE0"/>
    <w:rsid w:val="00F177FF"/>
    <w:rsid w:val="00F3427A"/>
    <w:rsid w:val="00F42FB2"/>
    <w:rsid w:val="00F86087"/>
    <w:rsid w:val="00FA2835"/>
    <w:rsid w:val="00FB7369"/>
    <w:rsid w:val="00FB7448"/>
    <w:rsid w:val="00FC7C39"/>
    <w:rsid w:val="00FE1929"/>
    <w:rsid w:val="00FF3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AAD80"/>
  <w15:chartTrackingRefBased/>
  <w15:docId w15:val="{8BF81B1F-07B6-4640-930B-ED23C41A2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17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1706"/>
  </w:style>
  <w:style w:type="paragraph" w:styleId="Footer">
    <w:name w:val="footer"/>
    <w:basedOn w:val="Normal"/>
    <w:link w:val="FooterChar"/>
    <w:uiPriority w:val="99"/>
    <w:unhideWhenUsed/>
    <w:rsid w:val="004417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1706"/>
  </w:style>
  <w:style w:type="paragraph" w:styleId="ListParagraph">
    <w:name w:val="List Paragraph"/>
    <w:basedOn w:val="Normal"/>
    <w:uiPriority w:val="34"/>
    <w:qFormat/>
    <w:rsid w:val="00441706"/>
    <w:pPr>
      <w:ind w:left="720"/>
      <w:contextualSpacing/>
    </w:pPr>
  </w:style>
  <w:style w:type="character" w:styleId="Hyperlink">
    <w:name w:val="Hyperlink"/>
    <w:basedOn w:val="DefaultParagraphFont"/>
    <w:uiPriority w:val="99"/>
    <w:unhideWhenUsed/>
    <w:rsid w:val="00C44D7E"/>
    <w:rPr>
      <w:color w:val="0563C1" w:themeColor="hyperlink"/>
      <w:u w:val="single"/>
    </w:rPr>
  </w:style>
  <w:style w:type="character" w:styleId="UnresolvedMention">
    <w:name w:val="Unresolved Mention"/>
    <w:basedOn w:val="DefaultParagraphFont"/>
    <w:uiPriority w:val="99"/>
    <w:semiHidden/>
    <w:unhideWhenUsed/>
    <w:rsid w:val="00C44D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1535305">
      <w:bodyDiv w:val="1"/>
      <w:marLeft w:val="0"/>
      <w:marRight w:val="0"/>
      <w:marTop w:val="0"/>
      <w:marBottom w:val="0"/>
      <w:divBdr>
        <w:top w:val="none" w:sz="0" w:space="0" w:color="auto"/>
        <w:left w:val="none" w:sz="0" w:space="0" w:color="auto"/>
        <w:bottom w:val="none" w:sz="0" w:space="0" w:color="auto"/>
        <w:right w:val="none" w:sz="0" w:space="0" w:color="auto"/>
      </w:divBdr>
    </w:div>
    <w:div w:id="959072273">
      <w:bodyDiv w:val="1"/>
      <w:marLeft w:val="0"/>
      <w:marRight w:val="0"/>
      <w:marTop w:val="0"/>
      <w:marBottom w:val="0"/>
      <w:divBdr>
        <w:top w:val="none" w:sz="0" w:space="0" w:color="auto"/>
        <w:left w:val="none" w:sz="0" w:space="0" w:color="auto"/>
        <w:bottom w:val="none" w:sz="0" w:space="0" w:color="auto"/>
        <w:right w:val="none" w:sz="0" w:space="0" w:color="auto"/>
      </w:divBdr>
      <w:divsChild>
        <w:div w:id="9436133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acas-code-of-practice-on-disciplinary-and-grievance-procedures" TargetMode="External"/><Relationship Id="rId13" Type="http://schemas.openxmlformats.org/officeDocument/2006/relationships/hyperlink" Target="https://www.cipd.org/uk/views-and-insights/thought-leadership/cipd-voice/public-sector-morale/" TargetMode="External"/><Relationship Id="rId18" Type="http://schemas.openxmlformats.org/officeDocument/2006/relationships/hyperlink" Target="https://www.cipd.org/uk/knowledge/factsheets/trade-unions-factsheet/"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gov.uk/join-trade-union/trade-union-membership-your-employment-rights" TargetMode="External"/><Relationship Id="rId7" Type="http://schemas.openxmlformats.org/officeDocument/2006/relationships/hyperlink" Target="https://www.acas.org.uk/sites/default/files/2021-03/mediation-an-approach-to-resolving-workplace-issues.pdf" TargetMode="External"/><Relationship Id="rId12" Type="http://schemas.openxmlformats.org/officeDocument/2006/relationships/hyperlink" Target="https://www.cipd.org/uk/knowledge/reports/managing-workplace-conflict-report/" TargetMode="External"/><Relationship Id="rId17" Type="http://schemas.openxmlformats.org/officeDocument/2006/relationships/hyperlink" Target="https://www.cipd.org/uk/knowledge/guides/workplace-mediation/"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ipd.org/uk/knowledge/reports/goodwork/" TargetMode="External"/><Relationship Id="rId20" Type="http://schemas.openxmlformats.org/officeDocument/2006/relationships/hyperlink" Target="https://www.capitallaw.co.uk/news/nearly-30-percent-of-employers-have-seen-an-increase-in-employee-grievance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factsheets/voice-factsheet/" TargetMode="External"/><Relationship Id="rId24" Type="http://schemas.openxmlformats.org/officeDocument/2006/relationships/hyperlink" Target="https://www.oecd.org/en/publications/promoting-better-career-mobility-for-longer-working-lives-in-the-united-kingdom_2b41ab8e-en/full-report/enhancing-job-quality-for-healthier-longer-working-lives_612d7ceb.html" TargetMode="External"/><Relationship Id="rId5" Type="http://schemas.openxmlformats.org/officeDocument/2006/relationships/footnotes" Target="footnotes.xml"/><Relationship Id="rId15" Type="http://schemas.openxmlformats.org/officeDocument/2006/relationships/hyperlink" Target="https://www.cipd.org/globalassets/media/knowledge/knowledge-hub/reports/2024-pdfs/2024-bullying-and-harassment-report-8660.pdf" TargetMode="External"/><Relationship Id="rId23" Type="http://schemas.openxmlformats.org/officeDocument/2006/relationships/hyperlink" Target="https://www.peoplemanagement.co.uk/article/1876477/quarter-uk-employees-experienced-workplace-conflict-past-year-cipd-study-shows" TargetMode="External"/><Relationship Id="rId28" Type="http://schemas.microsoft.com/office/2011/relationships/people" Target="people.xml"/><Relationship Id="rId10" Type="http://schemas.openxmlformats.org/officeDocument/2006/relationships/hyperlink" Target="https://www.acas.org.uk/arbitration" TargetMode="External"/><Relationship Id="rId19" Type="http://schemas.openxmlformats.org/officeDocument/2006/relationships/hyperlink" Target="https://www.researchgate.net/publication/5200663_Conflict_at_Work_The_Pattern_of_Disputes_in_Britain_since_1980" TargetMode="External"/><Relationship Id="rId4" Type="http://schemas.openxmlformats.org/officeDocument/2006/relationships/webSettings" Target="webSettings.xml"/><Relationship Id="rId9" Type="http://schemas.openxmlformats.org/officeDocument/2006/relationships/hyperlink" Target="https://www.acas.org.uk/acas-code-of-practice-on-disciplinary-and-grievance-procedures" TargetMode="External"/><Relationship Id="rId14" Type="http://schemas.openxmlformats.org/officeDocument/2006/relationships/hyperlink" Target="https://www.cipd.org/uk/knowledge/factsheets/voice-factsheet/" TargetMode="External"/><Relationship Id="rId22" Type="http://schemas.openxmlformats.org/officeDocument/2006/relationships/hyperlink" Target="https://www.gov.uk/solve-workplace-dispute/mediation-conciliation-and-arbitrat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1061</TotalTime>
  <Pages>12</Pages>
  <Words>6078</Words>
  <Characters>34645</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Brogan</dc:creator>
  <cp:keywords/>
  <dc:description/>
  <cp:lastModifiedBy>Ellis, Brogan</cp:lastModifiedBy>
  <cp:revision>101</cp:revision>
  <dcterms:created xsi:type="dcterms:W3CDTF">2025-12-19T12:33:00Z</dcterms:created>
  <dcterms:modified xsi:type="dcterms:W3CDTF">2026-01-15T12:46:00Z</dcterms:modified>
</cp:coreProperties>
</file>