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5EC1" w:rsidRDefault="00625EC1">
      <w:pPr>
        <w:rPr>
          <w:b/>
        </w:rPr>
      </w:pPr>
    </w:p>
    <w:p w:rsidR="00B05CA4" w:rsidRDefault="008F411C">
      <w:pPr>
        <w:rPr>
          <w:u w:val="single"/>
        </w:rPr>
      </w:pPr>
      <w:r w:rsidRPr="0037193E">
        <w:rPr>
          <w:b/>
        </w:rPr>
        <w:t xml:space="preserve">Date: </w:t>
      </w:r>
      <w:r>
        <w:t xml:space="preserve"> </w:t>
      </w:r>
      <w:r w:rsidRPr="008F411C">
        <w:rPr>
          <w:u w:val="single"/>
        </w:rPr>
        <w:t xml:space="preserve">  11</w:t>
      </w:r>
      <w:r w:rsidRPr="008F411C">
        <w:rPr>
          <w:u w:val="single"/>
          <w:vertAlign w:val="superscript"/>
        </w:rPr>
        <w:t>th</w:t>
      </w:r>
      <w:r w:rsidRPr="008F411C">
        <w:rPr>
          <w:u w:val="single"/>
        </w:rPr>
        <w:t xml:space="preserve"> May 2018</w:t>
      </w:r>
      <w:r>
        <w:rPr>
          <w:u w:val="single"/>
        </w:rPr>
        <w:t xml:space="preserve">.  </w:t>
      </w:r>
    </w:p>
    <w:p w:rsidR="008F411C" w:rsidRDefault="008F411C">
      <w:pPr>
        <w:rPr>
          <w:u w:val="single"/>
        </w:rPr>
      </w:pPr>
      <w:r w:rsidRPr="0037193E">
        <w:rPr>
          <w:b/>
        </w:rPr>
        <w:t>Prepared by:</w:t>
      </w:r>
      <w:r>
        <w:t xml:space="preserve"> </w:t>
      </w:r>
      <w:r w:rsidRPr="008F411C">
        <w:rPr>
          <w:u w:val="single"/>
        </w:rPr>
        <w:t xml:space="preserve"> Laura Stoakes</w:t>
      </w:r>
      <w:r w:rsidR="00D64C37">
        <w:rPr>
          <w:u w:val="single"/>
        </w:rPr>
        <w:t>. P152037</w:t>
      </w:r>
      <w:r w:rsidRPr="008F411C">
        <w:rPr>
          <w:u w:val="single"/>
        </w:rPr>
        <w:t>.</w:t>
      </w:r>
    </w:p>
    <w:p w:rsidR="008F411C" w:rsidRDefault="008F411C">
      <w:pPr>
        <w:rPr>
          <w:u w:val="single"/>
        </w:rPr>
      </w:pPr>
      <w:r w:rsidRPr="0037193E">
        <w:rPr>
          <w:b/>
        </w:rPr>
        <w:t>Point of contact:</w:t>
      </w:r>
      <w:r w:rsidRPr="008F411C">
        <w:t xml:space="preserve"> </w:t>
      </w:r>
      <w:r>
        <w:rPr>
          <w:u w:val="single"/>
        </w:rPr>
        <w:t xml:space="preserve"> Managing directo</w:t>
      </w:r>
      <w:r w:rsidR="005D7312">
        <w:rPr>
          <w:u w:val="single"/>
        </w:rPr>
        <w:t>r of Dragon Office Supplies</w:t>
      </w:r>
      <w:r>
        <w:rPr>
          <w:u w:val="single"/>
        </w:rPr>
        <w:t xml:space="preserve">. </w:t>
      </w:r>
    </w:p>
    <w:p w:rsidR="008F411C" w:rsidRDefault="008F411C">
      <w:pPr>
        <w:rPr>
          <w:u w:val="single"/>
        </w:rPr>
      </w:pPr>
      <w:r w:rsidRPr="0037193E">
        <w:rPr>
          <w:b/>
        </w:rPr>
        <w:t>Email:</w:t>
      </w:r>
      <w:r w:rsidRPr="008F411C">
        <w:t xml:space="preserve"> </w:t>
      </w:r>
      <w:r w:rsidR="0037193E">
        <w:rPr>
          <w:u w:val="single"/>
        </w:rPr>
        <w:t xml:space="preserve"> </w:t>
      </w:r>
      <w:hyperlink r:id="rId6" w:history="1">
        <w:r w:rsidR="0037193E" w:rsidRPr="00670CE9">
          <w:rPr>
            <w:rStyle w:val="Hyperlink"/>
          </w:rPr>
          <w:t>lstoakes.152037@uwtsd.student.ac.uk</w:t>
        </w:r>
      </w:hyperlink>
      <w:r w:rsidR="0037193E" w:rsidRPr="0037193E">
        <w:t xml:space="preserve">       </w:t>
      </w:r>
      <w:r w:rsidR="0037193E" w:rsidRPr="0037193E">
        <w:rPr>
          <w:b/>
        </w:rPr>
        <w:t>Telephone:</w:t>
      </w:r>
      <w:r w:rsidR="0037193E">
        <w:t xml:space="preserve">  </w:t>
      </w:r>
      <w:r w:rsidR="0037193E" w:rsidRPr="0037193E">
        <w:rPr>
          <w:u w:val="single"/>
        </w:rPr>
        <w:t>07514651289.</w:t>
      </w:r>
    </w:p>
    <w:p w:rsidR="0037193E" w:rsidRDefault="0037193E"/>
    <w:p w:rsidR="00625EC1" w:rsidRDefault="00625EC1"/>
    <w:p w:rsidR="0037193E" w:rsidRPr="00E0618C" w:rsidRDefault="002304EB" w:rsidP="002304EB">
      <w:pPr>
        <w:pStyle w:val="ListParagraph"/>
        <w:numPr>
          <w:ilvl w:val="0"/>
          <w:numId w:val="2"/>
        </w:numPr>
        <w:outlineLvl w:val="0"/>
        <w:rPr>
          <w:b/>
          <w:sz w:val="24"/>
          <w:szCs w:val="24"/>
        </w:rPr>
      </w:pPr>
      <w:bookmarkStart w:id="0" w:name="_Hlk513916278"/>
      <w:r w:rsidRPr="00E0618C">
        <w:rPr>
          <w:b/>
          <w:sz w:val="24"/>
          <w:szCs w:val="24"/>
        </w:rPr>
        <w:t>Subject</w:t>
      </w:r>
      <w:r w:rsidR="00625EC1">
        <w:rPr>
          <w:b/>
          <w:sz w:val="24"/>
          <w:szCs w:val="24"/>
        </w:rPr>
        <w:t>.</w:t>
      </w:r>
    </w:p>
    <w:p w:rsidR="0037193E" w:rsidRDefault="0037193E" w:rsidP="0037193E">
      <w:r>
        <w:t>This document will outline the key points of the new General Data Protection Regulations (GDPR)</w:t>
      </w:r>
      <w:r w:rsidR="002304EB">
        <w:t xml:space="preserve">, and how they will affect the Dragon Office Supplies company in how it used and stores employees and customers data. </w:t>
      </w:r>
    </w:p>
    <w:p w:rsidR="00E0618C" w:rsidRDefault="00E0618C" w:rsidP="0037193E"/>
    <w:p w:rsidR="0037193E" w:rsidRPr="00E0618C" w:rsidRDefault="0037193E" w:rsidP="002304EB">
      <w:pPr>
        <w:pStyle w:val="ListParagraph"/>
        <w:numPr>
          <w:ilvl w:val="0"/>
          <w:numId w:val="2"/>
        </w:numPr>
        <w:outlineLvl w:val="0"/>
        <w:rPr>
          <w:b/>
          <w:sz w:val="24"/>
          <w:szCs w:val="24"/>
        </w:rPr>
      </w:pPr>
      <w:r w:rsidRPr="00E0618C">
        <w:rPr>
          <w:b/>
          <w:sz w:val="24"/>
          <w:szCs w:val="24"/>
        </w:rPr>
        <w:t>Background</w:t>
      </w:r>
      <w:r w:rsidR="00625EC1">
        <w:rPr>
          <w:b/>
          <w:sz w:val="24"/>
          <w:szCs w:val="24"/>
        </w:rPr>
        <w:t>.</w:t>
      </w:r>
    </w:p>
    <w:p w:rsidR="002304EB" w:rsidRDefault="002304EB" w:rsidP="002304EB">
      <w:r>
        <w:t>On the 14</w:t>
      </w:r>
      <w:r w:rsidRPr="002304EB">
        <w:rPr>
          <w:vertAlign w:val="superscript"/>
        </w:rPr>
        <w:t>th</w:t>
      </w:r>
      <w:r>
        <w:t xml:space="preserve"> April 2016 the General Data Protection Act (GDPR) was approved by the EU Parliament after four years of preparation and debate. It will be replacing the 1995 Data Protection Act, and come the 25</w:t>
      </w:r>
      <w:r w:rsidRPr="002304EB">
        <w:rPr>
          <w:vertAlign w:val="superscript"/>
        </w:rPr>
        <w:t>th</w:t>
      </w:r>
      <w:r>
        <w:t xml:space="preserve"> May 2018, which is the enforcement date, every organisation needs to </w:t>
      </w:r>
      <w:proofErr w:type="gramStart"/>
      <w:r>
        <w:t>be in compliance with</w:t>
      </w:r>
      <w:proofErr w:type="gramEnd"/>
      <w:r>
        <w:t xml:space="preserve"> the new regulations or risk heavy fines. </w:t>
      </w:r>
    </w:p>
    <w:p w:rsidR="002304EB" w:rsidRDefault="002304EB" w:rsidP="002304EB">
      <w:r>
        <w:t xml:space="preserve">The aim of the GDPR is to have standardised data protection laws throughout all members of the EU, this is to ensure that all citizens from member countries have a better understanding of how their data should be kept and used by organisations. It will also make it easier for them to raise complaints should any arise, even if the data is being held by an organisation which is not in the country the complainant is located. </w:t>
      </w:r>
      <w:sdt>
        <w:sdtPr>
          <w:id w:val="-507448955"/>
          <w:citation/>
        </w:sdtPr>
        <w:sdtContent>
          <w:r>
            <w:fldChar w:fldCharType="begin"/>
          </w:r>
          <w:r>
            <w:instrText xml:space="preserve"> CITATION pri18 \l 2057 </w:instrText>
          </w:r>
          <w:r>
            <w:fldChar w:fldCharType="separate"/>
          </w:r>
          <w:r w:rsidRPr="002304EB">
            <w:rPr>
              <w:rFonts w:eastAsiaTheme="minorEastAsia"/>
              <w:noProof/>
            </w:rPr>
            <w:t>(privacytrust, 2018)</w:t>
          </w:r>
          <w:r>
            <w:fldChar w:fldCharType="end"/>
          </w:r>
        </w:sdtContent>
      </w:sdt>
    </w:p>
    <w:p w:rsidR="00E0618C" w:rsidRDefault="00E0618C" w:rsidP="002304EB"/>
    <w:p w:rsidR="0037193E" w:rsidRPr="00E0618C" w:rsidRDefault="0037193E" w:rsidP="002304EB">
      <w:pPr>
        <w:pStyle w:val="ListParagraph"/>
        <w:numPr>
          <w:ilvl w:val="0"/>
          <w:numId w:val="2"/>
        </w:numPr>
        <w:outlineLvl w:val="0"/>
        <w:rPr>
          <w:b/>
          <w:sz w:val="24"/>
          <w:szCs w:val="24"/>
        </w:rPr>
      </w:pPr>
      <w:r w:rsidRPr="00E0618C">
        <w:rPr>
          <w:b/>
          <w:sz w:val="24"/>
          <w:szCs w:val="24"/>
        </w:rPr>
        <w:t>Analysis</w:t>
      </w:r>
      <w:r w:rsidR="00625EC1">
        <w:rPr>
          <w:b/>
          <w:sz w:val="24"/>
          <w:szCs w:val="24"/>
        </w:rPr>
        <w:t>.</w:t>
      </w:r>
      <w:r w:rsidRPr="00E0618C">
        <w:rPr>
          <w:b/>
          <w:sz w:val="24"/>
          <w:szCs w:val="24"/>
        </w:rPr>
        <w:t xml:space="preserve"> </w:t>
      </w:r>
    </w:p>
    <w:p w:rsidR="002304EB" w:rsidRDefault="002304EB" w:rsidP="002304EB">
      <w:r>
        <w:t>Below are the key points and how they will affect the company:</w:t>
      </w:r>
    </w:p>
    <w:p w:rsidR="00D64C37" w:rsidRPr="00734062" w:rsidRDefault="00D64C37" w:rsidP="00D64C37">
      <w:pPr>
        <w:pStyle w:val="ListParagraph"/>
        <w:numPr>
          <w:ilvl w:val="0"/>
          <w:numId w:val="3"/>
        </w:numPr>
        <w:rPr>
          <w:b/>
        </w:rPr>
      </w:pPr>
      <w:r w:rsidRPr="00734062">
        <w:rPr>
          <w:b/>
        </w:rPr>
        <w:t>Increased Territorial scope.</w:t>
      </w:r>
    </w:p>
    <w:p w:rsidR="00D64C37" w:rsidRDefault="00734062" w:rsidP="00734062">
      <w:pPr>
        <w:spacing w:line="240" w:lineRule="auto"/>
        <w:ind w:left="357"/>
      </w:pPr>
      <w:r>
        <w:t>This is “ arguably the biggest change to the regulatory landscape of the data privacy comes with the extended jurisdiction of the GDPR, as it applies to all companies processing the personal data of data subjects residing in the union, regardless of the company’s location”</w:t>
      </w:r>
      <w:sdt>
        <w:sdtPr>
          <w:id w:val="1237671653"/>
          <w:citation/>
        </w:sdtPr>
        <w:sdtContent>
          <w:r>
            <w:fldChar w:fldCharType="begin"/>
          </w:r>
          <w:r>
            <w:instrText xml:space="preserve"> CITATION eug18 \l 2057 </w:instrText>
          </w:r>
          <w:r>
            <w:fldChar w:fldCharType="separate"/>
          </w:r>
          <w:r>
            <w:rPr>
              <w:noProof/>
            </w:rPr>
            <w:t xml:space="preserve"> </w:t>
          </w:r>
          <w:r w:rsidRPr="00734062">
            <w:rPr>
              <w:noProof/>
            </w:rPr>
            <w:t>(eugdpr, 2018)</w:t>
          </w:r>
          <w:r>
            <w:fldChar w:fldCharType="end"/>
          </w:r>
        </w:sdtContent>
      </w:sdt>
      <w:r>
        <w:t>. Although seen as the biggest change, this</w:t>
      </w:r>
      <w:r w:rsidR="00EC3C6E">
        <w:t xml:space="preserve"> may have little affect on the company as its largely dealing with non-member dealings, and how they offer goods and services, and monitor the data subjects within the member countries. </w:t>
      </w:r>
    </w:p>
    <w:p w:rsidR="00EC3C6E" w:rsidRPr="00E0618C" w:rsidRDefault="00D64C37" w:rsidP="00D64C37">
      <w:pPr>
        <w:pStyle w:val="ListParagraph"/>
        <w:numPr>
          <w:ilvl w:val="0"/>
          <w:numId w:val="3"/>
        </w:numPr>
        <w:rPr>
          <w:b/>
        </w:rPr>
      </w:pPr>
      <w:r w:rsidRPr="00E0618C">
        <w:rPr>
          <w:b/>
        </w:rPr>
        <w:t>Penalties</w:t>
      </w:r>
      <w:r w:rsidR="00625EC1">
        <w:rPr>
          <w:b/>
        </w:rPr>
        <w:t>.</w:t>
      </w:r>
    </w:p>
    <w:p w:rsidR="00EC3C6E" w:rsidRDefault="00EC3C6E" w:rsidP="00EC3C6E">
      <w:pPr>
        <w:ind w:left="360"/>
      </w:pPr>
      <w:r>
        <w:t xml:space="preserve">Under the new GDPR there are two tiers of administrative fines: </w:t>
      </w:r>
    </w:p>
    <w:p w:rsidR="00EC3C6E" w:rsidRPr="00BD651F" w:rsidRDefault="00EC3C6E" w:rsidP="00EC3C6E">
      <w:pPr>
        <w:pStyle w:val="ListParagraph"/>
        <w:numPr>
          <w:ilvl w:val="0"/>
          <w:numId w:val="4"/>
        </w:numPr>
      </w:pPr>
      <w:r>
        <w:t xml:space="preserve">Up to </w:t>
      </w:r>
      <w:r w:rsidR="00BD651F" w:rsidRPr="00BD651F">
        <w:rPr>
          <w:rFonts w:cstheme="minorHAnsi"/>
          <w:shd w:val="clear" w:color="auto" w:fill="FFFFFF"/>
        </w:rPr>
        <w:t>€</w:t>
      </w:r>
      <w:r w:rsidR="00BD651F" w:rsidRPr="00BD651F">
        <w:rPr>
          <w:rFonts w:cstheme="minorHAnsi"/>
          <w:shd w:val="clear" w:color="auto" w:fill="FFFFFF"/>
        </w:rPr>
        <w:t>10 million</w:t>
      </w:r>
      <w:r w:rsidR="00BD651F">
        <w:rPr>
          <w:rFonts w:ascii="SegoeRegular" w:hAnsi="SegoeRegular"/>
          <w:sz w:val="20"/>
          <w:szCs w:val="20"/>
          <w:shd w:val="clear" w:color="auto" w:fill="FFFFFF"/>
        </w:rPr>
        <w:t xml:space="preserve">, or 2% annual global turnover  - whichever is higher. </w:t>
      </w:r>
    </w:p>
    <w:p w:rsidR="00BD651F" w:rsidRDefault="00BD651F" w:rsidP="00BD651F">
      <w:pPr>
        <w:pStyle w:val="ListParagraph"/>
        <w:numPr>
          <w:ilvl w:val="0"/>
          <w:numId w:val="4"/>
        </w:numPr>
      </w:pPr>
      <w:r>
        <w:t>Up to</w:t>
      </w:r>
      <w:r w:rsidRPr="00BD651F">
        <w:t xml:space="preserve"> </w:t>
      </w:r>
      <w:r w:rsidRPr="00BD651F">
        <w:rPr>
          <w:rFonts w:cstheme="minorHAnsi"/>
          <w:shd w:val="clear" w:color="auto" w:fill="FFFFFF"/>
        </w:rPr>
        <w:t>€</w:t>
      </w:r>
      <w:r>
        <w:rPr>
          <w:rFonts w:cstheme="minorHAnsi"/>
          <w:shd w:val="clear" w:color="auto" w:fill="FFFFFF"/>
        </w:rPr>
        <w:t>20 million, or 4% annual global turnover – whichever is higher.</w:t>
      </w:r>
      <w:r w:rsidRPr="00BD651F">
        <w:rPr>
          <w:rFonts w:cstheme="minorHAnsi"/>
          <w:shd w:val="clear" w:color="auto" w:fill="FFFFFF"/>
        </w:rPr>
        <w:t xml:space="preserve"> </w:t>
      </w:r>
    </w:p>
    <w:p w:rsidR="00D64C37" w:rsidRDefault="00EC3C6E" w:rsidP="00BD651F">
      <w:pPr>
        <w:ind w:left="360"/>
      </w:pPr>
      <w:r>
        <w:t xml:space="preserve"> In addition to the increase of penalties and fines the</w:t>
      </w:r>
      <w:r w:rsidR="00BD651F">
        <w:t xml:space="preserve"> Information Commissioners Office (ICO) also has other corrective powers and sanctions to help enforce the GDPR. “These include issuing warnings and reprimands; imposing a temporary or permanent ban on data processing; ordering the rectification, restriction or erasure of data; and suspending data transfers to third countries”</w:t>
      </w:r>
      <w:sdt>
        <w:sdtPr>
          <w:id w:val="432011166"/>
          <w:citation/>
        </w:sdtPr>
        <w:sdtContent>
          <w:r w:rsidR="00BD651F">
            <w:fldChar w:fldCharType="begin"/>
          </w:r>
          <w:r w:rsidR="00BD651F">
            <w:instrText xml:space="preserve"> CITATION itg18 \l 2057 </w:instrText>
          </w:r>
          <w:r w:rsidR="00BD651F">
            <w:fldChar w:fldCharType="separate"/>
          </w:r>
          <w:r w:rsidR="00BD651F">
            <w:rPr>
              <w:noProof/>
            </w:rPr>
            <w:t xml:space="preserve"> </w:t>
          </w:r>
          <w:r w:rsidR="00BD651F" w:rsidRPr="00BD651F">
            <w:rPr>
              <w:noProof/>
            </w:rPr>
            <w:t>(itgovernance, 2018)</w:t>
          </w:r>
          <w:r w:rsidR="00BD651F">
            <w:fldChar w:fldCharType="end"/>
          </w:r>
        </w:sdtContent>
      </w:sdt>
      <w:r w:rsidR="00F12493">
        <w:t xml:space="preserve">. If the new regulations are not complied with this could mean that the reprimands towards the company could be severe, possibly loosing all the data that the company currently holds, in addition to heavy fines. This would also have a detrimental effect on the customer as they may lose trust as the companies’ reputation is damaged. </w:t>
      </w:r>
    </w:p>
    <w:p w:rsidR="00625EC1" w:rsidRDefault="00625EC1" w:rsidP="00BD651F">
      <w:pPr>
        <w:ind w:left="360"/>
      </w:pPr>
    </w:p>
    <w:p w:rsidR="00D64C37" w:rsidRPr="00E0618C" w:rsidRDefault="00D64C37" w:rsidP="00D64C37">
      <w:pPr>
        <w:pStyle w:val="ListParagraph"/>
        <w:numPr>
          <w:ilvl w:val="0"/>
          <w:numId w:val="3"/>
        </w:numPr>
        <w:rPr>
          <w:b/>
        </w:rPr>
      </w:pPr>
      <w:r w:rsidRPr="00E0618C">
        <w:rPr>
          <w:b/>
        </w:rPr>
        <w:lastRenderedPageBreak/>
        <w:t>Consent</w:t>
      </w:r>
      <w:r w:rsidR="00625EC1">
        <w:rPr>
          <w:b/>
        </w:rPr>
        <w:t>.</w:t>
      </w:r>
    </w:p>
    <w:p w:rsidR="00C16AD5" w:rsidRDefault="00352B08" w:rsidP="00F12493">
      <w:pPr>
        <w:ind w:left="360"/>
      </w:pPr>
      <w:r>
        <w:t>The key point of consent is that of “consent must be obtained in a manner that is distinguishable from other matters. It must cover all processing activities carried out for the same purpose or purposes  and where processing has multiple purposes, consent must be given for all of them”</w:t>
      </w:r>
      <w:sdt>
        <w:sdtPr>
          <w:id w:val="276069023"/>
          <w:citation/>
        </w:sdtPr>
        <w:sdtContent>
          <w:r>
            <w:fldChar w:fldCharType="begin"/>
          </w:r>
          <w:r>
            <w:instrText xml:space="preserve"> CITATION Wes16 \l 2057 </w:instrText>
          </w:r>
          <w:r>
            <w:fldChar w:fldCharType="separate"/>
          </w:r>
          <w:r>
            <w:rPr>
              <w:noProof/>
            </w:rPr>
            <w:t xml:space="preserve"> </w:t>
          </w:r>
          <w:r w:rsidRPr="00352B08">
            <w:rPr>
              <w:noProof/>
            </w:rPr>
            <w:t>(Wessing, 2016)</w:t>
          </w:r>
          <w:r>
            <w:fldChar w:fldCharType="end"/>
          </w:r>
        </w:sdtContent>
      </w:sdt>
      <w:r>
        <w:t xml:space="preserve">. Under the new legislation all </w:t>
      </w:r>
      <w:r w:rsidR="00C16AD5">
        <w:t>consent,</w:t>
      </w:r>
      <w:r>
        <w:t xml:space="preserve"> and terms and conditions must be given in a legible form that is clear to understand. It must have the purpose for any data processing and </w:t>
      </w:r>
      <w:r w:rsidR="00C16AD5">
        <w:t xml:space="preserve">when customers must have the opportunity to withdraw consent with ease, even after it has been given. </w:t>
      </w:r>
    </w:p>
    <w:p w:rsidR="00F12493" w:rsidRDefault="00C16AD5" w:rsidP="00F12493">
      <w:pPr>
        <w:ind w:left="360"/>
      </w:pPr>
      <w:r>
        <w:t xml:space="preserve">Dragon Office Supplies must review the way in which their terms and conditions and any other ways they may have to request consent to ensure that all can be easily </w:t>
      </w:r>
      <w:r w:rsidR="0096297F">
        <w:t>understood and</w:t>
      </w:r>
      <w:r>
        <w:t xml:space="preserve"> </w:t>
      </w:r>
      <w:bookmarkStart w:id="1" w:name="_GoBack"/>
      <w:bookmarkEnd w:id="1"/>
      <w:r>
        <w:t>have a clear outline of how they store and why they co</w:t>
      </w:r>
      <w:r w:rsidR="00E64859">
        <w:t>llect the data they will be obtaining</w:t>
      </w:r>
      <w:r>
        <w:t>. They must also implement if not already done so a way in which all customers or employees have an easily accessible way in which to withdraw any consent given.</w:t>
      </w:r>
    </w:p>
    <w:p w:rsidR="00D64C37" w:rsidRPr="00E0618C" w:rsidRDefault="00D64C37" w:rsidP="00D64C37">
      <w:pPr>
        <w:pStyle w:val="ListParagraph"/>
        <w:numPr>
          <w:ilvl w:val="0"/>
          <w:numId w:val="3"/>
        </w:numPr>
        <w:rPr>
          <w:b/>
        </w:rPr>
      </w:pPr>
      <w:r w:rsidRPr="00E0618C">
        <w:rPr>
          <w:b/>
        </w:rPr>
        <w:t>Breach of notification</w:t>
      </w:r>
      <w:r w:rsidR="00625EC1">
        <w:rPr>
          <w:b/>
        </w:rPr>
        <w:t>.</w:t>
      </w:r>
      <w:r w:rsidRPr="00E0618C">
        <w:rPr>
          <w:b/>
        </w:rPr>
        <w:t xml:space="preserve"> </w:t>
      </w:r>
    </w:p>
    <w:p w:rsidR="00C67886" w:rsidRDefault="00C67886" w:rsidP="00C67886">
      <w:pPr>
        <w:ind w:left="360"/>
      </w:pPr>
      <w:r>
        <w:t xml:space="preserve">With is change in the GDPR all organisations will have to have protocol in place in case a breach of data occurs, if such event does happen then the breach will have to be notified within 72 hours of the event first being noticed. Data processor will also be required to notify their customers without delay, as the breach could be a risk for the rights and freedoms of individuals. By making sure there is sufficient protocol in place, the breach of data can be dealt with effectively and without hesitation, and there will be a lesser risk of further action taken towards the organisation.   </w:t>
      </w:r>
    </w:p>
    <w:p w:rsidR="00C67886" w:rsidRPr="00E0618C" w:rsidRDefault="00D64C37" w:rsidP="00D64C37">
      <w:pPr>
        <w:pStyle w:val="ListParagraph"/>
        <w:numPr>
          <w:ilvl w:val="0"/>
          <w:numId w:val="3"/>
        </w:numPr>
        <w:rPr>
          <w:b/>
        </w:rPr>
      </w:pPr>
      <w:r w:rsidRPr="00E0618C">
        <w:rPr>
          <w:b/>
        </w:rPr>
        <w:t>Rights to access</w:t>
      </w:r>
      <w:r w:rsidR="00625EC1">
        <w:rPr>
          <w:b/>
        </w:rPr>
        <w:t>.</w:t>
      </w:r>
    </w:p>
    <w:p w:rsidR="00D64C37" w:rsidRDefault="00C126C8" w:rsidP="00C67886">
      <w:pPr>
        <w:ind w:left="360"/>
      </w:pPr>
      <w:r>
        <w:t xml:space="preserve">Under the GDPR individuals have the right to know whether an organisation </w:t>
      </w:r>
      <w:r w:rsidR="00330A30">
        <w:t xml:space="preserve">is </w:t>
      </w:r>
      <w:r>
        <w:t>hold</w:t>
      </w:r>
      <w:r w:rsidR="00330A30">
        <w:t>ing</w:t>
      </w:r>
      <w:r>
        <w:t xml:space="preserve"> data on them, they ha</w:t>
      </w:r>
      <w:r w:rsidR="00330A30">
        <w:t>v</w:t>
      </w:r>
      <w:r>
        <w:t>e the right to access that data and the right to know how that data is being processed</w:t>
      </w:r>
      <w:r w:rsidR="00330A30">
        <w:t>, and the reasons for.</w:t>
      </w:r>
      <w:r>
        <w:t xml:space="preserve"> Upon request the controller must comply within one month and must use reasonable efforts to verify the identity of the individual making the </w:t>
      </w:r>
      <w:r w:rsidR="00330A30">
        <w:t>request but</w:t>
      </w:r>
      <w:r>
        <w:t xml:space="preserve"> should not retain any of the gained information</w:t>
      </w:r>
      <w:r w:rsidR="00330A30">
        <w:t xml:space="preserve"> </w:t>
      </w:r>
      <w:sdt>
        <w:sdtPr>
          <w:id w:val="-247887162"/>
          <w:citation/>
        </w:sdtPr>
        <w:sdtContent>
          <w:r w:rsidR="00330A30">
            <w:fldChar w:fldCharType="begin"/>
          </w:r>
          <w:r w:rsidR="00330A30">
            <w:instrText xml:space="preserve"> CITATION Bir18 \l 2057 </w:instrText>
          </w:r>
          <w:r w:rsidR="00330A30">
            <w:fldChar w:fldCharType="separate"/>
          </w:r>
          <w:r w:rsidR="00330A30" w:rsidRPr="00330A30">
            <w:rPr>
              <w:noProof/>
            </w:rPr>
            <w:t>(Bird, 2018)</w:t>
          </w:r>
          <w:r w:rsidR="00330A30">
            <w:fldChar w:fldCharType="end"/>
          </w:r>
        </w:sdtContent>
      </w:sdt>
      <w:r>
        <w:t>. Organisations will need to</w:t>
      </w:r>
      <w:r w:rsidR="00330A30">
        <w:t xml:space="preserve"> implement a</w:t>
      </w:r>
      <w:r>
        <w:t xml:space="preserve"> system where all data held on individuals can be accessed with ease by the person responsible, and that all requests are dealt with a measure of importance in the form of a free </w:t>
      </w:r>
      <w:r w:rsidR="00330A30">
        <w:t>‘</w:t>
      </w:r>
      <w:r>
        <w:t xml:space="preserve">copy of personal data </w:t>
      </w:r>
      <w:r w:rsidR="00330A30">
        <w:t>undergoing processing’.</w:t>
      </w:r>
      <w:r>
        <w:t xml:space="preserve"> </w:t>
      </w:r>
      <w:r w:rsidR="00D64C37">
        <w:t xml:space="preserve"> </w:t>
      </w:r>
    </w:p>
    <w:p w:rsidR="00D64C37" w:rsidRPr="00E0618C" w:rsidRDefault="00D64C37" w:rsidP="00D64C37">
      <w:pPr>
        <w:pStyle w:val="ListParagraph"/>
        <w:numPr>
          <w:ilvl w:val="0"/>
          <w:numId w:val="3"/>
        </w:numPr>
        <w:rPr>
          <w:b/>
        </w:rPr>
      </w:pPr>
      <w:r w:rsidRPr="00E0618C">
        <w:rPr>
          <w:b/>
        </w:rPr>
        <w:t>Rights to be forgotten</w:t>
      </w:r>
      <w:r w:rsidR="00625EC1">
        <w:rPr>
          <w:b/>
        </w:rPr>
        <w:t>.</w:t>
      </w:r>
      <w:r w:rsidRPr="00E0618C">
        <w:rPr>
          <w:b/>
        </w:rPr>
        <w:t xml:space="preserve"> </w:t>
      </w:r>
    </w:p>
    <w:p w:rsidR="00736135" w:rsidRDefault="00201211" w:rsidP="00736135">
      <w:pPr>
        <w:ind w:left="360"/>
      </w:pPr>
      <w:r>
        <w:t xml:space="preserve">The right to be forgotten is a way in which customers or individuals </w:t>
      </w:r>
      <w:r w:rsidR="0048076B">
        <w:t>can have all information help on them removed from the system within a month of the request being submitted. Organisations will need systems that allow this and procedures in place to ensure all requested information is effectively deleted. Organisations may also be able to implement anonymisation techniques so that information hel</w:t>
      </w:r>
      <w:r w:rsidR="00A26E4C">
        <w:t>d</w:t>
      </w:r>
      <w:r w:rsidR="0048076B">
        <w:t xml:space="preserve"> </w:t>
      </w:r>
      <w:r w:rsidR="0096297F">
        <w:t>cannot</w:t>
      </w:r>
      <w:r w:rsidR="0048076B">
        <w:t xml:space="preserve"> be linked back to any individual and therefore not fall under the right to be forgotten request. </w:t>
      </w:r>
      <w:sdt>
        <w:sdtPr>
          <w:id w:val="-1267376907"/>
          <w:citation/>
        </w:sdtPr>
        <w:sdtContent>
          <w:r w:rsidR="0048076B">
            <w:fldChar w:fldCharType="begin"/>
          </w:r>
          <w:r w:rsidR="0048076B">
            <w:instrText xml:space="preserve"> CITATION Dav18 \l 2057 </w:instrText>
          </w:r>
          <w:r w:rsidR="0048076B">
            <w:fldChar w:fldCharType="separate"/>
          </w:r>
          <w:r w:rsidR="0048076B" w:rsidRPr="0048076B">
            <w:rPr>
              <w:noProof/>
            </w:rPr>
            <w:t>(Davey, 2018)</w:t>
          </w:r>
          <w:r w:rsidR="0048076B">
            <w:fldChar w:fldCharType="end"/>
          </w:r>
        </w:sdtContent>
      </w:sdt>
    </w:p>
    <w:p w:rsidR="00D64C37" w:rsidRPr="00E0618C" w:rsidRDefault="00D64C37" w:rsidP="00D64C37">
      <w:pPr>
        <w:pStyle w:val="ListParagraph"/>
        <w:numPr>
          <w:ilvl w:val="0"/>
          <w:numId w:val="3"/>
        </w:numPr>
        <w:rPr>
          <w:b/>
        </w:rPr>
      </w:pPr>
      <w:r w:rsidRPr="00E0618C">
        <w:rPr>
          <w:b/>
        </w:rPr>
        <w:t>Data portability</w:t>
      </w:r>
      <w:r w:rsidR="00625EC1">
        <w:rPr>
          <w:b/>
        </w:rPr>
        <w:t>.</w:t>
      </w:r>
      <w:r w:rsidRPr="00E0618C">
        <w:rPr>
          <w:b/>
        </w:rPr>
        <w:t xml:space="preserve"> </w:t>
      </w:r>
    </w:p>
    <w:p w:rsidR="0048076B" w:rsidRDefault="00423E4C" w:rsidP="0048076B">
      <w:pPr>
        <w:ind w:left="360"/>
      </w:pPr>
      <w:r>
        <w:t xml:space="preserve">To comply with this </w:t>
      </w:r>
      <w:proofErr w:type="gramStart"/>
      <w:r>
        <w:t>key</w:t>
      </w:r>
      <w:proofErr w:type="gramEnd"/>
      <w:r>
        <w:t xml:space="preserve"> point all organisations will need to successfully incorporate a measure in which all the data held can be easily received by the individual upon request, “in a structured or commonly used and machine readable format”</w:t>
      </w:r>
      <w:sdt>
        <w:sdtPr>
          <w:id w:val="1792245589"/>
          <w:citation/>
        </w:sdtPr>
        <w:sdtContent>
          <w:r>
            <w:fldChar w:fldCharType="begin"/>
          </w:r>
          <w:r>
            <w:instrText xml:space="preserve"> CITATION pwc18 \l 2057 </w:instrText>
          </w:r>
          <w:r>
            <w:fldChar w:fldCharType="separate"/>
          </w:r>
          <w:r>
            <w:rPr>
              <w:noProof/>
            </w:rPr>
            <w:t xml:space="preserve"> </w:t>
          </w:r>
          <w:r w:rsidRPr="00423E4C">
            <w:rPr>
              <w:noProof/>
            </w:rPr>
            <w:t>(pwc, 2018)</w:t>
          </w:r>
          <w:r>
            <w:fldChar w:fldCharType="end"/>
          </w:r>
        </w:sdtContent>
      </w:sdt>
      <w:r>
        <w:t>. It must also be possible to transmit the data to another controller without any hindrance</w:t>
      </w:r>
      <w:r w:rsidR="00624482">
        <w:t xml:space="preserve"> or loss of data. </w:t>
      </w:r>
    </w:p>
    <w:p w:rsidR="00624482" w:rsidRPr="00E0618C" w:rsidRDefault="00D64C37" w:rsidP="00A26E4C">
      <w:pPr>
        <w:pStyle w:val="ListParagraph"/>
        <w:numPr>
          <w:ilvl w:val="0"/>
          <w:numId w:val="3"/>
        </w:numPr>
        <w:rPr>
          <w:b/>
        </w:rPr>
      </w:pPr>
      <w:r w:rsidRPr="00E0618C">
        <w:rPr>
          <w:b/>
        </w:rPr>
        <w:t>Privacy by design</w:t>
      </w:r>
      <w:r w:rsidR="00625EC1">
        <w:rPr>
          <w:b/>
        </w:rPr>
        <w:t>.</w:t>
      </w:r>
      <w:r w:rsidRPr="00E0618C">
        <w:rPr>
          <w:b/>
        </w:rPr>
        <w:t xml:space="preserve"> </w:t>
      </w:r>
      <w:bookmarkEnd w:id="0"/>
    </w:p>
    <w:p w:rsidR="00A26E4C" w:rsidRDefault="00A26E4C" w:rsidP="00A26E4C">
      <w:pPr>
        <w:ind w:left="360"/>
      </w:pPr>
      <w:r>
        <w:t xml:space="preserve">The GDPR requires that all companies and data controllers have technical and organisational measures such as pseudonymisation in place, and that controllers must only process data that is necessary to what they need and store it only </w:t>
      </w:r>
      <w:proofErr w:type="gramStart"/>
      <w:r>
        <w:t>as long as</w:t>
      </w:r>
      <w:proofErr w:type="gramEnd"/>
      <w:r>
        <w:t xml:space="preserve"> it is necessary to do so. This is to protect individuals so that data can not be linked back to any one individual. </w:t>
      </w:r>
      <w:sdt>
        <w:sdtPr>
          <w:id w:val="703679428"/>
          <w:citation/>
        </w:sdtPr>
        <w:sdtContent>
          <w:r>
            <w:fldChar w:fldCharType="begin"/>
          </w:r>
          <w:r>
            <w:instrText xml:space="preserve"> CITATION Dav17 \l 2057 </w:instrText>
          </w:r>
          <w:r>
            <w:fldChar w:fldCharType="separate"/>
          </w:r>
          <w:r w:rsidRPr="00A26E4C">
            <w:rPr>
              <w:noProof/>
            </w:rPr>
            <w:t>(Davies, 2017)</w:t>
          </w:r>
          <w:r>
            <w:fldChar w:fldCharType="end"/>
          </w:r>
        </w:sdtContent>
      </w:sdt>
    </w:p>
    <w:p w:rsidR="00625EC1" w:rsidRDefault="00625EC1" w:rsidP="00A26E4C">
      <w:pPr>
        <w:ind w:left="360"/>
      </w:pPr>
    </w:p>
    <w:p w:rsidR="00625EC1" w:rsidRDefault="00625EC1" w:rsidP="00A26E4C">
      <w:pPr>
        <w:ind w:left="360"/>
      </w:pPr>
    </w:p>
    <w:p w:rsidR="00A26E4C" w:rsidRPr="00E0618C" w:rsidRDefault="00D64C37" w:rsidP="00D64C37">
      <w:pPr>
        <w:pStyle w:val="ListParagraph"/>
        <w:numPr>
          <w:ilvl w:val="0"/>
          <w:numId w:val="3"/>
        </w:numPr>
        <w:rPr>
          <w:b/>
        </w:rPr>
      </w:pPr>
      <w:r w:rsidRPr="00E0618C">
        <w:rPr>
          <w:b/>
        </w:rPr>
        <w:lastRenderedPageBreak/>
        <w:t>Data protection officers</w:t>
      </w:r>
      <w:r w:rsidR="00625EC1">
        <w:rPr>
          <w:b/>
        </w:rPr>
        <w:t>.</w:t>
      </w:r>
    </w:p>
    <w:p w:rsidR="00D64C37" w:rsidRDefault="00D64C37" w:rsidP="00A26E4C">
      <w:pPr>
        <w:ind w:left="360"/>
      </w:pPr>
      <w:r>
        <w:t xml:space="preserve"> </w:t>
      </w:r>
      <w:r w:rsidR="00A26E4C">
        <w:t>As of the 25</w:t>
      </w:r>
      <w:r w:rsidR="00A26E4C" w:rsidRPr="00A26E4C">
        <w:rPr>
          <w:vertAlign w:val="superscript"/>
        </w:rPr>
        <w:t>th</w:t>
      </w:r>
      <w:r w:rsidR="00A26E4C">
        <w:t xml:space="preserve"> May 2018 a data protection officer will need to be appointed within every organisation who processes or stores a significant amount of data </w:t>
      </w:r>
      <w:r w:rsidR="00A84330">
        <w:t xml:space="preserve">whether it be from employees or customers. They are to monitor the data subjects on a large scale </w:t>
      </w:r>
      <w:proofErr w:type="gramStart"/>
      <w:r w:rsidR="00A84330">
        <w:t>and also</w:t>
      </w:r>
      <w:proofErr w:type="gramEnd"/>
      <w:r w:rsidR="00A84330">
        <w:t xml:space="preserve"> where the “entity conducts large scale processing of ‘special categories of personal data’, like that which details race or ethnicity” </w:t>
      </w:r>
      <w:sdt>
        <w:sdtPr>
          <w:id w:val="1148478590"/>
          <w:citation/>
        </w:sdtPr>
        <w:sdtContent>
          <w:r w:rsidR="00A84330">
            <w:fldChar w:fldCharType="begin"/>
          </w:r>
          <w:r w:rsidR="00A84330">
            <w:instrText xml:space="preserve"> CITATION Lor17 \l 2057 </w:instrText>
          </w:r>
          <w:r w:rsidR="00A84330">
            <w:fldChar w:fldCharType="separate"/>
          </w:r>
          <w:r w:rsidR="00A84330" w:rsidRPr="00A84330">
            <w:rPr>
              <w:noProof/>
            </w:rPr>
            <w:t>(Lord, 2017)</w:t>
          </w:r>
          <w:r w:rsidR="00A84330">
            <w:fldChar w:fldCharType="end"/>
          </w:r>
        </w:sdtContent>
      </w:sdt>
      <w:r w:rsidR="00A84330">
        <w:t>.</w:t>
      </w:r>
    </w:p>
    <w:p w:rsidR="00E0618C" w:rsidRPr="002304EB" w:rsidRDefault="00E0618C" w:rsidP="00A26E4C">
      <w:pPr>
        <w:ind w:left="360"/>
      </w:pPr>
    </w:p>
    <w:p w:rsidR="00A84330" w:rsidRPr="00E0618C" w:rsidRDefault="0037193E" w:rsidP="00BB4FD2">
      <w:pPr>
        <w:pStyle w:val="ListParagraph"/>
        <w:numPr>
          <w:ilvl w:val="0"/>
          <w:numId w:val="2"/>
        </w:numPr>
        <w:outlineLvl w:val="0"/>
        <w:rPr>
          <w:b/>
          <w:sz w:val="24"/>
          <w:szCs w:val="24"/>
        </w:rPr>
      </w:pPr>
      <w:r w:rsidRPr="00E0618C">
        <w:rPr>
          <w:b/>
          <w:sz w:val="24"/>
          <w:szCs w:val="24"/>
        </w:rPr>
        <w:t>Cautionary notes</w:t>
      </w:r>
      <w:r w:rsidR="00625EC1">
        <w:rPr>
          <w:b/>
          <w:sz w:val="24"/>
          <w:szCs w:val="24"/>
        </w:rPr>
        <w:t>.</w:t>
      </w:r>
      <w:r w:rsidRPr="00E0618C">
        <w:rPr>
          <w:b/>
          <w:sz w:val="24"/>
          <w:szCs w:val="24"/>
        </w:rPr>
        <w:t xml:space="preserve"> </w:t>
      </w:r>
    </w:p>
    <w:p w:rsidR="002304EB" w:rsidRDefault="004A60D2" w:rsidP="00BB4FD2">
      <w:pPr>
        <w:ind w:left="360"/>
      </w:pPr>
      <w:r>
        <w:t>If all the necessary amendments are not in place by the 25</w:t>
      </w:r>
      <w:r w:rsidRPr="004A60D2">
        <w:rPr>
          <w:vertAlign w:val="superscript"/>
        </w:rPr>
        <w:t>th</w:t>
      </w:r>
      <w:r>
        <w:t xml:space="preserve"> May 2018 when </w:t>
      </w:r>
      <w:r w:rsidR="00E53FCA">
        <w:t xml:space="preserve">the GDPR becomes enforceable, organisations will be at risk of potential penalties and possibly fines. It may also result in the loss of customers </w:t>
      </w:r>
      <w:r w:rsidR="00E0618C">
        <w:t xml:space="preserve">as they may feel that their data not being handled correctly. </w:t>
      </w:r>
    </w:p>
    <w:p w:rsidR="00E0618C" w:rsidRPr="00E0618C" w:rsidRDefault="00E0618C" w:rsidP="00BB4FD2">
      <w:pPr>
        <w:ind w:left="360"/>
        <w:rPr>
          <w:sz w:val="24"/>
          <w:szCs w:val="24"/>
        </w:rPr>
      </w:pPr>
    </w:p>
    <w:p w:rsidR="0037193E" w:rsidRPr="00E0618C" w:rsidRDefault="0037193E" w:rsidP="002304EB">
      <w:pPr>
        <w:pStyle w:val="ListParagraph"/>
        <w:numPr>
          <w:ilvl w:val="0"/>
          <w:numId w:val="2"/>
        </w:numPr>
        <w:outlineLvl w:val="0"/>
        <w:rPr>
          <w:b/>
          <w:sz w:val="24"/>
          <w:szCs w:val="24"/>
        </w:rPr>
      </w:pPr>
      <w:r w:rsidRPr="00E0618C">
        <w:rPr>
          <w:b/>
          <w:sz w:val="24"/>
          <w:szCs w:val="24"/>
        </w:rPr>
        <w:t>Recommended action</w:t>
      </w:r>
      <w:r w:rsidR="00625EC1">
        <w:rPr>
          <w:b/>
          <w:sz w:val="24"/>
          <w:szCs w:val="24"/>
        </w:rPr>
        <w:t>.</w:t>
      </w:r>
      <w:r w:rsidRPr="00E0618C">
        <w:rPr>
          <w:b/>
          <w:sz w:val="24"/>
          <w:szCs w:val="24"/>
        </w:rPr>
        <w:t xml:space="preserve"> </w:t>
      </w:r>
    </w:p>
    <w:p w:rsidR="00E0618C" w:rsidRDefault="00E0618C" w:rsidP="00E0618C">
      <w:pPr>
        <w:ind w:left="360"/>
        <w:outlineLvl w:val="0"/>
      </w:pPr>
      <w:r w:rsidRPr="00E0618C">
        <w:t>To best prepare for these changes it would be recommended that a full review on all platforms in which data is handled be completed. By doing this it will be better understood what systems and protocol is needed to ensure that the organisation is up to regulation standards. It is also recommended that all staff have training on what these new regulations</w:t>
      </w:r>
      <w:r>
        <w:t xml:space="preserve"> will mean and the detriment it may caused if they are not adhered to. </w:t>
      </w:r>
    </w:p>
    <w:p w:rsidR="00E0618C" w:rsidRDefault="00E0618C" w:rsidP="00E0618C">
      <w:pPr>
        <w:ind w:left="360"/>
        <w:outlineLvl w:val="0"/>
      </w:pPr>
    </w:p>
    <w:p w:rsidR="00E0618C" w:rsidRDefault="00E0618C"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625EC1" w:rsidRDefault="00625EC1" w:rsidP="00E0618C">
      <w:pPr>
        <w:ind w:left="360"/>
        <w:outlineLvl w:val="0"/>
      </w:pPr>
    </w:p>
    <w:p w:rsidR="00E0618C" w:rsidRDefault="00E0618C" w:rsidP="00E0618C">
      <w:pPr>
        <w:ind w:left="360"/>
        <w:outlineLvl w:val="0"/>
      </w:pPr>
    </w:p>
    <w:sdt>
      <w:sdtPr>
        <w:id w:val="124260260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E0618C" w:rsidRDefault="00E0618C">
          <w:pPr>
            <w:pStyle w:val="Heading1"/>
          </w:pPr>
          <w:r>
            <w:t>Bibliography</w:t>
          </w:r>
        </w:p>
        <w:sdt>
          <w:sdtPr>
            <w:id w:val="111145805"/>
            <w:bibliography/>
          </w:sdtPr>
          <w:sdtContent>
            <w:p w:rsidR="00E0618C" w:rsidRDefault="00E0618C" w:rsidP="00E0618C">
              <w:pPr>
                <w:pStyle w:val="Bibliography"/>
                <w:rPr>
                  <w:noProof/>
                  <w:sz w:val="24"/>
                  <w:szCs w:val="24"/>
                  <w:lang w:val="en-US"/>
                </w:rPr>
              </w:pPr>
              <w:r>
                <w:fldChar w:fldCharType="begin"/>
              </w:r>
              <w:r>
                <w:instrText xml:space="preserve"> BIBLIOGRAPHY </w:instrText>
              </w:r>
              <w:r>
                <w:fldChar w:fldCharType="separate"/>
              </w:r>
              <w:r>
                <w:rPr>
                  <w:noProof/>
                  <w:lang w:val="en-US"/>
                </w:rPr>
                <w:t xml:space="preserve">Bird, B. a., 2018. </w:t>
              </w:r>
              <w:r>
                <w:rPr>
                  <w:i/>
                  <w:iCs/>
                  <w:noProof/>
                  <w:lang w:val="en-US"/>
                </w:rPr>
                <w:t xml:space="preserve">Subject access, rectification and potability. </w:t>
              </w:r>
              <w:r>
                <w:rPr>
                  <w:noProof/>
                  <w:lang w:val="en-US"/>
                </w:rPr>
                <w:t xml:space="preserve">[Online] </w:t>
              </w:r>
              <w:r>
                <w:rPr>
                  <w:noProof/>
                  <w:lang w:val="en-US"/>
                </w:rPr>
                <w:br/>
                <w:t xml:space="preserve">Available at: </w:t>
              </w:r>
              <w:r>
                <w:rPr>
                  <w:noProof/>
                  <w:u w:val="single"/>
                  <w:lang w:val="en-US"/>
                </w:rPr>
                <w:t>https://www.twobirds.com/~/media/pdfs/gdpr-pdfs/32--guide-to-the-gdpr--subject-access-rectification-and-portability.pdf?la=en</w:t>
              </w:r>
              <w:r>
                <w:rPr>
                  <w:noProof/>
                  <w:lang w:val="en-US"/>
                </w:rPr>
                <w:br/>
                <w:t>[Accessed 11 May 2018].</w:t>
              </w:r>
            </w:p>
            <w:p w:rsidR="00E0618C" w:rsidRDefault="00E0618C" w:rsidP="00E0618C">
              <w:pPr>
                <w:pStyle w:val="Bibliography"/>
                <w:rPr>
                  <w:noProof/>
                  <w:lang w:val="en-US"/>
                </w:rPr>
              </w:pPr>
              <w:r>
                <w:rPr>
                  <w:noProof/>
                  <w:lang w:val="en-US"/>
                </w:rPr>
                <w:t xml:space="preserve">Davey, N., 2018. </w:t>
              </w:r>
              <w:r>
                <w:rPr>
                  <w:i/>
                  <w:iCs/>
                  <w:noProof/>
                  <w:lang w:val="en-US"/>
                </w:rPr>
                <w:t xml:space="preserve">How should you implement the Right to be Forgotten? Experts share best practices for dealing with customers who exercise their right to erasure.. </w:t>
              </w:r>
              <w:r>
                <w:rPr>
                  <w:noProof/>
                  <w:lang w:val="en-US"/>
                </w:rPr>
                <w:t xml:space="preserve">[Online] </w:t>
              </w:r>
              <w:r>
                <w:rPr>
                  <w:noProof/>
                  <w:lang w:val="en-US"/>
                </w:rPr>
                <w:br/>
                <w:t xml:space="preserve">Available at: </w:t>
              </w:r>
              <w:r>
                <w:rPr>
                  <w:noProof/>
                  <w:u w:val="single"/>
                  <w:lang w:val="en-US"/>
                </w:rPr>
                <w:t>https://www.mycustomer.com/marketing/data/gdpr-and-the-right-to-be-forgotten-how-to-process-requests-for-erasure</w:t>
              </w:r>
              <w:r>
                <w:rPr>
                  <w:noProof/>
                  <w:lang w:val="en-US"/>
                </w:rPr>
                <w:br/>
                <w:t>[Accessed 11th may 2018].</w:t>
              </w:r>
            </w:p>
            <w:p w:rsidR="00E0618C" w:rsidRDefault="00E0618C" w:rsidP="00E0618C">
              <w:pPr>
                <w:pStyle w:val="Bibliography"/>
                <w:rPr>
                  <w:noProof/>
                  <w:lang w:val="en-US"/>
                </w:rPr>
              </w:pPr>
              <w:r>
                <w:rPr>
                  <w:noProof/>
                  <w:lang w:val="en-US"/>
                </w:rPr>
                <w:t xml:space="preserve">Davies, B., 2017. </w:t>
              </w:r>
              <w:r>
                <w:rPr>
                  <w:i/>
                  <w:iCs/>
                  <w:noProof/>
                  <w:lang w:val="en-US"/>
                </w:rPr>
                <w:t xml:space="preserve">GDPR requires privacy by design, but what is it and how can marketers comply?. </w:t>
              </w:r>
              <w:r>
                <w:rPr>
                  <w:noProof/>
                  <w:lang w:val="en-US"/>
                </w:rPr>
                <w:t xml:space="preserve">[Online] </w:t>
              </w:r>
              <w:r>
                <w:rPr>
                  <w:noProof/>
                  <w:lang w:val="en-US"/>
                </w:rPr>
                <w:br/>
                <w:t xml:space="preserve">Available at: </w:t>
              </w:r>
              <w:r>
                <w:rPr>
                  <w:noProof/>
                  <w:u w:val="single"/>
                  <w:lang w:val="en-US"/>
                </w:rPr>
                <w:t>https://www.econsultancy.com/blog/69376-gdpr-requires-privacy-by-design-but-what-is-it-and-how-can-marketers-comply</w:t>
              </w:r>
              <w:r>
                <w:rPr>
                  <w:noProof/>
                  <w:lang w:val="en-US"/>
                </w:rPr>
                <w:br/>
                <w:t>[Accessed 1th May 2018].</w:t>
              </w:r>
            </w:p>
            <w:p w:rsidR="00E0618C" w:rsidRDefault="00E0618C" w:rsidP="00E0618C">
              <w:pPr>
                <w:pStyle w:val="Bibliography"/>
                <w:rPr>
                  <w:noProof/>
                  <w:lang w:val="en-US"/>
                </w:rPr>
              </w:pPr>
              <w:r>
                <w:rPr>
                  <w:noProof/>
                  <w:lang w:val="en-US"/>
                </w:rPr>
                <w:t xml:space="preserve">eugdpr, 2018. </w:t>
              </w:r>
              <w:r>
                <w:rPr>
                  <w:i/>
                  <w:iCs/>
                  <w:noProof/>
                  <w:lang w:val="en-US"/>
                </w:rPr>
                <w:t xml:space="preserve">GDPR key changes. </w:t>
              </w:r>
              <w:r>
                <w:rPr>
                  <w:noProof/>
                  <w:lang w:val="en-US"/>
                </w:rPr>
                <w:t xml:space="preserve">[Online] </w:t>
              </w:r>
              <w:r>
                <w:rPr>
                  <w:noProof/>
                  <w:lang w:val="en-US"/>
                </w:rPr>
                <w:br/>
                <w:t xml:space="preserve">Available at: </w:t>
              </w:r>
              <w:r>
                <w:rPr>
                  <w:noProof/>
                  <w:u w:val="single"/>
                  <w:lang w:val="en-US"/>
                </w:rPr>
                <w:t>https://www.eugdpr.org/key-changes.html</w:t>
              </w:r>
              <w:r>
                <w:rPr>
                  <w:noProof/>
                  <w:lang w:val="en-US"/>
                </w:rPr>
                <w:br/>
                <w:t>[Accessed 11th May 2018].</w:t>
              </w:r>
            </w:p>
            <w:p w:rsidR="00E0618C" w:rsidRDefault="00E0618C" w:rsidP="00E0618C">
              <w:pPr>
                <w:pStyle w:val="Bibliography"/>
                <w:rPr>
                  <w:noProof/>
                  <w:lang w:val="en-US"/>
                </w:rPr>
              </w:pPr>
              <w:r>
                <w:rPr>
                  <w:noProof/>
                  <w:lang w:val="en-US"/>
                </w:rPr>
                <w:t xml:space="preserve">itgovernance, 2018. </w:t>
              </w:r>
              <w:r>
                <w:rPr>
                  <w:i/>
                  <w:iCs/>
                  <w:noProof/>
                  <w:lang w:val="en-US"/>
                </w:rPr>
                <w:t xml:space="preserve">GDPR enforcement and penalties. </w:t>
              </w:r>
              <w:r>
                <w:rPr>
                  <w:noProof/>
                  <w:lang w:val="en-US"/>
                </w:rPr>
                <w:t xml:space="preserve">[Online] </w:t>
              </w:r>
              <w:r>
                <w:rPr>
                  <w:noProof/>
                  <w:lang w:val="en-US"/>
                </w:rPr>
                <w:br/>
                <w:t xml:space="preserve">Available at: </w:t>
              </w:r>
              <w:r>
                <w:rPr>
                  <w:noProof/>
                  <w:u w:val="single"/>
                  <w:lang w:val="en-US"/>
                </w:rPr>
                <w:t>https://www.itgovernance.co.uk/dpa-and-gdpr-penalties</w:t>
              </w:r>
              <w:r>
                <w:rPr>
                  <w:noProof/>
                  <w:lang w:val="en-US"/>
                </w:rPr>
                <w:br/>
                <w:t>[Accessed 11th May 2018].</w:t>
              </w:r>
            </w:p>
            <w:p w:rsidR="00E0618C" w:rsidRDefault="00E0618C" w:rsidP="00E0618C">
              <w:pPr>
                <w:pStyle w:val="Bibliography"/>
                <w:rPr>
                  <w:noProof/>
                  <w:lang w:val="en-US"/>
                </w:rPr>
              </w:pPr>
              <w:r>
                <w:rPr>
                  <w:noProof/>
                  <w:lang w:val="en-US"/>
                </w:rPr>
                <w:t xml:space="preserve">Lord, N., 2017. </w:t>
              </w:r>
              <w:r>
                <w:rPr>
                  <w:i/>
                  <w:iCs/>
                  <w:noProof/>
                  <w:lang w:val="en-US"/>
                </w:rPr>
                <w:t xml:space="preserve">What is a Data Protection Officer (DPO)? Learn About the New Role Required for GDPR Compliance. </w:t>
              </w:r>
              <w:r>
                <w:rPr>
                  <w:noProof/>
                  <w:lang w:val="en-US"/>
                </w:rPr>
                <w:t xml:space="preserve">[Online] </w:t>
              </w:r>
              <w:r>
                <w:rPr>
                  <w:noProof/>
                  <w:lang w:val="en-US"/>
                </w:rPr>
                <w:br/>
                <w:t xml:space="preserve">Available at: </w:t>
              </w:r>
              <w:r>
                <w:rPr>
                  <w:noProof/>
                  <w:u w:val="single"/>
                  <w:lang w:val="en-US"/>
                </w:rPr>
                <w:t>https://digitalguardian.com/blog/what-data-protection-officer-dpo-learn-about-new-role-required-gdpr-compliance</w:t>
              </w:r>
              <w:r>
                <w:rPr>
                  <w:noProof/>
                  <w:lang w:val="en-US"/>
                </w:rPr>
                <w:br/>
                <w:t>[Accessed 11th May 2018].</w:t>
              </w:r>
            </w:p>
            <w:p w:rsidR="00E0618C" w:rsidRDefault="00E0618C" w:rsidP="00E0618C">
              <w:pPr>
                <w:pStyle w:val="Bibliography"/>
                <w:rPr>
                  <w:noProof/>
                  <w:lang w:val="en-US"/>
                </w:rPr>
              </w:pPr>
              <w:r>
                <w:rPr>
                  <w:noProof/>
                  <w:lang w:val="en-US"/>
                </w:rPr>
                <w:t xml:space="preserve">privacytrust, 2018. </w:t>
              </w:r>
              <w:r>
                <w:rPr>
                  <w:i/>
                  <w:iCs/>
                  <w:noProof/>
                  <w:lang w:val="en-US"/>
                </w:rPr>
                <w:t xml:space="preserve">whats the real purpose of the real GDPR. </w:t>
              </w:r>
              <w:r>
                <w:rPr>
                  <w:noProof/>
                  <w:lang w:val="en-US"/>
                </w:rPr>
                <w:t xml:space="preserve">[Online] </w:t>
              </w:r>
              <w:r>
                <w:rPr>
                  <w:noProof/>
                  <w:lang w:val="en-US"/>
                </w:rPr>
                <w:br/>
                <w:t xml:space="preserve">Available at: </w:t>
              </w:r>
              <w:r>
                <w:rPr>
                  <w:noProof/>
                  <w:u w:val="single"/>
                  <w:lang w:val="en-US"/>
                </w:rPr>
                <w:t>https://www.privacytrust.com/gdpr/whats-the-real-purpose-of-the-gdpr.html</w:t>
              </w:r>
              <w:r>
                <w:rPr>
                  <w:noProof/>
                  <w:lang w:val="en-US"/>
                </w:rPr>
                <w:br/>
                <w:t>[Accessed 11th may 2018].</w:t>
              </w:r>
            </w:p>
            <w:p w:rsidR="00E0618C" w:rsidRDefault="00E0618C" w:rsidP="00E0618C">
              <w:pPr>
                <w:pStyle w:val="Bibliography"/>
                <w:rPr>
                  <w:noProof/>
                  <w:lang w:val="en-US"/>
                </w:rPr>
              </w:pPr>
              <w:r>
                <w:rPr>
                  <w:noProof/>
                  <w:lang w:val="en-US"/>
                </w:rPr>
                <w:t xml:space="preserve">pwc, 2018. </w:t>
              </w:r>
              <w:r>
                <w:rPr>
                  <w:i/>
                  <w:iCs/>
                  <w:noProof/>
                  <w:lang w:val="en-US"/>
                </w:rPr>
                <w:t xml:space="preserve">GDPR - data portability. </w:t>
              </w:r>
              <w:r>
                <w:rPr>
                  <w:noProof/>
                  <w:lang w:val="en-US"/>
                </w:rPr>
                <w:t xml:space="preserve">[Online] </w:t>
              </w:r>
              <w:r>
                <w:rPr>
                  <w:noProof/>
                  <w:lang w:val="en-US"/>
                </w:rPr>
                <w:br/>
                <w:t xml:space="preserve">Available at: </w:t>
              </w:r>
              <w:r>
                <w:rPr>
                  <w:noProof/>
                  <w:u w:val="single"/>
                  <w:lang w:val="en-US"/>
                </w:rPr>
                <w:t>https://www.pwc.co.uk/who-we-are/regional-sites/north-west/insights/gdpr---data-portability.html</w:t>
              </w:r>
              <w:r>
                <w:rPr>
                  <w:noProof/>
                  <w:lang w:val="en-US"/>
                </w:rPr>
                <w:br/>
                <w:t>[Accessed 11 May 2018].</w:t>
              </w:r>
            </w:p>
            <w:p w:rsidR="00E0618C" w:rsidRDefault="00E0618C" w:rsidP="00E0618C">
              <w:pPr>
                <w:pStyle w:val="Bibliography"/>
                <w:rPr>
                  <w:noProof/>
                  <w:lang w:val="en-US"/>
                </w:rPr>
              </w:pPr>
              <w:r>
                <w:rPr>
                  <w:noProof/>
                  <w:lang w:val="en-US"/>
                </w:rPr>
                <w:t xml:space="preserve">Wessing, T., 2016. </w:t>
              </w:r>
              <w:r>
                <w:rPr>
                  <w:i/>
                  <w:iCs/>
                  <w:noProof/>
                  <w:lang w:val="en-US"/>
                </w:rPr>
                <w:t xml:space="preserve">undersatnding consent under the GDPR. </w:t>
              </w:r>
              <w:r>
                <w:rPr>
                  <w:noProof/>
                  <w:lang w:val="en-US"/>
                </w:rPr>
                <w:t xml:space="preserve">[Online] </w:t>
              </w:r>
              <w:r>
                <w:rPr>
                  <w:noProof/>
                  <w:lang w:val="en-US"/>
                </w:rPr>
                <w:br/>
                <w:t xml:space="preserve">Available at: </w:t>
              </w:r>
              <w:r>
                <w:rPr>
                  <w:noProof/>
                  <w:u w:val="single"/>
                  <w:lang w:val="en-US"/>
                </w:rPr>
                <w:t>https://united-kingdom.taylorwessing.com/globaldatahub/article-understanding-consent-under-the-gdpr.html</w:t>
              </w:r>
              <w:r>
                <w:rPr>
                  <w:noProof/>
                  <w:lang w:val="en-US"/>
                </w:rPr>
                <w:br/>
                <w:t>[Accessed 11th May 2018].</w:t>
              </w:r>
            </w:p>
            <w:p w:rsidR="00E0618C" w:rsidRDefault="00E0618C" w:rsidP="00E0618C">
              <w:r>
                <w:rPr>
                  <w:b/>
                  <w:bCs/>
                  <w:noProof/>
                </w:rPr>
                <w:fldChar w:fldCharType="end"/>
              </w:r>
            </w:p>
          </w:sdtContent>
        </w:sdt>
      </w:sdtContent>
    </w:sdt>
    <w:p w:rsidR="00E0618C" w:rsidRPr="00E0618C" w:rsidRDefault="00E0618C" w:rsidP="00E0618C">
      <w:pPr>
        <w:ind w:left="360"/>
        <w:outlineLvl w:val="0"/>
      </w:pPr>
    </w:p>
    <w:sectPr w:rsidR="00E0618C" w:rsidRPr="00E0618C" w:rsidSect="003719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Regular">
    <w:altName w:val="Segoe UI"/>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4054A"/>
    <w:multiLevelType w:val="hybridMultilevel"/>
    <w:tmpl w:val="34C4BEE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B0634EF"/>
    <w:multiLevelType w:val="hybridMultilevel"/>
    <w:tmpl w:val="4DCE52C0"/>
    <w:lvl w:ilvl="0" w:tplc="C6AE8C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3A6263"/>
    <w:multiLevelType w:val="hybridMultilevel"/>
    <w:tmpl w:val="EE9A2746"/>
    <w:lvl w:ilvl="0" w:tplc="D20A6A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D33EAB"/>
    <w:multiLevelType w:val="hybridMultilevel"/>
    <w:tmpl w:val="8418284E"/>
    <w:lvl w:ilvl="0" w:tplc="870C631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11C"/>
    <w:rsid w:val="00013FAA"/>
    <w:rsid w:val="00031CF3"/>
    <w:rsid w:val="0006680F"/>
    <w:rsid w:val="000E72CA"/>
    <w:rsid w:val="00104496"/>
    <w:rsid w:val="00152995"/>
    <w:rsid w:val="001C2773"/>
    <w:rsid w:val="001D466B"/>
    <w:rsid w:val="00201211"/>
    <w:rsid w:val="002304EB"/>
    <w:rsid w:val="0028063A"/>
    <w:rsid w:val="00283C31"/>
    <w:rsid w:val="002E6DA4"/>
    <w:rsid w:val="00330A30"/>
    <w:rsid w:val="00352B08"/>
    <w:rsid w:val="0037193E"/>
    <w:rsid w:val="003A4764"/>
    <w:rsid w:val="004157D7"/>
    <w:rsid w:val="00423E4C"/>
    <w:rsid w:val="0048076B"/>
    <w:rsid w:val="004A60D2"/>
    <w:rsid w:val="004A7B27"/>
    <w:rsid w:val="005D7312"/>
    <w:rsid w:val="00603C6D"/>
    <w:rsid w:val="00624482"/>
    <w:rsid w:val="00625EC1"/>
    <w:rsid w:val="006730E1"/>
    <w:rsid w:val="006B2429"/>
    <w:rsid w:val="006C77B5"/>
    <w:rsid w:val="00734062"/>
    <w:rsid w:val="00736135"/>
    <w:rsid w:val="007A667F"/>
    <w:rsid w:val="008268DE"/>
    <w:rsid w:val="008B0C79"/>
    <w:rsid w:val="008E2EB4"/>
    <w:rsid w:val="008F411C"/>
    <w:rsid w:val="008F43ED"/>
    <w:rsid w:val="0096297F"/>
    <w:rsid w:val="009B348D"/>
    <w:rsid w:val="009C5C5F"/>
    <w:rsid w:val="00A11C32"/>
    <w:rsid w:val="00A26E4C"/>
    <w:rsid w:val="00A84330"/>
    <w:rsid w:val="00B05CA4"/>
    <w:rsid w:val="00BB4FD2"/>
    <w:rsid w:val="00BD651F"/>
    <w:rsid w:val="00C126C8"/>
    <w:rsid w:val="00C16AD5"/>
    <w:rsid w:val="00C67886"/>
    <w:rsid w:val="00C67A69"/>
    <w:rsid w:val="00C943F5"/>
    <w:rsid w:val="00D06395"/>
    <w:rsid w:val="00D52647"/>
    <w:rsid w:val="00D53EB9"/>
    <w:rsid w:val="00D64C37"/>
    <w:rsid w:val="00DD19D9"/>
    <w:rsid w:val="00E0618C"/>
    <w:rsid w:val="00E53FCA"/>
    <w:rsid w:val="00E55279"/>
    <w:rsid w:val="00E64859"/>
    <w:rsid w:val="00EC3C6E"/>
    <w:rsid w:val="00F002DD"/>
    <w:rsid w:val="00F12493"/>
    <w:rsid w:val="00FE269C"/>
    <w:rsid w:val="00FF2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09958"/>
  <w15:chartTrackingRefBased/>
  <w15:docId w15:val="{5F6BF414-B258-4150-BCF3-01320976A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618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193E"/>
    <w:rPr>
      <w:color w:val="0563C1" w:themeColor="hyperlink"/>
      <w:u w:val="single"/>
    </w:rPr>
  </w:style>
  <w:style w:type="character" w:styleId="UnresolvedMention">
    <w:name w:val="Unresolved Mention"/>
    <w:basedOn w:val="DefaultParagraphFont"/>
    <w:uiPriority w:val="99"/>
    <w:semiHidden/>
    <w:unhideWhenUsed/>
    <w:rsid w:val="0037193E"/>
    <w:rPr>
      <w:color w:val="605E5C"/>
      <w:shd w:val="clear" w:color="auto" w:fill="E1DFDD"/>
    </w:rPr>
  </w:style>
  <w:style w:type="paragraph" w:styleId="ListParagraph">
    <w:name w:val="List Paragraph"/>
    <w:basedOn w:val="Normal"/>
    <w:uiPriority w:val="34"/>
    <w:qFormat/>
    <w:rsid w:val="0037193E"/>
    <w:pPr>
      <w:ind w:left="720"/>
      <w:contextualSpacing/>
    </w:pPr>
  </w:style>
  <w:style w:type="character" w:customStyle="1" w:styleId="Heading1Char">
    <w:name w:val="Heading 1 Char"/>
    <w:basedOn w:val="DefaultParagraphFont"/>
    <w:link w:val="Heading1"/>
    <w:uiPriority w:val="9"/>
    <w:rsid w:val="00E0618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061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685088">
      <w:bodyDiv w:val="1"/>
      <w:marLeft w:val="0"/>
      <w:marRight w:val="0"/>
      <w:marTop w:val="0"/>
      <w:marBottom w:val="0"/>
      <w:divBdr>
        <w:top w:val="none" w:sz="0" w:space="0" w:color="auto"/>
        <w:left w:val="none" w:sz="0" w:space="0" w:color="auto"/>
        <w:bottom w:val="none" w:sz="0" w:space="0" w:color="auto"/>
        <w:right w:val="none" w:sz="0" w:space="0" w:color="auto"/>
      </w:divBdr>
    </w:div>
    <w:div w:id="246307507">
      <w:bodyDiv w:val="1"/>
      <w:marLeft w:val="0"/>
      <w:marRight w:val="0"/>
      <w:marTop w:val="0"/>
      <w:marBottom w:val="0"/>
      <w:divBdr>
        <w:top w:val="none" w:sz="0" w:space="0" w:color="auto"/>
        <w:left w:val="none" w:sz="0" w:space="0" w:color="auto"/>
        <w:bottom w:val="none" w:sz="0" w:space="0" w:color="auto"/>
        <w:right w:val="none" w:sz="0" w:space="0" w:color="auto"/>
      </w:divBdr>
    </w:div>
    <w:div w:id="371342489">
      <w:bodyDiv w:val="1"/>
      <w:marLeft w:val="0"/>
      <w:marRight w:val="0"/>
      <w:marTop w:val="0"/>
      <w:marBottom w:val="0"/>
      <w:divBdr>
        <w:top w:val="none" w:sz="0" w:space="0" w:color="auto"/>
        <w:left w:val="none" w:sz="0" w:space="0" w:color="auto"/>
        <w:bottom w:val="none" w:sz="0" w:space="0" w:color="auto"/>
        <w:right w:val="none" w:sz="0" w:space="0" w:color="auto"/>
      </w:divBdr>
    </w:div>
    <w:div w:id="1028605660">
      <w:bodyDiv w:val="1"/>
      <w:marLeft w:val="0"/>
      <w:marRight w:val="0"/>
      <w:marTop w:val="0"/>
      <w:marBottom w:val="0"/>
      <w:divBdr>
        <w:top w:val="none" w:sz="0" w:space="0" w:color="auto"/>
        <w:left w:val="none" w:sz="0" w:space="0" w:color="auto"/>
        <w:bottom w:val="none" w:sz="0" w:space="0" w:color="auto"/>
        <w:right w:val="none" w:sz="0" w:space="0" w:color="auto"/>
      </w:divBdr>
    </w:div>
    <w:div w:id="1129855685">
      <w:bodyDiv w:val="1"/>
      <w:marLeft w:val="0"/>
      <w:marRight w:val="0"/>
      <w:marTop w:val="0"/>
      <w:marBottom w:val="0"/>
      <w:divBdr>
        <w:top w:val="none" w:sz="0" w:space="0" w:color="auto"/>
        <w:left w:val="none" w:sz="0" w:space="0" w:color="auto"/>
        <w:bottom w:val="none" w:sz="0" w:space="0" w:color="auto"/>
        <w:right w:val="none" w:sz="0" w:space="0" w:color="auto"/>
      </w:divBdr>
    </w:div>
    <w:div w:id="1189567025">
      <w:bodyDiv w:val="1"/>
      <w:marLeft w:val="0"/>
      <w:marRight w:val="0"/>
      <w:marTop w:val="0"/>
      <w:marBottom w:val="0"/>
      <w:divBdr>
        <w:top w:val="none" w:sz="0" w:space="0" w:color="auto"/>
        <w:left w:val="none" w:sz="0" w:space="0" w:color="auto"/>
        <w:bottom w:val="none" w:sz="0" w:space="0" w:color="auto"/>
        <w:right w:val="none" w:sz="0" w:space="0" w:color="auto"/>
      </w:divBdr>
    </w:div>
    <w:div w:id="1609390478">
      <w:bodyDiv w:val="1"/>
      <w:marLeft w:val="0"/>
      <w:marRight w:val="0"/>
      <w:marTop w:val="0"/>
      <w:marBottom w:val="0"/>
      <w:divBdr>
        <w:top w:val="none" w:sz="0" w:space="0" w:color="auto"/>
        <w:left w:val="none" w:sz="0" w:space="0" w:color="auto"/>
        <w:bottom w:val="none" w:sz="0" w:space="0" w:color="auto"/>
        <w:right w:val="none" w:sz="0" w:space="0" w:color="auto"/>
      </w:divBdr>
    </w:div>
    <w:div w:id="1957173247">
      <w:bodyDiv w:val="1"/>
      <w:marLeft w:val="0"/>
      <w:marRight w:val="0"/>
      <w:marTop w:val="0"/>
      <w:marBottom w:val="0"/>
      <w:divBdr>
        <w:top w:val="none" w:sz="0" w:space="0" w:color="auto"/>
        <w:left w:val="none" w:sz="0" w:space="0" w:color="auto"/>
        <w:bottom w:val="none" w:sz="0" w:space="0" w:color="auto"/>
        <w:right w:val="none" w:sz="0" w:space="0" w:color="auto"/>
      </w:divBdr>
    </w:div>
    <w:div w:id="2074348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stoakes.152037@uwtsd.student.ac.u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pri18</b:Tag>
    <b:SourceType>InternetSite</b:SourceType>
    <b:Guid>{63DC3E6C-6356-4698-8519-CAF1396A78B9}</b:Guid>
    <b:Author>
      <b:Author>
        <b:NameList>
          <b:Person>
            <b:Last>privacytrust</b:Last>
          </b:Person>
        </b:NameList>
      </b:Author>
    </b:Author>
    <b:Title>whats the real purpose of the real GDPR </b:Title>
    <b:Year>2018</b:Year>
    <b:YearAccessed>2018</b:YearAccessed>
    <b:MonthAccessed>may </b:MonthAccessed>
    <b:DayAccessed>11th</b:DayAccessed>
    <b:URL>https://www.privacytrust.com/gdpr/whats-the-real-purpose-of-the-gdpr.html</b:URL>
    <b:RefOrder>1</b:RefOrder>
  </b:Source>
  <b:Source>
    <b:Tag>eug18</b:Tag>
    <b:SourceType>InternetSite</b:SourceType>
    <b:Guid>{878EF7ED-C3BE-42F5-BBDF-F4B7B1936A1D}</b:Guid>
    <b:Author>
      <b:Author>
        <b:NameList>
          <b:Person>
            <b:Last>eugdpr</b:Last>
          </b:Person>
        </b:NameList>
      </b:Author>
    </b:Author>
    <b:Title>GDPR key changes </b:Title>
    <b:Year>2018</b:Year>
    <b:YearAccessed>2018</b:YearAccessed>
    <b:MonthAccessed>May </b:MonthAccessed>
    <b:DayAccessed>11th </b:DayAccessed>
    <b:URL>https://www.eugdpr.org/key-changes.html</b:URL>
    <b:RefOrder>2</b:RefOrder>
  </b:Source>
  <b:Source>
    <b:Tag>itg18</b:Tag>
    <b:SourceType>InternetSite</b:SourceType>
    <b:Guid>{75651AE6-FBC8-41A4-BBA7-D3FC8CBF1FDF}</b:Guid>
    <b:Author>
      <b:Author>
        <b:NameList>
          <b:Person>
            <b:Last>itgovernance</b:Last>
          </b:Person>
        </b:NameList>
      </b:Author>
    </b:Author>
    <b:Title>GDPR enforcement and penalties</b:Title>
    <b:Year>2018</b:Year>
    <b:YearAccessed>2018</b:YearAccessed>
    <b:MonthAccessed>May</b:MonthAccessed>
    <b:DayAccessed>11th </b:DayAccessed>
    <b:URL>https://www.itgovernance.co.uk/dpa-and-gdpr-penalties</b:URL>
    <b:RefOrder>3</b:RefOrder>
  </b:Source>
  <b:Source>
    <b:Tag>Wes16</b:Tag>
    <b:SourceType>DocumentFromInternetSite</b:SourceType>
    <b:Guid>{A535C0E6-29EF-41ED-B24B-8C2B1CE33578}</b:Guid>
    <b:Author>
      <b:Author>
        <b:NameList>
          <b:Person>
            <b:Last>Wessing</b:Last>
            <b:First>T</b:First>
          </b:Person>
        </b:NameList>
      </b:Author>
    </b:Author>
    <b:Title>undersatnding consent under the GDPR</b:Title>
    <b:Year>2016</b:Year>
    <b:YearAccessed>2018</b:YearAccessed>
    <b:MonthAccessed>May</b:MonthAccessed>
    <b:DayAccessed>11th</b:DayAccessed>
    <b:URL>https://united-kingdom.taylorwessing.com/globaldatahub/article-understanding-consent-under-the-gdpr.html</b:URL>
    <b:Month>Nov</b:Month>
    <b:Day>unknown</b:Day>
    <b:RefOrder>4</b:RefOrder>
  </b:Source>
  <b:Source>
    <b:Tag>Bir18</b:Tag>
    <b:SourceType>DocumentFromInternetSite</b:SourceType>
    <b:Guid>{BA3E64AB-862D-491C-9CBB-632C24E0F3C5}</b:Guid>
    <b:Author>
      <b:Author>
        <b:NameList>
          <b:Person>
            <b:Last>Bird</b:Last>
            <b:First>Bird</b:First>
            <b:Middle>and</b:Middle>
          </b:Person>
        </b:NameList>
      </b:Author>
    </b:Author>
    <b:Title>Subject access, rectification and potability</b:Title>
    <b:Year>2018</b:Year>
    <b:YearAccessed>2018</b:YearAccessed>
    <b:MonthAccessed>May</b:MonthAccessed>
    <b:DayAccessed>11</b:DayAccessed>
    <b:URL>https://www.twobirds.com/~/media/pdfs/gdpr-pdfs/32--guide-to-the-gdpr--subject-access-rectification-and-portability.pdf?la=en</b:URL>
    <b:RefOrder>5</b:RefOrder>
  </b:Source>
  <b:Source>
    <b:Tag>Dav18</b:Tag>
    <b:SourceType>DocumentFromInternetSite</b:SourceType>
    <b:Guid>{9835A37F-BA77-41F2-B708-CBBDE2C2A49F}</b:Guid>
    <b:Author>
      <b:Author>
        <b:NameList>
          <b:Person>
            <b:Last>Davey</b:Last>
            <b:First>N.</b:First>
          </b:Person>
        </b:NameList>
      </b:Author>
    </b:Author>
    <b:Title>How should you implement the Right to be Forgotten? Experts share best practices for dealing with customers who exercise their right to erasure. </b:Title>
    <b:Year>2018</b:Year>
    <b:Month>Feb</b:Month>
    <b:Day>27</b:Day>
    <b:YearAccessed>2018</b:YearAccessed>
    <b:MonthAccessed>may</b:MonthAccessed>
    <b:DayAccessed>11th</b:DayAccessed>
    <b:URL>https://www.mycustomer.com/marketing/data/gdpr-and-the-right-to-be-forgotten-how-to-process-requests-for-erasure</b:URL>
    <b:RefOrder>6</b:RefOrder>
  </b:Source>
  <b:Source>
    <b:Tag>pwc18</b:Tag>
    <b:SourceType>InternetSite</b:SourceType>
    <b:Guid>{F8775850-F52F-4C89-B966-82A9E5B81AA5}</b:Guid>
    <b:Title>GDPR - data portability </b:Title>
    <b:Year>2018</b:Year>
    <b:YearAccessed>2018</b:YearAccessed>
    <b:MonthAccessed>May </b:MonthAccessed>
    <b:DayAccessed>11</b:DayAccessed>
    <b:URL>https://www.pwc.co.uk/who-we-are/regional-sites/north-west/insights/gdpr---data-portability.html</b:URL>
    <b:Author>
      <b:Author>
        <b:NameList>
          <b:Person>
            <b:Last>pwc</b:Last>
          </b:Person>
        </b:NameList>
      </b:Author>
    </b:Author>
    <b:RefOrder>7</b:RefOrder>
  </b:Source>
  <b:Source>
    <b:Tag>Dav17</b:Tag>
    <b:SourceType>DocumentFromInternetSite</b:SourceType>
    <b:Guid>{91B120F8-20AE-4D96-823A-6BA8AA7012FB}</b:Guid>
    <b:Author>
      <b:Author>
        <b:NameList>
          <b:Person>
            <b:Last>Davies</b:Last>
            <b:First>B</b:First>
          </b:Person>
        </b:NameList>
      </b:Author>
    </b:Author>
    <b:Title>GDPR requires privacy by design, but what is it and how can marketers comply?</b:Title>
    <b:Year>2017</b:Year>
    <b:YearAccessed>2018</b:YearAccessed>
    <b:MonthAccessed>May</b:MonthAccessed>
    <b:DayAccessed>1th</b:DayAccessed>
    <b:URL>https://www.econsultancy.com/blog/69376-gdpr-requires-privacy-by-design-but-what-is-it-and-how-can-marketers-comply</b:URL>
    <b:Month>Sep</b:Month>
    <b:Day>6</b:Day>
    <b:RefOrder>8</b:RefOrder>
  </b:Source>
  <b:Source>
    <b:Tag>Lor17</b:Tag>
    <b:SourceType>DocumentFromInternetSite</b:SourceType>
    <b:Guid>{F49D6CED-D0AD-4869-98F1-B6C09CC9E368}</b:Guid>
    <b:Title>What is a Data Protection Officer (DPO)? Learn About the New Role Required for GDPR Compliance</b:Title>
    <b:Year>2017</b:Year>
    <b:Month>Jan</b:Month>
    <b:Day>30</b:Day>
    <b:YearAccessed>2018</b:YearAccessed>
    <b:MonthAccessed>May</b:MonthAccessed>
    <b:DayAccessed>11th</b:DayAccessed>
    <b:URL>https://digitalguardian.com/blog/what-data-protection-officer-dpo-learn-about-new-role-required-gdpr-compliance</b:URL>
    <b:Author>
      <b:Author>
        <b:NameList>
          <b:Person>
            <b:Last>Lord</b:Last>
            <b:First>N.</b:First>
          </b:Person>
        </b:NameList>
      </b:Author>
    </b:Author>
    <b:RefOrder>9</b:RefOrder>
  </b:Source>
</b:Sources>
</file>

<file path=customXml/itemProps1.xml><?xml version="1.0" encoding="utf-8"?>
<ds:datastoreItem xmlns:ds="http://schemas.openxmlformats.org/officeDocument/2006/customXml" ds:itemID="{8995BDB5-66A9-4D6E-92D6-FEE759BA8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2707</TotalTime>
  <Pages>4</Pages>
  <Words>1497</Words>
  <Characters>8533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stoakes</dc:creator>
  <cp:keywords/>
  <dc:description/>
  <cp:lastModifiedBy>laura stoakes</cp:lastModifiedBy>
  <cp:revision>8</cp:revision>
  <dcterms:created xsi:type="dcterms:W3CDTF">2018-05-12T14:53:00Z</dcterms:created>
  <dcterms:modified xsi:type="dcterms:W3CDTF">2018-05-14T13:31:00Z</dcterms:modified>
</cp:coreProperties>
</file>