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AA3947"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sz w:val="20"/>
          <w:szCs w:val="20"/>
        </w:rPr>
      </w:pPr>
    </w:p>
    <w:p w14:paraId="0C643017"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sz w:val="20"/>
          <w:szCs w:val="20"/>
        </w:rPr>
      </w:pPr>
    </w:p>
    <w:p w14:paraId="7A9586EB"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sz w:val="20"/>
          <w:szCs w:val="20"/>
        </w:rPr>
      </w:pPr>
    </w:p>
    <w:p w14:paraId="5565D7C9"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sz w:val="20"/>
          <w:szCs w:val="20"/>
        </w:rPr>
      </w:pPr>
    </w:p>
    <w:p w14:paraId="3F1421F2"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sz w:val="20"/>
          <w:szCs w:val="20"/>
        </w:rPr>
      </w:pPr>
      <w:r>
        <w:rPr>
          <w:rFonts w:ascii="Times New Roman" w:hAnsi="Times New Roman" w:cs="Times New Roman"/>
          <w:b/>
          <w:noProof/>
          <w:sz w:val="20"/>
          <w:szCs w:val="20"/>
        </w:rPr>
        <w:drawing>
          <wp:inline distT="0" distB="0" distL="0" distR="0" wp14:anchorId="419FB3A8" wp14:editId="26BC15E4">
            <wp:extent cx="2143125" cy="2143125"/>
            <wp:effectExtent l="0" t="0" r="0" b="0"/>
            <wp:docPr id="615" name="Picture 6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a:picLocks noChangeAspect="1"/>
                    </pic:cNvPicPr>
                  </pic:nvPicPr>
                  <pic:blipFill>
                    <a:blip r:embed="rId7"/>
                    <a:srcRect/>
                    <a:stretch>
                      <a:fillRect/>
                    </a:stretch>
                  </pic:blipFill>
                  <pic:spPr>
                    <a:xfrm>
                      <a:off x="0" y="0"/>
                      <a:ext cx="2143125" cy="2143125"/>
                    </a:xfrm>
                    <a:prstGeom prst="rect">
                      <a:avLst/>
                    </a:prstGeom>
                  </pic:spPr>
                </pic:pic>
              </a:graphicData>
            </a:graphic>
          </wp:inline>
        </w:drawing>
      </w:r>
    </w:p>
    <w:p w14:paraId="02671849"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sz w:val="20"/>
          <w:szCs w:val="20"/>
        </w:rPr>
      </w:pPr>
    </w:p>
    <w:p w14:paraId="481B540D"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4"/>
          <w:szCs w:val="24"/>
          <w:u w:val="single"/>
        </w:rPr>
      </w:pPr>
      <w:r>
        <w:rPr>
          <w:rFonts w:ascii="Times New Roman" w:hAnsi="Times New Roman" w:cs="Times New Roman"/>
          <w:b/>
          <w:sz w:val="24"/>
          <w:szCs w:val="24"/>
          <w:u w:val="single"/>
        </w:rPr>
        <w:t>Hilton Barcelona: Improving Guest Experience Through Service Innovation</w:t>
      </w:r>
    </w:p>
    <w:p w14:paraId="5B746505"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rPr>
      </w:pPr>
    </w:p>
    <w:p w14:paraId="1B5449AF" w14:textId="757F632C"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rPr>
      </w:pPr>
      <w:r>
        <w:rPr>
          <w:rFonts w:ascii="Times New Roman" w:hAnsi="Times New Roman" w:cs="Times New Roman"/>
          <w:b/>
          <w:sz w:val="20"/>
          <w:szCs w:val="20"/>
        </w:rPr>
        <w:t xml:space="preserve">Prepared for: </w:t>
      </w:r>
      <w:r>
        <w:rPr>
          <w:rFonts w:ascii="Times New Roman" w:hAnsi="Times New Roman" w:cs="Times New Roman"/>
          <w:sz w:val="20"/>
          <w:szCs w:val="20"/>
        </w:rPr>
        <w:t>Hilton Barcelona, Spain</w:t>
      </w:r>
      <w:r>
        <w:rPr>
          <w:rFonts w:ascii="Times New Roman" w:hAnsi="Times New Roman" w:cs="Times New Roman"/>
          <w:sz w:val="20"/>
          <w:szCs w:val="20"/>
        </w:rPr>
        <w:br/>
      </w:r>
      <w:r>
        <w:rPr>
          <w:rFonts w:ascii="Times New Roman" w:hAnsi="Times New Roman" w:cs="Times New Roman"/>
          <w:b/>
          <w:sz w:val="20"/>
          <w:szCs w:val="20"/>
        </w:rPr>
        <w:t>Prepared by: Andreea Crozolo</w:t>
      </w:r>
      <w:r>
        <w:rPr>
          <w:rFonts w:ascii="Times New Roman" w:hAnsi="Times New Roman" w:cs="Times New Roman"/>
          <w:sz w:val="20"/>
          <w:szCs w:val="20"/>
        </w:rPr>
        <w:br/>
      </w:r>
      <w:r>
        <w:rPr>
          <w:rFonts w:ascii="Times New Roman" w:hAnsi="Times New Roman" w:cs="Times New Roman"/>
          <w:b/>
          <w:sz w:val="20"/>
          <w:szCs w:val="20"/>
        </w:rPr>
        <w:t xml:space="preserve">Student ID: </w:t>
      </w:r>
      <w:r w:rsidR="00C77B42">
        <w:rPr>
          <w:rFonts w:ascii="Times New Roman" w:hAnsi="Times New Roman" w:cs="Times New Roman"/>
          <w:sz w:val="20"/>
          <w:szCs w:val="20"/>
        </w:rPr>
        <w:t>2226837</w:t>
      </w:r>
      <w:r>
        <w:rPr>
          <w:rFonts w:ascii="Times New Roman" w:hAnsi="Times New Roman" w:cs="Times New Roman"/>
          <w:sz w:val="20"/>
          <w:szCs w:val="20"/>
        </w:rPr>
        <w:br/>
      </w:r>
      <w:r>
        <w:rPr>
          <w:rFonts w:ascii="Times New Roman" w:hAnsi="Times New Roman" w:cs="Times New Roman"/>
          <w:b/>
          <w:sz w:val="20"/>
          <w:szCs w:val="20"/>
        </w:rPr>
        <w:t xml:space="preserve">Consultancy Firm: </w:t>
      </w:r>
      <w:r>
        <w:rPr>
          <w:rFonts w:ascii="Times New Roman" w:hAnsi="Times New Roman" w:cs="Times New Roman"/>
          <w:sz w:val="20"/>
          <w:szCs w:val="20"/>
        </w:rPr>
        <w:t>SMART Hospitality Solutions Ltd.</w:t>
      </w:r>
      <w:r>
        <w:rPr>
          <w:rFonts w:ascii="Times New Roman" w:hAnsi="Times New Roman" w:cs="Times New Roman"/>
          <w:sz w:val="20"/>
          <w:szCs w:val="20"/>
        </w:rPr>
        <w:br/>
      </w:r>
      <w:r>
        <w:rPr>
          <w:rFonts w:ascii="Times New Roman" w:hAnsi="Times New Roman" w:cs="Times New Roman"/>
          <w:b/>
          <w:sz w:val="20"/>
          <w:szCs w:val="20"/>
        </w:rPr>
        <w:t>Date of Submission:  04.03.2025</w:t>
      </w:r>
    </w:p>
    <w:p w14:paraId="0B9B8263"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rPr>
      </w:pPr>
      <w:r>
        <w:rPr>
          <w:rFonts w:ascii="Times New Roman" w:hAnsi="Times New Roman" w:cs="Times New Roman"/>
          <w:b/>
          <w:sz w:val="20"/>
          <w:szCs w:val="20"/>
        </w:rPr>
        <w:t>Words count: 6000 +/- 10%</w:t>
      </w:r>
    </w:p>
    <w:p w14:paraId="67E5D233"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76BDDE3E"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6D03EA0E"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4A370CE7"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3CF6D076"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63A810D6"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419AD701"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6C372577"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1AA539D9"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4FA8F7CC"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20372F45"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001D1B99"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77B87287"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7A0E9CDA"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1DA45082"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56D969C3"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450B8096"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6A435B69" w14:textId="77777777" w:rsidR="00C77B42" w:rsidRDefault="00C77B42" w:rsidP="00C77B42">
      <w:r w:rsidRPr="00DF4EB9">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A4BE812"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6EF96750"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3FB362A2"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14AA2458"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74238E22"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425A91AB"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465B6853"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5BB001CF"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10BC3EEA"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1ABB59E4"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111192CA"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6EA5CB0E"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18FBBF0E"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0521B39C"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42A13EC7"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27100698"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4B8515D6"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098D8367"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62F3B159"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5A9FFBBA"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1CEBFEEB"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16820EC8"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6D9AC9EA"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75E918F1"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086780A2"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4FAA01ED"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090B5F4C"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0EF340E0"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17835E5B"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5C9B3794"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0354BEBD"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3A3A5CB3"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335D0DB9"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5E491B7D"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4CF1B78A" w14:textId="77777777" w:rsidR="00C77B42" w:rsidRDefault="00C77B4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43B141B3" w14:textId="77777777" w:rsidR="000B3252" w:rsidRDefault="00000000">
      <w:pPr>
        <w:pStyle w:val="Heading1"/>
        <w:spacing w:line="360" w:lineRule="auto"/>
        <w:jc w:val="both"/>
        <w:rPr>
          <w:rFonts w:ascii="Times New Roman" w:hAnsi="Times New Roman" w:cs="Times New Roman"/>
          <w:color w:val="000000"/>
          <w:sz w:val="24"/>
          <w:szCs w:val="24"/>
        </w:rPr>
      </w:pPr>
      <w:bookmarkStart w:id="0" w:name="_Toc1"/>
      <w:r>
        <w:rPr>
          <w:rFonts w:ascii="Times New Roman" w:hAnsi="Times New Roman" w:cs="Times New Roman"/>
          <w:color w:val="000000"/>
          <w:sz w:val="24"/>
          <w:szCs w:val="24"/>
        </w:rPr>
        <w:lastRenderedPageBreak/>
        <w:t>Executive Summary</w:t>
      </w:r>
      <w:bookmarkEnd w:id="0"/>
      <w:r>
        <w:rPr>
          <w:rFonts w:ascii="Times New Roman" w:hAnsi="Times New Roman" w:cs="Times New Roman"/>
          <w:color w:val="000000"/>
          <w:sz w:val="24"/>
          <w:szCs w:val="24"/>
        </w:rPr>
        <w:t xml:space="preserve"> </w:t>
      </w:r>
    </w:p>
    <w:p w14:paraId="02324BE5"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r>
        <w:rPr>
          <w:rFonts w:ascii="Times New Roman" w:hAnsi="Times New Roman" w:cs="Times New Roman"/>
          <w:sz w:val="20"/>
          <w:szCs w:val="20"/>
        </w:rPr>
        <w:t>Hilton Barcelona, a four-star luxury hotel located in Barcelona’s prime tourism and business hub, faces challenges in maintaining its competitive position amid evolving consumer expectations and industry trends. The increasing demand for digitally improved services, sustainability commitments, and personalised guest experiences necessitates strategic transformation. This consultancy report, prepared by SMART Hospitality Solutions Ltd., evaluates Hilton Barcelona’s current challenges and proposes evidence-based recommendations for digital transformation, service innovation, and operational efficiency improvements.</w:t>
      </w:r>
    </w:p>
    <w:p w14:paraId="5E9637D4"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p>
    <w:p w14:paraId="43E89D3B"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r>
        <w:rPr>
          <w:rFonts w:ascii="Times New Roman" w:hAnsi="Times New Roman" w:cs="Times New Roman"/>
          <w:sz w:val="20"/>
          <w:szCs w:val="20"/>
        </w:rPr>
        <w:t xml:space="preserve">A detailed analysis using the STEEPLED framework highlights external environmental factors influencing Hilton Barcelona’s performance, including economic fluctuations, technological advancements, and rising sustainability demands. The SOAR analysis assesses Hilton’s internal strengths, such as its brand reputation and loyalty programme, while identifying opportunities for AI-driven personalisation and green initiatives. The TOWS matrix aligns the hotel’s weaknesses, such as reliance on traditional service models and high operational costs, with strategic opportunities to mitigate competitive threats from boutique hotels and short-term rental platforms. </w:t>
      </w:r>
      <w:proofErr w:type="gramStart"/>
      <w:r>
        <w:rPr>
          <w:rFonts w:ascii="Times New Roman" w:hAnsi="Times New Roman" w:cs="Times New Roman"/>
          <w:sz w:val="20"/>
          <w:szCs w:val="20"/>
        </w:rPr>
        <w:t>In order to</w:t>
      </w:r>
      <w:proofErr w:type="gramEnd"/>
      <w:r>
        <w:rPr>
          <w:rFonts w:ascii="Times New Roman" w:hAnsi="Times New Roman" w:cs="Times New Roman"/>
          <w:sz w:val="20"/>
          <w:szCs w:val="20"/>
        </w:rPr>
        <w:t xml:space="preserve"> address these challenges, the report recommends a structured change management strategy based on Kotter’s Eight-Step Change Model. Digital transformation will involve the implementation of AI-driven chatbots, smart room technology, and predictive analytics to improve personalisation and operational efficiency. Upgrading Hilton Barcelona’s customer relationship management (CRM) system will further improve service customisation, increasing guest satisfaction and brand loyalty.</w:t>
      </w:r>
    </w:p>
    <w:p w14:paraId="4DE4A96A"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p>
    <w:p w14:paraId="58441E33"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r>
        <w:rPr>
          <w:rFonts w:ascii="Times New Roman" w:hAnsi="Times New Roman" w:cs="Times New Roman"/>
          <w:sz w:val="20"/>
          <w:szCs w:val="20"/>
        </w:rPr>
        <w:t>Sustainability measures are essential for long-term viability. The introduction of smart energy management systems, carbon-neutral event packages, and EU Ecolabel certification will position Hilton Barcelona as a leader in responsible hospitality. These initiatives are expected to reduce operational costs by 15–20% while attracting environmentally conscious travellers and corporate clients. Workforce development is equally critical. A comprehensive staff training programme focused on AI adoption, digital service delivery, and sustainability best practices will ensure seamless integration of these initiatives, reducing resistance to change and maintaining service excellence. Moreover, an implementation plan outlines the key initiatives, expected outcomes, timelines, and associated costs. Digital transformation efforts are projected to require investments between €200,000 and €300,000, while sustainability-related initiatives will range from €250,000 to €400,000 over a phased implementation period of 6 to 18 months. Service innovation and workforce training, with an estimated cost of €50,000 to €250,000, will be essential to ensuring staff readiness and operational efficiency.</w:t>
      </w:r>
    </w:p>
    <w:p w14:paraId="48476A6F"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p>
    <w:p w14:paraId="76CB1158"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proofErr w:type="gramStart"/>
      <w:r>
        <w:rPr>
          <w:rFonts w:ascii="Times New Roman" w:hAnsi="Times New Roman" w:cs="Times New Roman"/>
          <w:sz w:val="20"/>
          <w:szCs w:val="20"/>
        </w:rPr>
        <w:t>In order to</w:t>
      </w:r>
      <w:proofErr w:type="gramEnd"/>
      <w:r>
        <w:rPr>
          <w:rFonts w:ascii="Times New Roman" w:hAnsi="Times New Roman" w:cs="Times New Roman"/>
          <w:sz w:val="20"/>
          <w:szCs w:val="20"/>
        </w:rPr>
        <w:t xml:space="preserve"> adopt a strategic, data-driven approach, Hilton Barcelona can improve guest satisfaction, improve operational sustainability, and maintain a competitive advantage in the hospitality industry. The successful execution of these recommendations will depend on effective leadership, structured change management, and continuous performance evaluation, ensuring Hilton Barcelona remains at the forefront of service excellence.</w:t>
      </w:r>
    </w:p>
    <w:p w14:paraId="676541D2"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p>
    <w:p w14:paraId="329B0203"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p>
    <w:p w14:paraId="7FA8F611"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p>
    <w:p w14:paraId="0FF4E73C" w14:textId="77777777" w:rsidR="000B3252" w:rsidRDefault="00000000">
      <w:pPr>
        <w:pStyle w:val="TOCHeading"/>
        <w:spacing w:line="360" w:lineRule="auto"/>
        <w:jc w:val="center"/>
        <w:rPr>
          <w:rFonts w:ascii="Times New Roman" w:hAnsi="Times New Roman" w:cs="Times New Roman"/>
          <w:b/>
          <w:bCs/>
          <w:color w:val="000000"/>
          <w:sz w:val="26"/>
          <w:szCs w:val="26"/>
        </w:rPr>
      </w:pPr>
      <w:r>
        <w:rPr>
          <w:rFonts w:ascii="Times New Roman" w:hAnsi="Times New Roman" w:cs="Times New Roman"/>
          <w:b/>
          <w:bCs/>
          <w:color w:val="000000"/>
          <w:sz w:val="26"/>
          <w:szCs w:val="26"/>
        </w:rPr>
        <w:lastRenderedPageBreak/>
        <w:fldChar w:fldCharType="begin"/>
      </w:r>
      <w:r>
        <w:rPr>
          <w:rFonts w:ascii="Times New Roman" w:hAnsi="Times New Roman" w:cs="Times New Roman"/>
          <w:b/>
          <w:bCs/>
          <w:color w:val="000000"/>
          <w:sz w:val="26"/>
          <w:szCs w:val="26"/>
        </w:rPr>
        <w:instrText>TOC \o "1 - 3" \h \u</w:instrText>
      </w:r>
      <w:r>
        <w:rPr>
          <w:rFonts w:ascii="Times New Roman" w:hAnsi="Times New Roman" w:cs="Times New Roman"/>
          <w:b/>
          <w:bCs/>
          <w:color w:val="000000"/>
          <w:sz w:val="26"/>
          <w:szCs w:val="26"/>
        </w:rPr>
        <w:fldChar w:fldCharType="separate"/>
      </w:r>
      <w:r>
        <w:rPr>
          <w:rFonts w:ascii="Times New Roman" w:hAnsi="Times New Roman" w:cs="Times New Roman"/>
          <w:b/>
          <w:bCs/>
          <w:color w:val="000000"/>
          <w:sz w:val="26"/>
          <w:szCs w:val="26"/>
        </w:rPr>
        <w:t>TABLE OF CONTENTS</w:t>
      </w:r>
    </w:p>
    <w:p w14:paraId="4157A26B" w14:textId="77777777" w:rsidR="000B3252" w:rsidRDefault="00000000">
      <w:pPr>
        <w:pStyle w:val="TOC1"/>
        <w:tabs>
          <w:tab w:val="right" w:leader="dot" w:pos="9016"/>
        </w:tabs>
        <w:spacing w:line="360" w:lineRule="auto"/>
        <w:rPr>
          <w:rFonts w:ascii="Times New Roman" w:hAnsi="Times New Roman" w:cs="Times New Roman"/>
          <w:sz w:val="20"/>
          <w:szCs w:val="20"/>
        </w:rPr>
      </w:pPr>
      <w:hyperlink w:anchor="_Toc1" w:history="1">
        <w:r>
          <w:rPr>
            <w:rStyle w:val="Hyperlink"/>
            <w:rFonts w:ascii="Times New Roman" w:hAnsi="Times New Roman" w:cs="Times New Roman"/>
            <w:sz w:val="20"/>
            <w:szCs w:val="20"/>
          </w:rPr>
          <w:t>Executive Summary</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_Toc1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2</w:t>
        </w:r>
        <w:r>
          <w:rPr>
            <w:rFonts w:ascii="Times New Roman" w:hAnsi="Times New Roman" w:cs="Times New Roman"/>
            <w:sz w:val="20"/>
            <w:szCs w:val="20"/>
          </w:rPr>
          <w:fldChar w:fldCharType="end"/>
        </w:r>
      </w:hyperlink>
    </w:p>
    <w:p w14:paraId="59FEB07F" w14:textId="77777777" w:rsidR="000B3252" w:rsidRDefault="00000000">
      <w:pPr>
        <w:pStyle w:val="TOC1"/>
        <w:tabs>
          <w:tab w:val="right" w:leader="dot" w:pos="9016"/>
        </w:tabs>
        <w:spacing w:line="360" w:lineRule="auto"/>
        <w:rPr>
          <w:rFonts w:ascii="Times New Roman" w:hAnsi="Times New Roman" w:cs="Times New Roman"/>
          <w:sz w:val="20"/>
          <w:szCs w:val="20"/>
        </w:rPr>
      </w:pPr>
      <w:hyperlink w:anchor="_Toc2" w:history="1">
        <w:r>
          <w:rPr>
            <w:rStyle w:val="Hyperlink"/>
            <w:rFonts w:ascii="Times New Roman" w:hAnsi="Times New Roman" w:cs="Times New Roman"/>
            <w:sz w:val="20"/>
            <w:szCs w:val="20"/>
          </w:rPr>
          <w:t>Introduction</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_Toc2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4</w:t>
        </w:r>
        <w:r>
          <w:rPr>
            <w:rFonts w:ascii="Times New Roman" w:hAnsi="Times New Roman" w:cs="Times New Roman"/>
            <w:sz w:val="20"/>
            <w:szCs w:val="20"/>
          </w:rPr>
          <w:fldChar w:fldCharType="end"/>
        </w:r>
      </w:hyperlink>
    </w:p>
    <w:p w14:paraId="1AC5D8DF" w14:textId="77777777" w:rsidR="000B3252" w:rsidRDefault="00000000">
      <w:pPr>
        <w:pStyle w:val="TOC1"/>
        <w:tabs>
          <w:tab w:val="right" w:leader="dot" w:pos="9016"/>
        </w:tabs>
        <w:spacing w:line="360" w:lineRule="auto"/>
        <w:rPr>
          <w:rFonts w:ascii="Times New Roman" w:hAnsi="Times New Roman" w:cs="Times New Roman"/>
          <w:sz w:val="20"/>
          <w:szCs w:val="20"/>
        </w:rPr>
      </w:pPr>
      <w:hyperlink w:anchor="_Toc3" w:history="1">
        <w:r>
          <w:rPr>
            <w:rStyle w:val="Hyperlink"/>
            <w:rFonts w:ascii="Times New Roman" w:hAnsi="Times New Roman" w:cs="Times New Roman"/>
            <w:sz w:val="20"/>
            <w:szCs w:val="20"/>
          </w:rPr>
          <w:t>Analysis</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_Toc3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5</w:t>
        </w:r>
        <w:r>
          <w:rPr>
            <w:rFonts w:ascii="Times New Roman" w:hAnsi="Times New Roman" w:cs="Times New Roman"/>
            <w:sz w:val="20"/>
            <w:szCs w:val="20"/>
          </w:rPr>
          <w:fldChar w:fldCharType="end"/>
        </w:r>
      </w:hyperlink>
    </w:p>
    <w:p w14:paraId="331DA998" w14:textId="77777777" w:rsidR="000B3252" w:rsidRDefault="00000000">
      <w:pPr>
        <w:pStyle w:val="TOC2"/>
        <w:tabs>
          <w:tab w:val="right" w:leader="dot" w:pos="9016"/>
        </w:tabs>
        <w:spacing w:line="360" w:lineRule="auto"/>
        <w:rPr>
          <w:rFonts w:ascii="Times New Roman" w:hAnsi="Times New Roman" w:cs="Times New Roman"/>
          <w:sz w:val="20"/>
          <w:szCs w:val="20"/>
        </w:rPr>
      </w:pPr>
      <w:hyperlink w:anchor="_Toc8" w:history="1">
        <w:r>
          <w:rPr>
            <w:rStyle w:val="Hyperlink"/>
            <w:rFonts w:ascii="Times New Roman" w:hAnsi="Times New Roman" w:cs="Times New Roman"/>
            <w:sz w:val="20"/>
            <w:szCs w:val="20"/>
          </w:rPr>
          <w:t>Issues affecting the hotel using data-driven insights</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_Toc8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5</w:t>
        </w:r>
        <w:r>
          <w:rPr>
            <w:rFonts w:ascii="Times New Roman" w:hAnsi="Times New Roman" w:cs="Times New Roman"/>
            <w:sz w:val="20"/>
            <w:szCs w:val="20"/>
          </w:rPr>
          <w:fldChar w:fldCharType="end"/>
        </w:r>
      </w:hyperlink>
    </w:p>
    <w:p w14:paraId="14000A1B" w14:textId="77777777" w:rsidR="000B3252" w:rsidRDefault="00000000">
      <w:pPr>
        <w:pStyle w:val="TOC3"/>
        <w:tabs>
          <w:tab w:val="right" w:leader="dot" w:pos="9016"/>
        </w:tabs>
        <w:spacing w:line="360" w:lineRule="auto"/>
        <w:rPr>
          <w:rFonts w:ascii="Times New Roman" w:hAnsi="Times New Roman" w:cs="Times New Roman"/>
          <w:sz w:val="20"/>
          <w:szCs w:val="20"/>
        </w:rPr>
      </w:pPr>
      <w:hyperlink w:anchor="_Toc9" w:history="1">
        <w:r>
          <w:rPr>
            <w:rStyle w:val="Hyperlink"/>
            <w:rFonts w:ascii="Times New Roman" w:hAnsi="Times New Roman" w:cs="Times New Roman"/>
            <w:sz w:val="20"/>
            <w:szCs w:val="20"/>
          </w:rPr>
          <w:t>STEEPLED analysis</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_Toc9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5</w:t>
        </w:r>
        <w:r>
          <w:rPr>
            <w:rFonts w:ascii="Times New Roman" w:hAnsi="Times New Roman" w:cs="Times New Roman"/>
            <w:sz w:val="20"/>
            <w:szCs w:val="20"/>
          </w:rPr>
          <w:fldChar w:fldCharType="end"/>
        </w:r>
      </w:hyperlink>
    </w:p>
    <w:p w14:paraId="60907823" w14:textId="77777777" w:rsidR="000B3252" w:rsidRDefault="00000000">
      <w:pPr>
        <w:pStyle w:val="TOC3"/>
        <w:tabs>
          <w:tab w:val="right" w:leader="dot" w:pos="9016"/>
        </w:tabs>
        <w:spacing w:line="360" w:lineRule="auto"/>
        <w:rPr>
          <w:rFonts w:ascii="Times New Roman" w:hAnsi="Times New Roman" w:cs="Times New Roman"/>
          <w:sz w:val="20"/>
          <w:szCs w:val="20"/>
        </w:rPr>
      </w:pPr>
      <w:hyperlink w:anchor="_Toc10" w:history="1">
        <w:r>
          <w:rPr>
            <w:rStyle w:val="Hyperlink"/>
            <w:rFonts w:ascii="Times New Roman" w:hAnsi="Times New Roman" w:cs="Times New Roman"/>
            <w:sz w:val="20"/>
            <w:szCs w:val="20"/>
          </w:rPr>
          <w:t>SOAR analysis</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_Toc10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9</w:t>
        </w:r>
        <w:r>
          <w:rPr>
            <w:rFonts w:ascii="Times New Roman" w:hAnsi="Times New Roman" w:cs="Times New Roman"/>
            <w:sz w:val="20"/>
            <w:szCs w:val="20"/>
          </w:rPr>
          <w:fldChar w:fldCharType="end"/>
        </w:r>
      </w:hyperlink>
    </w:p>
    <w:p w14:paraId="215DB7C0" w14:textId="77777777" w:rsidR="000B3252" w:rsidRDefault="00000000">
      <w:pPr>
        <w:pStyle w:val="TOC3"/>
        <w:tabs>
          <w:tab w:val="right" w:leader="dot" w:pos="9016"/>
        </w:tabs>
        <w:spacing w:line="360" w:lineRule="auto"/>
        <w:rPr>
          <w:rFonts w:ascii="Times New Roman" w:hAnsi="Times New Roman" w:cs="Times New Roman"/>
          <w:sz w:val="20"/>
          <w:szCs w:val="20"/>
        </w:rPr>
      </w:pPr>
      <w:hyperlink w:anchor="_Toc11" w:history="1">
        <w:r>
          <w:rPr>
            <w:rStyle w:val="Hyperlink"/>
            <w:rFonts w:ascii="Times New Roman" w:hAnsi="Times New Roman" w:cs="Times New Roman"/>
            <w:sz w:val="20"/>
            <w:szCs w:val="20"/>
          </w:rPr>
          <w:t>TOWS analysis</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_Toc11 \h</w:instrText>
        </w:r>
        <w:r>
          <w:rPr>
            <w:rStyle w:val="Hyperlink"/>
          </w:rPr>
        </w:r>
        <w:r>
          <w:rPr>
            <w:rStyle w:val="Hyperlink"/>
          </w:rPr>
          <w:fldChar w:fldCharType="separate"/>
        </w:r>
        <w:r>
          <w:rPr>
            <w:rStyle w:val="Hyperlink"/>
            <w:rFonts w:ascii="Times New Roman" w:hAnsi="Times New Roman" w:cs="Times New Roman"/>
            <w:sz w:val="20"/>
            <w:szCs w:val="20"/>
          </w:rPr>
          <w:t>11</w:t>
        </w:r>
        <w:r>
          <w:rPr>
            <w:rFonts w:ascii="Times New Roman" w:hAnsi="Times New Roman" w:cs="Times New Roman"/>
            <w:sz w:val="20"/>
            <w:szCs w:val="20"/>
          </w:rPr>
          <w:fldChar w:fldCharType="end"/>
        </w:r>
      </w:hyperlink>
    </w:p>
    <w:p w14:paraId="235EFCD8" w14:textId="77777777" w:rsidR="000B3252" w:rsidRDefault="00000000">
      <w:pPr>
        <w:pStyle w:val="TOC3"/>
        <w:tabs>
          <w:tab w:val="right" w:leader="dot" w:pos="9016"/>
        </w:tabs>
        <w:spacing w:line="360" w:lineRule="auto"/>
        <w:rPr>
          <w:rFonts w:ascii="Times New Roman" w:hAnsi="Times New Roman" w:cs="Times New Roman"/>
          <w:sz w:val="20"/>
          <w:szCs w:val="20"/>
        </w:rPr>
      </w:pPr>
      <w:hyperlink w:anchor="_Toc26" w:history="1">
        <w:r>
          <w:rPr>
            <w:rStyle w:val="Hyperlink"/>
            <w:rFonts w:ascii="Times New Roman" w:hAnsi="Times New Roman" w:cs="Times New Roman"/>
            <w:sz w:val="20"/>
            <w:szCs w:val="20"/>
            <w:lang w:val="en-US"/>
          </w:rPr>
          <w:t>Weaknesses</w:t>
        </w:r>
        <w:r>
          <w:rPr>
            <w:rStyle w:val="Hyperlink"/>
            <w:rFonts w:ascii="Times New Roman" w:hAnsi="Times New Roman" w:cs="Times New Roman"/>
            <w:sz w:val="20"/>
            <w:szCs w:val="20"/>
            <w:lang w:val="en-US"/>
          </w:rPr>
          <w:tab/>
        </w:r>
        <w:r>
          <w:rPr>
            <w:rStyle w:val="Hyperlink"/>
            <w:lang w:val="en-US"/>
          </w:rPr>
          <w:fldChar w:fldCharType="begin"/>
        </w:r>
        <w:r>
          <w:rPr>
            <w:rStyle w:val="Hyperlink"/>
            <w:rFonts w:ascii="Times New Roman" w:hAnsi="Times New Roman" w:cs="Times New Roman"/>
            <w:sz w:val="20"/>
            <w:szCs w:val="20"/>
            <w:lang w:val="en-US"/>
          </w:rPr>
          <w:instrText>PAGEREF _Toc26 \h</w:instrText>
        </w:r>
        <w:r>
          <w:rPr>
            <w:rStyle w:val="Hyperlink"/>
            <w:lang w:val="en-US"/>
          </w:rPr>
        </w:r>
        <w:r>
          <w:rPr>
            <w:rStyle w:val="Hyperlink"/>
            <w:lang w:val="en-US"/>
          </w:rPr>
          <w:fldChar w:fldCharType="separate"/>
        </w:r>
        <w:r>
          <w:rPr>
            <w:rStyle w:val="Hyperlink"/>
            <w:rFonts w:ascii="Times New Roman" w:hAnsi="Times New Roman" w:cs="Times New Roman"/>
            <w:sz w:val="20"/>
            <w:szCs w:val="20"/>
            <w:lang w:val="en-US"/>
          </w:rPr>
          <w:t>12</w:t>
        </w:r>
        <w:r>
          <w:rPr>
            <w:rFonts w:ascii="Times New Roman" w:hAnsi="Times New Roman" w:cs="Times New Roman"/>
            <w:sz w:val="20"/>
            <w:szCs w:val="20"/>
          </w:rPr>
          <w:fldChar w:fldCharType="end"/>
        </w:r>
      </w:hyperlink>
    </w:p>
    <w:p w14:paraId="0E16B7E0" w14:textId="77777777" w:rsidR="000B3252" w:rsidRDefault="00000000">
      <w:pPr>
        <w:pStyle w:val="TOC3"/>
        <w:tabs>
          <w:tab w:val="right" w:leader="dot" w:pos="9016"/>
        </w:tabs>
        <w:spacing w:line="360" w:lineRule="auto"/>
        <w:rPr>
          <w:rFonts w:ascii="Times New Roman" w:hAnsi="Times New Roman" w:cs="Times New Roman"/>
          <w:sz w:val="20"/>
          <w:szCs w:val="20"/>
        </w:rPr>
      </w:pPr>
      <w:hyperlink w:anchor="_Toc27" w:history="1">
        <w:r>
          <w:rPr>
            <w:rStyle w:val="Hyperlink"/>
            <w:rFonts w:ascii="Times New Roman" w:hAnsi="Times New Roman" w:cs="Times New Roman"/>
            <w:sz w:val="20"/>
            <w:szCs w:val="20"/>
            <w:lang w:val="en-US"/>
          </w:rPr>
          <w:t>Opportunities</w:t>
        </w:r>
        <w:r>
          <w:rPr>
            <w:rStyle w:val="Hyperlink"/>
            <w:rFonts w:ascii="Times New Roman" w:hAnsi="Times New Roman" w:cs="Times New Roman"/>
            <w:sz w:val="20"/>
            <w:szCs w:val="20"/>
            <w:lang w:val="en-US"/>
          </w:rPr>
          <w:tab/>
        </w:r>
        <w:r>
          <w:rPr>
            <w:rStyle w:val="Hyperlink"/>
            <w:lang w:val="en-US"/>
          </w:rPr>
          <w:fldChar w:fldCharType="begin"/>
        </w:r>
        <w:r>
          <w:rPr>
            <w:rStyle w:val="Hyperlink"/>
            <w:rFonts w:ascii="Times New Roman" w:hAnsi="Times New Roman" w:cs="Times New Roman"/>
            <w:sz w:val="20"/>
            <w:szCs w:val="20"/>
            <w:lang w:val="en-US"/>
          </w:rPr>
          <w:instrText>PAGEREF _Toc27 \h</w:instrText>
        </w:r>
        <w:r>
          <w:rPr>
            <w:rStyle w:val="Hyperlink"/>
            <w:lang w:val="en-US"/>
          </w:rPr>
        </w:r>
        <w:r>
          <w:rPr>
            <w:rStyle w:val="Hyperlink"/>
            <w:lang w:val="en-US"/>
          </w:rPr>
          <w:fldChar w:fldCharType="separate"/>
        </w:r>
        <w:r>
          <w:rPr>
            <w:rStyle w:val="Hyperlink"/>
            <w:rFonts w:ascii="Times New Roman" w:hAnsi="Times New Roman" w:cs="Times New Roman"/>
            <w:sz w:val="20"/>
            <w:szCs w:val="20"/>
            <w:lang w:val="en-US"/>
          </w:rPr>
          <w:t>12</w:t>
        </w:r>
        <w:r>
          <w:rPr>
            <w:rFonts w:ascii="Times New Roman" w:hAnsi="Times New Roman" w:cs="Times New Roman"/>
            <w:sz w:val="20"/>
            <w:szCs w:val="20"/>
          </w:rPr>
          <w:fldChar w:fldCharType="end"/>
        </w:r>
      </w:hyperlink>
    </w:p>
    <w:p w14:paraId="1898B1D8" w14:textId="77777777" w:rsidR="000B3252" w:rsidRDefault="00000000">
      <w:pPr>
        <w:pStyle w:val="TOC3"/>
        <w:tabs>
          <w:tab w:val="right" w:leader="dot" w:pos="9016"/>
        </w:tabs>
        <w:spacing w:line="360" w:lineRule="auto"/>
        <w:rPr>
          <w:rFonts w:ascii="Times New Roman" w:hAnsi="Times New Roman" w:cs="Times New Roman"/>
          <w:sz w:val="20"/>
          <w:szCs w:val="20"/>
        </w:rPr>
      </w:pPr>
      <w:hyperlink w:anchor="_Toc28" w:history="1">
        <w:r>
          <w:rPr>
            <w:rStyle w:val="Hyperlink"/>
            <w:rFonts w:ascii="Times New Roman" w:hAnsi="Times New Roman" w:cs="Times New Roman"/>
            <w:sz w:val="20"/>
            <w:szCs w:val="20"/>
            <w:lang w:val="en-US"/>
          </w:rPr>
          <w:t>Threats</w:t>
        </w:r>
        <w:r>
          <w:rPr>
            <w:rStyle w:val="Hyperlink"/>
            <w:rFonts w:ascii="Times New Roman" w:hAnsi="Times New Roman" w:cs="Times New Roman"/>
            <w:sz w:val="20"/>
            <w:szCs w:val="20"/>
            <w:lang w:val="en-US"/>
          </w:rPr>
          <w:tab/>
        </w:r>
        <w:r>
          <w:rPr>
            <w:rStyle w:val="Hyperlink"/>
            <w:lang w:val="en-US"/>
          </w:rPr>
          <w:fldChar w:fldCharType="begin"/>
        </w:r>
        <w:r>
          <w:rPr>
            <w:rStyle w:val="Hyperlink"/>
            <w:rFonts w:ascii="Times New Roman" w:hAnsi="Times New Roman" w:cs="Times New Roman"/>
            <w:sz w:val="20"/>
            <w:szCs w:val="20"/>
            <w:lang w:val="en-US"/>
          </w:rPr>
          <w:instrText>PAGEREF _Toc28 \h</w:instrText>
        </w:r>
        <w:r>
          <w:rPr>
            <w:rStyle w:val="Hyperlink"/>
            <w:lang w:val="en-US"/>
          </w:rPr>
        </w:r>
        <w:r>
          <w:rPr>
            <w:rStyle w:val="Hyperlink"/>
            <w:lang w:val="en-US"/>
          </w:rPr>
          <w:fldChar w:fldCharType="separate"/>
        </w:r>
        <w:r>
          <w:rPr>
            <w:rStyle w:val="Hyperlink"/>
            <w:rFonts w:ascii="Times New Roman" w:hAnsi="Times New Roman" w:cs="Times New Roman"/>
            <w:sz w:val="20"/>
            <w:szCs w:val="20"/>
            <w:lang w:val="en-US"/>
          </w:rPr>
          <w:t>13</w:t>
        </w:r>
        <w:r>
          <w:rPr>
            <w:rFonts w:ascii="Times New Roman" w:hAnsi="Times New Roman" w:cs="Times New Roman"/>
            <w:sz w:val="20"/>
            <w:szCs w:val="20"/>
          </w:rPr>
          <w:fldChar w:fldCharType="end"/>
        </w:r>
      </w:hyperlink>
    </w:p>
    <w:p w14:paraId="34EB580D" w14:textId="77777777" w:rsidR="000B3252" w:rsidRDefault="00000000">
      <w:pPr>
        <w:pStyle w:val="TOC3"/>
        <w:tabs>
          <w:tab w:val="right" w:leader="dot" w:pos="9016"/>
        </w:tabs>
        <w:spacing w:line="360" w:lineRule="auto"/>
        <w:rPr>
          <w:rFonts w:ascii="Times New Roman" w:hAnsi="Times New Roman" w:cs="Times New Roman"/>
          <w:sz w:val="20"/>
          <w:szCs w:val="20"/>
        </w:rPr>
      </w:pPr>
      <w:hyperlink w:anchor="_Toc29" w:history="1">
        <w:r>
          <w:rPr>
            <w:rStyle w:val="Hyperlink"/>
            <w:rFonts w:ascii="Times New Roman" w:hAnsi="Times New Roman" w:cs="Times New Roman"/>
            <w:sz w:val="20"/>
            <w:szCs w:val="20"/>
            <w:lang w:val="en-US"/>
          </w:rPr>
          <w:t>Strategic Responses</w:t>
        </w:r>
        <w:r>
          <w:rPr>
            <w:rStyle w:val="Hyperlink"/>
            <w:rFonts w:ascii="Times New Roman" w:hAnsi="Times New Roman" w:cs="Times New Roman"/>
            <w:sz w:val="20"/>
            <w:szCs w:val="20"/>
            <w:lang w:val="en-US"/>
          </w:rPr>
          <w:tab/>
        </w:r>
        <w:r>
          <w:rPr>
            <w:rStyle w:val="Hyperlink"/>
            <w:lang w:val="en-US"/>
          </w:rPr>
          <w:fldChar w:fldCharType="begin"/>
        </w:r>
        <w:r>
          <w:rPr>
            <w:rStyle w:val="Hyperlink"/>
            <w:rFonts w:ascii="Times New Roman" w:hAnsi="Times New Roman" w:cs="Times New Roman"/>
            <w:sz w:val="20"/>
            <w:szCs w:val="20"/>
            <w:lang w:val="en-US"/>
          </w:rPr>
          <w:instrText>PAGEREF _Toc29 \h</w:instrText>
        </w:r>
        <w:r>
          <w:rPr>
            <w:rStyle w:val="Hyperlink"/>
            <w:lang w:val="en-US"/>
          </w:rPr>
        </w:r>
        <w:r>
          <w:rPr>
            <w:rStyle w:val="Hyperlink"/>
            <w:lang w:val="en-US"/>
          </w:rPr>
          <w:fldChar w:fldCharType="separate"/>
        </w:r>
        <w:r>
          <w:rPr>
            <w:rStyle w:val="Hyperlink"/>
            <w:rFonts w:ascii="Times New Roman" w:hAnsi="Times New Roman" w:cs="Times New Roman"/>
            <w:sz w:val="20"/>
            <w:szCs w:val="20"/>
            <w:lang w:val="en-US"/>
          </w:rPr>
          <w:t>13</w:t>
        </w:r>
        <w:r>
          <w:rPr>
            <w:rFonts w:ascii="Times New Roman" w:hAnsi="Times New Roman" w:cs="Times New Roman"/>
            <w:sz w:val="20"/>
            <w:szCs w:val="20"/>
          </w:rPr>
          <w:fldChar w:fldCharType="end"/>
        </w:r>
      </w:hyperlink>
    </w:p>
    <w:p w14:paraId="439DC77C" w14:textId="77777777" w:rsidR="000B3252" w:rsidRDefault="00000000">
      <w:pPr>
        <w:pStyle w:val="TOC1"/>
        <w:tabs>
          <w:tab w:val="right" w:leader="dot" w:pos="9016"/>
        </w:tabs>
        <w:spacing w:line="360" w:lineRule="auto"/>
        <w:rPr>
          <w:rFonts w:ascii="Times New Roman" w:hAnsi="Times New Roman" w:cs="Times New Roman"/>
          <w:sz w:val="20"/>
          <w:szCs w:val="20"/>
        </w:rPr>
      </w:pPr>
      <w:hyperlink w:anchor="_Toc4" w:history="1">
        <w:r>
          <w:rPr>
            <w:rStyle w:val="Hyperlink"/>
            <w:rFonts w:ascii="Times New Roman" w:hAnsi="Times New Roman" w:cs="Times New Roman"/>
            <w:sz w:val="20"/>
            <w:szCs w:val="20"/>
          </w:rPr>
          <w:t>Recommendations and Change Management</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_Toc4 \h</w:instrText>
        </w:r>
        <w:r>
          <w:rPr>
            <w:rStyle w:val="Hyperlink"/>
          </w:rPr>
        </w:r>
        <w:r>
          <w:rPr>
            <w:rStyle w:val="Hyperlink"/>
          </w:rPr>
          <w:fldChar w:fldCharType="separate"/>
        </w:r>
        <w:r>
          <w:rPr>
            <w:rStyle w:val="Hyperlink"/>
            <w:rFonts w:ascii="Times New Roman" w:hAnsi="Times New Roman" w:cs="Times New Roman"/>
            <w:sz w:val="20"/>
            <w:szCs w:val="20"/>
          </w:rPr>
          <w:t>14</w:t>
        </w:r>
        <w:r>
          <w:rPr>
            <w:rFonts w:ascii="Times New Roman" w:hAnsi="Times New Roman" w:cs="Times New Roman"/>
            <w:sz w:val="20"/>
            <w:szCs w:val="20"/>
          </w:rPr>
          <w:fldChar w:fldCharType="end"/>
        </w:r>
      </w:hyperlink>
    </w:p>
    <w:p w14:paraId="16FAB4F2" w14:textId="77777777" w:rsidR="000B3252" w:rsidRDefault="00000000">
      <w:pPr>
        <w:pStyle w:val="TOC2"/>
        <w:tabs>
          <w:tab w:val="right" w:leader="dot" w:pos="9016"/>
        </w:tabs>
        <w:spacing w:line="360" w:lineRule="auto"/>
        <w:rPr>
          <w:rFonts w:ascii="Times New Roman" w:hAnsi="Times New Roman" w:cs="Times New Roman"/>
          <w:sz w:val="20"/>
          <w:szCs w:val="20"/>
        </w:rPr>
      </w:pPr>
      <w:hyperlink w:anchor="_Toc13" w:history="1">
        <w:r>
          <w:rPr>
            <w:rStyle w:val="Hyperlink"/>
            <w:rFonts w:ascii="Times New Roman" w:hAnsi="Times New Roman" w:cs="Times New Roman"/>
            <w:sz w:val="20"/>
            <w:szCs w:val="20"/>
          </w:rPr>
          <w:t>Digital Transformation and AI Integration</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_Toc13 \h</w:instrText>
        </w:r>
        <w:r>
          <w:rPr>
            <w:rStyle w:val="Hyperlink"/>
          </w:rPr>
        </w:r>
        <w:r>
          <w:rPr>
            <w:rStyle w:val="Hyperlink"/>
          </w:rPr>
          <w:fldChar w:fldCharType="separate"/>
        </w:r>
        <w:r>
          <w:rPr>
            <w:rStyle w:val="Hyperlink"/>
            <w:rFonts w:ascii="Times New Roman" w:hAnsi="Times New Roman" w:cs="Times New Roman"/>
            <w:sz w:val="20"/>
            <w:szCs w:val="20"/>
          </w:rPr>
          <w:t>14</w:t>
        </w:r>
        <w:r>
          <w:rPr>
            <w:rFonts w:ascii="Times New Roman" w:hAnsi="Times New Roman" w:cs="Times New Roman"/>
            <w:sz w:val="20"/>
            <w:szCs w:val="20"/>
          </w:rPr>
          <w:fldChar w:fldCharType="end"/>
        </w:r>
      </w:hyperlink>
    </w:p>
    <w:p w14:paraId="2AFC53AC" w14:textId="77777777" w:rsidR="000B3252" w:rsidRDefault="00000000">
      <w:pPr>
        <w:pStyle w:val="TOC2"/>
        <w:tabs>
          <w:tab w:val="right" w:leader="dot" w:pos="9016"/>
        </w:tabs>
        <w:spacing w:line="360" w:lineRule="auto"/>
        <w:rPr>
          <w:rFonts w:ascii="Times New Roman" w:hAnsi="Times New Roman" w:cs="Times New Roman"/>
          <w:sz w:val="20"/>
          <w:szCs w:val="20"/>
        </w:rPr>
      </w:pPr>
      <w:hyperlink w:anchor="_Toc14" w:history="1">
        <w:r>
          <w:rPr>
            <w:rStyle w:val="Hyperlink"/>
            <w:rFonts w:ascii="Times New Roman" w:hAnsi="Times New Roman" w:cs="Times New Roman"/>
            <w:sz w:val="20"/>
            <w:szCs w:val="20"/>
          </w:rPr>
          <w:t>Service Innovation for Personalisation and Efficiency</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_Toc14 \h</w:instrText>
        </w:r>
        <w:r>
          <w:rPr>
            <w:rStyle w:val="Hyperlink"/>
          </w:rPr>
        </w:r>
        <w:r>
          <w:rPr>
            <w:rStyle w:val="Hyperlink"/>
          </w:rPr>
          <w:fldChar w:fldCharType="separate"/>
        </w:r>
        <w:r>
          <w:rPr>
            <w:rStyle w:val="Hyperlink"/>
            <w:rFonts w:ascii="Times New Roman" w:hAnsi="Times New Roman" w:cs="Times New Roman"/>
            <w:sz w:val="20"/>
            <w:szCs w:val="20"/>
          </w:rPr>
          <w:t>14</w:t>
        </w:r>
        <w:r>
          <w:rPr>
            <w:rFonts w:ascii="Times New Roman" w:hAnsi="Times New Roman" w:cs="Times New Roman"/>
            <w:sz w:val="20"/>
            <w:szCs w:val="20"/>
          </w:rPr>
          <w:fldChar w:fldCharType="end"/>
        </w:r>
      </w:hyperlink>
    </w:p>
    <w:p w14:paraId="2D22CA52" w14:textId="77777777" w:rsidR="000B3252" w:rsidRDefault="00000000">
      <w:pPr>
        <w:pStyle w:val="TOC2"/>
        <w:tabs>
          <w:tab w:val="right" w:leader="dot" w:pos="9016"/>
        </w:tabs>
        <w:spacing w:line="360" w:lineRule="auto"/>
        <w:rPr>
          <w:rFonts w:ascii="Times New Roman" w:hAnsi="Times New Roman" w:cs="Times New Roman"/>
          <w:sz w:val="20"/>
          <w:szCs w:val="20"/>
        </w:rPr>
      </w:pPr>
      <w:hyperlink w:anchor="_Toc15" w:history="1">
        <w:r>
          <w:rPr>
            <w:rStyle w:val="Hyperlink"/>
            <w:rFonts w:ascii="Times New Roman" w:hAnsi="Times New Roman" w:cs="Times New Roman"/>
            <w:sz w:val="20"/>
            <w:szCs w:val="20"/>
          </w:rPr>
          <w:t>Sustainability Integration and Green Practices</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_Toc15 \h</w:instrText>
        </w:r>
        <w:r>
          <w:rPr>
            <w:rStyle w:val="Hyperlink"/>
          </w:rPr>
        </w:r>
        <w:r>
          <w:rPr>
            <w:rStyle w:val="Hyperlink"/>
          </w:rPr>
          <w:fldChar w:fldCharType="separate"/>
        </w:r>
        <w:r>
          <w:rPr>
            <w:rStyle w:val="Hyperlink"/>
            <w:rFonts w:ascii="Times New Roman" w:hAnsi="Times New Roman" w:cs="Times New Roman"/>
            <w:sz w:val="20"/>
            <w:szCs w:val="20"/>
          </w:rPr>
          <w:t>15</w:t>
        </w:r>
        <w:r>
          <w:rPr>
            <w:rFonts w:ascii="Times New Roman" w:hAnsi="Times New Roman" w:cs="Times New Roman"/>
            <w:sz w:val="20"/>
            <w:szCs w:val="20"/>
          </w:rPr>
          <w:fldChar w:fldCharType="end"/>
        </w:r>
      </w:hyperlink>
    </w:p>
    <w:p w14:paraId="2AB887A7" w14:textId="77777777" w:rsidR="000B3252" w:rsidRDefault="00000000">
      <w:pPr>
        <w:pStyle w:val="TOC2"/>
        <w:tabs>
          <w:tab w:val="right" w:leader="dot" w:pos="9016"/>
        </w:tabs>
        <w:spacing w:line="360" w:lineRule="auto"/>
        <w:rPr>
          <w:rFonts w:ascii="Times New Roman" w:hAnsi="Times New Roman" w:cs="Times New Roman"/>
          <w:sz w:val="20"/>
          <w:szCs w:val="20"/>
        </w:rPr>
      </w:pPr>
      <w:hyperlink w:anchor="_Toc16" w:history="1">
        <w:r>
          <w:rPr>
            <w:rStyle w:val="Hyperlink"/>
            <w:rFonts w:ascii="Times New Roman" w:hAnsi="Times New Roman" w:cs="Times New Roman"/>
            <w:sz w:val="20"/>
            <w:szCs w:val="20"/>
          </w:rPr>
          <w:t>Workforce Development and Employee Engagement</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_Toc16 \h</w:instrText>
        </w:r>
        <w:r>
          <w:rPr>
            <w:rStyle w:val="Hyperlink"/>
          </w:rPr>
        </w:r>
        <w:r>
          <w:rPr>
            <w:rStyle w:val="Hyperlink"/>
          </w:rPr>
          <w:fldChar w:fldCharType="separate"/>
        </w:r>
        <w:r>
          <w:rPr>
            <w:rStyle w:val="Hyperlink"/>
            <w:rFonts w:ascii="Times New Roman" w:hAnsi="Times New Roman" w:cs="Times New Roman"/>
            <w:sz w:val="20"/>
            <w:szCs w:val="20"/>
          </w:rPr>
          <w:t>15</w:t>
        </w:r>
        <w:r>
          <w:rPr>
            <w:rFonts w:ascii="Times New Roman" w:hAnsi="Times New Roman" w:cs="Times New Roman"/>
            <w:sz w:val="20"/>
            <w:szCs w:val="20"/>
          </w:rPr>
          <w:fldChar w:fldCharType="end"/>
        </w:r>
      </w:hyperlink>
    </w:p>
    <w:p w14:paraId="0438DFAC" w14:textId="77777777" w:rsidR="000B3252" w:rsidRDefault="00000000">
      <w:pPr>
        <w:pStyle w:val="TOC2"/>
        <w:tabs>
          <w:tab w:val="right" w:leader="dot" w:pos="9016"/>
        </w:tabs>
        <w:spacing w:line="360" w:lineRule="auto"/>
        <w:rPr>
          <w:rFonts w:ascii="Times New Roman" w:hAnsi="Times New Roman" w:cs="Times New Roman"/>
          <w:sz w:val="20"/>
          <w:szCs w:val="20"/>
        </w:rPr>
      </w:pPr>
      <w:hyperlink w:anchor="_Toc17" w:history="1">
        <w:r>
          <w:rPr>
            <w:rStyle w:val="Hyperlink"/>
            <w:rFonts w:ascii="Times New Roman" w:hAnsi="Times New Roman" w:cs="Times New Roman"/>
            <w:sz w:val="20"/>
            <w:szCs w:val="20"/>
          </w:rPr>
          <w:t>Impact Assessment and Continuous Improvement</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_Toc17 \h</w:instrText>
        </w:r>
        <w:r>
          <w:rPr>
            <w:rStyle w:val="Hyperlink"/>
          </w:rPr>
        </w:r>
        <w:r>
          <w:rPr>
            <w:rStyle w:val="Hyperlink"/>
          </w:rPr>
          <w:fldChar w:fldCharType="separate"/>
        </w:r>
        <w:r>
          <w:rPr>
            <w:rStyle w:val="Hyperlink"/>
            <w:rFonts w:ascii="Times New Roman" w:hAnsi="Times New Roman" w:cs="Times New Roman"/>
            <w:sz w:val="20"/>
            <w:szCs w:val="20"/>
          </w:rPr>
          <w:t>16</w:t>
        </w:r>
        <w:r>
          <w:rPr>
            <w:rFonts w:ascii="Times New Roman" w:hAnsi="Times New Roman" w:cs="Times New Roman"/>
            <w:sz w:val="20"/>
            <w:szCs w:val="20"/>
          </w:rPr>
          <w:fldChar w:fldCharType="end"/>
        </w:r>
      </w:hyperlink>
    </w:p>
    <w:p w14:paraId="14E98056" w14:textId="77777777" w:rsidR="000B3252" w:rsidRDefault="00000000">
      <w:pPr>
        <w:pStyle w:val="TOC1"/>
        <w:tabs>
          <w:tab w:val="right" w:leader="dot" w:pos="9016"/>
        </w:tabs>
        <w:spacing w:line="360" w:lineRule="auto"/>
        <w:rPr>
          <w:rFonts w:ascii="Times New Roman" w:hAnsi="Times New Roman" w:cs="Times New Roman"/>
          <w:sz w:val="20"/>
          <w:szCs w:val="20"/>
        </w:rPr>
      </w:pPr>
      <w:hyperlink w:anchor="_Toc12" w:history="1">
        <w:r>
          <w:rPr>
            <w:rStyle w:val="Hyperlink"/>
            <w:rFonts w:ascii="Times New Roman" w:hAnsi="Times New Roman" w:cs="Times New Roman"/>
            <w:sz w:val="20"/>
            <w:szCs w:val="20"/>
          </w:rPr>
          <w:t>Action Plan</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_Toc12 \h</w:instrText>
        </w:r>
        <w:r>
          <w:rPr>
            <w:rStyle w:val="Hyperlink"/>
          </w:rPr>
        </w:r>
        <w:r>
          <w:rPr>
            <w:rStyle w:val="Hyperlink"/>
          </w:rPr>
          <w:fldChar w:fldCharType="separate"/>
        </w:r>
        <w:r>
          <w:rPr>
            <w:rStyle w:val="Hyperlink"/>
            <w:rFonts w:ascii="Times New Roman" w:hAnsi="Times New Roman" w:cs="Times New Roman"/>
            <w:sz w:val="20"/>
            <w:szCs w:val="20"/>
          </w:rPr>
          <w:t>16</w:t>
        </w:r>
        <w:r>
          <w:rPr>
            <w:rFonts w:ascii="Times New Roman" w:hAnsi="Times New Roman" w:cs="Times New Roman"/>
            <w:sz w:val="20"/>
            <w:szCs w:val="20"/>
          </w:rPr>
          <w:fldChar w:fldCharType="end"/>
        </w:r>
      </w:hyperlink>
    </w:p>
    <w:p w14:paraId="5CED1538" w14:textId="77777777" w:rsidR="000B3252" w:rsidRDefault="00000000">
      <w:pPr>
        <w:pStyle w:val="TOC1"/>
        <w:tabs>
          <w:tab w:val="right" w:leader="dot" w:pos="9016"/>
        </w:tabs>
        <w:spacing w:line="360" w:lineRule="auto"/>
        <w:rPr>
          <w:rFonts w:ascii="Times New Roman" w:hAnsi="Times New Roman" w:cs="Times New Roman"/>
          <w:sz w:val="20"/>
          <w:szCs w:val="20"/>
        </w:rPr>
      </w:pPr>
      <w:hyperlink w:anchor="_Toc30" w:history="1">
        <w:r>
          <w:rPr>
            <w:rStyle w:val="Hyperlink"/>
            <w:rFonts w:ascii="Times New Roman" w:hAnsi="Times New Roman" w:cs="Times New Roman"/>
            <w:sz w:val="20"/>
            <w:szCs w:val="20"/>
          </w:rPr>
          <w:t>Conclusion</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_Toc30 \h</w:instrText>
        </w:r>
        <w:r>
          <w:rPr>
            <w:rStyle w:val="Hyperlink"/>
          </w:rPr>
        </w:r>
        <w:r>
          <w:rPr>
            <w:rStyle w:val="Hyperlink"/>
          </w:rPr>
          <w:fldChar w:fldCharType="separate"/>
        </w:r>
        <w:r>
          <w:rPr>
            <w:rStyle w:val="Hyperlink"/>
            <w:rFonts w:ascii="Times New Roman" w:hAnsi="Times New Roman" w:cs="Times New Roman"/>
            <w:sz w:val="20"/>
            <w:szCs w:val="20"/>
          </w:rPr>
          <w:t>19</w:t>
        </w:r>
        <w:r>
          <w:rPr>
            <w:rFonts w:ascii="Times New Roman" w:hAnsi="Times New Roman" w:cs="Times New Roman"/>
            <w:sz w:val="20"/>
            <w:szCs w:val="20"/>
          </w:rPr>
          <w:fldChar w:fldCharType="end"/>
        </w:r>
      </w:hyperlink>
    </w:p>
    <w:p w14:paraId="0E53E51B" w14:textId="77777777" w:rsidR="000B3252" w:rsidRDefault="00000000">
      <w:pPr>
        <w:pStyle w:val="TOC1"/>
        <w:tabs>
          <w:tab w:val="right" w:leader="dot" w:pos="9016"/>
        </w:tabs>
        <w:spacing w:line="360" w:lineRule="auto"/>
        <w:rPr>
          <w:rFonts w:ascii="Times New Roman" w:hAnsi="Times New Roman" w:cs="Times New Roman"/>
          <w:sz w:val="20"/>
          <w:szCs w:val="20"/>
        </w:rPr>
      </w:pPr>
      <w:hyperlink w:anchor="_Toc7" w:history="1">
        <w:r>
          <w:rPr>
            <w:rStyle w:val="Hyperlink"/>
            <w:rFonts w:ascii="Times New Roman" w:hAnsi="Times New Roman" w:cs="Times New Roman"/>
            <w:sz w:val="20"/>
            <w:szCs w:val="20"/>
          </w:rPr>
          <w:t>Reference List</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_Toc7 \h</w:instrText>
        </w:r>
        <w:r>
          <w:rPr>
            <w:rStyle w:val="Hyperlink"/>
          </w:rPr>
        </w:r>
        <w:r>
          <w:rPr>
            <w:rStyle w:val="Hyperlink"/>
          </w:rPr>
          <w:fldChar w:fldCharType="separate"/>
        </w:r>
        <w:r>
          <w:rPr>
            <w:rStyle w:val="Hyperlink"/>
            <w:rFonts w:ascii="Times New Roman" w:hAnsi="Times New Roman" w:cs="Times New Roman"/>
            <w:sz w:val="20"/>
            <w:szCs w:val="20"/>
          </w:rPr>
          <w:t>21</w:t>
        </w:r>
        <w:r>
          <w:rPr>
            <w:rFonts w:ascii="Times New Roman" w:hAnsi="Times New Roman" w:cs="Times New Roman"/>
            <w:sz w:val="20"/>
            <w:szCs w:val="20"/>
          </w:rPr>
          <w:fldChar w:fldCharType="end"/>
        </w:r>
      </w:hyperlink>
    </w:p>
    <w:p w14:paraId="4388F588" w14:textId="77777777" w:rsidR="000B3252" w:rsidRDefault="00000000">
      <w:pPr>
        <w:pStyle w:val="TOC1"/>
        <w:tabs>
          <w:tab w:val="right" w:leader="dot" w:pos="9016"/>
        </w:tabs>
        <w:spacing w:line="360" w:lineRule="auto"/>
        <w:rPr>
          <w:rFonts w:ascii="Times New Roman" w:hAnsi="Times New Roman" w:cs="Times New Roman"/>
          <w:sz w:val="20"/>
          <w:szCs w:val="20"/>
        </w:rPr>
      </w:pPr>
      <w:hyperlink w:anchor="_Toc34" w:history="1">
        <w:r>
          <w:rPr>
            <w:rStyle w:val="Hyperlink"/>
            <w:rFonts w:ascii="Times New Roman" w:hAnsi="Times New Roman" w:cs="Times New Roman"/>
            <w:sz w:val="20"/>
            <w:szCs w:val="20"/>
          </w:rPr>
          <w:t>Appendices</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_Toc34 \h</w:instrText>
        </w:r>
        <w:r>
          <w:rPr>
            <w:rStyle w:val="Hyperlink"/>
          </w:rPr>
        </w:r>
        <w:r>
          <w:rPr>
            <w:rStyle w:val="Hyperlink"/>
          </w:rPr>
          <w:fldChar w:fldCharType="separate"/>
        </w:r>
        <w:r>
          <w:rPr>
            <w:rStyle w:val="Hyperlink"/>
            <w:rFonts w:ascii="Times New Roman" w:hAnsi="Times New Roman" w:cs="Times New Roman"/>
            <w:sz w:val="20"/>
            <w:szCs w:val="20"/>
          </w:rPr>
          <w:t>27</w:t>
        </w:r>
        <w:r>
          <w:rPr>
            <w:rFonts w:ascii="Times New Roman" w:hAnsi="Times New Roman" w:cs="Times New Roman"/>
            <w:sz w:val="20"/>
            <w:szCs w:val="20"/>
          </w:rPr>
          <w:fldChar w:fldCharType="end"/>
        </w:r>
      </w:hyperlink>
    </w:p>
    <w:p w14:paraId="78402923" w14:textId="77777777" w:rsidR="000B3252" w:rsidRDefault="00000000">
      <w:pPr>
        <w:pStyle w:val="TOC2"/>
        <w:tabs>
          <w:tab w:val="right" w:leader="dot" w:pos="9016"/>
        </w:tabs>
        <w:spacing w:line="360" w:lineRule="auto"/>
        <w:rPr>
          <w:rFonts w:ascii="Times New Roman" w:hAnsi="Times New Roman" w:cs="Times New Roman"/>
          <w:sz w:val="20"/>
          <w:szCs w:val="20"/>
        </w:rPr>
      </w:pPr>
      <w:hyperlink w:anchor="_Toc35" w:history="1">
        <w:r>
          <w:rPr>
            <w:rStyle w:val="Hyperlink"/>
            <w:rFonts w:ascii="Times New Roman" w:hAnsi="Times New Roman" w:cs="Times New Roman"/>
            <w:sz w:val="20"/>
            <w:szCs w:val="20"/>
          </w:rPr>
          <w:t>Appendix 1 Types of certificates</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_Toc35 \h</w:instrText>
        </w:r>
        <w:r>
          <w:rPr>
            <w:rStyle w:val="Hyperlink"/>
          </w:rPr>
        </w:r>
        <w:r>
          <w:rPr>
            <w:rStyle w:val="Hyperlink"/>
          </w:rPr>
          <w:fldChar w:fldCharType="separate"/>
        </w:r>
        <w:r>
          <w:rPr>
            <w:rStyle w:val="Hyperlink"/>
            <w:rFonts w:ascii="Times New Roman" w:hAnsi="Times New Roman" w:cs="Times New Roman"/>
            <w:sz w:val="20"/>
            <w:szCs w:val="20"/>
          </w:rPr>
          <w:t>27</w:t>
        </w:r>
        <w:r>
          <w:rPr>
            <w:rFonts w:ascii="Times New Roman" w:hAnsi="Times New Roman" w:cs="Times New Roman"/>
            <w:sz w:val="20"/>
            <w:szCs w:val="20"/>
          </w:rPr>
          <w:fldChar w:fldCharType="end"/>
        </w:r>
      </w:hyperlink>
    </w:p>
    <w:p w14:paraId="50770F89" w14:textId="77777777" w:rsidR="000B3252" w:rsidRDefault="00000000">
      <w:pPr>
        <w:pStyle w:val="TOC2"/>
        <w:tabs>
          <w:tab w:val="right" w:leader="dot" w:pos="9016"/>
        </w:tabs>
        <w:spacing w:line="360" w:lineRule="auto"/>
        <w:rPr>
          <w:rFonts w:ascii="Times New Roman" w:hAnsi="Times New Roman" w:cs="Times New Roman"/>
          <w:sz w:val="20"/>
          <w:szCs w:val="20"/>
        </w:rPr>
      </w:pPr>
      <w:hyperlink w:anchor="_Toc36" w:history="1">
        <w:r>
          <w:rPr>
            <w:rStyle w:val="Hyperlink"/>
            <w:rFonts w:ascii="Times New Roman" w:hAnsi="Times New Roman" w:cs="Times New Roman"/>
            <w:sz w:val="20"/>
            <w:szCs w:val="20"/>
          </w:rPr>
          <w:t>Appendix 2 Hilton Barcelona Location</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_Toc36 \h</w:instrText>
        </w:r>
        <w:r>
          <w:rPr>
            <w:rStyle w:val="Hyperlink"/>
          </w:rPr>
        </w:r>
        <w:r>
          <w:rPr>
            <w:rStyle w:val="Hyperlink"/>
          </w:rPr>
          <w:fldChar w:fldCharType="separate"/>
        </w:r>
        <w:r>
          <w:rPr>
            <w:rStyle w:val="Hyperlink"/>
            <w:rFonts w:ascii="Times New Roman" w:hAnsi="Times New Roman" w:cs="Times New Roman"/>
            <w:sz w:val="20"/>
            <w:szCs w:val="20"/>
          </w:rPr>
          <w:t>28</w:t>
        </w:r>
        <w:r>
          <w:rPr>
            <w:rFonts w:ascii="Times New Roman" w:hAnsi="Times New Roman" w:cs="Times New Roman"/>
            <w:sz w:val="20"/>
            <w:szCs w:val="20"/>
          </w:rPr>
          <w:fldChar w:fldCharType="end"/>
        </w:r>
      </w:hyperlink>
    </w:p>
    <w:p w14:paraId="029BE34C" w14:textId="77777777" w:rsidR="000B3252" w:rsidRDefault="00000000">
      <w:pPr>
        <w:pStyle w:val="TOC2"/>
        <w:tabs>
          <w:tab w:val="right" w:leader="dot" w:pos="9016"/>
        </w:tabs>
        <w:spacing w:line="360" w:lineRule="auto"/>
        <w:rPr>
          <w:rFonts w:ascii="Times New Roman" w:hAnsi="Times New Roman" w:cs="Times New Roman"/>
          <w:sz w:val="20"/>
          <w:szCs w:val="20"/>
        </w:rPr>
      </w:pPr>
      <w:hyperlink w:anchor="_Toc37" w:history="1">
        <w:r>
          <w:rPr>
            <w:rStyle w:val="Hyperlink"/>
            <w:rFonts w:ascii="Times New Roman" w:hAnsi="Times New Roman" w:cs="Times New Roman"/>
            <w:sz w:val="20"/>
            <w:szCs w:val="20"/>
          </w:rPr>
          <w:t>Appendix 3 Number of visits from Spain to the United Kingdom from 2004 to 2023</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_Toc37 \h</w:instrText>
        </w:r>
        <w:r>
          <w:rPr>
            <w:rStyle w:val="Hyperlink"/>
          </w:rPr>
        </w:r>
        <w:r>
          <w:rPr>
            <w:rStyle w:val="Hyperlink"/>
          </w:rPr>
          <w:fldChar w:fldCharType="separate"/>
        </w:r>
        <w:r>
          <w:rPr>
            <w:rStyle w:val="Hyperlink"/>
            <w:rFonts w:ascii="Times New Roman" w:hAnsi="Times New Roman" w:cs="Times New Roman"/>
            <w:sz w:val="20"/>
            <w:szCs w:val="20"/>
          </w:rPr>
          <w:t>29</w:t>
        </w:r>
        <w:r>
          <w:rPr>
            <w:rFonts w:ascii="Times New Roman" w:hAnsi="Times New Roman" w:cs="Times New Roman"/>
            <w:sz w:val="20"/>
            <w:szCs w:val="20"/>
          </w:rPr>
          <w:fldChar w:fldCharType="end"/>
        </w:r>
      </w:hyperlink>
    </w:p>
    <w:p w14:paraId="316B9CFF" w14:textId="77777777" w:rsidR="000B3252" w:rsidRDefault="000B3252">
      <w:pPr>
        <w:tabs>
          <w:tab w:val="right" w:leader="dot" w:pos="9016"/>
        </w:tabs>
        <w:spacing w:line="360" w:lineRule="auto"/>
        <w:rPr>
          <w:rFonts w:ascii="Times New Roman" w:hAnsi="Times New Roman" w:cs="Times New Roman"/>
          <w:sz w:val="20"/>
          <w:szCs w:val="20"/>
        </w:rPr>
      </w:pPr>
    </w:p>
    <w:p w14:paraId="0872B9EF"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r>
        <w:rPr>
          <w:rFonts w:ascii="Times New Roman" w:hAnsi="Times New Roman" w:cs="Times New Roman"/>
          <w:sz w:val="20"/>
          <w:szCs w:val="20"/>
        </w:rPr>
        <w:fldChar w:fldCharType="end"/>
      </w:r>
    </w:p>
    <w:p w14:paraId="3453C165"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0C2F02AE"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02868F87"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7F3CD800"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5C376D6A"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556D5E30" w14:textId="77777777" w:rsidR="000B3252" w:rsidRDefault="00000000">
      <w:pPr>
        <w:pStyle w:val="Heading1"/>
        <w:spacing w:line="360" w:lineRule="auto"/>
        <w:jc w:val="both"/>
        <w:rPr>
          <w:rFonts w:ascii="Times New Roman" w:hAnsi="Times New Roman" w:cs="Times New Roman"/>
          <w:color w:val="000000"/>
          <w:sz w:val="24"/>
          <w:szCs w:val="24"/>
        </w:rPr>
      </w:pPr>
      <w:bookmarkStart w:id="1" w:name="_Toc2"/>
      <w:r>
        <w:rPr>
          <w:rFonts w:ascii="Times New Roman" w:hAnsi="Times New Roman" w:cs="Times New Roman"/>
          <w:color w:val="000000"/>
          <w:sz w:val="24"/>
          <w:szCs w:val="24"/>
        </w:rPr>
        <w:lastRenderedPageBreak/>
        <w:t>Introduction</w:t>
      </w:r>
      <w:bookmarkEnd w:id="1"/>
      <w:r>
        <w:rPr>
          <w:rFonts w:ascii="Times New Roman" w:hAnsi="Times New Roman" w:cs="Times New Roman"/>
          <w:color w:val="000000"/>
          <w:sz w:val="24"/>
          <w:szCs w:val="24"/>
        </w:rPr>
        <w:t xml:space="preserve"> </w:t>
      </w:r>
    </w:p>
    <w:p w14:paraId="5FC339BE"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r>
        <w:rPr>
          <w:rFonts w:ascii="Times New Roman" w:hAnsi="Times New Roman" w:cs="Times New Roman"/>
          <w:sz w:val="20"/>
          <w:szCs w:val="20"/>
        </w:rPr>
        <w:t>Hilton Barcelona is a four-star luxury hotel located in the heart of Barcelona, a city known for its strong tourism sector, vibrant cultural scene, and strong corporate travel industry. Established in 1990 and renovated in subsequent years, the hotel offers 289 rooms, premium dining facilities, and state-of-the-art event spaces. As part of Hilton Worldwide Holdings Inc., it benefits from an internationally recognised brand with a well-established loyalty programme and a reputation for service excellence (Hilton, 2025). Barcelona is renowned for its robust tourism sector, vibrant cultural scene, and thriving corporate travel industry. In 2023, the city received approximately 15.6 million tourists, contributing significantly to its economy. The tourism sector employs a substantial number of individuals, with the food and beverage industry accounting for around 46% of the total workforce in this sector (Barcelona Tourism Observatory, 2024). However, the hospitality landscape has undergone significant changes in recent years, particularly with the rise of digital innovation, sustainability-driven consumer expectations, and the need for improved personalisation in guest services. In this competitive market, Hilton Barcelona must innovate to maintain its position and continue attracting high-value clientele.</w:t>
      </w:r>
    </w:p>
    <w:p w14:paraId="5F8B13D9"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p>
    <w:p w14:paraId="75856643"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r>
        <w:rPr>
          <w:rFonts w:ascii="Times New Roman" w:hAnsi="Times New Roman" w:cs="Times New Roman"/>
          <w:sz w:val="20"/>
          <w:szCs w:val="20"/>
        </w:rPr>
        <w:t>SMART Hospitality Solutions Ltd. is a consultancy firm specialising in strategic transformation within the hospitality industry. With expertise in digital innovation, operational efficiency, and guest experience optimisation, our firm helps hotels modernise their service delivery to align with current market demands. The company`s approach is based on data-driven insights, incorporating a combination of external market analysis and internal capability assessments. The company have selected Hilton Barcelona as the focus of this project due to its strong positioning in a high-demand market and the clear opportunities it has for service improvement. The company`s role is to provide actionable recommendations that will enable the hotel to integrate technological advancements, optimise operations, and strengthen sustainability efforts while maintaining its luxury appeal.</w:t>
      </w:r>
    </w:p>
    <w:p w14:paraId="19B110E7"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p>
    <w:p w14:paraId="38E22B6F"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r>
        <w:rPr>
          <w:rFonts w:ascii="Times New Roman" w:hAnsi="Times New Roman" w:cs="Times New Roman"/>
          <w:sz w:val="20"/>
          <w:szCs w:val="20"/>
        </w:rPr>
        <w:t>To achieve this, our analysis employs three key frameworks: the STEEPLED model to assess external environmental influences, the SOAR analysis to evaluate internal strengths and opportunities, and the TOWS matrix to align weaknesses with potential strategic solutions. This structured approach guarantee that our recommendations are well-grounded in evidence and tailored to Hilton Barcelona’s specific challenges. The consultancy report will provide a roadmap for transformation, outlining steps to implement AI-driven personalisation, improve service consistency, and introduce effective sustainability measures. Analysing and applying these strategies, Hilton Barcelona will be well-positioned to navigate the evolving demands of the hospitality industry and sustain long-term success.</w:t>
      </w:r>
    </w:p>
    <w:p w14:paraId="57A92008"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0E3EC387"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18DFC5BF"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5BB1F099"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546810F8" w14:textId="77777777" w:rsidR="000B3252" w:rsidRDefault="00000000">
      <w:pPr>
        <w:pStyle w:val="Heading1"/>
        <w:spacing w:line="360" w:lineRule="auto"/>
        <w:jc w:val="both"/>
        <w:rPr>
          <w:rFonts w:ascii="Times New Roman" w:hAnsi="Times New Roman" w:cs="Times New Roman"/>
          <w:color w:val="000000"/>
          <w:sz w:val="24"/>
          <w:szCs w:val="24"/>
        </w:rPr>
      </w:pPr>
      <w:bookmarkStart w:id="2" w:name="_Toc3"/>
      <w:r>
        <w:rPr>
          <w:rFonts w:ascii="Times New Roman" w:hAnsi="Times New Roman" w:cs="Times New Roman"/>
          <w:color w:val="000000"/>
          <w:sz w:val="24"/>
          <w:szCs w:val="24"/>
        </w:rPr>
        <w:lastRenderedPageBreak/>
        <w:t>Analysis</w:t>
      </w:r>
      <w:bookmarkEnd w:id="2"/>
    </w:p>
    <w:p w14:paraId="375FEFCF" w14:textId="77777777" w:rsidR="000B3252" w:rsidRDefault="00000000">
      <w:pPr>
        <w:pStyle w:val="Heading2"/>
        <w:spacing w:line="360" w:lineRule="auto"/>
        <w:jc w:val="both"/>
        <w:rPr>
          <w:rFonts w:ascii="Times New Roman" w:hAnsi="Times New Roman" w:cs="Times New Roman"/>
          <w:color w:val="000000"/>
          <w:sz w:val="20"/>
          <w:szCs w:val="20"/>
        </w:rPr>
      </w:pPr>
      <w:bookmarkStart w:id="3" w:name="_Toc8"/>
      <w:r>
        <w:rPr>
          <w:rFonts w:ascii="Times New Roman" w:hAnsi="Times New Roman" w:cs="Times New Roman"/>
          <w:color w:val="000000"/>
          <w:sz w:val="20"/>
          <w:szCs w:val="20"/>
        </w:rPr>
        <w:t>Issues affecting the hotel using data-driven insights</w:t>
      </w:r>
      <w:bookmarkEnd w:id="3"/>
    </w:p>
    <w:p w14:paraId="767F9962"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Hilton Barcelona operates in a dynamic hospitality landscape shaped by fluctuating consumer expectations, technological advancements, and market-driven economic conditions (</w:t>
      </w:r>
      <w:proofErr w:type="spellStart"/>
      <w:r>
        <w:rPr>
          <w:rFonts w:ascii="Times New Roman" w:hAnsi="Times New Roman" w:cs="Times New Roman"/>
          <w:sz w:val="20"/>
          <w:szCs w:val="20"/>
        </w:rPr>
        <w:t>Giannoukou</w:t>
      </w:r>
      <w:proofErr w:type="spellEnd"/>
      <w:r>
        <w:rPr>
          <w:rFonts w:ascii="Times New Roman" w:hAnsi="Times New Roman" w:cs="Times New Roman"/>
          <w:sz w:val="20"/>
          <w:szCs w:val="20"/>
        </w:rPr>
        <w:t xml:space="preserve">, 2024). Data-driven insights reveal several critical challenges that the hotel must address to improve guest experience and maintain its competitive edge. Anwar, Deliana and </w:t>
      </w:r>
      <w:proofErr w:type="spellStart"/>
      <w:r>
        <w:rPr>
          <w:rFonts w:ascii="Times New Roman" w:hAnsi="Times New Roman" w:cs="Times New Roman"/>
          <w:sz w:val="20"/>
          <w:szCs w:val="20"/>
        </w:rPr>
        <w:t>Suyamto</w:t>
      </w:r>
      <w:proofErr w:type="spellEnd"/>
      <w:r>
        <w:rPr>
          <w:rFonts w:ascii="Times New Roman" w:hAnsi="Times New Roman" w:cs="Times New Roman"/>
          <w:sz w:val="20"/>
          <w:szCs w:val="20"/>
        </w:rPr>
        <w:t xml:space="preserve"> (2024) stated that among these challenges, digital transformation, sustainability commitments, and service personalisation emerge as key factors influencing guest satisfaction and operational efficiency. Market research indicates an increasing demand for eco-conscious travel, seamless digital integration in service delivery, and hyper-personalised guest experiences (Zada et al., 2025). Failure to adapt to these trends may result in reduced customer retention, lower occupancy rates, and weakened brand loyalty. In addition, economic fluctuations, geopolitical instability, and fluctuating tourism trends significantly impact the financial stability of the hospitality sector (Agu et al., 2024). Hilton Barcelona must also navigate increasing operational costs, including labour expenses, energy consumption, and regulatory compliance costs. These issues necessitate a strategic and data-informed approach to service innovation and operational efficiency.</w:t>
      </w:r>
    </w:p>
    <w:p w14:paraId="182C45DB" w14:textId="77777777" w:rsidR="000B3252" w:rsidRDefault="00000000">
      <w:pPr>
        <w:pStyle w:val="Heading3"/>
        <w:spacing w:line="360" w:lineRule="auto"/>
        <w:jc w:val="both"/>
        <w:rPr>
          <w:rFonts w:ascii="Times New Roman" w:hAnsi="Times New Roman" w:cs="Times New Roman"/>
          <w:color w:val="000000"/>
          <w:sz w:val="20"/>
          <w:szCs w:val="20"/>
        </w:rPr>
      </w:pPr>
      <w:r>
        <w:rPr>
          <w:rFonts w:ascii="Times New Roman" w:hAnsi="Times New Roman" w:cs="Times New Roman"/>
          <w:color w:val="000000"/>
          <w:sz w:val="20"/>
          <w:szCs w:val="20"/>
        </w:rPr>
        <w:t xml:space="preserve"> </w:t>
      </w:r>
      <w:bookmarkStart w:id="4" w:name="_Toc9"/>
      <w:r>
        <w:rPr>
          <w:rFonts w:ascii="Times New Roman" w:hAnsi="Times New Roman" w:cs="Times New Roman"/>
          <w:color w:val="000000"/>
          <w:sz w:val="20"/>
          <w:szCs w:val="20"/>
        </w:rPr>
        <w:t>STEEPLED analysis</w:t>
      </w:r>
      <w:bookmarkEnd w:id="4"/>
    </w:p>
    <w:p w14:paraId="7580A2C5" w14:textId="77777777" w:rsidR="000B3252" w:rsidRDefault="00000000">
      <w:pPr>
        <w:spacing w:line="360" w:lineRule="auto"/>
        <w:jc w:val="both"/>
        <w:rPr>
          <w:rFonts w:ascii="Times New Roman" w:hAnsi="Times New Roman" w:cs="Times New Roman"/>
          <w:b/>
          <w:bCs/>
          <w:sz w:val="20"/>
          <w:szCs w:val="20"/>
        </w:rPr>
      </w:pPr>
      <w:r>
        <w:rPr>
          <w:rFonts w:ascii="Times New Roman" w:hAnsi="Times New Roman" w:cs="Times New Roman"/>
          <w:sz w:val="20"/>
          <w:szCs w:val="20"/>
        </w:rPr>
        <w:t>A STEEPLED analysis provides a comprehensive evaluation of Hilton Barcelona’s external environment, identifying key macro-environmental factors that shape its operational landscape.</w:t>
      </w:r>
    </w:p>
    <w:tbl>
      <w:tblPr>
        <w:tblStyle w:val="TableGrid"/>
        <w:tblW w:w="8970" w:type="dxa"/>
        <w:tblLayout w:type="fixed"/>
        <w:tblCellMar>
          <w:top w:w="10" w:type="dxa"/>
          <w:left w:w="10" w:type="dxa"/>
          <w:bottom w:w="10" w:type="dxa"/>
          <w:right w:w="10" w:type="dxa"/>
        </w:tblCellMar>
        <w:tblLook w:val="0A30" w:firstRow="1" w:lastRow="0" w:firstColumn="0" w:lastColumn="0" w:noHBand="1" w:noVBand="0"/>
      </w:tblPr>
      <w:tblGrid>
        <w:gridCol w:w="3078"/>
        <w:gridCol w:w="5892"/>
      </w:tblGrid>
      <w:tr w:rsidR="000B3252" w14:paraId="5CFF743F" w14:textId="77777777">
        <w:tc>
          <w:tcPr>
            <w:tcW w:w="3078" w:type="dxa"/>
          </w:tcPr>
          <w:p w14:paraId="62F152F4"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b/>
                <w:bCs/>
                <w:sz w:val="20"/>
                <w:szCs w:val="20"/>
              </w:rPr>
            </w:pPr>
            <w:r>
              <w:rPr>
                <w:rFonts w:ascii="Times New Roman" w:hAnsi="Times New Roman" w:cs="Times New Roman"/>
                <w:b/>
                <w:bCs/>
                <w:sz w:val="20"/>
                <w:szCs w:val="20"/>
              </w:rPr>
              <w:t>Factor</w:t>
            </w:r>
          </w:p>
        </w:tc>
        <w:tc>
          <w:tcPr>
            <w:tcW w:w="5892" w:type="dxa"/>
          </w:tcPr>
          <w:p w14:paraId="5F08505A"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b/>
                <w:bCs/>
                <w:sz w:val="20"/>
                <w:szCs w:val="20"/>
              </w:rPr>
            </w:pPr>
            <w:r>
              <w:rPr>
                <w:rFonts w:ascii="Times New Roman" w:hAnsi="Times New Roman" w:cs="Times New Roman"/>
                <w:b/>
                <w:bCs/>
                <w:sz w:val="20"/>
                <w:szCs w:val="20"/>
              </w:rPr>
              <w:t>Impact on Hilton Barcelona</w:t>
            </w:r>
          </w:p>
        </w:tc>
      </w:tr>
      <w:tr w:rsidR="000B3252" w14:paraId="79BD9961" w14:textId="77777777">
        <w:tc>
          <w:tcPr>
            <w:tcW w:w="3078" w:type="dxa"/>
          </w:tcPr>
          <w:p w14:paraId="4F1B6FC6"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b/>
                <w:sz w:val="20"/>
                <w:szCs w:val="20"/>
              </w:rPr>
              <w:t>Social</w:t>
            </w:r>
          </w:p>
        </w:tc>
        <w:tc>
          <w:tcPr>
            <w:tcW w:w="5892" w:type="dxa"/>
          </w:tcPr>
          <w:p w14:paraId="6A9BE56E"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sz w:val="20"/>
                <w:szCs w:val="20"/>
              </w:rPr>
              <w:t>Demand for personalised services, eco-friendly accommodations, and digital convenience, especially among millennial and Gen Z travellers.</w:t>
            </w:r>
          </w:p>
        </w:tc>
      </w:tr>
      <w:tr w:rsidR="000B3252" w14:paraId="311B77B5" w14:textId="77777777">
        <w:tc>
          <w:tcPr>
            <w:tcW w:w="3078" w:type="dxa"/>
          </w:tcPr>
          <w:p w14:paraId="79B21812"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b/>
                <w:sz w:val="20"/>
                <w:szCs w:val="20"/>
              </w:rPr>
              <w:t>Technological</w:t>
            </w:r>
          </w:p>
        </w:tc>
        <w:tc>
          <w:tcPr>
            <w:tcW w:w="5892" w:type="dxa"/>
          </w:tcPr>
          <w:p w14:paraId="405251DE"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AI and machine learning can improve guest interactions and </w:t>
            </w:r>
            <w:proofErr w:type="gramStart"/>
            <w:r>
              <w:rPr>
                <w:rFonts w:ascii="Times New Roman" w:hAnsi="Times New Roman" w:cs="Times New Roman"/>
                <w:sz w:val="20"/>
                <w:szCs w:val="20"/>
              </w:rPr>
              <w:t>efficiency, but</w:t>
            </w:r>
            <w:proofErr w:type="gramEnd"/>
            <w:r>
              <w:rPr>
                <w:rFonts w:ascii="Times New Roman" w:hAnsi="Times New Roman" w:cs="Times New Roman"/>
                <w:sz w:val="20"/>
                <w:szCs w:val="20"/>
              </w:rPr>
              <w:t xml:space="preserve"> require strong data privacy measures.</w:t>
            </w:r>
          </w:p>
        </w:tc>
      </w:tr>
      <w:tr w:rsidR="000B3252" w14:paraId="3E04E783" w14:textId="77777777">
        <w:tc>
          <w:tcPr>
            <w:tcW w:w="3078" w:type="dxa"/>
          </w:tcPr>
          <w:p w14:paraId="05CC2E3A"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b/>
                <w:sz w:val="20"/>
                <w:szCs w:val="20"/>
              </w:rPr>
              <w:t>Economic</w:t>
            </w:r>
          </w:p>
        </w:tc>
        <w:tc>
          <w:tcPr>
            <w:tcW w:w="5892" w:type="dxa"/>
          </w:tcPr>
          <w:p w14:paraId="051627E3"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sz w:val="20"/>
                <w:szCs w:val="20"/>
              </w:rPr>
              <w:t>Inflation, wage costs, and fluctuating disposable incomes impact spending on luxury travel.</w:t>
            </w:r>
          </w:p>
        </w:tc>
      </w:tr>
      <w:tr w:rsidR="000B3252" w14:paraId="7F640EAC" w14:textId="77777777">
        <w:trPr>
          <w:trHeight w:val="690"/>
        </w:trPr>
        <w:tc>
          <w:tcPr>
            <w:tcW w:w="3078" w:type="dxa"/>
          </w:tcPr>
          <w:p w14:paraId="5D326155"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b/>
                <w:sz w:val="20"/>
                <w:szCs w:val="20"/>
              </w:rPr>
              <w:t>Environmental</w:t>
            </w:r>
          </w:p>
        </w:tc>
        <w:tc>
          <w:tcPr>
            <w:tcW w:w="5892" w:type="dxa"/>
          </w:tcPr>
          <w:p w14:paraId="70CCE46D"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sz w:val="20"/>
                <w:szCs w:val="20"/>
              </w:rPr>
              <w:t>Sustainability concerns necessitate energy efficiency, carbon reduction, and compliance with global environmental standards.</w:t>
            </w:r>
          </w:p>
        </w:tc>
      </w:tr>
      <w:tr w:rsidR="000B3252" w14:paraId="682114F6" w14:textId="77777777">
        <w:tc>
          <w:tcPr>
            <w:tcW w:w="3078" w:type="dxa"/>
          </w:tcPr>
          <w:p w14:paraId="3C93DE09"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b/>
                <w:sz w:val="20"/>
                <w:szCs w:val="20"/>
              </w:rPr>
              <w:t>Political &amp; Legal</w:t>
            </w:r>
          </w:p>
        </w:tc>
        <w:tc>
          <w:tcPr>
            <w:tcW w:w="5892" w:type="dxa"/>
          </w:tcPr>
          <w:p w14:paraId="0FB9DB5C"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sz w:val="20"/>
                <w:szCs w:val="20"/>
              </w:rPr>
              <w:t>Regulations on taxation, labour laws, and visa policies affect business operations and tourism flow.</w:t>
            </w:r>
          </w:p>
        </w:tc>
      </w:tr>
      <w:tr w:rsidR="000B3252" w14:paraId="55C20FA0" w14:textId="77777777">
        <w:tc>
          <w:tcPr>
            <w:tcW w:w="3078" w:type="dxa"/>
          </w:tcPr>
          <w:p w14:paraId="582E1894"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b/>
                <w:sz w:val="20"/>
                <w:szCs w:val="20"/>
              </w:rPr>
              <w:t>Ethical</w:t>
            </w:r>
          </w:p>
        </w:tc>
        <w:tc>
          <w:tcPr>
            <w:tcW w:w="5892" w:type="dxa"/>
          </w:tcPr>
          <w:p w14:paraId="7B71BF3A"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sz w:val="20"/>
                <w:szCs w:val="20"/>
              </w:rPr>
              <w:t>Commitment to corporate social responsibility and fair labour practices strengthens brand reputation.</w:t>
            </w:r>
          </w:p>
        </w:tc>
      </w:tr>
      <w:tr w:rsidR="000B3252" w14:paraId="424B4E49" w14:textId="77777777">
        <w:tc>
          <w:tcPr>
            <w:tcW w:w="3078" w:type="dxa"/>
          </w:tcPr>
          <w:p w14:paraId="10DE5B33"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b/>
                <w:sz w:val="20"/>
                <w:szCs w:val="20"/>
              </w:rPr>
              <w:t>Demographic</w:t>
            </w:r>
          </w:p>
        </w:tc>
        <w:tc>
          <w:tcPr>
            <w:tcW w:w="5892" w:type="dxa"/>
          </w:tcPr>
          <w:p w14:paraId="3D5D607C"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sz w:val="20"/>
                <w:szCs w:val="20"/>
              </w:rPr>
              <w:t>Growing middle-class travellers from emerging markets present opportunities for targeted marketing.</w:t>
            </w:r>
          </w:p>
        </w:tc>
      </w:tr>
      <w:tr w:rsidR="000B3252" w14:paraId="05FD9C6A" w14:textId="77777777">
        <w:tc>
          <w:tcPr>
            <w:tcW w:w="3078" w:type="dxa"/>
          </w:tcPr>
          <w:p w14:paraId="5E072D2B"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b/>
                <w:sz w:val="20"/>
                <w:szCs w:val="20"/>
              </w:rPr>
              <w:t>Lifestyle</w:t>
            </w:r>
          </w:p>
        </w:tc>
        <w:tc>
          <w:tcPr>
            <w:tcW w:w="5892" w:type="dxa"/>
          </w:tcPr>
          <w:p w14:paraId="545CC4FA"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 w:val="20"/>
                <w:szCs w:val="20"/>
              </w:rPr>
            </w:pPr>
            <w:r>
              <w:rPr>
                <w:rFonts w:ascii="Times New Roman" w:hAnsi="Times New Roman" w:cs="Times New Roman"/>
                <w:sz w:val="20"/>
                <w:szCs w:val="20"/>
              </w:rPr>
              <w:t>Demand for remote work-friendly environments and flexible hospitality services increases.</w:t>
            </w:r>
          </w:p>
        </w:tc>
      </w:tr>
    </w:tbl>
    <w:p w14:paraId="6D665011" w14:textId="77777777" w:rsidR="000B3252" w:rsidRDefault="00000000">
      <w:pPr>
        <w:jc w:val="center"/>
        <w:rPr>
          <w:rFonts w:ascii="Times New Roman" w:hAnsi="Times New Roman" w:cs="Times New Roman"/>
          <w:b/>
          <w:bCs/>
          <w:sz w:val="20"/>
          <w:szCs w:val="20"/>
        </w:rPr>
      </w:pPr>
      <w:r>
        <w:rPr>
          <w:rFonts w:ascii="Times New Roman" w:hAnsi="Times New Roman" w:cs="Times New Roman"/>
          <w:b/>
          <w:bCs/>
          <w:sz w:val="20"/>
          <w:szCs w:val="20"/>
        </w:rPr>
        <w:t>Table 1.  STEEPLED analysis</w:t>
      </w:r>
    </w:p>
    <w:p w14:paraId="091A99E9" w14:textId="77777777" w:rsidR="000B3252" w:rsidRDefault="00000000">
      <w:pPr>
        <w:spacing w:after="0" w:line="360" w:lineRule="auto"/>
        <w:jc w:val="center"/>
        <w:rPr>
          <w:rFonts w:ascii="Times New Roman" w:hAnsi="Times New Roman" w:cs="Times New Roman"/>
          <w:sz w:val="20"/>
          <w:szCs w:val="20"/>
        </w:rPr>
      </w:pPr>
      <w:r>
        <w:rPr>
          <w:rFonts w:ascii="Times New Roman" w:hAnsi="Times New Roman" w:cs="Times New Roman"/>
          <w:sz w:val="20"/>
          <w:szCs w:val="20"/>
        </w:rPr>
        <w:t>Source: (created by the learner).</w:t>
      </w:r>
    </w:p>
    <w:p w14:paraId="5C8F2B54" w14:textId="77777777" w:rsidR="000B3252" w:rsidRDefault="000B3252">
      <w:pPr>
        <w:spacing w:line="360" w:lineRule="auto"/>
        <w:jc w:val="both"/>
        <w:rPr>
          <w:rFonts w:ascii="Times New Roman" w:hAnsi="Times New Roman" w:cs="Times New Roman"/>
          <w:sz w:val="20"/>
          <w:szCs w:val="20"/>
        </w:rPr>
      </w:pPr>
    </w:p>
    <w:p w14:paraId="7B7E0B61" w14:textId="77777777" w:rsidR="000B3252" w:rsidRDefault="00000000">
      <w:pPr>
        <w:pStyle w:val="Heading4"/>
        <w:spacing w:line="360" w:lineRule="auto"/>
        <w:jc w:val="both"/>
        <w:rPr>
          <w:rFonts w:ascii="Times New Roman" w:hAnsi="Times New Roman" w:cs="Times New Roman"/>
          <w:color w:val="000000"/>
          <w:sz w:val="20"/>
          <w:szCs w:val="20"/>
        </w:rPr>
      </w:pPr>
      <w:bookmarkStart w:id="5" w:name="_Toc18"/>
      <w:r>
        <w:rPr>
          <w:rFonts w:ascii="Times New Roman" w:hAnsi="Times New Roman" w:cs="Times New Roman"/>
          <w:color w:val="000000"/>
          <w:sz w:val="20"/>
          <w:szCs w:val="20"/>
        </w:rPr>
        <w:t>Social Factors</w:t>
      </w:r>
      <w:bookmarkEnd w:id="5"/>
    </w:p>
    <w:p w14:paraId="2D878E96"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Modern </w:t>
      </w:r>
      <w:proofErr w:type="spellStart"/>
      <w:r>
        <w:rPr>
          <w:rFonts w:ascii="Times New Roman" w:hAnsi="Times New Roman" w:cs="Times New Roman"/>
          <w:sz w:val="20"/>
          <w:szCs w:val="20"/>
        </w:rPr>
        <w:t>travelers</w:t>
      </w:r>
      <w:proofErr w:type="spellEnd"/>
      <w:r>
        <w:rPr>
          <w:rFonts w:ascii="Times New Roman" w:hAnsi="Times New Roman" w:cs="Times New Roman"/>
          <w:sz w:val="20"/>
          <w:szCs w:val="20"/>
        </w:rPr>
        <w:t xml:space="preserve"> increasingly seek personalized services, unique local experiences, and eco-friendly accommodations. A 2023 Booking.com survey revealed that 76% of global </w:t>
      </w:r>
      <w:proofErr w:type="spellStart"/>
      <w:r>
        <w:rPr>
          <w:rFonts w:ascii="Times New Roman" w:hAnsi="Times New Roman" w:cs="Times New Roman"/>
          <w:sz w:val="20"/>
          <w:szCs w:val="20"/>
        </w:rPr>
        <w:t>travelers</w:t>
      </w:r>
      <w:proofErr w:type="spellEnd"/>
      <w:r>
        <w:rPr>
          <w:rFonts w:ascii="Times New Roman" w:hAnsi="Times New Roman" w:cs="Times New Roman"/>
          <w:sz w:val="20"/>
          <w:szCs w:val="20"/>
        </w:rPr>
        <w:t xml:space="preserve"> are focused to travel more sustainably in the coming year (GSTC, 2023). Travellers from Generation Z and Millennials give digital ease and memorable local experiences top priority (Hymers et al., 2023). Through committing to increase its investment in social impact and cut its environmental footprint by 2030, Hilton's "Travel with Purpose" campaign fits with these tastes (Hilton and Cummins, 2022).  Barcelona's great dedication to sustainability and cultural preservation will help Hilton Barcelona to improve guest satisfaction by including more locally focused and environmentally friendly events (Hilton and Cummins, 2022). With more than 850 companies matching sustainable tourism goals and the city becoming the first worldwide location to get the Biosphere Platinum Certification in 2022, hotels are expected to help this effort. Hilton Barcelona may accomplish this by supporting locally produced meals including traditional Catalan cuisine with organic, seasonal ingredients. Emphasising plant-based alternatives alongside Mediterranean diet mainstays not only promotes Barcelona's environmental goals but also gives customers a real and health-conscious dining experience (Hilton and Cummins, 2022).</w:t>
      </w:r>
    </w:p>
    <w:p w14:paraId="4475DE31" w14:textId="77777777" w:rsidR="000B3252" w:rsidRDefault="00000000">
      <w:pPr>
        <w:pStyle w:val="Heading4"/>
        <w:spacing w:line="360" w:lineRule="auto"/>
        <w:jc w:val="both"/>
        <w:rPr>
          <w:rFonts w:ascii="Times New Roman" w:hAnsi="Times New Roman" w:cs="Times New Roman"/>
          <w:color w:val="000000"/>
          <w:sz w:val="20"/>
          <w:szCs w:val="20"/>
        </w:rPr>
      </w:pPr>
      <w:bookmarkStart w:id="6" w:name="_Toc19"/>
      <w:r>
        <w:rPr>
          <w:rFonts w:ascii="Times New Roman" w:hAnsi="Times New Roman" w:cs="Times New Roman"/>
          <w:color w:val="000000"/>
          <w:sz w:val="20"/>
          <w:szCs w:val="20"/>
        </w:rPr>
        <w:t>Technological Factors</w:t>
      </w:r>
      <w:bookmarkEnd w:id="6"/>
    </w:p>
    <w:p w14:paraId="78D9E580"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Advancements in technology offer significant opportunities for the hospitality industry. Hilton's Digital Key service, which allows customers to access their rooms via smartphone, has been used over 100 million times globally, indicating a strong demand for seamless digital interactions (Hilton, 2015). However, with increased digitalization comes the need for strong cybersecurity measures, as 68% of hotels worldwide have experienced data breaches in the past five years. Hilton Barcelona must invest in AI-driven personalization, automated guest assistance, and stringent data protection protocols to improve guest experiences while ensuring security.</w:t>
      </w:r>
    </w:p>
    <w:p w14:paraId="5A464853" w14:textId="77777777" w:rsidR="000B3252" w:rsidRDefault="00000000">
      <w:pPr>
        <w:pStyle w:val="Heading4"/>
        <w:spacing w:line="360" w:lineRule="auto"/>
        <w:jc w:val="both"/>
        <w:rPr>
          <w:rFonts w:ascii="Times New Roman" w:hAnsi="Times New Roman" w:cs="Times New Roman"/>
          <w:color w:val="000000"/>
          <w:sz w:val="20"/>
          <w:szCs w:val="20"/>
        </w:rPr>
      </w:pPr>
      <w:bookmarkStart w:id="7" w:name="_Toc20"/>
      <w:r>
        <w:rPr>
          <w:rFonts w:ascii="Times New Roman" w:hAnsi="Times New Roman" w:cs="Times New Roman"/>
          <w:color w:val="000000"/>
          <w:sz w:val="20"/>
          <w:szCs w:val="20"/>
        </w:rPr>
        <w:t>Economic Factors</w:t>
      </w:r>
      <w:bookmarkEnd w:id="7"/>
    </w:p>
    <w:p w14:paraId="5551767C"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Global economic conditions, including inflation and rising operational costs, directly impact consumer spending in the hospitality sector. The European inflation rate was 4.2% in early 2024, which had a major effect on travellers' budgets by raising the cost of lodging, travel expenses generally, and transportation. Persistent service sector price increases dominated the inflationary pressures; August's services inflation, which reflects the continuous pay rise and higher labour expenses, came out at 4.2% (European Central Bank, 2024). Furthermore, changes in energy prices stayed a worry even if their general trend is reducing, which adds to consumer financial instability. More cautious spending behaviours resulted from this economic environment; survey data shows lower consumer confidence and more household saving intentions (European Central Bank, 2024).</w:t>
      </w:r>
    </w:p>
    <w:p w14:paraId="313B6730"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According to Schwarz (2024) travel and hospitality businesses thus saw changes in demand patterns as consumers gave budget-friendly choices </w:t>
      </w:r>
      <w:proofErr w:type="gramStart"/>
      <w:r>
        <w:rPr>
          <w:rFonts w:ascii="Times New Roman" w:hAnsi="Times New Roman" w:cs="Times New Roman"/>
          <w:sz w:val="20"/>
          <w:szCs w:val="20"/>
        </w:rPr>
        <w:t>first priority</w:t>
      </w:r>
      <w:proofErr w:type="gramEnd"/>
      <w:r>
        <w:rPr>
          <w:rFonts w:ascii="Times New Roman" w:hAnsi="Times New Roman" w:cs="Times New Roman"/>
          <w:sz w:val="20"/>
          <w:szCs w:val="20"/>
        </w:rPr>
        <w:t xml:space="preserve"> and sought value-added services. To draw budget-conscious consumers, airlines, hotels, and tour companies answered with targeted discounts and flexible pricing policies. Private domestic demand, however, slumped generally since more expenses discouraged discretionary leisure activities. Although economic conditions may progressively improve with inflation predicted to drop to 2.5% by the end of 2024, the effect on travellers' spending power is probably going to be short-term, therefore </w:t>
      </w:r>
      <w:r>
        <w:rPr>
          <w:rFonts w:ascii="Times New Roman" w:hAnsi="Times New Roman" w:cs="Times New Roman"/>
          <w:sz w:val="20"/>
          <w:szCs w:val="20"/>
        </w:rPr>
        <w:lastRenderedPageBreak/>
        <w:t xml:space="preserve">affecting their destination choice and travel behaviour (European Central Bank, 2024). Regarding these challenges, a 2023 survey found that 36% of Britons plan to travel more in 2025. Barcelona remains a key tourist destination, but hotel prices have increased by 8-12% year-over-year (Van </w:t>
      </w:r>
      <w:proofErr w:type="spellStart"/>
      <w:r>
        <w:rPr>
          <w:rFonts w:ascii="Times New Roman" w:hAnsi="Times New Roman" w:cs="Times New Roman"/>
          <w:sz w:val="20"/>
          <w:szCs w:val="20"/>
        </w:rPr>
        <w:t>IJssel</w:t>
      </w:r>
      <w:proofErr w:type="spellEnd"/>
      <w:r>
        <w:rPr>
          <w:rFonts w:ascii="Times New Roman" w:hAnsi="Times New Roman" w:cs="Times New Roman"/>
          <w:sz w:val="20"/>
          <w:szCs w:val="20"/>
        </w:rPr>
        <w:t xml:space="preserve">, 2024). To remain competitive, Hilton Barcelona should adopt dynamic pricing models and offer value-added packages to attract cost-conscious </w:t>
      </w:r>
      <w:proofErr w:type="spellStart"/>
      <w:r>
        <w:rPr>
          <w:rFonts w:ascii="Times New Roman" w:hAnsi="Times New Roman" w:cs="Times New Roman"/>
          <w:sz w:val="20"/>
          <w:szCs w:val="20"/>
        </w:rPr>
        <w:t>travelers</w:t>
      </w:r>
      <w:proofErr w:type="spellEnd"/>
      <w:r>
        <w:rPr>
          <w:rFonts w:ascii="Times New Roman" w:hAnsi="Times New Roman" w:cs="Times New Roman"/>
          <w:sz w:val="20"/>
          <w:szCs w:val="20"/>
        </w:rPr>
        <w:t>.</w:t>
      </w:r>
    </w:p>
    <w:p w14:paraId="4EF264BE" w14:textId="77777777" w:rsidR="000B3252" w:rsidRDefault="00000000">
      <w:pPr>
        <w:pStyle w:val="Heading4"/>
        <w:spacing w:line="360" w:lineRule="auto"/>
        <w:jc w:val="both"/>
        <w:rPr>
          <w:rFonts w:ascii="Times New Roman" w:hAnsi="Times New Roman" w:cs="Times New Roman"/>
          <w:color w:val="000000"/>
          <w:sz w:val="20"/>
          <w:szCs w:val="20"/>
        </w:rPr>
      </w:pPr>
      <w:bookmarkStart w:id="8" w:name="_Toc21"/>
      <w:r>
        <w:rPr>
          <w:rFonts w:ascii="Times New Roman" w:hAnsi="Times New Roman" w:cs="Times New Roman"/>
          <w:color w:val="000000"/>
          <w:sz w:val="20"/>
          <w:szCs w:val="20"/>
        </w:rPr>
        <w:t>Environmental Factors</w:t>
      </w:r>
      <w:bookmarkEnd w:id="8"/>
    </w:p>
    <w:p w14:paraId="440FB1BA"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Sustainability is a growing concern among </w:t>
      </w:r>
      <w:proofErr w:type="spellStart"/>
      <w:r>
        <w:rPr>
          <w:rFonts w:ascii="Times New Roman" w:hAnsi="Times New Roman" w:cs="Times New Roman"/>
          <w:sz w:val="20"/>
          <w:szCs w:val="20"/>
        </w:rPr>
        <w:t>travelers</w:t>
      </w:r>
      <w:proofErr w:type="spellEnd"/>
      <w:r>
        <w:rPr>
          <w:rFonts w:ascii="Times New Roman" w:hAnsi="Times New Roman" w:cs="Times New Roman"/>
          <w:sz w:val="20"/>
          <w:szCs w:val="20"/>
        </w:rPr>
        <w:t xml:space="preserve">. Hilton's </w:t>
      </w:r>
      <w:proofErr w:type="spellStart"/>
      <w:r>
        <w:rPr>
          <w:rFonts w:ascii="Times New Roman" w:hAnsi="Times New Roman" w:cs="Times New Roman"/>
          <w:sz w:val="20"/>
          <w:szCs w:val="20"/>
        </w:rPr>
        <w:t>LightStay</w:t>
      </w:r>
      <w:proofErr w:type="spellEnd"/>
      <w:r>
        <w:rPr>
          <w:rFonts w:ascii="Times New Roman" w:hAnsi="Times New Roman" w:cs="Times New Roman"/>
          <w:sz w:val="20"/>
          <w:szCs w:val="20"/>
        </w:rPr>
        <w:t xml:space="preserve"> program tracks energy, carbon, water, and waste data to promote environmental responsibility (Zientara et al., 2020). A 2024 survey by Expedia found that over 70% of global </w:t>
      </w:r>
      <w:proofErr w:type="spellStart"/>
      <w:r>
        <w:rPr>
          <w:rFonts w:ascii="Times New Roman" w:hAnsi="Times New Roman" w:cs="Times New Roman"/>
          <w:sz w:val="20"/>
          <w:szCs w:val="20"/>
        </w:rPr>
        <w:t>travelers</w:t>
      </w:r>
      <w:proofErr w:type="spellEnd"/>
      <w:r>
        <w:rPr>
          <w:rFonts w:ascii="Times New Roman" w:hAnsi="Times New Roman" w:cs="Times New Roman"/>
          <w:sz w:val="20"/>
          <w:szCs w:val="20"/>
        </w:rPr>
        <w:t xml:space="preserve"> prioritize staying in eco-friendly hotels with a high interest in sustainable travelling options (Mohapatra and Lee, 2024). Hilton Barcelona must accelerate efforts in energy-efficient infrastructure, waste reduction, and local sourcing to meet both regulatory and consumer expectations. Barcelona's 2030 sustainability plan also mandates stricter environmental standards for hotels, making it imperative for Hilton Barcelona to adopt green certifications and sustainable water management systems.</w:t>
      </w:r>
    </w:p>
    <w:p w14:paraId="29220B35" w14:textId="77777777" w:rsidR="000B3252" w:rsidRDefault="00000000">
      <w:pPr>
        <w:pStyle w:val="Heading4"/>
        <w:spacing w:line="360" w:lineRule="auto"/>
        <w:jc w:val="both"/>
        <w:rPr>
          <w:rFonts w:ascii="Times New Roman" w:hAnsi="Times New Roman" w:cs="Times New Roman"/>
          <w:color w:val="000000"/>
          <w:sz w:val="20"/>
          <w:szCs w:val="20"/>
        </w:rPr>
      </w:pPr>
      <w:bookmarkStart w:id="9" w:name="_Toc22"/>
      <w:r>
        <w:rPr>
          <w:rFonts w:ascii="Times New Roman" w:hAnsi="Times New Roman" w:cs="Times New Roman"/>
          <w:color w:val="000000"/>
          <w:sz w:val="20"/>
          <w:szCs w:val="20"/>
        </w:rPr>
        <w:t>Political and Legal Factors</w:t>
      </w:r>
      <w:bookmarkEnd w:id="9"/>
    </w:p>
    <w:p w14:paraId="1A14B38B"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Strict tourist rules, employment legislation, and tax policies all affect Barcelona's hospitality industry. Rising in 2023, the Barcelona Sustainable Tourism Tax further strains hotel expenses (Wright, 2024). Changes in visas connected to Brexit have caused a 5% drop in UK travel in 2023, so Hilton Barcelona </w:t>
      </w:r>
      <w:proofErr w:type="gramStart"/>
      <w:r>
        <w:rPr>
          <w:rFonts w:ascii="Times New Roman" w:hAnsi="Times New Roman" w:cs="Times New Roman"/>
          <w:sz w:val="20"/>
          <w:szCs w:val="20"/>
        </w:rPr>
        <w:t>has to</w:t>
      </w:r>
      <w:proofErr w:type="gramEnd"/>
      <w:r>
        <w:rPr>
          <w:rFonts w:ascii="Times New Roman" w:hAnsi="Times New Roman" w:cs="Times New Roman"/>
          <w:sz w:val="20"/>
          <w:szCs w:val="20"/>
        </w:rPr>
        <w:t xml:space="preserve"> broaden its target markets. Higher wages and tougher employment conditions mandated by Spain's labour laws drive up operational costs (Blau and Kahn, 1999). For Hilton's digital transformation initiatives, also vital is following EU data protection rules (GDPR). The hotel </w:t>
      </w:r>
      <w:proofErr w:type="gramStart"/>
      <w:r>
        <w:rPr>
          <w:rFonts w:ascii="Times New Roman" w:hAnsi="Times New Roman" w:cs="Times New Roman"/>
          <w:sz w:val="20"/>
          <w:szCs w:val="20"/>
        </w:rPr>
        <w:t>has to</w:t>
      </w:r>
      <w:proofErr w:type="gramEnd"/>
      <w:r>
        <w:rPr>
          <w:rFonts w:ascii="Times New Roman" w:hAnsi="Times New Roman" w:cs="Times New Roman"/>
          <w:sz w:val="20"/>
          <w:szCs w:val="20"/>
        </w:rPr>
        <w:t xml:space="preserve"> guarantee following legislative changes while keeping operational effectiveness and pricing competitiveness (Hilton, 2022).</w:t>
      </w:r>
    </w:p>
    <w:p w14:paraId="27389352" w14:textId="77777777" w:rsidR="000B3252" w:rsidRDefault="00000000">
      <w:pPr>
        <w:pStyle w:val="Heading4"/>
        <w:spacing w:line="360" w:lineRule="auto"/>
        <w:jc w:val="both"/>
        <w:rPr>
          <w:rFonts w:ascii="Times New Roman" w:hAnsi="Times New Roman" w:cs="Times New Roman"/>
          <w:color w:val="000000"/>
          <w:sz w:val="20"/>
          <w:szCs w:val="20"/>
        </w:rPr>
      </w:pPr>
      <w:bookmarkStart w:id="10" w:name="_Toc23"/>
      <w:r>
        <w:rPr>
          <w:rFonts w:ascii="Times New Roman" w:hAnsi="Times New Roman" w:cs="Times New Roman"/>
          <w:color w:val="000000"/>
          <w:sz w:val="20"/>
          <w:szCs w:val="20"/>
        </w:rPr>
        <w:t>Ethical Factors</w:t>
      </w:r>
      <w:bookmarkEnd w:id="10"/>
    </w:p>
    <w:p w14:paraId="407870A1" w14:textId="77777777" w:rsidR="000B3252" w:rsidRDefault="00000000">
      <w:pPr>
        <w:spacing w:line="360" w:lineRule="auto"/>
        <w:jc w:val="both"/>
        <w:rPr>
          <w:rFonts w:ascii="Times New Roman" w:hAnsi="Times New Roman" w:cs="Times New Roman"/>
          <w:sz w:val="20"/>
          <w:szCs w:val="20"/>
        </w:rPr>
      </w:pPr>
      <w:bookmarkStart w:id="11" w:name="_Toc24"/>
      <w:r>
        <w:rPr>
          <w:rFonts w:ascii="Times New Roman" w:hAnsi="Times New Roman" w:cs="Times New Roman"/>
          <w:sz w:val="20"/>
          <w:szCs w:val="20"/>
        </w:rPr>
        <w:t>In the hotel industry, maintaining and improving brand reputation depends mostly on moral business practices and corporate social responsibility (CSR). Hilton's 2023 Travel with Purpose Report shows its dedication to solid government institutions, social development, and environmental preservation (Stobierski, 2021; Hilton, 2023). This commitment not only makes moral sense but also suits consumer inclinations; most Americans, for instance, believe that companies should contribute to the development of society.  If Hilton Barcelona focuses to develop its brand and meet evolving consumer expectations, it might consider adjusting its fair pay policy, promoting local employment projects, and working with suppliers who give sustainability top priority (Stobierski, 2021; Hilton, 2023). Policies on food and material ethical sourcing, carbon-neutral event planning, and fair employment practices application can help to build customer confidence and brand loyalty. Such initiatives not only complement world sustainability goals but also appeal to guests that value moral corporate conduct (Jia et al., 2023).</w:t>
      </w:r>
    </w:p>
    <w:p w14:paraId="6785A109"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w:t>
      </w:r>
    </w:p>
    <w:p w14:paraId="0C7FBA3A" w14:textId="77777777" w:rsidR="000B3252" w:rsidRDefault="00000000">
      <w:pPr>
        <w:pStyle w:val="Heading4"/>
        <w:spacing w:line="360" w:lineRule="auto"/>
        <w:jc w:val="both"/>
        <w:rPr>
          <w:rFonts w:ascii="Times New Roman" w:hAnsi="Times New Roman" w:cs="Times New Roman"/>
          <w:color w:val="000000"/>
          <w:sz w:val="20"/>
          <w:szCs w:val="20"/>
        </w:rPr>
      </w:pPr>
      <w:r>
        <w:rPr>
          <w:rFonts w:ascii="Times New Roman" w:hAnsi="Times New Roman" w:cs="Times New Roman"/>
          <w:color w:val="000000"/>
          <w:sz w:val="20"/>
          <w:szCs w:val="20"/>
        </w:rPr>
        <w:t>Demographic Factors</w:t>
      </w:r>
      <w:bookmarkEnd w:id="11"/>
    </w:p>
    <w:p w14:paraId="1B180263"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Barcelona attracts a diverse mix of tourists, including European </w:t>
      </w:r>
      <w:proofErr w:type="spellStart"/>
      <w:r>
        <w:rPr>
          <w:rFonts w:ascii="Times New Roman" w:hAnsi="Times New Roman" w:cs="Times New Roman"/>
          <w:sz w:val="20"/>
          <w:szCs w:val="20"/>
        </w:rPr>
        <w:t>travelers</w:t>
      </w:r>
      <w:proofErr w:type="spellEnd"/>
      <w:r>
        <w:rPr>
          <w:rFonts w:ascii="Times New Roman" w:hAnsi="Times New Roman" w:cs="Times New Roman"/>
          <w:sz w:val="20"/>
          <w:szCs w:val="20"/>
        </w:rPr>
        <w:t xml:space="preserve"> (60%), North American visitors (15%), and growing Asian markets (10%). The millennial and Gen Z market is increasingly dominant, with over 50% </w:t>
      </w:r>
      <w:r>
        <w:rPr>
          <w:rFonts w:ascii="Times New Roman" w:hAnsi="Times New Roman" w:cs="Times New Roman"/>
          <w:sz w:val="20"/>
          <w:szCs w:val="20"/>
        </w:rPr>
        <w:lastRenderedPageBreak/>
        <w:t xml:space="preserve">preferring hotels that offer digital-first experiences and social media engagement (see Figure 1). Affluent middle-class tourists from China and India are expected to increase by 20% by 2026, creating opportunities for Hilton Barcelona to tailor its marketing strategies. Improving multi-language digital experiences, localized concierge services, and personalized rewards for younger </w:t>
      </w:r>
      <w:proofErr w:type="spellStart"/>
      <w:r>
        <w:rPr>
          <w:rFonts w:ascii="Times New Roman" w:hAnsi="Times New Roman" w:cs="Times New Roman"/>
          <w:sz w:val="20"/>
          <w:szCs w:val="20"/>
        </w:rPr>
        <w:t>travelers</w:t>
      </w:r>
      <w:proofErr w:type="spellEnd"/>
      <w:r>
        <w:rPr>
          <w:rFonts w:ascii="Times New Roman" w:hAnsi="Times New Roman" w:cs="Times New Roman"/>
          <w:sz w:val="20"/>
          <w:szCs w:val="20"/>
        </w:rPr>
        <w:t xml:space="preserve"> will ensure Hilton Barcelona remains relevant amid shifting global travel demographics.</w:t>
      </w:r>
    </w:p>
    <w:p w14:paraId="0320561A" w14:textId="77777777" w:rsidR="000B3252" w:rsidRDefault="00000000">
      <w:pPr>
        <w:spacing w:after="0" w:line="360" w:lineRule="auto"/>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18A087D9" wp14:editId="61885643">
            <wp:extent cx="4396740" cy="2157730"/>
            <wp:effectExtent l="0" t="0" r="0" b="0"/>
            <wp:docPr id="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1"/>
                    <pic:cNvPicPr>
                      <a:picLocks noChangeAspect="1"/>
                    </pic:cNvPicPr>
                  </pic:nvPicPr>
                  <pic:blipFill>
                    <a:blip r:embed="rId8"/>
                    <a:srcRect/>
                    <a:stretch>
                      <a:fillRect/>
                    </a:stretch>
                  </pic:blipFill>
                  <pic:spPr>
                    <a:xfrm>
                      <a:off x="0" y="0"/>
                      <a:ext cx="4396740" cy="2157730"/>
                    </a:xfrm>
                    <a:prstGeom prst="rect">
                      <a:avLst/>
                    </a:prstGeom>
                  </pic:spPr>
                </pic:pic>
              </a:graphicData>
            </a:graphic>
          </wp:inline>
        </w:drawing>
      </w:r>
    </w:p>
    <w:p w14:paraId="0A93D786" w14:textId="77777777" w:rsidR="000B3252" w:rsidRDefault="00000000">
      <w:pPr>
        <w:spacing w:after="0" w:line="360" w:lineRule="auto"/>
        <w:jc w:val="center"/>
        <w:rPr>
          <w:rFonts w:ascii="Times New Roman" w:hAnsi="Times New Roman" w:cs="Times New Roman"/>
          <w:b/>
          <w:bCs/>
          <w:sz w:val="20"/>
          <w:szCs w:val="20"/>
        </w:rPr>
      </w:pPr>
      <w:r>
        <w:rPr>
          <w:rFonts w:ascii="Times New Roman" w:hAnsi="Times New Roman" w:cs="Times New Roman"/>
          <w:b/>
          <w:bCs/>
          <w:sz w:val="20"/>
          <w:szCs w:val="20"/>
        </w:rPr>
        <w:t>Figure 1. Gen Z and millennial travel: The wanderlust generations.</w:t>
      </w:r>
    </w:p>
    <w:p w14:paraId="64BFEC5F" w14:textId="77777777" w:rsidR="000B3252" w:rsidRDefault="00000000">
      <w:pPr>
        <w:spacing w:after="0" w:line="360" w:lineRule="auto"/>
        <w:jc w:val="center"/>
        <w:rPr>
          <w:rFonts w:ascii="Times New Roman" w:hAnsi="Times New Roman" w:cs="Times New Roman"/>
          <w:sz w:val="20"/>
          <w:szCs w:val="20"/>
        </w:rPr>
      </w:pPr>
      <w:r>
        <w:rPr>
          <w:rFonts w:ascii="Times New Roman" w:hAnsi="Times New Roman" w:cs="Times New Roman"/>
          <w:sz w:val="20"/>
          <w:szCs w:val="20"/>
        </w:rPr>
        <w:t>Source: (Deloitte, 2019).</w:t>
      </w:r>
    </w:p>
    <w:p w14:paraId="31DBEE4A" w14:textId="77777777" w:rsidR="000B3252" w:rsidRDefault="00000000">
      <w:pPr>
        <w:pStyle w:val="Heading4"/>
        <w:spacing w:line="360" w:lineRule="auto"/>
        <w:jc w:val="both"/>
        <w:rPr>
          <w:rFonts w:ascii="Times New Roman" w:hAnsi="Times New Roman" w:cs="Times New Roman"/>
          <w:color w:val="000000"/>
          <w:sz w:val="20"/>
          <w:szCs w:val="20"/>
        </w:rPr>
      </w:pPr>
      <w:bookmarkStart w:id="12" w:name="_Toc25"/>
      <w:r>
        <w:rPr>
          <w:rFonts w:ascii="Times New Roman" w:hAnsi="Times New Roman" w:cs="Times New Roman"/>
          <w:color w:val="000000"/>
          <w:sz w:val="20"/>
          <w:szCs w:val="20"/>
        </w:rPr>
        <w:t>Lifestyle Factors</w:t>
      </w:r>
      <w:bookmarkEnd w:id="12"/>
    </w:p>
    <w:p w14:paraId="5D516C1D"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Hilton Barcelona should introduce co-working spaces, flexible check-in policies, and extended stay incentives to attract digital nomads. Wellness tourism is also growing, with the global wellness hospitality market projected to reach $1.9 trillion by 2032 (see Figure 2). Including spa offerings, mindfulness programs, and eco-conscious wellness retreats will cater to this emerging segment. Aligning Hilton's services with health-conscious, experience-driven, and flexible lifestyle trends will drive higher occupancy rates.</w:t>
      </w:r>
    </w:p>
    <w:p w14:paraId="17AD8F92" w14:textId="77777777" w:rsidR="000B3252" w:rsidRDefault="00000000">
      <w:pPr>
        <w:spacing w:after="0" w:line="360" w:lineRule="auto"/>
        <w:jc w:val="center"/>
        <w:rPr>
          <w:rFonts w:ascii="Times New Roman" w:hAnsi="Times New Roman" w:cs="Times New Roman"/>
          <w:b/>
          <w:bCs/>
          <w:sz w:val="20"/>
          <w:szCs w:val="20"/>
        </w:rPr>
      </w:pPr>
      <w:r>
        <w:rPr>
          <w:rFonts w:ascii="Times New Roman" w:hAnsi="Times New Roman" w:cs="Times New Roman"/>
          <w:b/>
          <w:bCs/>
          <w:noProof/>
          <w:sz w:val="20"/>
          <w:szCs w:val="20"/>
        </w:rPr>
        <w:drawing>
          <wp:inline distT="0" distB="0" distL="0" distR="0" wp14:anchorId="46623EA7" wp14:editId="420A5F3D">
            <wp:extent cx="3773170" cy="2265680"/>
            <wp:effectExtent l="0" t="0" r="0" b="0"/>
            <wp:docPr id="6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2"/>
                    <pic:cNvPicPr>
                      <a:picLocks noChangeAspect="1"/>
                    </pic:cNvPicPr>
                  </pic:nvPicPr>
                  <pic:blipFill>
                    <a:blip r:embed="rId9"/>
                    <a:srcRect/>
                    <a:stretch>
                      <a:fillRect/>
                    </a:stretch>
                  </pic:blipFill>
                  <pic:spPr>
                    <a:xfrm>
                      <a:off x="0" y="0"/>
                      <a:ext cx="3773170" cy="2265680"/>
                    </a:xfrm>
                    <a:prstGeom prst="rect">
                      <a:avLst/>
                    </a:prstGeom>
                  </pic:spPr>
                </pic:pic>
              </a:graphicData>
            </a:graphic>
          </wp:inline>
        </w:drawing>
      </w:r>
    </w:p>
    <w:p w14:paraId="78699141" w14:textId="77777777" w:rsidR="000B3252" w:rsidRDefault="00000000">
      <w:pPr>
        <w:spacing w:after="0" w:line="360" w:lineRule="auto"/>
        <w:jc w:val="center"/>
        <w:rPr>
          <w:rFonts w:ascii="Times New Roman" w:hAnsi="Times New Roman" w:cs="Times New Roman"/>
          <w:sz w:val="20"/>
          <w:szCs w:val="20"/>
        </w:rPr>
      </w:pPr>
      <w:r>
        <w:rPr>
          <w:rFonts w:ascii="Times New Roman" w:hAnsi="Times New Roman" w:cs="Times New Roman"/>
          <w:b/>
          <w:bCs/>
          <w:sz w:val="20"/>
          <w:szCs w:val="20"/>
        </w:rPr>
        <w:t xml:space="preserve">Figure 2. Global Wellness Tourism Market </w:t>
      </w:r>
    </w:p>
    <w:p w14:paraId="04F653D1" w14:textId="77777777" w:rsidR="000B3252" w:rsidRDefault="00000000">
      <w:pPr>
        <w:spacing w:after="0" w:line="360" w:lineRule="auto"/>
        <w:jc w:val="center"/>
        <w:rPr>
          <w:rFonts w:ascii="Times New Roman" w:hAnsi="Times New Roman" w:cs="Times New Roman"/>
          <w:sz w:val="20"/>
          <w:szCs w:val="20"/>
        </w:rPr>
      </w:pPr>
      <w:r>
        <w:rPr>
          <w:rFonts w:ascii="Times New Roman" w:hAnsi="Times New Roman" w:cs="Times New Roman"/>
          <w:sz w:val="20"/>
          <w:szCs w:val="20"/>
        </w:rPr>
        <w:t>Source: (Deb, 2024).</w:t>
      </w:r>
    </w:p>
    <w:p w14:paraId="78FA2D4C" w14:textId="77777777" w:rsidR="000B3252" w:rsidRDefault="000B3252">
      <w:pPr>
        <w:spacing w:after="0" w:line="360" w:lineRule="auto"/>
        <w:jc w:val="center"/>
        <w:rPr>
          <w:rFonts w:ascii="Times New Roman" w:hAnsi="Times New Roman" w:cs="Times New Roman"/>
          <w:sz w:val="20"/>
          <w:szCs w:val="20"/>
        </w:rPr>
      </w:pPr>
    </w:p>
    <w:p w14:paraId="30A8BB8A"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The hospitality industry is going through big changes because of changes in lifestyles like wellness tourism, experiential travel, and working from home. As more people work from home, there is a greater need for </w:t>
      </w:r>
      <w:r>
        <w:rPr>
          <w:rFonts w:ascii="Times New Roman" w:hAnsi="Times New Roman" w:cs="Times New Roman"/>
          <w:sz w:val="20"/>
          <w:szCs w:val="20"/>
        </w:rPr>
        <w:lastRenderedPageBreak/>
        <w:t>"workation" packages that combine work and play. Exploding Topics reported that more than half of travellers said they would be happy to extend their business trips to spend more time enjoying themselves at their destinations. Hilton Barcelona could offer co-working spaces, flexible check-in policies, and incentives for longer stays to draw digital nomads. This would align the hotel's services with the needs of remote workers looking for places to work and relax (Howarth, 2024). At the same time, wellness travel is growing very quickly. In 2022, the global health tourism market was worth about $822.3 billion. By 2032, it is expected to be worth about $1,922.2 billion, thanks to a 9.1% annual growth rate (CAGR) (Business Research, 2024). To attract this new group of people, Hilton Barcelona could improve its spa services, start mindfulness programs, and create wellness getaways that are good for the environment. Business Research (2024) also says that if the hotel's services are in line with living trends like being health-conscious, adventure-driven, and flexible, it will likely get more guests and make repeat customers.</w:t>
      </w:r>
    </w:p>
    <w:p w14:paraId="542F6B95" w14:textId="77777777" w:rsidR="000B3252" w:rsidRDefault="00000000">
      <w:pPr>
        <w:pStyle w:val="Heading3"/>
        <w:spacing w:line="360" w:lineRule="auto"/>
        <w:jc w:val="both"/>
        <w:rPr>
          <w:rFonts w:ascii="Times New Roman" w:hAnsi="Times New Roman" w:cs="Times New Roman"/>
          <w:color w:val="000000"/>
          <w:sz w:val="20"/>
          <w:szCs w:val="20"/>
        </w:rPr>
      </w:pPr>
      <w:bookmarkStart w:id="13" w:name="_Toc10"/>
      <w:r>
        <w:rPr>
          <w:rFonts w:ascii="Times New Roman" w:hAnsi="Times New Roman" w:cs="Times New Roman"/>
          <w:color w:val="000000"/>
          <w:sz w:val="20"/>
          <w:szCs w:val="20"/>
        </w:rPr>
        <w:t>SOAR analysis</w:t>
      </w:r>
      <w:bookmarkEnd w:id="13"/>
      <w:r>
        <w:rPr>
          <w:rFonts w:ascii="Times New Roman" w:hAnsi="Times New Roman" w:cs="Times New Roman"/>
          <w:color w:val="000000"/>
          <w:sz w:val="20"/>
          <w:szCs w:val="20"/>
        </w:rPr>
        <w:t xml:space="preserve"> </w:t>
      </w:r>
    </w:p>
    <w:p w14:paraId="3A3F13C9"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The SOAR framework evaluates Hilton Barcelona’s internal strengths and opportunities, enabling the development of targeted strategies for service innovation.</w:t>
      </w:r>
    </w:p>
    <w:tbl>
      <w:tblPr>
        <w:tblStyle w:val="TableGrid"/>
        <w:tblW w:w="8096" w:type="dxa"/>
        <w:tblInd w:w="458" w:type="dxa"/>
        <w:tblLayout w:type="fixed"/>
        <w:tblCellMar>
          <w:top w:w="10" w:type="dxa"/>
          <w:left w:w="10" w:type="dxa"/>
          <w:bottom w:w="10" w:type="dxa"/>
          <w:right w:w="10" w:type="dxa"/>
        </w:tblCellMar>
        <w:tblLook w:val="0A30" w:firstRow="1" w:lastRow="0" w:firstColumn="0" w:lastColumn="0" w:noHBand="1" w:noVBand="0"/>
      </w:tblPr>
      <w:tblGrid>
        <w:gridCol w:w="3603"/>
        <w:gridCol w:w="4493"/>
      </w:tblGrid>
      <w:tr w:rsidR="000B3252" w14:paraId="3812BEE5" w14:textId="77777777">
        <w:tc>
          <w:tcPr>
            <w:tcW w:w="3603" w:type="dxa"/>
          </w:tcPr>
          <w:p w14:paraId="20E6EC00"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b/>
                <w:bCs/>
                <w:sz w:val="20"/>
                <w:szCs w:val="20"/>
              </w:rPr>
            </w:pPr>
            <w:r>
              <w:rPr>
                <w:rFonts w:ascii="Times New Roman" w:hAnsi="Times New Roman" w:cs="Times New Roman"/>
                <w:b/>
                <w:bCs/>
                <w:sz w:val="20"/>
                <w:szCs w:val="20"/>
              </w:rPr>
              <w:t>Strengths</w:t>
            </w:r>
          </w:p>
        </w:tc>
        <w:tc>
          <w:tcPr>
            <w:tcW w:w="4493" w:type="dxa"/>
          </w:tcPr>
          <w:p w14:paraId="55F877A4"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b/>
                <w:bCs/>
                <w:sz w:val="20"/>
                <w:szCs w:val="20"/>
              </w:rPr>
            </w:pPr>
            <w:r>
              <w:rPr>
                <w:rFonts w:ascii="Times New Roman" w:hAnsi="Times New Roman" w:cs="Times New Roman"/>
                <w:b/>
                <w:bCs/>
                <w:sz w:val="20"/>
                <w:szCs w:val="20"/>
              </w:rPr>
              <w:t>Opportunities</w:t>
            </w:r>
          </w:p>
        </w:tc>
      </w:tr>
      <w:tr w:rsidR="000B3252" w14:paraId="33BD1A85" w14:textId="77777777">
        <w:tc>
          <w:tcPr>
            <w:tcW w:w="3603" w:type="dxa"/>
          </w:tcPr>
          <w:p w14:paraId="42323BBF"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Strong brand recognition and global customer base through Hilton Worldwide Holdings Inc.</w:t>
            </w:r>
          </w:p>
        </w:tc>
        <w:tc>
          <w:tcPr>
            <w:tcW w:w="4493" w:type="dxa"/>
          </w:tcPr>
          <w:p w14:paraId="1C2ADF16"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AI-driven personalisation and smart room technologies to improve guest experience.</w:t>
            </w:r>
          </w:p>
        </w:tc>
      </w:tr>
      <w:tr w:rsidR="000B3252" w14:paraId="4E64992E" w14:textId="77777777">
        <w:tc>
          <w:tcPr>
            <w:tcW w:w="3603" w:type="dxa"/>
          </w:tcPr>
          <w:p w14:paraId="78AF3DC0"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Established Hilton Honors loyalty programme encouraging repeat business.</w:t>
            </w:r>
          </w:p>
        </w:tc>
        <w:tc>
          <w:tcPr>
            <w:tcW w:w="4493" w:type="dxa"/>
          </w:tcPr>
          <w:p w14:paraId="75E0DBFE"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Expansion of sustainability initiatives such as energy-efficient infrastructure and waste reduction.</w:t>
            </w:r>
          </w:p>
        </w:tc>
      </w:tr>
      <w:tr w:rsidR="000B3252" w14:paraId="7D85C1D6" w14:textId="77777777">
        <w:tc>
          <w:tcPr>
            <w:tcW w:w="3603" w:type="dxa"/>
          </w:tcPr>
          <w:p w14:paraId="045567EF"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Prime location in Barcelona’s business and tourism hub.</w:t>
            </w:r>
          </w:p>
        </w:tc>
        <w:tc>
          <w:tcPr>
            <w:tcW w:w="4493" w:type="dxa"/>
          </w:tcPr>
          <w:p w14:paraId="5B80F6B7"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Strategic partnerships with local businesses and cultural institutions to create unique guest experiences.</w:t>
            </w:r>
          </w:p>
        </w:tc>
      </w:tr>
      <w:tr w:rsidR="000B3252" w14:paraId="0D32F118" w14:textId="77777777">
        <w:tc>
          <w:tcPr>
            <w:tcW w:w="3603" w:type="dxa"/>
          </w:tcPr>
          <w:p w14:paraId="0F6A3C83"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High-end event spaces and premium dining options.</w:t>
            </w:r>
          </w:p>
        </w:tc>
        <w:tc>
          <w:tcPr>
            <w:tcW w:w="4493" w:type="dxa"/>
          </w:tcPr>
          <w:p w14:paraId="79A0142D"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Implementation of automated check-in/check-out systems for improved efficiency.</w:t>
            </w:r>
          </w:p>
        </w:tc>
      </w:tr>
    </w:tbl>
    <w:p w14:paraId="7657EB2D" w14:textId="77777777" w:rsidR="000B3252" w:rsidRDefault="00000000">
      <w:pPr>
        <w:jc w:val="center"/>
        <w:rPr>
          <w:rFonts w:ascii="Times New Roman" w:hAnsi="Times New Roman" w:cs="Times New Roman"/>
          <w:b/>
          <w:bCs/>
          <w:sz w:val="20"/>
          <w:szCs w:val="20"/>
        </w:rPr>
      </w:pPr>
      <w:bookmarkStart w:id="14" w:name="_Toc32"/>
      <w:r>
        <w:rPr>
          <w:rFonts w:ascii="Times New Roman" w:hAnsi="Times New Roman" w:cs="Times New Roman"/>
          <w:b/>
          <w:bCs/>
          <w:sz w:val="20"/>
          <w:szCs w:val="20"/>
        </w:rPr>
        <w:t>Table 2. SOAR analysis</w:t>
      </w:r>
      <w:bookmarkEnd w:id="14"/>
      <w:r>
        <w:rPr>
          <w:rFonts w:ascii="Times New Roman" w:hAnsi="Times New Roman" w:cs="Times New Roman"/>
          <w:b/>
          <w:bCs/>
          <w:sz w:val="20"/>
          <w:szCs w:val="20"/>
        </w:rPr>
        <w:t xml:space="preserve"> </w:t>
      </w:r>
    </w:p>
    <w:p w14:paraId="25E605CD" w14:textId="77777777" w:rsidR="000B3252" w:rsidRDefault="00000000">
      <w:pPr>
        <w:spacing w:after="0" w:line="360" w:lineRule="auto"/>
        <w:jc w:val="center"/>
        <w:rPr>
          <w:rFonts w:ascii="Times New Roman" w:hAnsi="Times New Roman" w:cs="Times New Roman"/>
          <w:sz w:val="20"/>
          <w:szCs w:val="20"/>
        </w:rPr>
      </w:pPr>
      <w:r>
        <w:rPr>
          <w:rFonts w:ascii="Times New Roman" w:hAnsi="Times New Roman" w:cs="Times New Roman"/>
          <w:sz w:val="20"/>
          <w:szCs w:val="20"/>
        </w:rPr>
        <w:t>Source: (created by the learner).</w:t>
      </w:r>
    </w:p>
    <w:p w14:paraId="0479450B" w14:textId="77777777" w:rsidR="000B3252" w:rsidRDefault="000B3252">
      <w:pPr>
        <w:spacing w:after="0" w:line="360" w:lineRule="auto"/>
        <w:jc w:val="center"/>
        <w:rPr>
          <w:rFonts w:ascii="Times New Roman" w:hAnsi="Times New Roman" w:cs="Times New Roman"/>
          <w:sz w:val="20"/>
          <w:szCs w:val="20"/>
        </w:rPr>
      </w:pPr>
    </w:p>
    <w:p w14:paraId="3B5A79FC"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Hilton Barcelona leverages the brand </w:t>
      </w:r>
      <w:proofErr w:type="spellStart"/>
      <w:r>
        <w:rPr>
          <w:rFonts w:ascii="Times New Roman" w:hAnsi="Times New Roman" w:cs="Times New Roman"/>
          <w:sz w:val="20"/>
          <w:szCs w:val="20"/>
        </w:rPr>
        <w:t>brand</w:t>
      </w:r>
      <w:proofErr w:type="spellEnd"/>
      <w:r>
        <w:rPr>
          <w:rFonts w:ascii="Times New Roman" w:hAnsi="Times New Roman" w:cs="Times New Roman"/>
          <w:sz w:val="20"/>
          <w:szCs w:val="20"/>
        </w:rPr>
        <w:t xml:space="preserve"> recognition of Hilton Worldwide Holdings Inc., which was valued at $11.6 billion in 2024, maintaining its position as the world's most valuable hotel brand for the ninth consecutive year (see Figure 3). In the United States, Hilton enjoys an 86% brand awareness among hotel customers, reflecting its extensive global reach. </w:t>
      </w:r>
    </w:p>
    <w:p w14:paraId="19067ADC" w14:textId="77777777" w:rsidR="000B3252" w:rsidRDefault="00000000">
      <w:pPr>
        <w:spacing w:after="0" w:line="240" w:lineRule="auto"/>
        <w:jc w:val="center"/>
        <w:rPr>
          <w:rFonts w:ascii="Times New Roman" w:hAnsi="Times New Roman" w:cs="Times New Roman"/>
          <w:b/>
          <w:bCs/>
          <w:sz w:val="20"/>
          <w:szCs w:val="20"/>
        </w:rPr>
      </w:pPr>
      <w:r>
        <w:rPr>
          <w:rFonts w:ascii="Times New Roman" w:hAnsi="Times New Roman" w:cs="Times New Roman"/>
          <w:b/>
          <w:bCs/>
          <w:noProof/>
          <w:sz w:val="20"/>
          <w:szCs w:val="20"/>
        </w:rPr>
        <w:lastRenderedPageBreak/>
        <w:drawing>
          <wp:inline distT="0" distB="0" distL="0" distR="0" wp14:anchorId="22F48772" wp14:editId="19FCE38D">
            <wp:extent cx="4959985" cy="2352675"/>
            <wp:effectExtent l="0" t="0" r="0" b="0"/>
            <wp:docPr id="61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33"/>
                    <pic:cNvPicPr>
                      <a:picLocks noChangeAspect="1"/>
                    </pic:cNvPicPr>
                  </pic:nvPicPr>
                  <pic:blipFill>
                    <a:blip r:embed="rId10"/>
                    <a:srcRect l="-413" t="743" r="415" b="14166"/>
                    <a:stretch/>
                  </pic:blipFill>
                  <pic:spPr>
                    <a:xfrm>
                      <a:off x="0" y="0"/>
                      <a:ext cx="4959985" cy="2353310"/>
                    </a:xfrm>
                    <a:prstGeom prst="rect">
                      <a:avLst/>
                    </a:prstGeom>
                  </pic:spPr>
                </pic:pic>
              </a:graphicData>
            </a:graphic>
          </wp:inline>
        </w:drawing>
      </w:r>
    </w:p>
    <w:p w14:paraId="28A41A3F" w14:textId="77777777" w:rsidR="000B3252" w:rsidRDefault="00000000">
      <w:pPr>
        <w:spacing w:after="0" w:line="240" w:lineRule="auto"/>
        <w:jc w:val="center"/>
        <w:rPr>
          <w:rFonts w:ascii="Times New Roman" w:hAnsi="Times New Roman" w:cs="Times New Roman"/>
          <w:b/>
          <w:bCs/>
          <w:sz w:val="20"/>
          <w:szCs w:val="20"/>
        </w:rPr>
      </w:pPr>
      <w:r>
        <w:rPr>
          <w:rFonts w:ascii="Times New Roman" w:hAnsi="Times New Roman" w:cs="Times New Roman"/>
          <w:b/>
          <w:bCs/>
          <w:sz w:val="20"/>
          <w:szCs w:val="20"/>
        </w:rPr>
        <w:t>Figure 3 Hilton`s brand recognition</w:t>
      </w:r>
    </w:p>
    <w:p w14:paraId="3A8FB1F0" w14:textId="77777777" w:rsidR="000B3252" w:rsidRDefault="00000000">
      <w:pPr>
        <w:spacing w:after="0" w:line="240" w:lineRule="auto"/>
        <w:jc w:val="center"/>
        <w:rPr>
          <w:rFonts w:ascii="Times New Roman" w:hAnsi="Times New Roman" w:cs="Times New Roman"/>
          <w:sz w:val="20"/>
          <w:szCs w:val="20"/>
        </w:rPr>
      </w:pPr>
      <w:r>
        <w:rPr>
          <w:rFonts w:ascii="Times New Roman" w:hAnsi="Times New Roman" w:cs="Times New Roman"/>
          <w:sz w:val="20"/>
          <w:szCs w:val="20"/>
        </w:rPr>
        <w:t>Source: (Hertzfeld, 2024).</w:t>
      </w:r>
    </w:p>
    <w:p w14:paraId="35AA0FDE" w14:textId="77777777" w:rsidR="000B3252" w:rsidRDefault="000B3252">
      <w:pPr>
        <w:spacing w:after="0" w:line="360" w:lineRule="auto"/>
        <w:jc w:val="center"/>
        <w:rPr>
          <w:rFonts w:ascii="Times New Roman" w:hAnsi="Times New Roman" w:cs="Times New Roman"/>
          <w:sz w:val="20"/>
          <w:szCs w:val="20"/>
        </w:rPr>
      </w:pPr>
    </w:p>
    <w:p w14:paraId="582F7CA8"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The Hilton Honors loyalty program significantly improves customer retention and encourages repeat visits. Moreover, the Hilton Honors loyalty program is a structured membership system designed to incentivize repeat stays and customer loyalty within Hilton’s hotel portfolio (see Figure 4). This tiered program provides increasing benefits as customers accumulate more nights, reflecting a strategic approach to customer retention, increased revenue generation, and competitive positioning against other hotel loyalty programs such as Marriott Bonvoy and World of Hyatt. As of 2024, the program boasts over 210 million members worldwide, offering benefits such as exclusive discounts, free Wi-Fi, and the ability to earn points toward free nights. </w:t>
      </w:r>
    </w:p>
    <w:p w14:paraId="30CE1E09" w14:textId="77777777" w:rsidR="000B3252" w:rsidRDefault="00000000">
      <w:pPr>
        <w:spacing w:after="0" w:line="240" w:lineRule="auto"/>
        <w:jc w:val="center"/>
        <w:rPr>
          <w:rFonts w:ascii="Times New Roman" w:hAnsi="Times New Roman" w:cs="Times New Roman"/>
          <w:b/>
          <w:bCs/>
          <w:sz w:val="20"/>
          <w:szCs w:val="20"/>
        </w:rPr>
      </w:pPr>
      <w:r>
        <w:rPr>
          <w:rFonts w:ascii="Times New Roman" w:hAnsi="Times New Roman" w:cs="Times New Roman"/>
          <w:b/>
          <w:bCs/>
          <w:noProof/>
          <w:sz w:val="20"/>
          <w:szCs w:val="20"/>
        </w:rPr>
        <w:drawing>
          <wp:inline distT="0" distB="0" distL="0" distR="0" wp14:anchorId="15B26879" wp14:editId="785EB209">
            <wp:extent cx="4924425" cy="3495040"/>
            <wp:effectExtent l="0" t="0" r="0" b="0"/>
            <wp:docPr id="6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3"/>
                    <pic:cNvPicPr>
                      <a:picLocks noChangeAspect="1"/>
                    </pic:cNvPicPr>
                  </pic:nvPicPr>
                  <pic:blipFill>
                    <a:blip r:embed="rId11"/>
                    <a:srcRect/>
                    <a:stretch>
                      <a:fillRect/>
                    </a:stretch>
                  </pic:blipFill>
                  <pic:spPr>
                    <a:xfrm>
                      <a:off x="0" y="0"/>
                      <a:ext cx="4924425" cy="3495040"/>
                    </a:xfrm>
                    <a:prstGeom prst="rect">
                      <a:avLst/>
                    </a:prstGeom>
                  </pic:spPr>
                </pic:pic>
              </a:graphicData>
            </a:graphic>
          </wp:inline>
        </w:drawing>
      </w:r>
    </w:p>
    <w:p w14:paraId="6E631369" w14:textId="77777777" w:rsidR="000B3252" w:rsidRDefault="00000000">
      <w:pPr>
        <w:spacing w:after="0" w:line="240" w:lineRule="auto"/>
        <w:jc w:val="center"/>
        <w:rPr>
          <w:rFonts w:ascii="Times New Roman" w:hAnsi="Times New Roman" w:cs="Times New Roman"/>
          <w:b/>
          <w:bCs/>
          <w:sz w:val="20"/>
          <w:szCs w:val="20"/>
        </w:rPr>
      </w:pPr>
      <w:r>
        <w:rPr>
          <w:rFonts w:ascii="Times New Roman" w:hAnsi="Times New Roman" w:cs="Times New Roman"/>
          <w:b/>
          <w:bCs/>
          <w:sz w:val="20"/>
          <w:szCs w:val="20"/>
        </w:rPr>
        <w:t>Figure 4. Perks with Hilton Honour</w:t>
      </w:r>
    </w:p>
    <w:p w14:paraId="69ECA2AC" w14:textId="77777777" w:rsidR="000B3252" w:rsidRDefault="00000000">
      <w:pPr>
        <w:spacing w:after="0" w:line="240" w:lineRule="auto"/>
        <w:jc w:val="center"/>
        <w:rPr>
          <w:rFonts w:ascii="Times New Roman" w:hAnsi="Times New Roman" w:cs="Times New Roman"/>
          <w:sz w:val="20"/>
          <w:szCs w:val="20"/>
        </w:rPr>
      </w:pPr>
      <w:r>
        <w:rPr>
          <w:rFonts w:ascii="Times New Roman" w:hAnsi="Times New Roman" w:cs="Times New Roman"/>
          <w:sz w:val="20"/>
          <w:szCs w:val="20"/>
        </w:rPr>
        <w:t>Source: (Hilton.com).</w:t>
      </w:r>
    </w:p>
    <w:p w14:paraId="36298052" w14:textId="77777777" w:rsidR="000B3252" w:rsidRDefault="000B3252">
      <w:pPr>
        <w:spacing w:after="0" w:line="240" w:lineRule="auto"/>
        <w:jc w:val="center"/>
        <w:rPr>
          <w:rFonts w:ascii="Times New Roman" w:hAnsi="Times New Roman" w:cs="Times New Roman"/>
          <w:sz w:val="20"/>
          <w:szCs w:val="20"/>
        </w:rPr>
      </w:pPr>
    </w:p>
    <w:p w14:paraId="712C897A"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Strategically situated on </w:t>
      </w:r>
      <w:proofErr w:type="spellStart"/>
      <w:r>
        <w:rPr>
          <w:rFonts w:ascii="Times New Roman" w:hAnsi="Times New Roman" w:cs="Times New Roman"/>
          <w:sz w:val="20"/>
          <w:szCs w:val="20"/>
        </w:rPr>
        <w:t>Avinguda</w:t>
      </w:r>
      <w:proofErr w:type="spellEnd"/>
      <w:r>
        <w:rPr>
          <w:rFonts w:ascii="Times New Roman" w:hAnsi="Times New Roman" w:cs="Times New Roman"/>
          <w:sz w:val="20"/>
          <w:szCs w:val="20"/>
        </w:rPr>
        <w:t xml:space="preserve"> Diagonal, Hilton Barcelona is nestled in the city's prime business and tourism district (see Appendix 2). This location provides easy access to luxury shops, upscale restaurants, and </w:t>
      </w:r>
      <w:r>
        <w:rPr>
          <w:rFonts w:ascii="Times New Roman" w:hAnsi="Times New Roman" w:cs="Times New Roman"/>
          <w:sz w:val="20"/>
          <w:szCs w:val="20"/>
        </w:rPr>
        <w:lastRenderedPageBreak/>
        <w:t xml:space="preserve">major attractions, appealing to both leisure and corporate </w:t>
      </w:r>
      <w:proofErr w:type="spellStart"/>
      <w:r>
        <w:rPr>
          <w:rFonts w:ascii="Times New Roman" w:hAnsi="Times New Roman" w:cs="Times New Roman"/>
          <w:sz w:val="20"/>
          <w:szCs w:val="20"/>
        </w:rPr>
        <w:t>travelers</w:t>
      </w:r>
      <w:proofErr w:type="spellEnd"/>
      <w:r>
        <w:rPr>
          <w:rFonts w:ascii="Times New Roman" w:hAnsi="Times New Roman" w:cs="Times New Roman"/>
          <w:sz w:val="20"/>
          <w:szCs w:val="20"/>
        </w:rPr>
        <w:t xml:space="preserve">. The hotel features 18 versatile meeting rooms, accommodating various events from conventions to gala dinners, further differentiating it in the market. Additionally, customers can enjoy premium dining facilities, including on-site restaurants that offer Mediterranean flavours, enhancing the overall guest experience. </w:t>
      </w:r>
    </w:p>
    <w:p w14:paraId="54A2F64B"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Opportunities for Hilton Barcelona include leveraging AI-driven personalization to improve guest interactions and improve service delivery. Implementing smart room technologies, automated check-in/check-out systems, and personalized marketing initiatives can increase guest satisfaction and operational efficiency (</w:t>
      </w:r>
      <w:proofErr w:type="spellStart"/>
      <w:r>
        <w:rPr>
          <w:rFonts w:ascii="Times New Roman" w:hAnsi="Times New Roman" w:cs="Times New Roman"/>
          <w:sz w:val="20"/>
          <w:szCs w:val="20"/>
        </w:rPr>
        <w:t>Mbarushimana</w:t>
      </w:r>
      <w:proofErr w:type="spellEnd"/>
      <w:r>
        <w:rPr>
          <w:rFonts w:ascii="Times New Roman" w:hAnsi="Times New Roman" w:cs="Times New Roman"/>
          <w:sz w:val="20"/>
          <w:szCs w:val="20"/>
        </w:rPr>
        <w:t>, 2024). Expanding sustainability initiatives, such as energy-efficient infrastructure and waste reduction programs, aligns with evolving consumer preferences and regulatory expectations. Forming strategic partnerships with local businesses, cultural institutions, and travel platforms can create unique guest experiences and improve market appeal (Wang and Chen, 2024).</w:t>
      </w:r>
    </w:p>
    <w:p w14:paraId="0ACF8785" w14:textId="77777777" w:rsidR="000B3252" w:rsidRDefault="00000000">
      <w:pPr>
        <w:pStyle w:val="Heading3"/>
        <w:spacing w:line="360" w:lineRule="auto"/>
        <w:jc w:val="both"/>
        <w:rPr>
          <w:rFonts w:ascii="Times New Roman" w:hAnsi="Times New Roman" w:cs="Times New Roman"/>
          <w:color w:val="000000"/>
          <w:sz w:val="20"/>
          <w:szCs w:val="20"/>
        </w:rPr>
      </w:pPr>
      <w:bookmarkStart w:id="15" w:name="_Toc11"/>
      <w:r>
        <w:rPr>
          <w:rFonts w:ascii="Times New Roman" w:hAnsi="Times New Roman" w:cs="Times New Roman"/>
          <w:color w:val="000000"/>
          <w:sz w:val="20"/>
          <w:szCs w:val="20"/>
        </w:rPr>
        <w:t>TOWS analysis</w:t>
      </w:r>
      <w:bookmarkEnd w:id="15"/>
      <w:r>
        <w:rPr>
          <w:rFonts w:ascii="Times New Roman" w:hAnsi="Times New Roman" w:cs="Times New Roman"/>
          <w:color w:val="000000"/>
          <w:sz w:val="20"/>
          <w:szCs w:val="20"/>
        </w:rPr>
        <w:t xml:space="preserve"> </w:t>
      </w:r>
    </w:p>
    <w:p w14:paraId="568EBED9"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A TOWS analysis aligns Hilton Barcelona’s internal weaknesses with external opportunities and threats to formulate strategic recommendations.</w:t>
      </w:r>
    </w:p>
    <w:tbl>
      <w:tblPr>
        <w:tblStyle w:val="TableGrid"/>
        <w:tblW w:w="8951" w:type="dxa"/>
        <w:tblLayout w:type="fixed"/>
        <w:tblCellMar>
          <w:top w:w="10" w:type="dxa"/>
          <w:left w:w="10" w:type="dxa"/>
          <w:bottom w:w="10" w:type="dxa"/>
          <w:right w:w="10" w:type="dxa"/>
        </w:tblCellMar>
        <w:tblLook w:val="0A30" w:firstRow="1" w:lastRow="0" w:firstColumn="0" w:lastColumn="0" w:noHBand="1" w:noVBand="0"/>
      </w:tblPr>
      <w:tblGrid>
        <w:gridCol w:w="4066"/>
        <w:gridCol w:w="4885"/>
      </w:tblGrid>
      <w:tr w:rsidR="000B3252" w14:paraId="081DB46F" w14:textId="77777777">
        <w:tc>
          <w:tcPr>
            <w:tcW w:w="4066" w:type="dxa"/>
          </w:tcPr>
          <w:p w14:paraId="3D3C7A40"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b/>
                <w:bCs/>
                <w:sz w:val="20"/>
                <w:szCs w:val="20"/>
              </w:rPr>
            </w:pPr>
            <w:r>
              <w:rPr>
                <w:rFonts w:ascii="Times New Roman" w:hAnsi="Times New Roman" w:cs="Times New Roman"/>
                <w:b/>
                <w:bCs/>
                <w:sz w:val="20"/>
                <w:szCs w:val="20"/>
              </w:rPr>
              <w:t>Weaknesses</w:t>
            </w:r>
          </w:p>
        </w:tc>
        <w:tc>
          <w:tcPr>
            <w:tcW w:w="4885" w:type="dxa"/>
          </w:tcPr>
          <w:p w14:paraId="542AC6E9"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b/>
                <w:bCs/>
                <w:sz w:val="20"/>
                <w:szCs w:val="20"/>
              </w:rPr>
            </w:pPr>
            <w:r>
              <w:rPr>
                <w:rFonts w:ascii="Times New Roman" w:hAnsi="Times New Roman" w:cs="Times New Roman"/>
                <w:b/>
                <w:bCs/>
                <w:sz w:val="20"/>
                <w:szCs w:val="20"/>
              </w:rPr>
              <w:t>Opportunities</w:t>
            </w:r>
          </w:p>
        </w:tc>
      </w:tr>
      <w:tr w:rsidR="000B3252" w14:paraId="7426BD5E" w14:textId="77777777">
        <w:tc>
          <w:tcPr>
            <w:tcW w:w="4066" w:type="dxa"/>
          </w:tcPr>
          <w:p w14:paraId="769FCD5A"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Dependence on traditional service models that may limit efficiency.</w:t>
            </w:r>
          </w:p>
        </w:tc>
        <w:tc>
          <w:tcPr>
            <w:tcW w:w="4885" w:type="dxa"/>
          </w:tcPr>
          <w:p w14:paraId="6B95FD63"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Investment in digital transformation, including AI chatbots and predictive analytics.</w:t>
            </w:r>
          </w:p>
        </w:tc>
      </w:tr>
      <w:tr w:rsidR="000B3252" w14:paraId="13DB5457" w14:textId="77777777">
        <w:tc>
          <w:tcPr>
            <w:tcW w:w="4066" w:type="dxa"/>
          </w:tcPr>
          <w:p w14:paraId="0D3BA97A"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High operational costs impacting financial sustainability.</w:t>
            </w:r>
          </w:p>
        </w:tc>
        <w:tc>
          <w:tcPr>
            <w:tcW w:w="4885" w:type="dxa"/>
          </w:tcPr>
          <w:p w14:paraId="44E15735"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Sustainability initiatives to reduce energy consumption and operational expenses.</w:t>
            </w:r>
          </w:p>
        </w:tc>
      </w:tr>
      <w:tr w:rsidR="000B3252" w14:paraId="595ABA03" w14:textId="77777777">
        <w:tc>
          <w:tcPr>
            <w:tcW w:w="4066" w:type="dxa"/>
          </w:tcPr>
          <w:p w14:paraId="603F370A"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Need for continuous staff training to meet evolving guest expectations.</w:t>
            </w:r>
          </w:p>
        </w:tc>
        <w:tc>
          <w:tcPr>
            <w:tcW w:w="4885" w:type="dxa"/>
          </w:tcPr>
          <w:p w14:paraId="742F65A1"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Improved employee engagement and service training programmes.</w:t>
            </w:r>
          </w:p>
        </w:tc>
      </w:tr>
      <w:tr w:rsidR="000B3252" w14:paraId="05BC05E1" w14:textId="77777777">
        <w:trPr>
          <w:trHeight w:val="296"/>
        </w:trPr>
        <w:tc>
          <w:tcPr>
            <w:tcW w:w="4066" w:type="dxa"/>
          </w:tcPr>
          <w:p w14:paraId="089EEDEB"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b/>
                <w:bCs/>
                <w:sz w:val="20"/>
                <w:szCs w:val="20"/>
              </w:rPr>
            </w:pPr>
            <w:r>
              <w:rPr>
                <w:rFonts w:ascii="Times New Roman" w:hAnsi="Times New Roman" w:cs="Times New Roman"/>
                <w:b/>
                <w:bCs/>
                <w:sz w:val="20"/>
                <w:szCs w:val="20"/>
              </w:rPr>
              <w:t>Threats</w:t>
            </w:r>
          </w:p>
        </w:tc>
        <w:tc>
          <w:tcPr>
            <w:tcW w:w="4885" w:type="dxa"/>
          </w:tcPr>
          <w:p w14:paraId="541A0844"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b/>
                <w:bCs/>
                <w:sz w:val="20"/>
                <w:szCs w:val="20"/>
              </w:rPr>
            </w:pPr>
            <w:r>
              <w:rPr>
                <w:rFonts w:ascii="Times New Roman" w:hAnsi="Times New Roman" w:cs="Times New Roman"/>
                <w:b/>
                <w:bCs/>
                <w:sz w:val="20"/>
                <w:szCs w:val="20"/>
              </w:rPr>
              <w:t>Strategic Responses</w:t>
            </w:r>
          </w:p>
        </w:tc>
      </w:tr>
      <w:tr w:rsidR="000B3252" w14:paraId="07CF64A2" w14:textId="77777777">
        <w:tc>
          <w:tcPr>
            <w:tcW w:w="4066" w:type="dxa"/>
          </w:tcPr>
          <w:p w14:paraId="193A2ECE"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Rising competition from boutique hotels and short-term rentals like Airbnb.</w:t>
            </w:r>
          </w:p>
        </w:tc>
        <w:tc>
          <w:tcPr>
            <w:tcW w:w="4885" w:type="dxa"/>
          </w:tcPr>
          <w:p w14:paraId="682252CD"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Focus on exclusive luxury offerings and improved loyalty benefits.</w:t>
            </w:r>
          </w:p>
        </w:tc>
      </w:tr>
      <w:tr w:rsidR="000B3252" w14:paraId="415F4FAC" w14:textId="77777777">
        <w:tc>
          <w:tcPr>
            <w:tcW w:w="4066" w:type="dxa"/>
          </w:tcPr>
          <w:p w14:paraId="3A544C61"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Geopolitical uncertainties and economic downturns affecting international tourism.</w:t>
            </w:r>
          </w:p>
        </w:tc>
        <w:tc>
          <w:tcPr>
            <w:tcW w:w="4885" w:type="dxa"/>
          </w:tcPr>
          <w:p w14:paraId="4F03018D"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Flexible pricing models and targeted promotional strategies to attract a diverse customer base.</w:t>
            </w:r>
          </w:p>
        </w:tc>
      </w:tr>
      <w:tr w:rsidR="000B3252" w14:paraId="7DA35D33" w14:textId="77777777">
        <w:tc>
          <w:tcPr>
            <w:tcW w:w="4066" w:type="dxa"/>
          </w:tcPr>
          <w:p w14:paraId="00803DF9"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Increasing regulatory requirements for sustainability and taxation.</w:t>
            </w:r>
          </w:p>
        </w:tc>
        <w:tc>
          <w:tcPr>
            <w:tcW w:w="4885" w:type="dxa"/>
          </w:tcPr>
          <w:p w14:paraId="52D62DAE"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imes New Roman" w:hAnsi="Times New Roman" w:cs="Times New Roman"/>
                <w:sz w:val="20"/>
                <w:szCs w:val="20"/>
              </w:rPr>
            </w:pPr>
            <w:r>
              <w:rPr>
                <w:rFonts w:ascii="Times New Roman" w:hAnsi="Times New Roman" w:cs="Times New Roman"/>
                <w:sz w:val="20"/>
                <w:szCs w:val="20"/>
              </w:rPr>
              <w:t>Proactive compliance with environmental regulations and introduction of carbon-neutral event packages.</w:t>
            </w:r>
          </w:p>
        </w:tc>
      </w:tr>
    </w:tbl>
    <w:p w14:paraId="7F3B75E5" w14:textId="77777777" w:rsidR="000B3252" w:rsidRDefault="00000000">
      <w:pPr>
        <w:jc w:val="center"/>
        <w:rPr>
          <w:rFonts w:ascii="Times New Roman" w:hAnsi="Times New Roman" w:cs="Times New Roman"/>
          <w:b/>
          <w:bCs/>
          <w:sz w:val="20"/>
          <w:szCs w:val="20"/>
        </w:rPr>
      </w:pPr>
      <w:bookmarkStart w:id="16" w:name="_Toc33"/>
      <w:r>
        <w:rPr>
          <w:rFonts w:ascii="Times New Roman" w:hAnsi="Times New Roman" w:cs="Times New Roman"/>
          <w:b/>
          <w:bCs/>
          <w:sz w:val="20"/>
          <w:szCs w:val="20"/>
        </w:rPr>
        <w:t>Table 3. TOWS analysis.</w:t>
      </w:r>
      <w:bookmarkEnd w:id="16"/>
    </w:p>
    <w:p w14:paraId="2726C283" w14:textId="77777777" w:rsidR="000B3252" w:rsidRDefault="00000000">
      <w:pPr>
        <w:spacing w:after="0" w:line="360" w:lineRule="auto"/>
        <w:jc w:val="center"/>
        <w:rPr>
          <w:rFonts w:ascii="Times New Roman" w:hAnsi="Times New Roman" w:cs="Times New Roman"/>
          <w:sz w:val="20"/>
          <w:szCs w:val="20"/>
        </w:rPr>
      </w:pPr>
      <w:r>
        <w:rPr>
          <w:rFonts w:ascii="Times New Roman" w:hAnsi="Times New Roman" w:cs="Times New Roman"/>
          <w:sz w:val="20"/>
          <w:szCs w:val="20"/>
        </w:rPr>
        <w:t>Source: (created by the learner).</w:t>
      </w:r>
    </w:p>
    <w:p w14:paraId="1500D9DC" w14:textId="77777777" w:rsidR="000B3252" w:rsidRDefault="00000000">
      <w:pPr>
        <w:pStyle w:val="Heading3"/>
        <w:spacing w:line="360" w:lineRule="auto"/>
        <w:jc w:val="both"/>
        <w:rPr>
          <w:rFonts w:ascii="Times New Roman" w:hAnsi="Times New Roman" w:cs="Times New Roman"/>
          <w:color w:val="000000"/>
          <w:sz w:val="20"/>
          <w:szCs w:val="20"/>
          <w:lang w:val="en-US"/>
        </w:rPr>
      </w:pPr>
      <w:bookmarkStart w:id="17" w:name="_Toc26"/>
      <w:r>
        <w:rPr>
          <w:rFonts w:ascii="Times New Roman" w:hAnsi="Times New Roman" w:cs="Times New Roman"/>
          <w:color w:val="000000"/>
          <w:sz w:val="20"/>
          <w:szCs w:val="20"/>
          <w:lang w:val="en-US"/>
        </w:rPr>
        <w:t>Weaknesses</w:t>
      </w:r>
      <w:bookmarkEnd w:id="17"/>
    </w:p>
    <w:p w14:paraId="5CB27E39"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lang w:val="en-US"/>
        </w:rPr>
      </w:pPr>
      <w:r>
        <w:rPr>
          <w:rFonts w:ascii="Times New Roman" w:hAnsi="Times New Roman" w:cs="Times New Roman"/>
          <w:sz w:val="20"/>
          <w:szCs w:val="20"/>
          <w:lang w:val="en-US"/>
        </w:rPr>
        <w:t xml:space="preserve">Hilton Barcelona's dependence on traditional service models limits its ability to integrate advanced technologies that improve guest experiences. The absence of AI-driven personalization and predictive analytics results in slower response times and a lack of tailored service offerings </w:t>
      </w:r>
      <w:r>
        <w:rPr>
          <w:rFonts w:ascii="Times New Roman" w:hAnsi="Times New Roman" w:cs="Times New Roman"/>
          <w:sz w:val="20"/>
          <w:szCs w:val="20"/>
        </w:rPr>
        <w:t xml:space="preserve">(Zahidi, </w:t>
      </w:r>
      <w:proofErr w:type="spellStart"/>
      <w:r>
        <w:rPr>
          <w:rFonts w:ascii="Times New Roman" w:hAnsi="Times New Roman" w:cs="Times New Roman"/>
          <w:sz w:val="20"/>
          <w:szCs w:val="20"/>
        </w:rPr>
        <w:t>Kaluvilla</w:t>
      </w:r>
      <w:proofErr w:type="spellEnd"/>
      <w:r>
        <w:rPr>
          <w:rFonts w:ascii="Times New Roman" w:hAnsi="Times New Roman" w:cs="Times New Roman"/>
          <w:sz w:val="20"/>
          <w:szCs w:val="20"/>
        </w:rPr>
        <w:t xml:space="preserve"> and Mulla, 2024)</w:t>
      </w:r>
      <w:r>
        <w:rPr>
          <w:rFonts w:ascii="Times New Roman" w:hAnsi="Times New Roman" w:cs="Times New Roman"/>
          <w:sz w:val="20"/>
          <w:szCs w:val="20"/>
          <w:lang w:val="en-US"/>
        </w:rPr>
        <w:t xml:space="preserve">. </w:t>
      </w:r>
      <w:r>
        <w:rPr>
          <w:rFonts w:ascii="Times New Roman" w:hAnsi="Times New Roman" w:cs="Times New Roman"/>
          <w:sz w:val="20"/>
          <w:szCs w:val="20"/>
        </w:rPr>
        <w:t xml:space="preserve">According to the 2024 Hilton Trends Report, 80% of travellers think it's necessary to be able to book their whole trip online. This shows that more and more people want seamless and highly personalised digital experiences in the hotel industry. This trend makes it even more important for Hilton Barcelona to update its business by improving its </w:t>
      </w:r>
      <w:r>
        <w:rPr>
          <w:rFonts w:ascii="Times New Roman" w:hAnsi="Times New Roman" w:cs="Times New Roman"/>
          <w:sz w:val="20"/>
          <w:szCs w:val="20"/>
        </w:rPr>
        <w:lastRenderedPageBreak/>
        <w:t xml:space="preserve">digital booking systems, adding AI-powered customisation options, and giving each guest a unique experience that fits their needs. With the help of cutting-edge technology like Hilton's Connected Room Experience and mobile app features, the hotel can meet these needs and make customers happier. The study also shows that travellers want smooth digital interactions all the way through their stay, from checking in to using services in their rooms. Using smart technologies like digital keys, automated check-ins, and suggestions based on AI can give each guest a personalised experience, which will make them more engaged and loyal overall (Hilton, 2023a). As personalisation becomes a key differentiator in the hotel industry, Hilton Barcelona will need to be able to adapt to changing customer needs </w:t>
      </w:r>
      <w:proofErr w:type="gramStart"/>
      <w:r>
        <w:rPr>
          <w:rFonts w:ascii="Times New Roman" w:hAnsi="Times New Roman" w:cs="Times New Roman"/>
          <w:sz w:val="20"/>
          <w:szCs w:val="20"/>
        </w:rPr>
        <w:t>in order to</w:t>
      </w:r>
      <w:proofErr w:type="gramEnd"/>
      <w:r>
        <w:rPr>
          <w:rFonts w:ascii="Times New Roman" w:hAnsi="Times New Roman" w:cs="Times New Roman"/>
          <w:sz w:val="20"/>
          <w:szCs w:val="20"/>
        </w:rPr>
        <w:t xml:space="preserve"> stay ahead of the competition.</w:t>
      </w:r>
      <w:r>
        <w:rPr>
          <w:rFonts w:ascii="Times New Roman" w:hAnsi="Times New Roman" w:cs="Times New Roman"/>
          <w:sz w:val="20"/>
          <w:szCs w:val="20"/>
          <w:lang w:val="en-US"/>
        </w:rPr>
        <w:t xml:space="preserve"> Additionally, Hilton's large workforce and associated operational costs present financial constraints. With a global workforce of over 178,000 employees, salary and benefits expenses account for a significant portion of </w:t>
      </w:r>
      <w:proofErr w:type="gramStart"/>
      <w:r>
        <w:rPr>
          <w:rFonts w:ascii="Times New Roman" w:hAnsi="Times New Roman" w:cs="Times New Roman"/>
          <w:sz w:val="20"/>
          <w:szCs w:val="20"/>
          <w:lang w:val="en-US"/>
        </w:rPr>
        <w:t>its</w:t>
      </w:r>
      <w:proofErr w:type="gramEnd"/>
      <w:r>
        <w:rPr>
          <w:rFonts w:ascii="Times New Roman" w:hAnsi="Times New Roman" w:cs="Times New Roman"/>
          <w:sz w:val="20"/>
          <w:szCs w:val="20"/>
          <w:lang w:val="en-US"/>
        </w:rPr>
        <w:t xml:space="preserve"> overhead, limiting the company's ability to redirect funds toward innovation and service improvement </w:t>
      </w:r>
      <w:r>
        <w:rPr>
          <w:rFonts w:ascii="Times New Roman" w:hAnsi="Times New Roman" w:cs="Times New Roman"/>
          <w:sz w:val="20"/>
          <w:szCs w:val="20"/>
        </w:rPr>
        <w:t>(Hilton, 2023a).</w:t>
      </w:r>
      <w:r>
        <w:rPr>
          <w:rFonts w:ascii="Times New Roman" w:hAnsi="Times New Roman" w:cs="Times New Roman"/>
          <w:sz w:val="20"/>
          <w:szCs w:val="20"/>
          <w:lang w:val="en-US"/>
        </w:rPr>
        <w:t xml:space="preserve">  Data security is another essential weakness, as Hilton has faced past cybersecurity breaches, including a 2018 incident that compromised customer payment information and led to a $700,000 fine </w:t>
      </w:r>
      <w:r>
        <w:rPr>
          <w:rFonts w:ascii="Times New Roman" w:hAnsi="Times New Roman" w:cs="Times New Roman"/>
          <w:sz w:val="20"/>
          <w:szCs w:val="20"/>
        </w:rPr>
        <w:t>(Borner, 2024)</w:t>
      </w:r>
      <w:r>
        <w:rPr>
          <w:rFonts w:ascii="Times New Roman" w:hAnsi="Times New Roman" w:cs="Times New Roman"/>
          <w:sz w:val="20"/>
          <w:szCs w:val="20"/>
          <w:lang w:val="en-US"/>
        </w:rPr>
        <w:t xml:space="preserve">. The risk of similar incidents persists, particularly as digital transactions and AI-based interactions increase across its hotel network. </w:t>
      </w:r>
    </w:p>
    <w:p w14:paraId="46A13E7A" w14:textId="77777777" w:rsidR="000B3252" w:rsidRDefault="00000000">
      <w:pPr>
        <w:pStyle w:val="Heading3"/>
        <w:spacing w:line="360" w:lineRule="auto"/>
        <w:jc w:val="both"/>
        <w:rPr>
          <w:rFonts w:ascii="Times New Roman" w:hAnsi="Times New Roman" w:cs="Times New Roman"/>
          <w:color w:val="000000"/>
          <w:sz w:val="20"/>
          <w:szCs w:val="20"/>
          <w:lang w:val="en-US"/>
        </w:rPr>
      </w:pPr>
      <w:bookmarkStart w:id="18" w:name="_Toc27"/>
      <w:r>
        <w:rPr>
          <w:rFonts w:ascii="Times New Roman" w:hAnsi="Times New Roman" w:cs="Times New Roman"/>
          <w:color w:val="000000"/>
          <w:sz w:val="20"/>
          <w:szCs w:val="20"/>
          <w:lang w:val="en-US"/>
        </w:rPr>
        <w:t>Opportunities</w:t>
      </w:r>
      <w:bookmarkEnd w:id="18"/>
    </w:p>
    <w:p w14:paraId="32E6AC22"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lang w:val="en-US"/>
        </w:rPr>
      </w:pPr>
      <w:r>
        <w:rPr>
          <w:rFonts w:ascii="Times New Roman" w:hAnsi="Times New Roman" w:cs="Times New Roman"/>
          <w:sz w:val="20"/>
          <w:szCs w:val="20"/>
          <w:lang w:val="en-US"/>
        </w:rPr>
        <w:t xml:space="preserve">Hilton Barcelona has several opportunities to strengthen its market position through digital transformation and sustainability initiatives. AI-powered chatbots and predictive analytics can improve guest interactions, streamline booking processes, and provide tailored recommendations, increasing customer satisfaction </w:t>
      </w:r>
      <w:r>
        <w:rPr>
          <w:rFonts w:ascii="Times New Roman" w:hAnsi="Times New Roman" w:cs="Times New Roman"/>
          <w:sz w:val="20"/>
          <w:szCs w:val="20"/>
        </w:rPr>
        <w:t>(Mei, Konar and Kumar, 2024)</w:t>
      </w:r>
      <w:r>
        <w:rPr>
          <w:rFonts w:ascii="Times New Roman" w:hAnsi="Times New Roman" w:cs="Times New Roman"/>
          <w:sz w:val="20"/>
          <w:szCs w:val="20"/>
          <w:lang w:val="en-US"/>
        </w:rPr>
        <w:t xml:space="preserve">. Hilton's global brand recognition, valued at $11.6 billion in 2024, allows it to leverage its strong reputation when expanding its technological capabilities </w:t>
      </w:r>
      <w:r>
        <w:rPr>
          <w:rFonts w:ascii="Times New Roman" w:hAnsi="Times New Roman" w:cs="Times New Roman"/>
          <w:sz w:val="20"/>
          <w:szCs w:val="20"/>
        </w:rPr>
        <w:t>(Hilton, 2024)</w:t>
      </w:r>
      <w:r>
        <w:rPr>
          <w:rFonts w:ascii="Times New Roman" w:hAnsi="Times New Roman" w:cs="Times New Roman"/>
          <w:sz w:val="20"/>
          <w:szCs w:val="20"/>
          <w:lang w:val="en-US"/>
        </w:rPr>
        <w:t xml:space="preserve">. Sustainability trends present another opportunity, with 76% of travelers now prioritizing eco-friendly accommodations </w:t>
      </w:r>
      <w:r>
        <w:rPr>
          <w:rFonts w:ascii="Times New Roman" w:hAnsi="Times New Roman" w:cs="Times New Roman"/>
          <w:sz w:val="20"/>
          <w:szCs w:val="20"/>
        </w:rPr>
        <w:t>(Bennett et al., 2023)</w:t>
      </w:r>
      <w:r>
        <w:rPr>
          <w:rFonts w:ascii="Times New Roman" w:hAnsi="Times New Roman" w:cs="Times New Roman"/>
          <w:sz w:val="20"/>
          <w:szCs w:val="20"/>
          <w:lang w:val="en-US"/>
        </w:rPr>
        <w:t xml:space="preserve">. Hilton's "Travel with Purpose" strategy, which focuses </w:t>
      </w:r>
      <w:proofErr w:type="gramStart"/>
      <w:r>
        <w:rPr>
          <w:rFonts w:ascii="Times New Roman" w:hAnsi="Times New Roman" w:cs="Times New Roman"/>
          <w:sz w:val="20"/>
          <w:szCs w:val="20"/>
          <w:lang w:val="en-US"/>
        </w:rPr>
        <w:t>to halve</w:t>
      </w:r>
      <w:proofErr w:type="gramEnd"/>
      <w:r>
        <w:rPr>
          <w:rFonts w:ascii="Times New Roman" w:hAnsi="Times New Roman" w:cs="Times New Roman"/>
          <w:sz w:val="20"/>
          <w:szCs w:val="20"/>
          <w:lang w:val="en-US"/>
        </w:rPr>
        <w:t xml:space="preserve"> its environmental footprint by 2030, aligns with this growing consumer demand.  Implementing energy-efficient systems, offering carbon-neutral event packages, and securing EU Ecolabel certification would position Hilton Barcelona as a leader in sustainable luxury hospitality. The growing middle-class population in emerging economies, particularly in China and India, offers another avenue for expansion </w:t>
      </w:r>
      <w:r>
        <w:rPr>
          <w:rFonts w:ascii="Times New Roman" w:hAnsi="Times New Roman" w:cs="Times New Roman"/>
          <w:sz w:val="20"/>
          <w:szCs w:val="20"/>
        </w:rPr>
        <w:t xml:space="preserve">(Vide, Zavrl and Hunjet, </w:t>
      </w:r>
      <w:proofErr w:type="gramStart"/>
      <w:r>
        <w:rPr>
          <w:rFonts w:ascii="Times New Roman" w:hAnsi="Times New Roman" w:cs="Times New Roman"/>
          <w:sz w:val="20"/>
          <w:szCs w:val="20"/>
        </w:rPr>
        <w:t>2021)s</w:t>
      </w:r>
      <w:r>
        <w:rPr>
          <w:rFonts w:ascii="Times New Roman" w:hAnsi="Times New Roman" w:cs="Times New Roman"/>
          <w:sz w:val="20"/>
          <w:szCs w:val="20"/>
          <w:lang w:val="en-US"/>
        </w:rPr>
        <w:t>.</w:t>
      </w:r>
      <w:proofErr w:type="gramEnd"/>
      <w:r>
        <w:rPr>
          <w:rFonts w:ascii="Times New Roman" w:hAnsi="Times New Roman" w:cs="Times New Roman"/>
          <w:sz w:val="20"/>
          <w:szCs w:val="20"/>
          <w:lang w:val="en-US"/>
        </w:rPr>
        <w:t xml:space="preserve"> Customizing its marketing strategies and introducing tailored service packages, Hilton Barcelona can attract a new wave of international travelers who seek high-quality accommodations with digital convenience.</w:t>
      </w:r>
    </w:p>
    <w:p w14:paraId="566657B6"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lang w:val="en-US"/>
        </w:rPr>
      </w:pPr>
    </w:p>
    <w:p w14:paraId="2F3FC646" w14:textId="77777777" w:rsidR="000B3252" w:rsidRDefault="00000000">
      <w:pPr>
        <w:pStyle w:val="Heading3"/>
        <w:spacing w:line="360" w:lineRule="auto"/>
        <w:jc w:val="both"/>
        <w:rPr>
          <w:rFonts w:ascii="Times New Roman" w:hAnsi="Times New Roman" w:cs="Times New Roman"/>
          <w:color w:val="000000"/>
          <w:sz w:val="20"/>
          <w:szCs w:val="20"/>
          <w:lang w:val="en-US"/>
        </w:rPr>
      </w:pPr>
      <w:bookmarkStart w:id="19" w:name="_Toc28"/>
      <w:r>
        <w:rPr>
          <w:rFonts w:ascii="Times New Roman" w:hAnsi="Times New Roman" w:cs="Times New Roman"/>
          <w:color w:val="000000"/>
          <w:sz w:val="20"/>
          <w:szCs w:val="20"/>
          <w:lang w:val="en-US"/>
        </w:rPr>
        <w:t>Threats</w:t>
      </w:r>
      <w:bookmarkEnd w:id="19"/>
    </w:p>
    <w:p w14:paraId="3CA62726"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lang w:val="en-US"/>
        </w:rPr>
      </w:pPr>
      <w:r>
        <w:rPr>
          <w:rFonts w:ascii="Times New Roman" w:hAnsi="Times New Roman" w:cs="Times New Roman"/>
          <w:sz w:val="20"/>
          <w:szCs w:val="20"/>
          <w:lang w:val="en-US"/>
        </w:rPr>
        <w:t xml:space="preserve">Hilton Barcelona faces increasing threats from boutique hotels and short-term rental platforms like Airbnb, which continue to disrupt the traditional hospitality model. A 2023 market analysis revealed that Airbnb listings in Barcelona surged by 18% year-over-year, intensifying competition in the local market. The ability of these alternative accommodations to offer unique and often lower-cost experiences places pressure on Hilton to differentiate itself through exclusive luxury services, loyalty program benefits, and personalized experiences. The volatility of international tourism, influenced by geopolitical uncertainties and economic downturns, also poses a challenge </w:t>
      </w:r>
      <w:r>
        <w:rPr>
          <w:rFonts w:ascii="Times New Roman" w:hAnsi="Times New Roman" w:cs="Times New Roman"/>
          <w:sz w:val="20"/>
          <w:szCs w:val="20"/>
        </w:rPr>
        <w:t>(</w:t>
      </w:r>
      <w:proofErr w:type="spellStart"/>
      <w:r>
        <w:rPr>
          <w:rFonts w:ascii="Times New Roman" w:hAnsi="Times New Roman" w:cs="Times New Roman"/>
          <w:sz w:val="20"/>
          <w:szCs w:val="20"/>
        </w:rPr>
        <w:t>Wujie</w:t>
      </w:r>
      <w:proofErr w:type="spellEnd"/>
      <w:r>
        <w:rPr>
          <w:rFonts w:ascii="Times New Roman" w:hAnsi="Times New Roman" w:cs="Times New Roman"/>
          <w:sz w:val="20"/>
          <w:szCs w:val="20"/>
        </w:rPr>
        <w:t>, 2023)</w:t>
      </w:r>
      <w:r>
        <w:rPr>
          <w:rFonts w:ascii="Times New Roman" w:hAnsi="Times New Roman" w:cs="Times New Roman"/>
          <w:sz w:val="20"/>
          <w:szCs w:val="20"/>
          <w:lang w:val="en-US"/>
        </w:rPr>
        <w:t xml:space="preserve">. </w:t>
      </w:r>
      <w:r>
        <w:rPr>
          <w:rFonts w:ascii="Times New Roman" w:hAnsi="Times New Roman" w:cs="Times New Roman"/>
          <w:sz w:val="20"/>
          <w:szCs w:val="20"/>
        </w:rPr>
        <w:t xml:space="preserve">Du, </w:t>
      </w:r>
      <w:proofErr w:type="spellStart"/>
      <w:r>
        <w:rPr>
          <w:rFonts w:ascii="Times New Roman" w:hAnsi="Times New Roman" w:cs="Times New Roman"/>
          <w:sz w:val="20"/>
          <w:szCs w:val="20"/>
        </w:rPr>
        <w:t>Shepotylo</w:t>
      </w:r>
      <w:proofErr w:type="spellEnd"/>
      <w:r>
        <w:rPr>
          <w:rFonts w:ascii="Times New Roman" w:hAnsi="Times New Roman" w:cs="Times New Roman"/>
          <w:sz w:val="20"/>
          <w:szCs w:val="20"/>
        </w:rPr>
        <w:t xml:space="preserve"> and Yuan (2025) stated that uncertainty about Brexit has had a big effect on travel trends between the UK and Spain, on both tourists going to and from the UK. According to research, anxiety about Brexit caused UK service exports to drop by about 9.2% each year, totalling $146.8 </w:t>
      </w:r>
      <w:r>
        <w:rPr>
          <w:rFonts w:ascii="Times New Roman" w:hAnsi="Times New Roman" w:cs="Times New Roman"/>
          <w:sz w:val="20"/>
          <w:szCs w:val="20"/>
        </w:rPr>
        <w:lastRenderedPageBreak/>
        <w:t>billion in losses from 2016 to 2019. This economic instability, along with visa limits and travel problems caused by Brexit, has had a big effect on the number of UK tourists visiting Spain. Even though exact numbers on how many people from the UK went to Spain in 2023 are not known, changes in general travel patterns point to problems. On the other hand, travel from Spain to the UK started to pick up again after the pandemic, going from 0.41 million visits in 2020 to 2.21 million visits in 2023, showing that people are still moving around despite the uncertain economy (see Appendix 3). Because of these issues, Hilton Barcelona needs to take strategic steps to keep tourist arrivals stable while also expanding its customer base. Stabilising occupancy rates can be done with flexible pricing models and targeted advertising campaigns that are made for new market groups, like travellers from Europe and North America.  Hilton Barcelona can keep with demand even though the economy and politics are uncertain by effectively adapting to changing market conditions.</w:t>
      </w:r>
    </w:p>
    <w:p w14:paraId="4D38ADBA"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lang w:val="en-US"/>
        </w:rPr>
      </w:pPr>
    </w:p>
    <w:p w14:paraId="126D9902" w14:textId="77777777" w:rsidR="000B3252" w:rsidRDefault="00000000">
      <w:pPr>
        <w:pStyle w:val="Heading3"/>
        <w:spacing w:line="360" w:lineRule="auto"/>
        <w:jc w:val="both"/>
        <w:rPr>
          <w:rFonts w:ascii="Times New Roman" w:hAnsi="Times New Roman" w:cs="Times New Roman"/>
          <w:color w:val="000000"/>
          <w:sz w:val="20"/>
          <w:szCs w:val="20"/>
          <w:lang w:val="en-US"/>
        </w:rPr>
      </w:pPr>
      <w:bookmarkStart w:id="20" w:name="_Toc29"/>
      <w:r>
        <w:rPr>
          <w:rFonts w:ascii="Times New Roman" w:hAnsi="Times New Roman" w:cs="Times New Roman"/>
          <w:color w:val="000000"/>
          <w:sz w:val="20"/>
          <w:szCs w:val="20"/>
          <w:lang w:val="en-US"/>
        </w:rPr>
        <w:t>Strategic Responses</w:t>
      </w:r>
      <w:bookmarkEnd w:id="20"/>
    </w:p>
    <w:p w14:paraId="11938C70"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lang w:val="en-US"/>
        </w:rPr>
        <w:t xml:space="preserve">A strategic response to these challenges involves a combination of digital innovation, competitive differentiation, and sustainability integration. As stated by </w:t>
      </w:r>
      <w:r>
        <w:rPr>
          <w:rFonts w:ascii="Times New Roman" w:hAnsi="Times New Roman" w:cs="Times New Roman"/>
          <w:sz w:val="20"/>
          <w:szCs w:val="20"/>
        </w:rPr>
        <w:t xml:space="preserve">Schwarz (2025), investing in AI-driven service improvements, such as automated concierge services and smart room technologies, would allow Hilton Barcelona to elevate its guest experience while improving operational efficiency. Differentiation through exclusive luxury offerings, such as curated local experiences and premium dining packages, can strengthen its position against boutique hotels and short-term rentals. Sustainability should be at the forefront of its competitive strategy, with investments in green certifications, energy-efficient building upgrades, and sustainable sourcing practices to appeal to the growing segment of environmentally conscious </w:t>
      </w:r>
      <w:proofErr w:type="spellStart"/>
      <w:r>
        <w:rPr>
          <w:rFonts w:ascii="Times New Roman" w:hAnsi="Times New Roman" w:cs="Times New Roman"/>
          <w:sz w:val="20"/>
          <w:szCs w:val="20"/>
        </w:rPr>
        <w:t>travelers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Hariyani</w:t>
      </w:r>
      <w:proofErr w:type="spellEnd"/>
      <w:r>
        <w:rPr>
          <w:rFonts w:ascii="Times New Roman" w:hAnsi="Times New Roman" w:cs="Times New Roman"/>
          <w:sz w:val="20"/>
          <w:szCs w:val="20"/>
        </w:rPr>
        <w:t xml:space="preserve"> et al., 2024). A study by Kadhim and University of Baghdad (2024) highlighted that workforce development will play a fundamental role in implementing these changes, requiring comprehensive training programs to equip employees with digital literacy skills and sustainability knowledge. Through a structured transformation plan that integrates technology, customer-centric experiences, and sustainability initiatives, Hilton Barcelona can strengthen its market position, drive higher guest satisfaction, and secure long-term operational success.</w:t>
      </w:r>
    </w:p>
    <w:p w14:paraId="647F6CB1" w14:textId="77777777" w:rsidR="000B3252" w:rsidRDefault="00000000">
      <w:pPr>
        <w:pStyle w:val="Heading1"/>
        <w:spacing w:line="360" w:lineRule="auto"/>
        <w:jc w:val="both"/>
        <w:rPr>
          <w:rFonts w:ascii="Times New Roman" w:hAnsi="Times New Roman" w:cs="Times New Roman"/>
          <w:color w:val="000000"/>
          <w:sz w:val="24"/>
          <w:szCs w:val="24"/>
        </w:rPr>
      </w:pPr>
      <w:bookmarkStart w:id="21" w:name="_Toc4"/>
      <w:r>
        <w:rPr>
          <w:rFonts w:ascii="Times New Roman" w:hAnsi="Times New Roman" w:cs="Times New Roman"/>
          <w:color w:val="000000"/>
          <w:sz w:val="24"/>
          <w:szCs w:val="24"/>
        </w:rPr>
        <w:t>Recommendations and Change Management</w:t>
      </w:r>
      <w:bookmarkEnd w:id="21"/>
    </w:p>
    <w:p w14:paraId="0779B180"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To improve guest experience and ensure Hilton Barcelona maintains its competitive position, a multi-faceted strategic approach must be implemented. This includes digital transformation initiatives, service innovation, sustainability integration, and workforce development (Silcock et al., 2023). The proposed changes are structured around Kotter’s Eight-Step Change Model, which guarantee a systematic transition while addressing potential resistance. Impact assessment measures are also incorporated to evaluate the effectiveness of these recommendations.</w:t>
      </w:r>
    </w:p>
    <w:p w14:paraId="629B1DE4" w14:textId="77777777" w:rsidR="000B3252" w:rsidRDefault="00000000">
      <w:pPr>
        <w:pStyle w:val="Heading2"/>
        <w:spacing w:line="360" w:lineRule="auto"/>
        <w:jc w:val="both"/>
        <w:rPr>
          <w:rFonts w:ascii="Times New Roman" w:hAnsi="Times New Roman" w:cs="Times New Roman"/>
          <w:color w:val="000000"/>
          <w:sz w:val="20"/>
          <w:szCs w:val="20"/>
        </w:rPr>
      </w:pPr>
      <w:bookmarkStart w:id="22" w:name="_Toc13"/>
      <w:r>
        <w:rPr>
          <w:rFonts w:ascii="Times New Roman" w:hAnsi="Times New Roman" w:cs="Times New Roman"/>
          <w:color w:val="000000"/>
          <w:sz w:val="20"/>
          <w:szCs w:val="20"/>
        </w:rPr>
        <w:t>Digital Transformation and AI Integration</w:t>
      </w:r>
      <w:bookmarkEnd w:id="22"/>
    </w:p>
    <w:p w14:paraId="73D69BFA"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Hilton Barcelona must leverage artificial intelligence (AI) and smart technology to improve personalisation and efficiency in guest services. The integration of AI-powered chatbots and predictive analytics can streamline customer interactions, enhancing responsiveness and convenience (</w:t>
      </w:r>
      <w:proofErr w:type="spellStart"/>
      <w:r>
        <w:rPr>
          <w:rFonts w:ascii="Times New Roman" w:hAnsi="Times New Roman" w:cs="Times New Roman"/>
          <w:sz w:val="20"/>
          <w:szCs w:val="20"/>
        </w:rPr>
        <w:t>Abiagom</w:t>
      </w:r>
      <w:proofErr w:type="spellEnd"/>
      <w:r>
        <w:rPr>
          <w:rFonts w:ascii="Times New Roman" w:hAnsi="Times New Roman" w:cs="Times New Roman"/>
          <w:sz w:val="20"/>
          <w:szCs w:val="20"/>
        </w:rPr>
        <w:t xml:space="preserve"> and </w:t>
      </w:r>
      <w:proofErr w:type="spellStart"/>
      <w:r>
        <w:rPr>
          <w:rFonts w:ascii="Times New Roman" w:hAnsi="Times New Roman" w:cs="Times New Roman"/>
          <w:sz w:val="20"/>
          <w:szCs w:val="20"/>
        </w:rPr>
        <w:t>Ijomah</w:t>
      </w:r>
      <w:proofErr w:type="spellEnd"/>
      <w:r>
        <w:rPr>
          <w:rFonts w:ascii="Times New Roman" w:hAnsi="Times New Roman" w:cs="Times New Roman"/>
          <w:sz w:val="20"/>
          <w:szCs w:val="20"/>
        </w:rPr>
        <w:t xml:space="preserve">, 2024). Implementing smart room technology, such as voice-activated controls, energy-efficient lighting, and digital concierge </w:t>
      </w:r>
      <w:r>
        <w:rPr>
          <w:rFonts w:ascii="Times New Roman" w:hAnsi="Times New Roman" w:cs="Times New Roman"/>
          <w:sz w:val="20"/>
          <w:szCs w:val="20"/>
        </w:rPr>
        <w:lastRenderedPageBreak/>
        <w:t xml:space="preserve">services, will align with modern consumer expectations for a seamless digital experience. These innovations will improve operational efficiency </w:t>
      </w:r>
      <w:proofErr w:type="gramStart"/>
      <w:r>
        <w:rPr>
          <w:rFonts w:ascii="Times New Roman" w:hAnsi="Times New Roman" w:cs="Times New Roman"/>
          <w:sz w:val="20"/>
          <w:szCs w:val="20"/>
        </w:rPr>
        <w:t>in order to</w:t>
      </w:r>
      <w:proofErr w:type="gramEnd"/>
      <w:r>
        <w:rPr>
          <w:rFonts w:ascii="Times New Roman" w:hAnsi="Times New Roman" w:cs="Times New Roman"/>
          <w:sz w:val="20"/>
          <w:szCs w:val="20"/>
        </w:rPr>
        <w:t xml:space="preserve"> reduce response times and automating routine guest interactions, ultimately increasing customer satisfaction.</w:t>
      </w:r>
    </w:p>
    <w:p w14:paraId="0B2AB218"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7FFF0853"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 xml:space="preserve">Following Kotter's change model, the implementation process should begin by instilling a sense of urgency within the company (Bell and McLeod, </w:t>
      </w:r>
      <w:r>
        <w:rPr>
          <w:rFonts w:ascii="Times New Roman" w:hAnsi="Times New Roman" w:cs="Times New Roman"/>
          <w:i/>
          <w:iCs/>
          <w:sz w:val="20"/>
          <w:szCs w:val="20"/>
        </w:rPr>
        <w:t>n.d.</w:t>
      </w:r>
      <w:r>
        <w:rPr>
          <w:rFonts w:ascii="Times New Roman" w:hAnsi="Times New Roman" w:cs="Times New Roman"/>
          <w:sz w:val="20"/>
          <w:szCs w:val="20"/>
        </w:rPr>
        <w:t>). This should be done by highlighting the ways in which digital improvements directly contribute to the retention of customers and the growth of additional revenue. Through the development of a leading coalition consisting of technology and hospitality specialists, cross-departmental collaboration will be ensured. Additionally, a clear vision for digital transformation will guide staff through the phases of structured training and adoption. Through training programs that demonstrate how these tools improve service delivery rather than replacing human functions, it is possible to reduce the amount of resistance that employees have to the incorporation of artificial intelligence. Carreno (2024) stated that the gradual adaption that will be possible with a phased implementation plan will be accompanied thru constant performance monitoring using customer feedback and system analytics to determine the level of success achieved.</w:t>
      </w:r>
    </w:p>
    <w:p w14:paraId="75EF4E89" w14:textId="77777777" w:rsidR="000B3252" w:rsidRDefault="00000000">
      <w:pPr>
        <w:pStyle w:val="Heading2"/>
        <w:spacing w:line="360" w:lineRule="auto"/>
        <w:jc w:val="both"/>
        <w:rPr>
          <w:rFonts w:ascii="Times New Roman" w:hAnsi="Times New Roman" w:cs="Times New Roman"/>
          <w:color w:val="000000"/>
          <w:sz w:val="20"/>
          <w:szCs w:val="20"/>
        </w:rPr>
      </w:pPr>
      <w:bookmarkStart w:id="23" w:name="_Toc14"/>
      <w:r>
        <w:rPr>
          <w:rFonts w:ascii="Times New Roman" w:hAnsi="Times New Roman" w:cs="Times New Roman"/>
          <w:color w:val="000000"/>
          <w:sz w:val="20"/>
          <w:szCs w:val="20"/>
        </w:rPr>
        <w:t>Service Innovation for Personalisation and Efficiency</w:t>
      </w:r>
      <w:bookmarkEnd w:id="23"/>
    </w:p>
    <w:p w14:paraId="78A4DDAB"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Guest expectations are increasingly centred on personalisation and experiential travel, necessitating a shift from standardised service models to highly customised experiences (</w:t>
      </w:r>
      <w:proofErr w:type="spellStart"/>
      <w:r>
        <w:rPr>
          <w:rFonts w:ascii="Times New Roman" w:hAnsi="Times New Roman" w:cs="Times New Roman"/>
          <w:sz w:val="20"/>
          <w:szCs w:val="20"/>
        </w:rPr>
        <w:t>Kandampully</w:t>
      </w:r>
      <w:proofErr w:type="spellEnd"/>
      <w:r>
        <w:rPr>
          <w:rFonts w:ascii="Times New Roman" w:hAnsi="Times New Roman" w:cs="Times New Roman"/>
          <w:sz w:val="20"/>
          <w:szCs w:val="20"/>
        </w:rPr>
        <w:t>, Zhang and Jaakkola, 2017). Hilton Barcelona should implement AI-driven customer relationship management (CRM) systems to tailor services based on individual preferences and previous interactions. For example, Yrjölä et al. (2019) suggests that recognising repeat customers and customising room settings, dining recommendations, and activity suggestions will create a more memorable and satisfying experience.</w:t>
      </w:r>
    </w:p>
    <w:p w14:paraId="67D8EBB8"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07D7E2C4"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This transformation requires leadership commitment and employee engagement at all levels. Communication about the benefits of personalisation, both for guest satisfaction and operational efficiency, will be essential in fostering support (Deep, 2023). The Lewin’s Change Management Model comprising unfreezing, changing, and refreezing provides a useful framework for introducing this shift. Initially, the unfreezing stage will involve sensitising staff to evolving consumer expectations through workshops and performance assessments. The transition phase will introduce technological tools and service protocols to facilitate personalisation, supported by incremental feedback loops to refine strategies. Finally, the refreezing phase will institutionalise personalised service practices through continuous training and performance incentives.</w:t>
      </w:r>
    </w:p>
    <w:p w14:paraId="0023226B" w14:textId="77777777" w:rsidR="000B3252" w:rsidRDefault="00000000">
      <w:pPr>
        <w:pStyle w:val="Heading2"/>
        <w:spacing w:line="360" w:lineRule="auto"/>
        <w:jc w:val="both"/>
        <w:rPr>
          <w:rFonts w:ascii="Times New Roman" w:hAnsi="Times New Roman" w:cs="Times New Roman"/>
          <w:color w:val="000000"/>
          <w:sz w:val="20"/>
          <w:szCs w:val="20"/>
        </w:rPr>
      </w:pPr>
      <w:bookmarkStart w:id="24" w:name="_Toc15"/>
      <w:r>
        <w:rPr>
          <w:rFonts w:ascii="Times New Roman" w:hAnsi="Times New Roman" w:cs="Times New Roman"/>
          <w:color w:val="000000"/>
          <w:sz w:val="20"/>
          <w:szCs w:val="20"/>
        </w:rPr>
        <w:t>Sustainability Integration and Green Practices</w:t>
      </w:r>
      <w:bookmarkEnd w:id="24"/>
    </w:p>
    <w:p w14:paraId="5EEC1299"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 xml:space="preserve">Sustainability remains a critical consideration in the hospitality industry, with travellers increasingly favouring eco-conscious accommodations (Verma and Chandra, 2017). In the case of Hilton Barcelona, they must implement comprehensive sustainability initiatives, such as reducing energy consumption, minimising waste, and sourcing locally produced sustainable materials. According to </w:t>
      </w:r>
      <w:proofErr w:type="spellStart"/>
      <w:r>
        <w:rPr>
          <w:rFonts w:ascii="Times New Roman" w:hAnsi="Times New Roman" w:cs="Times New Roman"/>
          <w:sz w:val="20"/>
          <w:szCs w:val="20"/>
        </w:rPr>
        <w:t>Hauashdh</w:t>
      </w:r>
      <w:proofErr w:type="spellEnd"/>
      <w:r>
        <w:rPr>
          <w:rFonts w:ascii="Times New Roman" w:hAnsi="Times New Roman" w:cs="Times New Roman"/>
          <w:sz w:val="20"/>
          <w:szCs w:val="20"/>
        </w:rPr>
        <w:t xml:space="preserve"> et al. (2024), the adoption of a carbon-neutral operations framework, including energy-efficient HVAC systems (Heating, Ventilation, and Air Conditioning), smart water usage technologies, and waste reduction strategies, will align with global sustainability goals while reducing operational costs. Additionally, the hotel should obtain recognised environmental certifications, such as the Biosphere Certificate, EU Ecolabel or LEED (Leadership in Energy </w:t>
      </w:r>
      <w:r>
        <w:rPr>
          <w:rFonts w:ascii="Times New Roman" w:hAnsi="Times New Roman" w:cs="Times New Roman"/>
          <w:sz w:val="20"/>
          <w:szCs w:val="20"/>
        </w:rPr>
        <w:lastRenderedPageBreak/>
        <w:t>and Environmental Design), to improve credibility and attract environmentally conscious customers (see Appendix 1).</w:t>
      </w:r>
    </w:p>
    <w:p w14:paraId="21926C79"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09582D9C"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Sigurjonsson and Ruano De La Fuente (2024) stated that a sustainability transformation will require structured change management to overcome potential organisational inertia. Kotter’s framework remains relevant, beginning with the identification of key sustainability drivers and forming cross-functional teams to champion eco-friendly initiatives (Rajan and Ganesan, 2017). However, communicating clear sustainability goals and aligning them with corporate social responsibility (CSR) commitments will improve employee buy-in (Vuong and Bui, 2023). Moreover, incentive schemes for staff adopting green practices and sustainability training workshops will be essential in embedding these initiatives into daily operations (Wang et al., 2025). On the other hand, the impact assessment should also include tracking reductions in energy and water saving, guest satisfaction on eco-friendly practices, and financial savings derived from sustainability efforts (</w:t>
      </w:r>
      <w:proofErr w:type="spellStart"/>
      <w:r>
        <w:rPr>
          <w:rFonts w:ascii="Times New Roman" w:hAnsi="Times New Roman" w:cs="Times New Roman"/>
          <w:sz w:val="20"/>
          <w:szCs w:val="20"/>
        </w:rPr>
        <w:t>Ndalnamu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Ezenagu</w:t>
      </w:r>
      <w:proofErr w:type="spellEnd"/>
      <w:r>
        <w:rPr>
          <w:rFonts w:ascii="Times New Roman" w:hAnsi="Times New Roman" w:cs="Times New Roman"/>
          <w:sz w:val="20"/>
          <w:szCs w:val="20"/>
        </w:rPr>
        <w:t xml:space="preserve"> and Olumide, 2024).</w:t>
      </w:r>
    </w:p>
    <w:p w14:paraId="16DA705F" w14:textId="77777777" w:rsidR="000B3252" w:rsidRDefault="00000000">
      <w:pPr>
        <w:pStyle w:val="Heading2"/>
        <w:spacing w:line="360" w:lineRule="auto"/>
        <w:jc w:val="both"/>
        <w:rPr>
          <w:rFonts w:ascii="Times New Roman" w:hAnsi="Times New Roman" w:cs="Times New Roman"/>
          <w:color w:val="000000"/>
          <w:sz w:val="20"/>
          <w:szCs w:val="20"/>
        </w:rPr>
      </w:pPr>
      <w:bookmarkStart w:id="25" w:name="_Toc16"/>
      <w:r>
        <w:rPr>
          <w:rFonts w:ascii="Times New Roman" w:hAnsi="Times New Roman" w:cs="Times New Roman"/>
          <w:color w:val="000000"/>
          <w:sz w:val="20"/>
          <w:szCs w:val="20"/>
        </w:rPr>
        <w:t>Workforce Development and Employee Engagement</w:t>
      </w:r>
      <w:bookmarkEnd w:id="25"/>
    </w:p>
    <w:p w14:paraId="5515B6EA"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A successful transformation depends on a motivated and well-equipped workforce. Employee training programmes must be expanded to incorporate digital literacy, AI integration, and improve customer service techniques (</w:t>
      </w:r>
      <w:proofErr w:type="spellStart"/>
      <w:r>
        <w:rPr>
          <w:rFonts w:ascii="Times New Roman" w:hAnsi="Times New Roman" w:cs="Times New Roman"/>
          <w:sz w:val="20"/>
          <w:szCs w:val="20"/>
        </w:rPr>
        <w:t>Vizjak</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Paulišić</w:t>
      </w:r>
      <w:proofErr w:type="spellEnd"/>
      <w:r>
        <w:rPr>
          <w:rFonts w:ascii="Times New Roman" w:hAnsi="Times New Roman" w:cs="Times New Roman"/>
          <w:sz w:val="20"/>
          <w:szCs w:val="20"/>
        </w:rPr>
        <w:t xml:space="preserve"> and </w:t>
      </w:r>
      <w:proofErr w:type="spellStart"/>
      <w:r>
        <w:rPr>
          <w:rFonts w:ascii="Times New Roman" w:hAnsi="Times New Roman" w:cs="Times New Roman"/>
          <w:sz w:val="20"/>
          <w:szCs w:val="20"/>
        </w:rPr>
        <w:t>Mišević</w:t>
      </w:r>
      <w:proofErr w:type="spellEnd"/>
      <w:r>
        <w:rPr>
          <w:rFonts w:ascii="Times New Roman" w:hAnsi="Times New Roman" w:cs="Times New Roman"/>
          <w:sz w:val="20"/>
          <w:szCs w:val="20"/>
        </w:rPr>
        <w:t>, 2024). Given the dynamic nature of the hospitality industry, staff must be prepared to handle the evolving demands of luxury service through continuous learning and professional development. Hilton Barcelona should implement an employee engagement strategy based on Herzberg’s Two-Factor Theory, addressing both intrinsic and extrinsic motivators. Competitive compensation, career progression opportunities, and recognition for outstanding service contribute to job satisfaction, while comprehensive training and skills improvement initiatives empower staff to deliver high-quality service (Mampuru, Mokoena and Isabirye, 2024). Regular performance evaluations and feedback mechanisms will enable employees to adapt to changing service expectations, ensuring alignment with the hotel’s strategic goals.</w:t>
      </w:r>
    </w:p>
    <w:p w14:paraId="3D171702"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roofErr w:type="spellStart"/>
      <w:r>
        <w:rPr>
          <w:rFonts w:ascii="Times New Roman" w:hAnsi="Times New Roman" w:cs="Times New Roman"/>
          <w:sz w:val="20"/>
          <w:szCs w:val="20"/>
        </w:rPr>
        <w:t>IRodriguez</w:t>
      </w:r>
      <w:proofErr w:type="spellEnd"/>
      <w:r>
        <w:rPr>
          <w:rFonts w:ascii="Times New Roman" w:hAnsi="Times New Roman" w:cs="Times New Roman"/>
          <w:sz w:val="20"/>
          <w:szCs w:val="20"/>
        </w:rPr>
        <w:t xml:space="preserve"> et al. (2017) stated that implementing change in workforce development necessitates a participatory approach, where employees are actively involved in shaping training modules and service protocols. This participatory framework, aligned with Kotter’s step of empowering broad-based action, guarantee that employees feel a sense of ownership over the transformation process. Leadership must play an active role in mentoring and coaching, fostering a culture of continuous improvement (Hoffman, 2024).</w:t>
      </w:r>
    </w:p>
    <w:p w14:paraId="39DA8610" w14:textId="77777777" w:rsidR="000B3252" w:rsidRDefault="00000000">
      <w:pPr>
        <w:pStyle w:val="Heading2"/>
        <w:spacing w:line="360" w:lineRule="auto"/>
        <w:jc w:val="both"/>
        <w:rPr>
          <w:rFonts w:ascii="Times New Roman" w:hAnsi="Times New Roman" w:cs="Times New Roman"/>
          <w:color w:val="000000"/>
          <w:sz w:val="20"/>
          <w:szCs w:val="20"/>
        </w:rPr>
      </w:pPr>
      <w:bookmarkStart w:id="26" w:name="_Toc17"/>
      <w:r>
        <w:rPr>
          <w:rFonts w:ascii="Times New Roman" w:hAnsi="Times New Roman" w:cs="Times New Roman"/>
          <w:color w:val="000000"/>
          <w:sz w:val="20"/>
          <w:szCs w:val="20"/>
        </w:rPr>
        <w:t>Impact Assessment and Continuous Improvement</w:t>
      </w:r>
      <w:bookmarkEnd w:id="26"/>
    </w:p>
    <w:p w14:paraId="0F55E197"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Measuring the success of these strategic changes requires a strong impact assessment framework. Key performance indicators (KPIs) should be established to track improvements in guest satisfaction, operational efficiency, sustainability performance, and employee engagement (</w:t>
      </w:r>
      <w:proofErr w:type="spellStart"/>
      <w:r>
        <w:rPr>
          <w:rFonts w:ascii="Times New Roman" w:hAnsi="Times New Roman" w:cs="Times New Roman"/>
          <w:sz w:val="20"/>
          <w:szCs w:val="20"/>
        </w:rPr>
        <w:t>Patov</w:t>
      </w:r>
      <w:proofErr w:type="spellEnd"/>
      <w:r>
        <w:rPr>
          <w:rFonts w:ascii="Times New Roman" w:hAnsi="Times New Roman" w:cs="Times New Roman"/>
          <w:sz w:val="20"/>
          <w:szCs w:val="20"/>
        </w:rPr>
        <w:t>, 2024).  Metrics such as Net Promoter Score (NPS), average response time for guest inquiries, energy consumption per room, and employee retention rates will provide quantifiable insights into the effectiveness of implemented strategies (Baquero, 2022). Moreover, regular review cycles should be incorporated into Hilton Barcelona’s management processes, ensuring ongoing adjustments and refinements based on performance data. Feedback from both customers and employees will be essential in identifying areas for further improvement, fostering a culture of adaptability and innovation (Verma and Mishra, 2024).</w:t>
      </w:r>
    </w:p>
    <w:p w14:paraId="6CBC2629" w14:textId="77777777" w:rsidR="000B3252" w:rsidRDefault="00000000">
      <w:pPr>
        <w:pStyle w:val="Heading1"/>
        <w:spacing w:line="360" w:lineRule="auto"/>
        <w:jc w:val="both"/>
        <w:rPr>
          <w:rFonts w:ascii="Times New Roman" w:hAnsi="Times New Roman" w:cs="Times New Roman"/>
          <w:color w:val="000000"/>
          <w:sz w:val="20"/>
          <w:szCs w:val="20"/>
        </w:rPr>
      </w:pPr>
      <w:bookmarkStart w:id="27" w:name="_Toc12"/>
      <w:bookmarkStart w:id="28" w:name="_Toc5"/>
      <w:r>
        <w:rPr>
          <w:rFonts w:ascii="Times New Roman" w:hAnsi="Times New Roman" w:cs="Times New Roman"/>
          <w:color w:val="000000"/>
          <w:sz w:val="20"/>
          <w:szCs w:val="20"/>
        </w:rPr>
        <w:lastRenderedPageBreak/>
        <w:t>Action Plan</w:t>
      </w:r>
      <w:bookmarkEnd w:id="27"/>
    </w:p>
    <w:bookmarkEnd w:id="28"/>
    <w:p w14:paraId="0910D79A"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The following table provides a structured implementation plan for Hilton Barcelona by the SMART Hospitality Solutions </w:t>
      </w:r>
      <w:proofErr w:type="gramStart"/>
      <w:r>
        <w:rPr>
          <w:rFonts w:ascii="Times New Roman" w:hAnsi="Times New Roman" w:cs="Times New Roman"/>
          <w:sz w:val="20"/>
          <w:szCs w:val="20"/>
        </w:rPr>
        <w:t>Ltd ,</w:t>
      </w:r>
      <w:proofErr w:type="gramEnd"/>
      <w:r>
        <w:rPr>
          <w:rFonts w:ascii="Times New Roman" w:hAnsi="Times New Roman" w:cs="Times New Roman"/>
          <w:sz w:val="20"/>
          <w:szCs w:val="20"/>
        </w:rPr>
        <w:t xml:space="preserve"> ensuring that the proposed changes are effectively executed while considering costs, feasibility, and impact.</w:t>
      </w:r>
    </w:p>
    <w:tbl>
      <w:tblPr>
        <w:tblStyle w:val="TableGrid"/>
        <w:tblW w:w="9217" w:type="dxa"/>
        <w:tblLayout w:type="fixed"/>
        <w:tblCellMar>
          <w:top w:w="10" w:type="dxa"/>
          <w:left w:w="10" w:type="dxa"/>
          <w:bottom w:w="10" w:type="dxa"/>
          <w:right w:w="10" w:type="dxa"/>
        </w:tblCellMar>
        <w:tblLook w:val="0A30" w:firstRow="1" w:lastRow="0" w:firstColumn="0" w:lastColumn="0" w:noHBand="1" w:noVBand="0"/>
      </w:tblPr>
      <w:tblGrid>
        <w:gridCol w:w="1971"/>
        <w:gridCol w:w="2117"/>
        <w:gridCol w:w="2210"/>
        <w:gridCol w:w="1058"/>
        <w:gridCol w:w="1861"/>
      </w:tblGrid>
      <w:tr w:rsidR="000B3252" w14:paraId="193C9D01" w14:textId="77777777">
        <w:trPr>
          <w:trHeight w:val="341"/>
        </w:trPr>
        <w:tc>
          <w:tcPr>
            <w:tcW w:w="1971" w:type="dxa"/>
          </w:tcPr>
          <w:p w14:paraId="662BE737"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jc w:val="both"/>
              <w:rPr>
                <w:rFonts w:ascii="Times New Roman" w:hAnsi="Times New Roman" w:cs="Times New Roman"/>
                <w:szCs w:val="18"/>
              </w:rPr>
            </w:pPr>
            <w:r>
              <w:rPr>
                <w:rFonts w:ascii="Times New Roman" w:hAnsi="Times New Roman" w:cs="Times New Roman"/>
                <w:b/>
                <w:szCs w:val="18"/>
              </w:rPr>
              <w:t>Problem</w:t>
            </w:r>
          </w:p>
        </w:tc>
        <w:tc>
          <w:tcPr>
            <w:tcW w:w="2117" w:type="dxa"/>
          </w:tcPr>
          <w:p w14:paraId="3D5212A1"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jc w:val="both"/>
              <w:rPr>
                <w:rFonts w:ascii="Times New Roman" w:hAnsi="Times New Roman" w:cs="Times New Roman"/>
                <w:szCs w:val="18"/>
              </w:rPr>
            </w:pPr>
            <w:r>
              <w:rPr>
                <w:rFonts w:ascii="Times New Roman" w:hAnsi="Times New Roman" w:cs="Times New Roman"/>
                <w:b/>
                <w:szCs w:val="18"/>
              </w:rPr>
              <w:t>Proposed Solution</w:t>
            </w:r>
          </w:p>
        </w:tc>
        <w:tc>
          <w:tcPr>
            <w:tcW w:w="2210" w:type="dxa"/>
          </w:tcPr>
          <w:p w14:paraId="10A188AD"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jc w:val="both"/>
              <w:rPr>
                <w:rFonts w:ascii="Times New Roman" w:hAnsi="Times New Roman" w:cs="Times New Roman"/>
                <w:szCs w:val="18"/>
              </w:rPr>
            </w:pPr>
            <w:r>
              <w:rPr>
                <w:rFonts w:ascii="Times New Roman" w:hAnsi="Times New Roman" w:cs="Times New Roman"/>
                <w:b/>
                <w:szCs w:val="18"/>
              </w:rPr>
              <w:t>Desired Outcome</w:t>
            </w:r>
          </w:p>
        </w:tc>
        <w:tc>
          <w:tcPr>
            <w:tcW w:w="1058" w:type="dxa"/>
          </w:tcPr>
          <w:p w14:paraId="200514B0"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jc w:val="both"/>
              <w:rPr>
                <w:rFonts w:ascii="Times New Roman" w:hAnsi="Times New Roman" w:cs="Times New Roman"/>
                <w:szCs w:val="18"/>
              </w:rPr>
            </w:pPr>
            <w:r>
              <w:rPr>
                <w:rFonts w:ascii="Times New Roman" w:hAnsi="Times New Roman" w:cs="Times New Roman"/>
                <w:b/>
                <w:szCs w:val="18"/>
              </w:rPr>
              <w:t>Timeline</w:t>
            </w:r>
          </w:p>
        </w:tc>
        <w:tc>
          <w:tcPr>
            <w:tcW w:w="1861" w:type="dxa"/>
          </w:tcPr>
          <w:p w14:paraId="7DF7747B"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jc w:val="both"/>
              <w:rPr>
                <w:rFonts w:ascii="Times New Roman" w:hAnsi="Times New Roman" w:cs="Times New Roman"/>
                <w:szCs w:val="18"/>
              </w:rPr>
            </w:pPr>
            <w:r>
              <w:rPr>
                <w:rFonts w:ascii="Times New Roman" w:hAnsi="Times New Roman" w:cs="Times New Roman"/>
                <w:b/>
                <w:szCs w:val="18"/>
              </w:rPr>
              <w:t>Estimated Cost (€)</w:t>
            </w:r>
          </w:p>
        </w:tc>
      </w:tr>
      <w:tr w:rsidR="000B3252" w14:paraId="06C2AB15" w14:textId="77777777">
        <w:tc>
          <w:tcPr>
            <w:tcW w:w="1971" w:type="dxa"/>
          </w:tcPr>
          <w:p w14:paraId="455FEED4"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b/>
                <w:szCs w:val="18"/>
              </w:rPr>
              <w:t>Limited digital integration affecting guest experience</w:t>
            </w:r>
          </w:p>
        </w:tc>
        <w:tc>
          <w:tcPr>
            <w:tcW w:w="2117" w:type="dxa"/>
          </w:tcPr>
          <w:p w14:paraId="0C5A0F17"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Implement AI-driven chatbots for customer service and predictive analytics for personalisation</w:t>
            </w:r>
          </w:p>
        </w:tc>
        <w:tc>
          <w:tcPr>
            <w:tcW w:w="2210" w:type="dxa"/>
          </w:tcPr>
          <w:p w14:paraId="76019130"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Improved efficiency in guest interactions, improved personalisation, and reduced operational workload</w:t>
            </w:r>
          </w:p>
        </w:tc>
        <w:tc>
          <w:tcPr>
            <w:tcW w:w="1058" w:type="dxa"/>
          </w:tcPr>
          <w:p w14:paraId="352BC23E"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b/>
                <w:bCs/>
                <w:szCs w:val="18"/>
              </w:rPr>
            </w:pPr>
            <w:r>
              <w:rPr>
                <w:rFonts w:ascii="Times New Roman" w:hAnsi="Times New Roman" w:cs="Times New Roman"/>
                <w:b/>
                <w:bCs/>
                <w:szCs w:val="18"/>
              </w:rPr>
              <w:t>6-12 months</w:t>
            </w:r>
          </w:p>
        </w:tc>
        <w:tc>
          <w:tcPr>
            <w:tcW w:w="1861" w:type="dxa"/>
          </w:tcPr>
          <w:p w14:paraId="6AC79C43"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200,000 – 300,000 (software development, integration, staff training)</w:t>
            </w:r>
          </w:p>
        </w:tc>
      </w:tr>
      <w:tr w:rsidR="000B3252" w14:paraId="2B62DA26" w14:textId="77777777">
        <w:tc>
          <w:tcPr>
            <w:tcW w:w="1971" w:type="dxa"/>
          </w:tcPr>
          <w:p w14:paraId="7529F81A"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b/>
                <w:szCs w:val="18"/>
              </w:rPr>
              <w:t>Service standard inconsistencies due to reliance on traditional models</w:t>
            </w:r>
          </w:p>
        </w:tc>
        <w:tc>
          <w:tcPr>
            <w:tcW w:w="2117" w:type="dxa"/>
          </w:tcPr>
          <w:p w14:paraId="661FF57A"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Upgrade CRM system to track guest preferences and provide personalised services</w:t>
            </w:r>
          </w:p>
        </w:tc>
        <w:tc>
          <w:tcPr>
            <w:tcW w:w="2210" w:type="dxa"/>
          </w:tcPr>
          <w:p w14:paraId="73194938"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Increased guest satisfaction, loyalty, and higher Net Promoter Score (NPS)</w:t>
            </w:r>
          </w:p>
        </w:tc>
        <w:tc>
          <w:tcPr>
            <w:tcW w:w="1058" w:type="dxa"/>
          </w:tcPr>
          <w:p w14:paraId="2C1AEBDF"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b/>
                <w:bCs/>
                <w:szCs w:val="18"/>
              </w:rPr>
            </w:pPr>
            <w:r>
              <w:rPr>
                <w:rFonts w:ascii="Times New Roman" w:hAnsi="Times New Roman" w:cs="Times New Roman"/>
                <w:b/>
                <w:bCs/>
                <w:szCs w:val="18"/>
              </w:rPr>
              <w:t>3-6 months</w:t>
            </w:r>
          </w:p>
        </w:tc>
        <w:tc>
          <w:tcPr>
            <w:tcW w:w="1861" w:type="dxa"/>
          </w:tcPr>
          <w:p w14:paraId="1FD78DAD"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150,000 – 250,000 (CRM upgrade, training)</w:t>
            </w:r>
          </w:p>
        </w:tc>
      </w:tr>
      <w:tr w:rsidR="000B3252" w14:paraId="0F10F30E" w14:textId="77777777">
        <w:tc>
          <w:tcPr>
            <w:tcW w:w="1971" w:type="dxa"/>
          </w:tcPr>
          <w:p w14:paraId="0A57B568"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b/>
                <w:szCs w:val="18"/>
              </w:rPr>
              <w:t>High operational costs related to energy consumption</w:t>
            </w:r>
          </w:p>
        </w:tc>
        <w:tc>
          <w:tcPr>
            <w:tcW w:w="2117" w:type="dxa"/>
          </w:tcPr>
          <w:p w14:paraId="61D702D6"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Implement smart energy management systems (automated lighting, HVAC controls, and water conservation measures)</w:t>
            </w:r>
          </w:p>
        </w:tc>
        <w:tc>
          <w:tcPr>
            <w:tcW w:w="2210" w:type="dxa"/>
          </w:tcPr>
          <w:p w14:paraId="1094C474"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Reduction in energy costs by 15-20%, improved sustainability ratings</w:t>
            </w:r>
          </w:p>
        </w:tc>
        <w:tc>
          <w:tcPr>
            <w:tcW w:w="1058" w:type="dxa"/>
          </w:tcPr>
          <w:p w14:paraId="36416185"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b/>
                <w:bCs/>
                <w:szCs w:val="18"/>
              </w:rPr>
            </w:pPr>
            <w:r>
              <w:rPr>
                <w:rFonts w:ascii="Times New Roman" w:hAnsi="Times New Roman" w:cs="Times New Roman"/>
                <w:b/>
                <w:bCs/>
                <w:szCs w:val="18"/>
              </w:rPr>
              <w:t>6-9 months</w:t>
            </w:r>
          </w:p>
        </w:tc>
        <w:tc>
          <w:tcPr>
            <w:tcW w:w="1861" w:type="dxa"/>
          </w:tcPr>
          <w:p w14:paraId="0546FAD2"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250,000 – 400,000 (equipment, installation, staff training)</w:t>
            </w:r>
          </w:p>
        </w:tc>
      </w:tr>
      <w:tr w:rsidR="000B3252" w14:paraId="38E7BA4D" w14:textId="77777777">
        <w:tc>
          <w:tcPr>
            <w:tcW w:w="1971" w:type="dxa"/>
          </w:tcPr>
          <w:p w14:paraId="18490C5F"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b/>
                <w:szCs w:val="18"/>
              </w:rPr>
              <w:t>Increasing demand for sustainability and CSR initiatives</w:t>
            </w:r>
          </w:p>
        </w:tc>
        <w:tc>
          <w:tcPr>
            <w:tcW w:w="2117" w:type="dxa"/>
          </w:tcPr>
          <w:p w14:paraId="456C5966"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Introduce carbon-neutral event packages and obtain EU Ecolabel certification</w:t>
            </w:r>
          </w:p>
        </w:tc>
        <w:tc>
          <w:tcPr>
            <w:tcW w:w="2210" w:type="dxa"/>
          </w:tcPr>
          <w:p w14:paraId="68AE836E"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Improved brand reputation, attraction of eco-conscious customers and corporate clients</w:t>
            </w:r>
          </w:p>
        </w:tc>
        <w:tc>
          <w:tcPr>
            <w:tcW w:w="1058" w:type="dxa"/>
          </w:tcPr>
          <w:p w14:paraId="09F509F3"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b/>
                <w:bCs/>
                <w:szCs w:val="18"/>
              </w:rPr>
            </w:pPr>
            <w:r>
              <w:rPr>
                <w:rFonts w:ascii="Times New Roman" w:hAnsi="Times New Roman" w:cs="Times New Roman"/>
                <w:b/>
                <w:bCs/>
                <w:szCs w:val="18"/>
              </w:rPr>
              <w:t>12-18 months</w:t>
            </w:r>
          </w:p>
        </w:tc>
        <w:tc>
          <w:tcPr>
            <w:tcW w:w="1861" w:type="dxa"/>
          </w:tcPr>
          <w:p w14:paraId="188B73D7"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100,000 – 150,000 (certifications, sustainability audits, marketing)</w:t>
            </w:r>
          </w:p>
        </w:tc>
      </w:tr>
      <w:tr w:rsidR="000B3252" w14:paraId="04549873" w14:textId="77777777">
        <w:tc>
          <w:tcPr>
            <w:tcW w:w="1971" w:type="dxa"/>
          </w:tcPr>
          <w:p w14:paraId="2CE2E27B"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b/>
                <w:szCs w:val="18"/>
              </w:rPr>
              <w:t>Employee resistance to technological changes and lack of digital literacy</w:t>
            </w:r>
          </w:p>
        </w:tc>
        <w:tc>
          <w:tcPr>
            <w:tcW w:w="2117" w:type="dxa"/>
          </w:tcPr>
          <w:p w14:paraId="17175F9A"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Develop comprehensive staff training on AI tools, personalisation techniques, and sustainability practices</w:t>
            </w:r>
          </w:p>
        </w:tc>
        <w:tc>
          <w:tcPr>
            <w:tcW w:w="2210" w:type="dxa"/>
          </w:tcPr>
          <w:p w14:paraId="76BB6564"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Increased employee confidence, smoother service delivery, and reduced resistance to change</w:t>
            </w:r>
          </w:p>
        </w:tc>
        <w:tc>
          <w:tcPr>
            <w:tcW w:w="1058" w:type="dxa"/>
          </w:tcPr>
          <w:p w14:paraId="0E2DB45A"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b/>
                <w:bCs/>
                <w:szCs w:val="18"/>
              </w:rPr>
            </w:pPr>
            <w:r>
              <w:rPr>
                <w:rFonts w:ascii="Times New Roman" w:hAnsi="Times New Roman" w:cs="Times New Roman"/>
                <w:b/>
                <w:bCs/>
                <w:szCs w:val="18"/>
              </w:rPr>
              <w:t>3-9 months (ongoing)</w:t>
            </w:r>
          </w:p>
        </w:tc>
        <w:tc>
          <w:tcPr>
            <w:tcW w:w="1861" w:type="dxa"/>
          </w:tcPr>
          <w:p w14:paraId="0A6CA076"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50,000 – 100,000 (training materials, workshops, external consultants)</w:t>
            </w:r>
          </w:p>
        </w:tc>
      </w:tr>
      <w:tr w:rsidR="000B3252" w14:paraId="6E9CB067" w14:textId="77777777">
        <w:tc>
          <w:tcPr>
            <w:tcW w:w="1971" w:type="dxa"/>
          </w:tcPr>
          <w:p w14:paraId="3C69357D"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b/>
                <w:szCs w:val="18"/>
              </w:rPr>
              <w:t>Growing competition from boutique hotels and Airbnb alternatives</w:t>
            </w:r>
          </w:p>
        </w:tc>
        <w:tc>
          <w:tcPr>
            <w:tcW w:w="2117" w:type="dxa"/>
          </w:tcPr>
          <w:p w14:paraId="2B35E1B7"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Create exclusive guest experiences through strategic partnerships with local businesses and cultural institutions</w:t>
            </w:r>
          </w:p>
        </w:tc>
        <w:tc>
          <w:tcPr>
            <w:tcW w:w="2210" w:type="dxa"/>
          </w:tcPr>
          <w:p w14:paraId="4D20F322"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Differentiation from competitors, improved guest engagement, and higher occupancy rates</w:t>
            </w:r>
          </w:p>
        </w:tc>
        <w:tc>
          <w:tcPr>
            <w:tcW w:w="1058" w:type="dxa"/>
          </w:tcPr>
          <w:p w14:paraId="041C4E66"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b/>
                <w:bCs/>
                <w:szCs w:val="18"/>
              </w:rPr>
            </w:pPr>
            <w:r>
              <w:rPr>
                <w:rFonts w:ascii="Times New Roman" w:hAnsi="Times New Roman" w:cs="Times New Roman"/>
                <w:b/>
                <w:bCs/>
                <w:szCs w:val="18"/>
              </w:rPr>
              <w:t>9-12 months</w:t>
            </w:r>
          </w:p>
        </w:tc>
        <w:tc>
          <w:tcPr>
            <w:tcW w:w="1861" w:type="dxa"/>
          </w:tcPr>
          <w:p w14:paraId="4CF859DF"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75,000 – 150,000 (partnership agreements, experience development, promotions)</w:t>
            </w:r>
          </w:p>
        </w:tc>
      </w:tr>
      <w:tr w:rsidR="000B3252" w14:paraId="1C1FC09C" w14:textId="77777777">
        <w:tc>
          <w:tcPr>
            <w:tcW w:w="1971" w:type="dxa"/>
          </w:tcPr>
          <w:p w14:paraId="0C284AF2"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b/>
                <w:szCs w:val="18"/>
              </w:rPr>
              <w:t>Slow and inefficient check-in/check-out processes</w:t>
            </w:r>
          </w:p>
        </w:tc>
        <w:tc>
          <w:tcPr>
            <w:tcW w:w="2117" w:type="dxa"/>
          </w:tcPr>
          <w:p w14:paraId="00CFCC35"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Implement self-service kiosks and mobile check-in/out options</w:t>
            </w:r>
          </w:p>
        </w:tc>
        <w:tc>
          <w:tcPr>
            <w:tcW w:w="2210" w:type="dxa"/>
          </w:tcPr>
          <w:p w14:paraId="3ED9B9C3"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Reduced wait times, improved guest convenience, and higher operational efficiency</w:t>
            </w:r>
          </w:p>
        </w:tc>
        <w:tc>
          <w:tcPr>
            <w:tcW w:w="1058" w:type="dxa"/>
          </w:tcPr>
          <w:p w14:paraId="41B843A2"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b/>
                <w:bCs/>
                <w:szCs w:val="18"/>
              </w:rPr>
            </w:pPr>
            <w:r>
              <w:rPr>
                <w:rFonts w:ascii="Times New Roman" w:hAnsi="Times New Roman" w:cs="Times New Roman"/>
                <w:b/>
                <w:bCs/>
                <w:szCs w:val="18"/>
              </w:rPr>
              <w:t>6-9 months</w:t>
            </w:r>
          </w:p>
        </w:tc>
        <w:tc>
          <w:tcPr>
            <w:tcW w:w="1861" w:type="dxa"/>
          </w:tcPr>
          <w:p w14:paraId="55078254"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rPr>
                <w:rFonts w:ascii="Times New Roman" w:hAnsi="Times New Roman" w:cs="Times New Roman"/>
                <w:szCs w:val="18"/>
              </w:rPr>
            </w:pPr>
            <w:r>
              <w:rPr>
                <w:rFonts w:ascii="Times New Roman" w:hAnsi="Times New Roman" w:cs="Times New Roman"/>
                <w:szCs w:val="18"/>
              </w:rPr>
              <w:t>100,000 – 200,000 (hardware, software integration, staff training)</w:t>
            </w:r>
          </w:p>
        </w:tc>
      </w:tr>
    </w:tbl>
    <w:p w14:paraId="092CF053"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bCs/>
          <w:sz w:val="20"/>
          <w:szCs w:val="20"/>
        </w:rPr>
      </w:pPr>
      <w:r>
        <w:rPr>
          <w:rFonts w:ascii="Times New Roman" w:hAnsi="Times New Roman" w:cs="Times New Roman"/>
          <w:b/>
          <w:bCs/>
          <w:sz w:val="20"/>
          <w:szCs w:val="20"/>
        </w:rPr>
        <w:t>Table 4. Proposed action plan by SMART Hospitality Solutions Ltd.</w:t>
      </w:r>
    </w:p>
    <w:p w14:paraId="1C0C56DA"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rPr>
      </w:pPr>
      <w:r>
        <w:rPr>
          <w:rFonts w:ascii="Times New Roman" w:hAnsi="Times New Roman" w:cs="Times New Roman"/>
          <w:sz w:val="20"/>
          <w:szCs w:val="20"/>
        </w:rPr>
        <w:t>Source: (created by the learner).</w:t>
      </w:r>
    </w:p>
    <w:p w14:paraId="206CB39A"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0532DC96"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This structured action plan provides a clear roadmap for Hilton Barcelona to systematically address current challenges while ensuring that implementation is cost-effective and delivers measurable outcomes. Regular progress reviews and key performance indicator (KPI) tracking will ensure alignment with strategic objectives and allow for necessary adjustments (Bhatti, Awan and Razaq, 2013).</w:t>
      </w:r>
    </w:p>
    <w:p w14:paraId="0B451E78" w14:textId="77777777" w:rsidR="000B3252" w:rsidRDefault="00000000">
      <w:pPr>
        <w:spacing w:after="0" w:line="360" w:lineRule="auto"/>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63E0F96E" wp14:editId="48CDDC09">
            <wp:extent cx="4759325" cy="1786890"/>
            <wp:effectExtent l="0" t="0" r="0" b="0"/>
            <wp:docPr id="6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
                    <pic:cNvPicPr>
                      <a:picLocks noChangeAspect="1"/>
                    </pic:cNvPicPr>
                  </pic:nvPicPr>
                  <pic:blipFill>
                    <a:blip r:embed="rId12"/>
                    <a:srcRect l="518" t="4522" r="-518" b="9520"/>
                    <a:stretch/>
                  </pic:blipFill>
                  <pic:spPr>
                    <a:xfrm>
                      <a:off x="0" y="0"/>
                      <a:ext cx="4759325" cy="1786890"/>
                    </a:xfrm>
                    <a:prstGeom prst="rect">
                      <a:avLst/>
                    </a:prstGeom>
                  </pic:spPr>
                </pic:pic>
              </a:graphicData>
            </a:graphic>
          </wp:inline>
        </w:drawing>
      </w:r>
    </w:p>
    <w:p w14:paraId="75AE8901"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bCs/>
          <w:sz w:val="20"/>
          <w:szCs w:val="20"/>
          <w:lang w:val="en-US"/>
        </w:rPr>
      </w:pPr>
      <w:r>
        <w:rPr>
          <w:rFonts w:ascii="Times New Roman" w:hAnsi="Times New Roman" w:cs="Times New Roman"/>
          <w:b/>
          <w:bCs/>
          <w:sz w:val="20"/>
          <w:szCs w:val="20"/>
          <w:lang w:val="en-US"/>
        </w:rPr>
        <w:lastRenderedPageBreak/>
        <w:t xml:space="preserve">Figure 5. Implementation timeline for Hilton Barcelona's strategic action plan </w:t>
      </w:r>
    </w:p>
    <w:p w14:paraId="43CADA08" w14:textId="77777777" w:rsidR="000B3252" w:rsidRDefault="00000000">
      <w:pPr>
        <w:spacing w:after="0" w:line="360" w:lineRule="auto"/>
        <w:jc w:val="center"/>
        <w:rPr>
          <w:rFonts w:ascii="Times New Roman" w:hAnsi="Times New Roman" w:cs="Times New Roman"/>
          <w:sz w:val="20"/>
          <w:szCs w:val="20"/>
        </w:rPr>
      </w:pPr>
      <w:r>
        <w:rPr>
          <w:rFonts w:ascii="Times New Roman" w:hAnsi="Times New Roman" w:cs="Times New Roman"/>
          <w:sz w:val="20"/>
          <w:szCs w:val="20"/>
        </w:rPr>
        <w:t>Source: (created by the learner).</w:t>
      </w:r>
    </w:p>
    <w:p w14:paraId="581B49AF" w14:textId="77777777" w:rsidR="000B3252" w:rsidRDefault="000B3252">
      <w:pPr>
        <w:spacing w:after="0" w:line="360" w:lineRule="auto"/>
        <w:jc w:val="both"/>
        <w:rPr>
          <w:rFonts w:ascii="Times New Roman" w:hAnsi="Times New Roman" w:cs="Times New Roman"/>
          <w:sz w:val="20"/>
          <w:szCs w:val="20"/>
        </w:rPr>
      </w:pPr>
    </w:p>
    <w:p w14:paraId="29E6A42E" w14:textId="77777777" w:rsidR="000B3252" w:rsidRDefault="00000000">
      <w:pPr>
        <w:spacing w:after="0" w:line="360" w:lineRule="auto"/>
        <w:jc w:val="both"/>
        <w:rPr>
          <w:rFonts w:ascii="Times New Roman" w:hAnsi="Times New Roman" w:cs="Times New Roman"/>
          <w:sz w:val="20"/>
          <w:szCs w:val="20"/>
        </w:rPr>
      </w:pPr>
      <w:r>
        <w:rPr>
          <w:rFonts w:ascii="Times New Roman" w:hAnsi="Times New Roman" w:cs="Times New Roman"/>
          <w:sz w:val="20"/>
          <w:szCs w:val="20"/>
        </w:rPr>
        <w:t xml:space="preserve">Figure 5 provides a structured overview of the timeline required for implementing Hilton Barcelona’s strategic initiatives. Each initiative is categorised based on its focus area, such as technology upgrades, service optimisation, sustainability measures, workforce development, and market differentiation. From the chart, it is evident that most strategic actions will take between 6 to 18 months to implement, with some initiatives requiring more extended integration periods due to complexity and operational impact. The sustainability initiatives and digital transformation efforts are among the longest-running projects, reflecting the necessity for infrastructure investment, regulatory compliance, and staff adaptation (George and </w:t>
      </w:r>
      <w:proofErr w:type="spellStart"/>
      <w:r>
        <w:rPr>
          <w:rFonts w:ascii="Times New Roman" w:hAnsi="Times New Roman" w:cs="Times New Roman"/>
          <w:sz w:val="20"/>
          <w:szCs w:val="20"/>
        </w:rPr>
        <w:t>Schillebeeckx</w:t>
      </w:r>
      <w:proofErr w:type="spellEnd"/>
      <w:r>
        <w:rPr>
          <w:rFonts w:ascii="Times New Roman" w:hAnsi="Times New Roman" w:cs="Times New Roman"/>
          <w:sz w:val="20"/>
          <w:szCs w:val="20"/>
        </w:rPr>
        <w:t>, 2022).</w:t>
      </w:r>
    </w:p>
    <w:p w14:paraId="103537E1" w14:textId="77777777" w:rsidR="000B3252" w:rsidRDefault="000B3252">
      <w:pPr>
        <w:spacing w:after="0" w:line="360" w:lineRule="auto"/>
        <w:jc w:val="both"/>
        <w:rPr>
          <w:rFonts w:ascii="Times New Roman" w:hAnsi="Times New Roman" w:cs="Times New Roman"/>
          <w:sz w:val="20"/>
          <w:szCs w:val="20"/>
        </w:rPr>
      </w:pPr>
    </w:p>
    <w:p w14:paraId="64AD6AEF" w14:textId="77777777" w:rsidR="000B3252" w:rsidRDefault="000B3252">
      <w:pPr>
        <w:spacing w:after="0" w:line="360" w:lineRule="auto"/>
        <w:jc w:val="both"/>
        <w:rPr>
          <w:rFonts w:ascii="Times New Roman" w:hAnsi="Times New Roman" w:cs="Times New Roman"/>
          <w:sz w:val="20"/>
          <w:szCs w:val="20"/>
        </w:rPr>
      </w:pPr>
    </w:p>
    <w:p w14:paraId="6BEC3581" w14:textId="77777777" w:rsidR="000B3252" w:rsidRDefault="00000000">
      <w:pPr>
        <w:spacing w:after="0" w:line="360" w:lineRule="auto"/>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1C7F0E67" wp14:editId="515843AF">
            <wp:extent cx="5743575" cy="1993265"/>
            <wp:effectExtent l="0" t="0" r="0" b="0"/>
            <wp:docPr id="6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5"/>
                    <pic:cNvPicPr>
                      <a:picLocks noChangeAspect="1"/>
                    </pic:cNvPicPr>
                  </pic:nvPicPr>
                  <pic:blipFill>
                    <a:blip r:embed="rId13"/>
                    <a:srcRect/>
                    <a:stretch>
                      <a:fillRect/>
                    </a:stretch>
                  </pic:blipFill>
                  <pic:spPr>
                    <a:xfrm>
                      <a:off x="0" y="0"/>
                      <a:ext cx="5743575" cy="1993265"/>
                    </a:xfrm>
                    <a:prstGeom prst="rect">
                      <a:avLst/>
                    </a:prstGeom>
                  </pic:spPr>
                </pic:pic>
              </a:graphicData>
            </a:graphic>
          </wp:inline>
        </w:drawing>
      </w:r>
    </w:p>
    <w:p w14:paraId="5FCD782B"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bCs/>
          <w:sz w:val="20"/>
          <w:szCs w:val="20"/>
          <w:lang w:val="en-US"/>
        </w:rPr>
      </w:pPr>
      <w:r>
        <w:rPr>
          <w:rFonts w:ascii="Times New Roman" w:hAnsi="Times New Roman" w:cs="Times New Roman"/>
          <w:b/>
          <w:bCs/>
          <w:sz w:val="20"/>
          <w:szCs w:val="20"/>
          <w:lang w:val="en-US"/>
        </w:rPr>
        <w:t>Figure 6. Implementation Cost and Timeline for Hilton Barcelona's Strategic Actions</w:t>
      </w:r>
    </w:p>
    <w:p w14:paraId="6887EF72" w14:textId="77777777" w:rsidR="000B3252" w:rsidRDefault="00000000">
      <w:pPr>
        <w:spacing w:after="0" w:line="360" w:lineRule="auto"/>
        <w:jc w:val="center"/>
        <w:rPr>
          <w:rFonts w:ascii="Times New Roman" w:hAnsi="Times New Roman" w:cs="Times New Roman"/>
          <w:sz w:val="20"/>
          <w:szCs w:val="20"/>
        </w:rPr>
      </w:pPr>
      <w:r>
        <w:rPr>
          <w:rFonts w:ascii="Times New Roman" w:hAnsi="Times New Roman" w:cs="Times New Roman"/>
          <w:sz w:val="20"/>
          <w:szCs w:val="20"/>
        </w:rPr>
        <w:t>Source: (created by the learner).</w:t>
      </w:r>
    </w:p>
    <w:p w14:paraId="41F9E2D9" w14:textId="77777777" w:rsidR="000B3252" w:rsidRDefault="000B3252">
      <w:pPr>
        <w:spacing w:after="0" w:line="360" w:lineRule="auto"/>
        <w:jc w:val="both"/>
        <w:rPr>
          <w:rFonts w:ascii="Times New Roman" w:hAnsi="Times New Roman" w:cs="Times New Roman"/>
          <w:sz w:val="20"/>
          <w:szCs w:val="20"/>
        </w:rPr>
      </w:pPr>
    </w:p>
    <w:p w14:paraId="2A807108"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Figure 6 presents the estimated costs and timelines for Hilton Barcelona’s strategic initiatives. Technology investments, such as AI-driven personalisation and self-service kiosks, require the highest capital outlay, ranging from €100,000 to €300,000 over 6 to 12 months, ensuring improved efficiency and guest satisfaction. Sustainability initiatives, including smart energy management and EU Ecolabel certification, demand €100,000 to €400,000, with timelines extending up to 18 months. While requiring higher initial costs, these measures support long-term operational savings and regulatory compliance.</w:t>
      </w:r>
    </w:p>
    <w:p w14:paraId="1C7CFD5A"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Workforce training and service optimisation require lower investments, between €50,000 and €250,000 over 3 to 9 months, ensuring seamless adoption of new technologies and improved service delivery. Market differentiation initiatives, such as exclusive guest experiences, will cost €75,000 to €150,000 over 9 to 12 months, strengthening Hilton Barcelona’s position against boutique hotels and Airbnb. However, the cost and timeline distribution illustrate a balanced approach, combining immediate efficiency improvements with long-term sustainability and competitive differentiation.</w:t>
      </w:r>
      <w:bookmarkStart w:id="29" w:name="_Toc6"/>
    </w:p>
    <w:p w14:paraId="02101714" w14:textId="77777777" w:rsidR="000B3252" w:rsidRDefault="000B3252">
      <w:pPr>
        <w:spacing w:line="360" w:lineRule="auto"/>
        <w:jc w:val="both"/>
        <w:rPr>
          <w:rFonts w:ascii="Times New Roman" w:hAnsi="Times New Roman" w:cs="Times New Roman"/>
          <w:sz w:val="20"/>
          <w:szCs w:val="20"/>
        </w:rPr>
      </w:pPr>
    </w:p>
    <w:p w14:paraId="3E520247" w14:textId="77777777" w:rsidR="000B3252" w:rsidRDefault="000B3252">
      <w:pPr>
        <w:spacing w:line="360" w:lineRule="auto"/>
        <w:jc w:val="both"/>
        <w:rPr>
          <w:rFonts w:ascii="Times New Roman" w:hAnsi="Times New Roman" w:cs="Times New Roman"/>
          <w:sz w:val="20"/>
          <w:szCs w:val="20"/>
        </w:rPr>
      </w:pPr>
    </w:p>
    <w:p w14:paraId="6B2E377B" w14:textId="77777777" w:rsidR="000B3252" w:rsidRDefault="000B3252">
      <w:pPr>
        <w:spacing w:line="360" w:lineRule="auto"/>
        <w:jc w:val="both"/>
        <w:rPr>
          <w:rFonts w:ascii="Times New Roman" w:hAnsi="Times New Roman" w:cs="Times New Roman"/>
          <w:sz w:val="20"/>
          <w:szCs w:val="20"/>
        </w:rPr>
      </w:pPr>
    </w:p>
    <w:p w14:paraId="67136AC8" w14:textId="77777777" w:rsidR="000B3252" w:rsidRDefault="000B3252">
      <w:pPr>
        <w:spacing w:line="360" w:lineRule="auto"/>
        <w:jc w:val="both"/>
        <w:rPr>
          <w:rFonts w:ascii="Times New Roman" w:hAnsi="Times New Roman" w:cs="Times New Roman"/>
          <w:sz w:val="20"/>
          <w:szCs w:val="20"/>
        </w:rPr>
      </w:pPr>
    </w:p>
    <w:p w14:paraId="6EF479A8" w14:textId="77777777" w:rsidR="000B3252" w:rsidRDefault="000B3252">
      <w:pPr>
        <w:spacing w:line="360" w:lineRule="auto"/>
        <w:jc w:val="both"/>
        <w:rPr>
          <w:rFonts w:ascii="Times New Roman" w:hAnsi="Times New Roman" w:cs="Times New Roman"/>
          <w:sz w:val="20"/>
          <w:szCs w:val="20"/>
        </w:rPr>
      </w:pPr>
    </w:p>
    <w:p w14:paraId="33EC1DAA"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w:t>
      </w:r>
    </w:p>
    <w:p w14:paraId="043AD183" w14:textId="77777777" w:rsidR="000B3252" w:rsidRDefault="000B3252">
      <w:pPr>
        <w:spacing w:line="360" w:lineRule="auto"/>
        <w:jc w:val="both"/>
        <w:rPr>
          <w:rFonts w:ascii="Times New Roman" w:hAnsi="Times New Roman" w:cs="Times New Roman"/>
          <w:sz w:val="20"/>
          <w:szCs w:val="20"/>
        </w:rPr>
      </w:pPr>
    </w:p>
    <w:p w14:paraId="5F843E64" w14:textId="77777777" w:rsidR="000B3252" w:rsidRDefault="000B3252">
      <w:pPr>
        <w:spacing w:line="360" w:lineRule="auto"/>
        <w:jc w:val="both"/>
        <w:rPr>
          <w:rFonts w:ascii="Times New Roman" w:hAnsi="Times New Roman" w:cs="Times New Roman"/>
          <w:sz w:val="20"/>
          <w:szCs w:val="20"/>
        </w:rPr>
      </w:pPr>
    </w:p>
    <w:p w14:paraId="6F5A7E2F" w14:textId="77777777" w:rsidR="000B3252" w:rsidRDefault="000B3252">
      <w:pPr>
        <w:spacing w:line="360" w:lineRule="auto"/>
        <w:jc w:val="both"/>
        <w:rPr>
          <w:rFonts w:ascii="Times New Roman" w:hAnsi="Times New Roman" w:cs="Times New Roman"/>
          <w:sz w:val="20"/>
          <w:szCs w:val="20"/>
        </w:rPr>
      </w:pPr>
    </w:p>
    <w:p w14:paraId="7DA7B493" w14:textId="77777777" w:rsidR="000B3252" w:rsidRDefault="000B3252">
      <w:pPr>
        <w:spacing w:line="360" w:lineRule="auto"/>
        <w:jc w:val="both"/>
        <w:rPr>
          <w:rFonts w:ascii="Times New Roman" w:hAnsi="Times New Roman" w:cs="Times New Roman"/>
          <w:sz w:val="20"/>
          <w:szCs w:val="20"/>
        </w:rPr>
      </w:pPr>
    </w:p>
    <w:p w14:paraId="25C77400" w14:textId="77777777" w:rsidR="000B3252" w:rsidRDefault="000B3252">
      <w:pPr>
        <w:spacing w:line="360" w:lineRule="auto"/>
        <w:jc w:val="both"/>
        <w:rPr>
          <w:rFonts w:ascii="Times New Roman" w:hAnsi="Times New Roman" w:cs="Times New Roman"/>
          <w:sz w:val="20"/>
          <w:szCs w:val="20"/>
        </w:rPr>
      </w:pPr>
    </w:p>
    <w:p w14:paraId="6FB9DC91" w14:textId="77777777" w:rsidR="000B3252" w:rsidRDefault="000B3252">
      <w:pPr>
        <w:spacing w:line="360" w:lineRule="auto"/>
        <w:jc w:val="both"/>
        <w:rPr>
          <w:rFonts w:ascii="Times New Roman" w:hAnsi="Times New Roman" w:cs="Times New Roman"/>
          <w:sz w:val="20"/>
          <w:szCs w:val="20"/>
        </w:rPr>
      </w:pPr>
    </w:p>
    <w:p w14:paraId="484FAC33" w14:textId="77777777" w:rsidR="000B3252" w:rsidRDefault="000B3252">
      <w:pPr>
        <w:spacing w:line="360" w:lineRule="auto"/>
        <w:jc w:val="both"/>
        <w:rPr>
          <w:rFonts w:ascii="Times New Roman" w:hAnsi="Times New Roman" w:cs="Times New Roman"/>
          <w:sz w:val="20"/>
          <w:szCs w:val="20"/>
        </w:rPr>
      </w:pPr>
    </w:p>
    <w:p w14:paraId="338DEE61" w14:textId="77777777" w:rsidR="000B3252" w:rsidRDefault="000B3252">
      <w:pPr>
        <w:spacing w:line="360" w:lineRule="auto"/>
        <w:jc w:val="both"/>
        <w:rPr>
          <w:rFonts w:ascii="Times New Roman" w:hAnsi="Times New Roman" w:cs="Times New Roman"/>
          <w:sz w:val="20"/>
          <w:szCs w:val="20"/>
        </w:rPr>
      </w:pPr>
    </w:p>
    <w:p w14:paraId="66FECE83" w14:textId="77777777" w:rsidR="000B3252" w:rsidRDefault="00000000">
      <w:pPr>
        <w:pStyle w:val="Heading1"/>
        <w:spacing w:line="360" w:lineRule="auto"/>
        <w:jc w:val="both"/>
        <w:rPr>
          <w:rFonts w:ascii="Times New Roman" w:hAnsi="Times New Roman" w:cs="Times New Roman"/>
          <w:color w:val="000000"/>
          <w:sz w:val="24"/>
          <w:szCs w:val="24"/>
        </w:rPr>
      </w:pPr>
      <w:bookmarkStart w:id="30" w:name="_Toc30"/>
      <w:r>
        <w:rPr>
          <w:rFonts w:ascii="Times New Roman" w:hAnsi="Times New Roman" w:cs="Times New Roman"/>
          <w:color w:val="000000"/>
          <w:sz w:val="24"/>
          <w:szCs w:val="24"/>
        </w:rPr>
        <w:t>Conclusion</w:t>
      </w:r>
      <w:bookmarkEnd w:id="29"/>
      <w:bookmarkEnd w:id="30"/>
    </w:p>
    <w:p w14:paraId="5845582C"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r>
        <w:rPr>
          <w:rFonts w:ascii="Times New Roman" w:hAnsi="Times New Roman" w:cs="Times New Roman"/>
          <w:sz w:val="20"/>
          <w:szCs w:val="20"/>
        </w:rPr>
        <w:t>The comprehensive analysis of Hilton Barcelona’s operational landscape reveals the pressing need for strategic innovation in digital transformation, sustainability, and service personalisation. The evolving hospitality industry, driven by technological advancements, shifting consumer expectations, and regulatory requirements, presents both opportunities and challenges. Hilton Barcelona must support AI-driven solutions, sustainability initiatives, and workforce development to maintain its competitive edge.</w:t>
      </w:r>
    </w:p>
    <w:p w14:paraId="77546EFE"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p>
    <w:p w14:paraId="7D32EC66"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r>
        <w:rPr>
          <w:rFonts w:ascii="Times New Roman" w:hAnsi="Times New Roman" w:cs="Times New Roman"/>
          <w:sz w:val="20"/>
          <w:szCs w:val="20"/>
        </w:rPr>
        <w:t>The STEEPLED analysis highlights external macro-environmental influences shaping the hotel’s performance. Social trends indicate a rising demand for eco-conscious travel, personalised experiences, and seamless digital interactions, necessitating investment in AI-driven guest services. The technological landscape underscores the benefits of integrating automated check-in systems, smart room technology, and cybersecurity improvements to improve efficiency. Economic fluctuations, geopolitical instability, and regulatory shifts pose financial and operational challenges, requiring adaptive pricing strategies and compliance with EU and Spanish policies. On the other hand, the SOAR analysis confirms Hilton Barcelona’s strong brand equity, loyal customer base through the Hilton Honors programme, and prime location as key strengths. Opportunities for growth lie in expanding sustainability initiatives, forming local partnerships, and enhancing digital engagement. Meanwhile, the TOWS analysis identifies weaknesses such as high operational costs and traditional service models, which can be mitigated through AI-driven personalisation, predictive analytics, and staff upskilling programmes. Addressing competitive threats from boutique hotels and short-term rentals requires Hilton Barcelona to differentiate itself through unique guest experiences, superior service offerings, and loyalty incentives.</w:t>
      </w:r>
    </w:p>
    <w:p w14:paraId="25A3F513"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p>
    <w:p w14:paraId="1DFDA2A9"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r>
        <w:rPr>
          <w:rFonts w:ascii="Times New Roman" w:hAnsi="Times New Roman" w:cs="Times New Roman"/>
          <w:sz w:val="20"/>
          <w:szCs w:val="20"/>
        </w:rPr>
        <w:t>To achieve these strategic goals, a structured change management approach, based on Kotter’s Eight-Step Model and Lewin’s Change Theory, has been proposed. Digital transformation initiatives, including AI-powered concierge services and mobile check-ins, will improve customer engagement and operational efficiency. Sustainability remains a cornerstone of Hilton Barcelona’s strategy, with planned investments in energy-efficient infrastructure, carbon-neutral event packages, and EU Ecolabel certification. Workforce training and development will support seamless adoption of these innovations, reducing resistance to change and fostering service excellence. Moreover, the implementation plan outlines a phased approach, ensuring cost-effective execution without operational disruptions. The projected investment in digital transformation (€200,000 – €300,000) and sustainability measures (€250,000 – €400,000) is justified by long-term cost savings and improved brand positioning. Workforce training and guest experience innovations, budgeted between €50,000 and €250,000, will further reinforce service quality and operational resilience.</w:t>
      </w:r>
    </w:p>
    <w:p w14:paraId="2655EF2F"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p>
    <w:p w14:paraId="49C5A3FB"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r>
        <w:rPr>
          <w:rFonts w:ascii="Times New Roman" w:hAnsi="Times New Roman" w:cs="Times New Roman"/>
          <w:sz w:val="20"/>
          <w:szCs w:val="20"/>
        </w:rPr>
        <w:t>Considering the proposed recommendations, Hilton Barcelona can achieve long-term growth, operational sustainability, and improved customer satisfaction. This strategy will position the hotel as a leader in luxury hospitality, sustainability, and digital innovation, ensuring continued success in an evolving market. The ongoing assessment of performance metrics, guest feedback, and employee engagement will be essential for continuous improvement, ensuring Hilton Barcelona remains at the forefront of the industry.</w:t>
      </w:r>
    </w:p>
    <w:p w14:paraId="3E30C015"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p>
    <w:p w14:paraId="6F45AEAE" w14:textId="77777777" w:rsidR="000B3252"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r>
        <w:rPr>
          <w:rFonts w:ascii="Times New Roman" w:hAnsi="Times New Roman" w:cs="Times New Roman"/>
          <w:sz w:val="20"/>
          <w:szCs w:val="20"/>
        </w:rPr>
        <w:t>SMART Hospitality Solutions Ltd. extends its gratitude to Hilton Barcelona for the opportunity to contribute to its strategic vision. We are confident that these recommendations will drive measurable improvements and elevate the hotel’s market standing. Should you require further consultation or support in implementation, our team remains available to assist in achieving Hilton Barcelona’s long-term objectives.</w:t>
      </w:r>
    </w:p>
    <w:p w14:paraId="5F4B4D3C"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66DED2BB"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0D474B45"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031F48CC"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62386C76"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29A5C71C"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57D4384A"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038054CA"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6D417E0E"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048DD387"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4FF8A002"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101F4EE3"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1C220BFF"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6132EB95"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7984AAF0"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719EA408"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6E07C801"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3B90CD5E"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3D23647E"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11D30B58"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6866F314"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50882460"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11E8561D"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193C44D8"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3829CFB0"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371155C6"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2F1467AB"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3CD9E3B0"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0E00A53E"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49CFE7E1"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47FF90F5"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3268E843"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7DA32355"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both"/>
        <w:rPr>
          <w:rFonts w:ascii="Times New Roman" w:hAnsi="Times New Roman" w:cs="Times New Roman"/>
          <w:sz w:val="20"/>
          <w:szCs w:val="20"/>
        </w:rPr>
      </w:pPr>
    </w:p>
    <w:p w14:paraId="768F81A4" w14:textId="77777777" w:rsidR="000B3252" w:rsidRDefault="00000000">
      <w:pPr>
        <w:pStyle w:val="Heading1"/>
        <w:spacing w:line="360" w:lineRule="auto"/>
        <w:jc w:val="both"/>
        <w:rPr>
          <w:rFonts w:ascii="Times New Roman" w:hAnsi="Times New Roman" w:cs="Times New Roman"/>
          <w:color w:val="000000"/>
          <w:sz w:val="24"/>
          <w:szCs w:val="24"/>
        </w:rPr>
      </w:pPr>
      <w:bookmarkStart w:id="31" w:name="_Toc7"/>
      <w:r>
        <w:rPr>
          <w:rFonts w:ascii="Times New Roman" w:hAnsi="Times New Roman" w:cs="Times New Roman"/>
          <w:color w:val="000000"/>
          <w:sz w:val="24"/>
          <w:szCs w:val="24"/>
        </w:rPr>
        <w:t>Reference List</w:t>
      </w:r>
      <w:bookmarkEnd w:id="31"/>
      <w:r>
        <w:rPr>
          <w:rFonts w:ascii="Times New Roman" w:hAnsi="Times New Roman" w:cs="Times New Roman"/>
          <w:color w:val="000000"/>
          <w:sz w:val="24"/>
          <w:szCs w:val="24"/>
        </w:rPr>
        <w:t xml:space="preserve"> </w:t>
      </w:r>
    </w:p>
    <w:p w14:paraId="7A6D63E4" w14:textId="77777777" w:rsidR="000B3252"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Abiagom</w:t>
      </w:r>
      <w:proofErr w:type="spellEnd"/>
      <w:r>
        <w:rPr>
          <w:rFonts w:ascii="Times New Roman" w:hAnsi="Times New Roman" w:cs="Times New Roman"/>
          <w:sz w:val="20"/>
          <w:szCs w:val="20"/>
        </w:rPr>
        <w:t xml:space="preserve">, N.C.N. and </w:t>
      </w:r>
      <w:proofErr w:type="spellStart"/>
      <w:r>
        <w:rPr>
          <w:rFonts w:ascii="Times New Roman" w:hAnsi="Times New Roman" w:cs="Times New Roman"/>
          <w:sz w:val="20"/>
          <w:szCs w:val="20"/>
        </w:rPr>
        <w:t>Ijomah</w:t>
      </w:r>
      <w:proofErr w:type="spellEnd"/>
      <w:r>
        <w:rPr>
          <w:rFonts w:ascii="Times New Roman" w:hAnsi="Times New Roman" w:cs="Times New Roman"/>
          <w:sz w:val="20"/>
          <w:szCs w:val="20"/>
        </w:rPr>
        <w:t xml:space="preserve">, N.T.I. (2024) Enhancing customer experience through AI-driven language processing in service interactions, </w:t>
      </w:r>
      <w:r>
        <w:rPr>
          <w:rFonts w:ascii="Times New Roman" w:hAnsi="Times New Roman" w:cs="Times New Roman"/>
          <w:i/>
          <w:iCs/>
          <w:sz w:val="20"/>
          <w:szCs w:val="20"/>
        </w:rPr>
        <w:t>Open Access Research Journal of Engineering and Technology</w:t>
      </w:r>
      <w:r>
        <w:rPr>
          <w:rFonts w:ascii="Times New Roman" w:hAnsi="Times New Roman" w:cs="Times New Roman"/>
          <w:sz w:val="20"/>
          <w:szCs w:val="20"/>
        </w:rPr>
        <w:t>, 7(1), pp. 014–021. https://doi.org/10.53022/oarjet.2024.7.1.0027.</w:t>
      </w:r>
    </w:p>
    <w:p w14:paraId="519E10A5"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Agu, N.E.E. </w:t>
      </w:r>
      <w:r>
        <w:rPr>
          <w:rFonts w:ascii="Times New Roman" w:hAnsi="Times New Roman" w:cs="Times New Roman"/>
          <w:i/>
          <w:iCs/>
          <w:sz w:val="20"/>
          <w:szCs w:val="20"/>
        </w:rPr>
        <w:t>et al.</w:t>
      </w:r>
      <w:r>
        <w:rPr>
          <w:rFonts w:ascii="Times New Roman" w:hAnsi="Times New Roman" w:cs="Times New Roman"/>
          <w:sz w:val="20"/>
          <w:szCs w:val="20"/>
        </w:rPr>
        <w:t xml:space="preserve"> (2024) Exploring the relationship between sustainable business practices and increased brand loyalty, </w:t>
      </w:r>
      <w:r>
        <w:rPr>
          <w:rFonts w:ascii="Times New Roman" w:hAnsi="Times New Roman" w:cs="Times New Roman"/>
          <w:i/>
          <w:iCs/>
          <w:sz w:val="20"/>
          <w:szCs w:val="20"/>
        </w:rPr>
        <w:t>International Journal of Management &amp; Entrepreneurship Research</w:t>
      </w:r>
      <w:r>
        <w:rPr>
          <w:rFonts w:ascii="Times New Roman" w:hAnsi="Times New Roman" w:cs="Times New Roman"/>
          <w:sz w:val="20"/>
          <w:szCs w:val="20"/>
        </w:rPr>
        <w:t>, 6(8), pp. 2463–2475. https://doi.org/10.51594/ijmer.v6i8.1365.</w:t>
      </w:r>
    </w:p>
    <w:p w14:paraId="37F17CA8"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Anwar, F.A., Deliana, D. and </w:t>
      </w:r>
      <w:proofErr w:type="spellStart"/>
      <w:r>
        <w:rPr>
          <w:rFonts w:ascii="Times New Roman" w:hAnsi="Times New Roman" w:cs="Times New Roman"/>
          <w:sz w:val="20"/>
          <w:szCs w:val="20"/>
        </w:rPr>
        <w:t>Suyamto</w:t>
      </w:r>
      <w:proofErr w:type="spellEnd"/>
      <w:r>
        <w:rPr>
          <w:rFonts w:ascii="Times New Roman" w:hAnsi="Times New Roman" w:cs="Times New Roman"/>
          <w:sz w:val="20"/>
          <w:szCs w:val="20"/>
        </w:rPr>
        <w:t xml:space="preserve">, S. (2024) Digital transformation in the hospitality industry: Improving efficiency and guest experience, </w:t>
      </w:r>
      <w:r>
        <w:rPr>
          <w:rFonts w:ascii="Times New Roman" w:hAnsi="Times New Roman" w:cs="Times New Roman"/>
          <w:i/>
          <w:iCs/>
          <w:sz w:val="20"/>
          <w:szCs w:val="20"/>
        </w:rPr>
        <w:t>International Journal of Management Science and Information Technology</w:t>
      </w:r>
      <w:r>
        <w:rPr>
          <w:rFonts w:ascii="Times New Roman" w:hAnsi="Times New Roman" w:cs="Times New Roman"/>
          <w:sz w:val="20"/>
          <w:szCs w:val="20"/>
        </w:rPr>
        <w:t>, 4(2), pp. 428–437. https://doi.org/10.35870/ijmsit.v4i2.3201.</w:t>
      </w:r>
    </w:p>
    <w:p w14:paraId="46481664"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Baquero, A. (2022) Net Promoter Score (NPS) and Customer Satisfaction: relationship and efficient management, </w:t>
      </w:r>
      <w:r>
        <w:rPr>
          <w:rFonts w:ascii="Times New Roman" w:hAnsi="Times New Roman" w:cs="Times New Roman"/>
          <w:i/>
          <w:iCs/>
          <w:sz w:val="20"/>
          <w:szCs w:val="20"/>
        </w:rPr>
        <w:t>Sustainability</w:t>
      </w:r>
      <w:r>
        <w:rPr>
          <w:rFonts w:ascii="Times New Roman" w:hAnsi="Times New Roman" w:cs="Times New Roman"/>
          <w:sz w:val="20"/>
          <w:szCs w:val="20"/>
        </w:rPr>
        <w:t>, 14(4), p. 2011. https://doi.org/10.3390/su14042011.</w:t>
      </w:r>
    </w:p>
    <w:p w14:paraId="568FE09B"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Barcelona Tourism Observatory (2024) </w:t>
      </w:r>
      <w:r>
        <w:rPr>
          <w:rFonts w:ascii="Times New Roman" w:hAnsi="Times New Roman" w:cs="Times New Roman"/>
          <w:i/>
          <w:iCs/>
          <w:sz w:val="20"/>
          <w:szCs w:val="20"/>
        </w:rPr>
        <w:t xml:space="preserve">Destination Barcelona ends 2023 with 26 m tourists and an economic impact of direct spending of 12,750 m euros | </w:t>
      </w:r>
      <w:proofErr w:type="spellStart"/>
      <w:r>
        <w:rPr>
          <w:rFonts w:ascii="Times New Roman" w:hAnsi="Times New Roman" w:cs="Times New Roman"/>
          <w:i/>
          <w:iCs/>
          <w:sz w:val="20"/>
          <w:szCs w:val="20"/>
        </w:rPr>
        <w:t>Observatori</w:t>
      </w:r>
      <w:proofErr w:type="spellEnd"/>
      <w:r>
        <w:rPr>
          <w:rFonts w:ascii="Times New Roman" w:hAnsi="Times New Roman" w:cs="Times New Roman"/>
          <w:i/>
          <w:iCs/>
          <w:sz w:val="20"/>
          <w:szCs w:val="20"/>
        </w:rPr>
        <w:t xml:space="preserve"> del </w:t>
      </w:r>
      <w:proofErr w:type="spellStart"/>
      <w:r>
        <w:rPr>
          <w:rFonts w:ascii="Times New Roman" w:hAnsi="Times New Roman" w:cs="Times New Roman"/>
          <w:i/>
          <w:iCs/>
          <w:sz w:val="20"/>
          <w:szCs w:val="20"/>
        </w:rPr>
        <w:t>Turisme</w:t>
      </w:r>
      <w:proofErr w:type="spellEnd"/>
      <w:r>
        <w:rPr>
          <w:rFonts w:ascii="Times New Roman" w:hAnsi="Times New Roman" w:cs="Times New Roman"/>
          <w:i/>
          <w:iCs/>
          <w:sz w:val="20"/>
          <w:szCs w:val="20"/>
        </w:rPr>
        <w:t xml:space="preserve"> a Barcelona: </w:t>
      </w:r>
      <w:proofErr w:type="spellStart"/>
      <w:r>
        <w:rPr>
          <w:rFonts w:ascii="Times New Roman" w:hAnsi="Times New Roman" w:cs="Times New Roman"/>
          <w:i/>
          <w:iCs/>
          <w:sz w:val="20"/>
          <w:szCs w:val="20"/>
        </w:rPr>
        <w:t>ciutat</w:t>
      </w:r>
      <w:proofErr w:type="spellEnd"/>
      <w:r>
        <w:rPr>
          <w:rFonts w:ascii="Times New Roman" w:hAnsi="Times New Roman" w:cs="Times New Roman"/>
          <w:i/>
          <w:iCs/>
          <w:sz w:val="20"/>
          <w:szCs w:val="20"/>
        </w:rPr>
        <w:t xml:space="preserve"> </w:t>
      </w:r>
      <w:proofErr w:type="spellStart"/>
      <w:r>
        <w:rPr>
          <w:rFonts w:ascii="Times New Roman" w:hAnsi="Times New Roman" w:cs="Times New Roman"/>
          <w:i/>
          <w:iCs/>
          <w:sz w:val="20"/>
          <w:szCs w:val="20"/>
        </w:rPr>
        <w:t>i</w:t>
      </w:r>
      <w:proofErr w:type="spellEnd"/>
      <w:r>
        <w:rPr>
          <w:rFonts w:ascii="Times New Roman" w:hAnsi="Times New Roman" w:cs="Times New Roman"/>
          <w:i/>
          <w:iCs/>
          <w:sz w:val="20"/>
          <w:szCs w:val="20"/>
        </w:rPr>
        <w:t xml:space="preserve"> </w:t>
      </w:r>
      <w:proofErr w:type="spellStart"/>
      <w:r>
        <w:rPr>
          <w:rFonts w:ascii="Times New Roman" w:hAnsi="Times New Roman" w:cs="Times New Roman"/>
          <w:i/>
          <w:iCs/>
          <w:sz w:val="20"/>
          <w:szCs w:val="20"/>
        </w:rPr>
        <w:t>regió</w:t>
      </w:r>
      <w:proofErr w:type="spellEnd"/>
      <w:r>
        <w:rPr>
          <w:rFonts w:ascii="Times New Roman" w:hAnsi="Times New Roman" w:cs="Times New Roman"/>
          <w:sz w:val="20"/>
          <w:szCs w:val="20"/>
        </w:rPr>
        <w:t>. https://www.observatoriturisme.barcelona/en/news/destination-barcelona-ends-2023-26-m-tourists-and-economic-impact-direct-spending-12750-m-euros.</w:t>
      </w:r>
    </w:p>
    <w:p w14:paraId="68A871D3"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Bell, S. and McLeod, C. (no date) </w:t>
      </w:r>
      <w:r>
        <w:rPr>
          <w:rFonts w:ascii="Times New Roman" w:hAnsi="Times New Roman" w:cs="Times New Roman"/>
          <w:i/>
          <w:iCs/>
          <w:sz w:val="20"/>
          <w:szCs w:val="20"/>
        </w:rPr>
        <w:t>Kotter’s 8-Step Change Model</w:t>
      </w:r>
      <w:r>
        <w:rPr>
          <w:rFonts w:ascii="Times New Roman" w:hAnsi="Times New Roman" w:cs="Times New Roman"/>
          <w:sz w:val="20"/>
          <w:szCs w:val="20"/>
        </w:rPr>
        <w:t>. https://www.mindtools.com/a8nu5v5/kotters-8-step-change-model.</w:t>
      </w:r>
    </w:p>
    <w:p w14:paraId="21238B7D"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lastRenderedPageBreak/>
        <w:t xml:space="preserve">Bennett, P. </w:t>
      </w:r>
      <w:r>
        <w:rPr>
          <w:rFonts w:ascii="Times New Roman" w:hAnsi="Times New Roman" w:cs="Times New Roman"/>
          <w:i/>
          <w:iCs/>
          <w:sz w:val="20"/>
          <w:szCs w:val="20"/>
        </w:rPr>
        <w:t>et al.</w:t>
      </w:r>
      <w:r>
        <w:rPr>
          <w:rFonts w:ascii="Times New Roman" w:hAnsi="Times New Roman" w:cs="Times New Roman"/>
          <w:sz w:val="20"/>
          <w:szCs w:val="20"/>
        </w:rPr>
        <w:t xml:space="preserve"> (2023) Survey of travellers finds 76% want more sustainable options, </w:t>
      </w:r>
      <w:r>
        <w:rPr>
          <w:rFonts w:ascii="Times New Roman" w:hAnsi="Times New Roman" w:cs="Times New Roman"/>
          <w:i/>
          <w:iCs/>
          <w:sz w:val="20"/>
          <w:szCs w:val="20"/>
        </w:rPr>
        <w:t>World Economic Forum</w:t>
      </w:r>
      <w:r>
        <w:rPr>
          <w:rFonts w:ascii="Times New Roman" w:hAnsi="Times New Roman" w:cs="Times New Roman"/>
          <w:sz w:val="20"/>
          <w:szCs w:val="20"/>
        </w:rPr>
        <w:t xml:space="preserve"> [Preprint]. https://www.weforum.org/stories/2023/04/survey-of-travelers-finds-76-want-more-sustainable-options/.</w:t>
      </w:r>
    </w:p>
    <w:p w14:paraId="6BAAFA19"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Bhatti, M.I., Awan, H.M. and Razaq, Z. (2013) The key performance indicators (KPIs) and their impact on overall organizational performance, </w:t>
      </w:r>
      <w:r>
        <w:rPr>
          <w:rFonts w:ascii="Times New Roman" w:hAnsi="Times New Roman" w:cs="Times New Roman"/>
          <w:i/>
          <w:iCs/>
          <w:sz w:val="20"/>
          <w:szCs w:val="20"/>
        </w:rPr>
        <w:t>Quality &amp; Quantity</w:t>
      </w:r>
      <w:r>
        <w:rPr>
          <w:rFonts w:ascii="Times New Roman" w:hAnsi="Times New Roman" w:cs="Times New Roman"/>
          <w:sz w:val="20"/>
          <w:szCs w:val="20"/>
        </w:rPr>
        <w:t>, 48(6), pp. 3127–3143. https://doi.org/10.1007/s11135-013-9945-y.</w:t>
      </w:r>
    </w:p>
    <w:p w14:paraId="19497A0F"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Blau, F.D. and Kahn, L.M. (1999) Institutions and laws in the </w:t>
      </w:r>
      <w:proofErr w:type="spellStart"/>
      <w:r>
        <w:rPr>
          <w:rFonts w:ascii="Times New Roman" w:hAnsi="Times New Roman" w:cs="Times New Roman"/>
          <w:sz w:val="20"/>
          <w:szCs w:val="20"/>
        </w:rPr>
        <w:t>labor</w:t>
      </w:r>
      <w:proofErr w:type="spellEnd"/>
      <w:r>
        <w:rPr>
          <w:rFonts w:ascii="Times New Roman" w:hAnsi="Times New Roman" w:cs="Times New Roman"/>
          <w:sz w:val="20"/>
          <w:szCs w:val="20"/>
        </w:rPr>
        <w:t xml:space="preserve"> market, in </w:t>
      </w:r>
      <w:r>
        <w:rPr>
          <w:rFonts w:ascii="Times New Roman" w:hAnsi="Times New Roman" w:cs="Times New Roman"/>
          <w:i/>
          <w:iCs/>
          <w:sz w:val="20"/>
          <w:szCs w:val="20"/>
        </w:rPr>
        <w:t>Handbook of labour economics</w:t>
      </w:r>
      <w:r>
        <w:rPr>
          <w:rFonts w:ascii="Times New Roman" w:hAnsi="Times New Roman" w:cs="Times New Roman"/>
          <w:sz w:val="20"/>
          <w:szCs w:val="20"/>
        </w:rPr>
        <w:t>, pp. 1399–1461. https://doi.org/10.1016/s1573-4463(99)03006-0.</w:t>
      </w:r>
    </w:p>
    <w:p w14:paraId="32DC575C"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Borner, P. (2024) </w:t>
      </w:r>
      <w:r>
        <w:rPr>
          <w:rFonts w:ascii="Times New Roman" w:hAnsi="Times New Roman" w:cs="Times New Roman"/>
          <w:i/>
          <w:iCs/>
          <w:sz w:val="20"/>
          <w:szCs w:val="20"/>
        </w:rPr>
        <w:t>Hilton is fined for Data Breach - The Data Privacy Group</w:t>
      </w:r>
      <w:r>
        <w:rPr>
          <w:rFonts w:ascii="Times New Roman" w:hAnsi="Times New Roman" w:cs="Times New Roman"/>
          <w:sz w:val="20"/>
          <w:szCs w:val="20"/>
        </w:rPr>
        <w:t>. https://thedataprivacygroup.com/blog/hilton-is-fined-for-data-breach/.</w:t>
      </w:r>
    </w:p>
    <w:p w14:paraId="4A1029F4"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Business Research (2024) </w:t>
      </w:r>
      <w:r>
        <w:rPr>
          <w:rFonts w:ascii="Times New Roman" w:hAnsi="Times New Roman" w:cs="Times New Roman"/>
          <w:i/>
          <w:iCs/>
          <w:sz w:val="20"/>
          <w:szCs w:val="20"/>
        </w:rPr>
        <w:t>Wellness Tourism market size, share, growth, and industry analysis, by type (Domestic Wellness Tourism, International Wellness Tourism) by application (For old men, for young men), and regional insight and forecast to 2032</w:t>
      </w:r>
      <w:r>
        <w:rPr>
          <w:rFonts w:ascii="Times New Roman" w:hAnsi="Times New Roman" w:cs="Times New Roman"/>
          <w:sz w:val="20"/>
          <w:szCs w:val="20"/>
        </w:rPr>
        <w:t>. https://www.businessresearchinsights.com/market-reports/wellness-tourism-market-117450.</w:t>
      </w:r>
    </w:p>
    <w:p w14:paraId="6926650F"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Carreno, A.M. (2024) Building a continuous Feedback Loop for Real-Time Change adaptation: best practices and tools, </w:t>
      </w:r>
      <w:r>
        <w:rPr>
          <w:rFonts w:ascii="Times New Roman" w:hAnsi="Times New Roman" w:cs="Times New Roman"/>
          <w:i/>
          <w:iCs/>
          <w:sz w:val="20"/>
          <w:szCs w:val="20"/>
        </w:rPr>
        <w:t>ResearchGate</w:t>
      </w:r>
      <w:r>
        <w:rPr>
          <w:rFonts w:ascii="Times New Roman" w:hAnsi="Times New Roman" w:cs="Times New Roman"/>
          <w:sz w:val="20"/>
          <w:szCs w:val="20"/>
        </w:rPr>
        <w:t xml:space="preserve"> [Preprint]. https://www.researchgate.net/publication/385621731_Building_a_Continuous_Feedback_Loop_for_Real-Time_Change_Adaptation_Best_Practi….</w:t>
      </w:r>
    </w:p>
    <w:p w14:paraId="00FFCE1D"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Deep, N.G. (2023) Digital transformation’s impact on organizational culture, </w:t>
      </w:r>
      <w:r>
        <w:rPr>
          <w:rFonts w:ascii="Times New Roman" w:hAnsi="Times New Roman" w:cs="Times New Roman"/>
          <w:i/>
          <w:iCs/>
          <w:sz w:val="20"/>
          <w:szCs w:val="20"/>
        </w:rPr>
        <w:t>International Journal of Science and Research Archive</w:t>
      </w:r>
      <w:r>
        <w:rPr>
          <w:rFonts w:ascii="Times New Roman" w:hAnsi="Times New Roman" w:cs="Times New Roman"/>
          <w:sz w:val="20"/>
          <w:szCs w:val="20"/>
        </w:rPr>
        <w:t>, 10(2), pp. 396–401. https://doi.org/10.30574/ijsra.2023.10.2.0977.</w:t>
      </w:r>
    </w:p>
    <w:p w14:paraId="7092E3F5"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Deloitte (2019) </w:t>
      </w:r>
      <w:r>
        <w:rPr>
          <w:rFonts w:ascii="Times New Roman" w:hAnsi="Times New Roman" w:cs="Times New Roman"/>
          <w:i/>
          <w:iCs/>
          <w:sz w:val="20"/>
          <w:szCs w:val="20"/>
        </w:rPr>
        <w:t>Gen Z and Millennial Travel: The Wanderlust Generations</w:t>
      </w:r>
      <w:r>
        <w:rPr>
          <w:rFonts w:ascii="Times New Roman" w:hAnsi="Times New Roman" w:cs="Times New Roman"/>
          <w:sz w:val="20"/>
          <w:szCs w:val="20"/>
        </w:rPr>
        <w:t>. https://www2.deloitte.com/us/en/pages/technology-media-and-telecommunications/articles/gen-Z-and-millennial-travel-the-wanderlust-generations.html.</w:t>
      </w:r>
    </w:p>
    <w:p w14:paraId="4E401B66"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Du, J., </w:t>
      </w:r>
      <w:proofErr w:type="spellStart"/>
      <w:r>
        <w:rPr>
          <w:rFonts w:ascii="Times New Roman" w:hAnsi="Times New Roman" w:cs="Times New Roman"/>
          <w:sz w:val="20"/>
          <w:szCs w:val="20"/>
        </w:rPr>
        <w:t>Shepotylo</w:t>
      </w:r>
      <w:proofErr w:type="spellEnd"/>
      <w:r>
        <w:rPr>
          <w:rFonts w:ascii="Times New Roman" w:hAnsi="Times New Roman" w:cs="Times New Roman"/>
          <w:sz w:val="20"/>
          <w:szCs w:val="20"/>
        </w:rPr>
        <w:t xml:space="preserve">, O. and Yuan, X. (2025) How did the Brexit uncertainty impact services exports of UK </w:t>
      </w:r>
      <w:proofErr w:type="gramStart"/>
      <w:r>
        <w:rPr>
          <w:rFonts w:ascii="Times New Roman" w:hAnsi="Times New Roman" w:cs="Times New Roman"/>
          <w:sz w:val="20"/>
          <w:szCs w:val="20"/>
        </w:rPr>
        <w:t>firms?,</w:t>
      </w:r>
      <w:proofErr w:type="gramEnd"/>
      <w:r>
        <w:rPr>
          <w:rFonts w:ascii="Times New Roman" w:hAnsi="Times New Roman" w:cs="Times New Roman"/>
          <w:sz w:val="20"/>
          <w:szCs w:val="20"/>
        </w:rPr>
        <w:t xml:space="preserve"> </w:t>
      </w:r>
      <w:r>
        <w:rPr>
          <w:rFonts w:ascii="Times New Roman" w:hAnsi="Times New Roman" w:cs="Times New Roman"/>
          <w:i/>
          <w:iCs/>
          <w:sz w:val="20"/>
          <w:szCs w:val="20"/>
        </w:rPr>
        <w:t>Journal of International Business Policy</w:t>
      </w:r>
      <w:r>
        <w:rPr>
          <w:rFonts w:ascii="Times New Roman" w:hAnsi="Times New Roman" w:cs="Times New Roman"/>
          <w:sz w:val="20"/>
          <w:szCs w:val="20"/>
        </w:rPr>
        <w:t>, 8, pp. 80–104. https://link.springer.com/article/10.1057/s42214-024-00202-6.</w:t>
      </w:r>
    </w:p>
    <w:p w14:paraId="0C6804EE"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European Central Bank (2024) Economic, financial and monetary developments, </w:t>
      </w:r>
      <w:r>
        <w:rPr>
          <w:rFonts w:ascii="Times New Roman" w:hAnsi="Times New Roman" w:cs="Times New Roman"/>
          <w:i/>
          <w:iCs/>
          <w:sz w:val="20"/>
          <w:szCs w:val="20"/>
        </w:rPr>
        <w:t>European Central Bank</w:t>
      </w:r>
      <w:r>
        <w:rPr>
          <w:rFonts w:ascii="Times New Roman" w:hAnsi="Times New Roman" w:cs="Times New Roman"/>
          <w:sz w:val="20"/>
          <w:szCs w:val="20"/>
        </w:rPr>
        <w:t>, (6), pp. 1–44. https://www.ecb.europa.eu/press/economic-bulletin/html/eb202406.en.html.</w:t>
      </w:r>
    </w:p>
    <w:p w14:paraId="0D91CF05"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George, G. and </w:t>
      </w:r>
      <w:proofErr w:type="spellStart"/>
      <w:r>
        <w:rPr>
          <w:rFonts w:ascii="Times New Roman" w:hAnsi="Times New Roman" w:cs="Times New Roman"/>
          <w:sz w:val="20"/>
          <w:szCs w:val="20"/>
        </w:rPr>
        <w:t>Schillebeeckx</w:t>
      </w:r>
      <w:proofErr w:type="spellEnd"/>
      <w:r>
        <w:rPr>
          <w:rFonts w:ascii="Times New Roman" w:hAnsi="Times New Roman" w:cs="Times New Roman"/>
          <w:sz w:val="20"/>
          <w:szCs w:val="20"/>
        </w:rPr>
        <w:t xml:space="preserve">, S.J.D. (2022) Digital transformation, sustainability, and purpose in the multinational enterprise, </w:t>
      </w:r>
      <w:r>
        <w:rPr>
          <w:rFonts w:ascii="Times New Roman" w:hAnsi="Times New Roman" w:cs="Times New Roman"/>
          <w:i/>
          <w:iCs/>
          <w:sz w:val="20"/>
          <w:szCs w:val="20"/>
        </w:rPr>
        <w:t>Journal of World Business</w:t>
      </w:r>
      <w:r>
        <w:rPr>
          <w:rFonts w:ascii="Times New Roman" w:hAnsi="Times New Roman" w:cs="Times New Roman"/>
          <w:sz w:val="20"/>
          <w:szCs w:val="20"/>
        </w:rPr>
        <w:t>, 57(3), p. 101326. https://doi.org/10.1016/j.jwb.2022.101326.</w:t>
      </w:r>
    </w:p>
    <w:p w14:paraId="2DBF9AE8" w14:textId="77777777" w:rsidR="000B3252"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Giannoukou</w:t>
      </w:r>
      <w:proofErr w:type="spellEnd"/>
      <w:r>
        <w:rPr>
          <w:rFonts w:ascii="Times New Roman" w:hAnsi="Times New Roman" w:cs="Times New Roman"/>
          <w:sz w:val="20"/>
          <w:szCs w:val="20"/>
        </w:rPr>
        <w:t xml:space="preserve">, I. (2024) Revolutionizing Hospitality: Strategic integration of innovation management embracing technological innovation for enhanced customer experiences, </w:t>
      </w:r>
      <w:proofErr w:type="spellStart"/>
      <w:r>
        <w:rPr>
          <w:rFonts w:ascii="Times New Roman" w:hAnsi="Times New Roman" w:cs="Times New Roman"/>
          <w:i/>
          <w:iCs/>
          <w:sz w:val="20"/>
          <w:szCs w:val="20"/>
        </w:rPr>
        <w:t>Technium</w:t>
      </w:r>
      <w:proofErr w:type="spellEnd"/>
      <w:r>
        <w:rPr>
          <w:rFonts w:ascii="Times New Roman" w:hAnsi="Times New Roman" w:cs="Times New Roman"/>
          <w:i/>
          <w:iCs/>
          <w:sz w:val="20"/>
          <w:szCs w:val="20"/>
        </w:rPr>
        <w:t xml:space="preserve"> Business and Management</w:t>
      </w:r>
      <w:r>
        <w:rPr>
          <w:rFonts w:ascii="Times New Roman" w:hAnsi="Times New Roman" w:cs="Times New Roman"/>
          <w:sz w:val="20"/>
          <w:szCs w:val="20"/>
        </w:rPr>
        <w:t>, 7, pp. 24–39. https://doi.org/10.47577/business.v7i.10585.</w:t>
      </w:r>
    </w:p>
    <w:p w14:paraId="2AA67094"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lastRenderedPageBreak/>
        <w:t xml:space="preserve">GSTC (2023) </w:t>
      </w:r>
      <w:r>
        <w:rPr>
          <w:rFonts w:ascii="Times New Roman" w:hAnsi="Times New Roman" w:cs="Times New Roman"/>
          <w:i/>
          <w:iCs/>
          <w:sz w:val="20"/>
          <w:szCs w:val="20"/>
        </w:rPr>
        <w:t>Booking.com 2023 Sustainable Travel Report</w:t>
      </w:r>
      <w:r>
        <w:rPr>
          <w:rFonts w:ascii="Times New Roman" w:hAnsi="Times New Roman" w:cs="Times New Roman"/>
          <w:sz w:val="20"/>
          <w:szCs w:val="20"/>
        </w:rPr>
        <w:t>. https://www.gstcouncil.org/booking-com-2023-sustainable-travel-report/.</w:t>
      </w:r>
    </w:p>
    <w:p w14:paraId="4E399D61" w14:textId="77777777" w:rsidR="000B3252"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Hariyani</w:t>
      </w:r>
      <w:proofErr w:type="spellEnd"/>
      <w:r>
        <w:rPr>
          <w:rFonts w:ascii="Times New Roman" w:hAnsi="Times New Roman" w:cs="Times New Roman"/>
          <w:sz w:val="20"/>
          <w:szCs w:val="20"/>
        </w:rPr>
        <w:t xml:space="preserve">, D. </w:t>
      </w:r>
      <w:r>
        <w:rPr>
          <w:rFonts w:ascii="Times New Roman" w:hAnsi="Times New Roman" w:cs="Times New Roman"/>
          <w:i/>
          <w:iCs/>
          <w:sz w:val="20"/>
          <w:szCs w:val="20"/>
        </w:rPr>
        <w:t>et al.</w:t>
      </w:r>
      <w:r>
        <w:rPr>
          <w:rFonts w:ascii="Times New Roman" w:hAnsi="Times New Roman" w:cs="Times New Roman"/>
          <w:sz w:val="20"/>
          <w:szCs w:val="20"/>
        </w:rPr>
        <w:t xml:space="preserve"> (2024) A literature review on green supply chain management for sustainable sourcing and distribution, </w:t>
      </w:r>
      <w:r>
        <w:rPr>
          <w:rFonts w:ascii="Times New Roman" w:hAnsi="Times New Roman" w:cs="Times New Roman"/>
          <w:i/>
          <w:iCs/>
          <w:sz w:val="20"/>
          <w:szCs w:val="20"/>
        </w:rPr>
        <w:t>Waste Management Bulletin</w:t>
      </w:r>
      <w:r>
        <w:rPr>
          <w:rFonts w:ascii="Times New Roman" w:hAnsi="Times New Roman" w:cs="Times New Roman"/>
          <w:sz w:val="20"/>
          <w:szCs w:val="20"/>
        </w:rPr>
        <w:t xml:space="preserve"> [Preprint]. https://doi.org/10.1016/j.wmb.2024.11.009.</w:t>
      </w:r>
    </w:p>
    <w:p w14:paraId="1357743F" w14:textId="77777777" w:rsidR="000B3252"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Hauashdh</w:t>
      </w:r>
      <w:proofErr w:type="spellEnd"/>
      <w:r>
        <w:rPr>
          <w:rFonts w:ascii="Times New Roman" w:hAnsi="Times New Roman" w:cs="Times New Roman"/>
          <w:sz w:val="20"/>
          <w:szCs w:val="20"/>
        </w:rPr>
        <w:t xml:space="preserve">, A. </w:t>
      </w:r>
      <w:r>
        <w:rPr>
          <w:rFonts w:ascii="Times New Roman" w:hAnsi="Times New Roman" w:cs="Times New Roman"/>
          <w:i/>
          <w:iCs/>
          <w:sz w:val="20"/>
          <w:szCs w:val="20"/>
        </w:rPr>
        <w:t>et al.</w:t>
      </w:r>
      <w:r>
        <w:rPr>
          <w:rFonts w:ascii="Times New Roman" w:hAnsi="Times New Roman" w:cs="Times New Roman"/>
          <w:sz w:val="20"/>
          <w:szCs w:val="20"/>
        </w:rPr>
        <w:t xml:space="preserve"> (2024) An integrated framework for sustainable and efficient building maintenance operations aligning with climate change, SDGs, and emerging technology, </w:t>
      </w:r>
      <w:r>
        <w:rPr>
          <w:rFonts w:ascii="Times New Roman" w:hAnsi="Times New Roman" w:cs="Times New Roman"/>
          <w:i/>
          <w:iCs/>
          <w:sz w:val="20"/>
          <w:szCs w:val="20"/>
        </w:rPr>
        <w:t>Results in Engineering</w:t>
      </w:r>
      <w:r>
        <w:rPr>
          <w:rFonts w:ascii="Times New Roman" w:hAnsi="Times New Roman" w:cs="Times New Roman"/>
          <w:sz w:val="20"/>
          <w:szCs w:val="20"/>
        </w:rPr>
        <w:t>, 21, p. 101822. https://doi.org/10.1016/j.rineng.2024.101822.</w:t>
      </w:r>
    </w:p>
    <w:p w14:paraId="1D135ED8"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Hertzfeld, E. (2023) </w:t>
      </w:r>
      <w:r>
        <w:rPr>
          <w:rFonts w:ascii="Times New Roman" w:hAnsi="Times New Roman" w:cs="Times New Roman"/>
          <w:i/>
          <w:iCs/>
          <w:sz w:val="20"/>
          <w:szCs w:val="20"/>
        </w:rPr>
        <w:t>Report: Hilton named most valuable hotel brand for 9th year</w:t>
      </w:r>
      <w:r>
        <w:rPr>
          <w:rFonts w:ascii="Times New Roman" w:hAnsi="Times New Roman" w:cs="Times New Roman"/>
          <w:sz w:val="20"/>
          <w:szCs w:val="20"/>
        </w:rPr>
        <w:t>. https://www.hotelmanagement.net/business-strategy/report-hilton-named-most-valuable-hotel-brand-9th-year.</w:t>
      </w:r>
    </w:p>
    <w:p w14:paraId="0B2A42AA"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Hilton (2015) Hilton introduces Digital Key, further enhancing Industry-Leading </w:t>
      </w:r>
      <w:proofErr w:type="spellStart"/>
      <w:r>
        <w:rPr>
          <w:rFonts w:ascii="Times New Roman" w:hAnsi="Times New Roman" w:cs="Times New Roman"/>
          <w:sz w:val="20"/>
          <w:szCs w:val="20"/>
        </w:rPr>
        <w:t>HHonors</w:t>
      </w:r>
      <w:proofErr w:type="spellEnd"/>
      <w:r>
        <w:rPr>
          <w:rFonts w:ascii="Times New Roman" w:hAnsi="Times New Roman" w:cs="Times New Roman"/>
          <w:sz w:val="20"/>
          <w:szCs w:val="20"/>
        </w:rPr>
        <w:t xml:space="preserve"> App, </w:t>
      </w:r>
      <w:r>
        <w:rPr>
          <w:rFonts w:ascii="Times New Roman" w:hAnsi="Times New Roman" w:cs="Times New Roman"/>
          <w:i/>
          <w:iCs/>
          <w:sz w:val="20"/>
          <w:szCs w:val="20"/>
        </w:rPr>
        <w:t>Hospitality Net</w:t>
      </w:r>
      <w:r>
        <w:rPr>
          <w:rFonts w:ascii="Times New Roman" w:hAnsi="Times New Roman" w:cs="Times New Roman"/>
          <w:sz w:val="20"/>
          <w:szCs w:val="20"/>
        </w:rPr>
        <w:t>, 11 August. https://www.hospitalitynet.org/news/4071342.html.</w:t>
      </w:r>
    </w:p>
    <w:p w14:paraId="6F4C1E17"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Hilton (2022) </w:t>
      </w:r>
      <w:r>
        <w:rPr>
          <w:rFonts w:ascii="Times New Roman" w:hAnsi="Times New Roman" w:cs="Times New Roman"/>
          <w:i/>
          <w:iCs/>
          <w:sz w:val="20"/>
          <w:szCs w:val="20"/>
        </w:rPr>
        <w:t>Service Provider Data Protection Standards (SPDPS)</w:t>
      </w:r>
      <w:r>
        <w:rPr>
          <w:rFonts w:ascii="Times New Roman" w:hAnsi="Times New Roman" w:cs="Times New Roman"/>
          <w:sz w:val="20"/>
          <w:szCs w:val="20"/>
        </w:rPr>
        <w:t xml:space="preserve">, </w:t>
      </w:r>
      <w:r>
        <w:rPr>
          <w:rFonts w:ascii="Times New Roman" w:hAnsi="Times New Roman" w:cs="Times New Roman"/>
          <w:i/>
          <w:iCs/>
          <w:sz w:val="20"/>
          <w:szCs w:val="20"/>
        </w:rPr>
        <w:t>Hilton</w:t>
      </w:r>
      <w:r>
        <w:rPr>
          <w:rFonts w:ascii="Times New Roman" w:hAnsi="Times New Roman" w:cs="Times New Roman"/>
          <w:sz w:val="20"/>
          <w:szCs w:val="20"/>
        </w:rPr>
        <w:t>. https://www.hilton.com/en/p/service-provider-data-protection-standards/.</w:t>
      </w:r>
    </w:p>
    <w:p w14:paraId="562B4A3F"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Hilton (2023a) </w:t>
      </w:r>
      <w:r>
        <w:rPr>
          <w:rFonts w:ascii="Times New Roman" w:hAnsi="Times New Roman" w:cs="Times New Roman"/>
          <w:i/>
          <w:iCs/>
          <w:sz w:val="20"/>
          <w:szCs w:val="20"/>
        </w:rPr>
        <w:t>2024 Hilton Trends Report Reveals 80% of Travelers Feel It’s Important to be Able to Book Their Trip Entirely Online</w:t>
      </w:r>
      <w:r>
        <w:rPr>
          <w:rFonts w:ascii="Times New Roman" w:hAnsi="Times New Roman" w:cs="Times New Roman"/>
          <w:sz w:val="20"/>
          <w:szCs w:val="20"/>
        </w:rPr>
        <w:t>. https://hospitalitytech.com/2024-hilton-trends-report-reveals-80-travelers-feel-its-important-be-able-book-their-trip-entirely.</w:t>
      </w:r>
    </w:p>
    <w:p w14:paraId="55CC3052"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Hilton (2023b) </w:t>
      </w:r>
      <w:r>
        <w:rPr>
          <w:rFonts w:ascii="Times New Roman" w:hAnsi="Times New Roman" w:cs="Times New Roman"/>
          <w:i/>
          <w:iCs/>
          <w:sz w:val="20"/>
          <w:szCs w:val="20"/>
        </w:rPr>
        <w:t>HILTON SLAVERY AND HUMAN TRAFFICKING STATEMENT</w:t>
      </w:r>
      <w:r>
        <w:rPr>
          <w:rFonts w:ascii="Times New Roman" w:hAnsi="Times New Roman" w:cs="Times New Roman"/>
          <w:sz w:val="20"/>
          <w:szCs w:val="20"/>
        </w:rPr>
        <w:t>.</w:t>
      </w:r>
    </w:p>
    <w:p w14:paraId="1566A70A"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Hilton (2023c) </w:t>
      </w:r>
      <w:r>
        <w:rPr>
          <w:rFonts w:ascii="Times New Roman" w:hAnsi="Times New Roman" w:cs="Times New Roman"/>
          <w:i/>
          <w:iCs/>
          <w:sz w:val="20"/>
          <w:szCs w:val="20"/>
        </w:rPr>
        <w:t>Travel with Purpose</w:t>
      </w:r>
      <w:r>
        <w:rPr>
          <w:rFonts w:ascii="Times New Roman" w:hAnsi="Times New Roman" w:cs="Times New Roman"/>
          <w:sz w:val="20"/>
          <w:szCs w:val="20"/>
        </w:rPr>
        <w:t>.</w:t>
      </w:r>
    </w:p>
    <w:p w14:paraId="1E22D7AB"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Hilton (2025) </w:t>
      </w:r>
      <w:r>
        <w:rPr>
          <w:rFonts w:ascii="Times New Roman" w:hAnsi="Times New Roman" w:cs="Times New Roman"/>
          <w:i/>
          <w:iCs/>
          <w:sz w:val="20"/>
          <w:szCs w:val="20"/>
        </w:rPr>
        <w:t>Hilton Barcelona</w:t>
      </w:r>
      <w:r>
        <w:rPr>
          <w:rFonts w:ascii="Times New Roman" w:hAnsi="Times New Roman" w:cs="Times New Roman"/>
          <w:sz w:val="20"/>
          <w:szCs w:val="20"/>
        </w:rPr>
        <w:t>. https://www.hilton.com/en/hotels/bcnhitw-hilton-barcelona/.</w:t>
      </w:r>
    </w:p>
    <w:p w14:paraId="39B874F7"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Hilton and Cummins, K. (2022) </w:t>
      </w:r>
      <w:r>
        <w:rPr>
          <w:rFonts w:ascii="Times New Roman" w:hAnsi="Times New Roman" w:cs="Times New Roman"/>
          <w:i/>
          <w:iCs/>
          <w:sz w:val="20"/>
          <w:szCs w:val="20"/>
        </w:rPr>
        <w:t>The 2022 Traveler: Emerging Trends and the Redefined Traveler, a Report from Hilton</w:t>
      </w:r>
      <w:r>
        <w:rPr>
          <w:rFonts w:ascii="Times New Roman" w:hAnsi="Times New Roman" w:cs="Times New Roman"/>
          <w:sz w:val="20"/>
          <w:szCs w:val="20"/>
        </w:rPr>
        <w:t>.</w:t>
      </w:r>
    </w:p>
    <w:p w14:paraId="746C0A42"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Hilton, S.F. (2024) </w:t>
      </w:r>
      <w:r>
        <w:rPr>
          <w:rFonts w:ascii="Times New Roman" w:hAnsi="Times New Roman" w:cs="Times New Roman"/>
          <w:i/>
          <w:iCs/>
          <w:sz w:val="20"/>
          <w:szCs w:val="20"/>
        </w:rPr>
        <w:t>Hilton reigns as most valuable hotel brand for the ninth consecutive year according to Brand Finance</w:t>
      </w:r>
      <w:r>
        <w:rPr>
          <w:rFonts w:ascii="Times New Roman" w:hAnsi="Times New Roman" w:cs="Times New Roman"/>
          <w:sz w:val="20"/>
          <w:szCs w:val="20"/>
        </w:rPr>
        <w:t>. https://stories.hilton.com/releases/hilton-reigns-as-most-valuable-hotel-brand-for-the-ninth-consecutive-year-according-to-brand-finance.</w:t>
      </w:r>
    </w:p>
    <w:p w14:paraId="6FD280B5"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Hoffman, J. (2024) The crucial role of coaching and mentoring in building strong teams and fostering continuous growth, </w:t>
      </w:r>
      <w:r>
        <w:rPr>
          <w:rFonts w:ascii="Times New Roman" w:hAnsi="Times New Roman" w:cs="Times New Roman"/>
          <w:i/>
          <w:iCs/>
          <w:sz w:val="20"/>
          <w:szCs w:val="20"/>
        </w:rPr>
        <w:t>Medium</w:t>
      </w:r>
      <w:r>
        <w:rPr>
          <w:rFonts w:ascii="Times New Roman" w:hAnsi="Times New Roman" w:cs="Times New Roman"/>
          <w:sz w:val="20"/>
          <w:szCs w:val="20"/>
        </w:rPr>
        <w:t>, 4 February. https://medium.com/foundations-of-effective-leadership/the-crucial-role-of-coaching-and-mentoring-in-building-strong-teams-and-fostering-continuous-growth-ba7d66d1e970.</w:t>
      </w:r>
    </w:p>
    <w:p w14:paraId="79A08DF8"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Howarth, J. (2024) 7 Top travel industry trends (2024 &amp; 2025), </w:t>
      </w:r>
      <w:r>
        <w:rPr>
          <w:rFonts w:ascii="Times New Roman" w:hAnsi="Times New Roman" w:cs="Times New Roman"/>
          <w:i/>
          <w:iCs/>
          <w:sz w:val="20"/>
          <w:szCs w:val="20"/>
        </w:rPr>
        <w:t>Exploding Topics</w:t>
      </w:r>
      <w:r>
        <w:rPr>
          <w:rFonts w:ascii="Times New Roman" w:hAnsi="Times New Roman" w:cs="Times New Roman"/>
          <w:sz w:val="20"/>
          <w:szCs w:val="20"/>
        </w:rPr>
        <w:t>, 19 June. https://explodingtopics.com/blog/travel-industry-trends.</w:t>
      </w:r>
    </w:p>
    <w:p w14:paraId="1F736ACB"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lastRenderedPageBreak/>
        <w:t xml:space="preserve">Hymers, S. </w:t>
      </w:r>
      <w:r>
        <w:rPr>
          <w:rFonts w:ascii="Times New Roman" w:hAnsi="Times New Roman" w:cs="Times New Roman"/>
          <w:i/>
          <w:iCs/>
          <w:sz w:val="20"/>
          <w:szCs w:val="20"/>
        </w:rPr>
        <w:t>et al.</w:t>
      </w:r>
      <w:r>
        <w:rPr>
          <w:rFonts w:ascii="Times New Roman" w:hAnsi="Times New Roman" w:cs="Times New Roman"/>
          <w:sz w:val="20"/>
          <w:szCs w:val="20"/>
        </w:rPr>
        <w:t xml:space="preserve"> (2023) </w:t>
      </w:r>
      <w:r>
        <w:rPr>
          <w:rFonts w:ascii="Times New Roman" w:hAnsi="Times New Roman" w:cs="Times New Roman"/>
          <w:i/>
          <w:iCs/>
          <w:sz w:val="20"/>
          <w:szCs w:val="20"/>
        </w:rPr>
        <w:t>Recovery, Resilience and Growth: Shaping travel and tourism in the Middle East in 2023</w:t>
      </w:r>
      <w:r>
        <w:rPr>
          <w:rFonts w:ascii="Times New Roman" w:hAnsi="Times New Roman" w:cs="Times New Roman"/>
          <w:sz w:val="20"/>
          <w:szCs w:val="20"/>
        </w:rPr>
        <w:t xml:space="preserve">, </w:t>
      </w:r>
      <w:r>
        <w:rPr>
          <w:rFonts w:ascii="Times New Roman" w:hAnsi="Times New Roman" w:cs="Times New Roman"/>
          <w:i/>
          <w:iCs/>
          <w:sz w:val="20"/>
          <w:szCs w:val="20"/>
        </w:rPr>
        <w:t>Connecting Travel Insight Annual Report 2023</w:t>
      </w:r>
      <w:r>
        <w:rPr>
          <w:rFonts w:ascii="Times New Roman" w:hAnsi="Times New Roman" w:cs="Times New Roman"/>
          <w:sz w:val="20"/>
          <w:szCs w:val="20"/>
        </w:rPr>
        <w:t>. https://www2.deloitte.com/content/dam/Deloitte/gr/Documents/consumer-business/gr_connecting_travel_insight_report_2023_noexp.pdf.</w:t>
      </w:r>
    </w:p>
    <w:p w14:paraId="29D49F6D"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Jia, T. </w:t>
      </w:r>
      <w:r>
        <w:rPr>
          <w:rFonts w:ascii="Times New Roman" w:hAnsi="Times New Roman" w:cs="Times New Roman"/>
          <w:i/>
          <w:iCs/>
          <w:sz w:val="20"/>
          <w:szCs w:val="20"/>
        </w:rPr>
        <w:t>et al.</w:t>
      </w:r>
      <w:r>
        <w:rPr>
          <w:rFonts w:ascii="Times New Roman" w:hAnsi="Times New Roman" w:cs="Times New Roman"/>
          <w:sz w:val="20"/>
          <w:szCs w:val="20"/>
        </w:rPr>
        <w:t xml:space="preserve"> (2023) Promoting Responsible Sustainable Consumer </w:t>
      </w:r>
      <w:proofErr w:type="spellStart"/>
      <w:r>
        <w:rPr>
          <w:rFonts w:ascii="Times New Roman" w:hAnsi="Times New Roman" w:cs="Times New Roman"/>
          <w:sz w:val="20"/>
          <w:szCs w:val="20"/>
        </w:rPr>
        <w:t>Behavior</w:t>
      </w:r>
      <w:proofErr w:type="spellEnd"/>
      <w:r>
        <w:rPr>
          <w:rFonts w:ascii="Times New Roman" w:hAnsi="Times New Roman" w:cs="Times New Roman"/>
          <w:sz w:val="20"/>
          <w:szCs w:val="20"/>
        </w:rPr>
        <w:t xml:space="preserve"> through Sustainability Marketing: The Boundary Effects of Corporate Social Responsibility and Brand Image, </w:t>
      </w:r>
      <w:r>
        <w:rPr>
          <w:rFonts w:ascii="Times New Roman" w:hAnsi="Times New Roman" w:cs="Times New Roman"/>
          <w:i/>
          <w:iCs/>
          <w:sz w:val="20"/>
          <w:szCs w:val="20"/>
        </w:rPr>
        <w:t>Sustainability</w:t>
      </w:r>
      <w:r>
        <w:rPr>
          <w:rFonts w:ascii="Times New Roman" w:hAnsi="Times New Roman" w:cs="Times New Roman"/>
          <w:sz w:val="20"/>
          <w:szCs w:val="20"/>
        </w:rPr>
        <w:t>, 15(7), p. 6092. https://doi.org/10.3390/su15076092.</w:t>
      </w:r>
    </w:p>
    <w:p w14:paraId="5CF4DC7B"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Kadhim, M.J. and University of Baghdad (2024) Digital literacy and its importance in the modern workforce, </w:t>
      </w:r>
      <w:r>
        <w:rPr>
          <w:rFonts w:ascii="Times New Roman" w:hAnsi="Times New Roman" w:cs="Times New Roman"/>
          <w:i/>
          <w:iCs/>
          <w:sz w:val="20"/>
          <w:szCs w:val="20"/>
        </w:rPr>
        <w:t>International Journal of Social Trends</w:t>
      </w:r>
      <w:r>
        <w:rPr>
          <w:rFonts w:ascii="Times New Roman" w:hAnsi="Times New Roman" w:cs="Times New Roman"/>
          <w:sz w:val="20"/>
          <w:szCs w:val="20"/>
        </w:rPr>
        <w:t>, 2–2(2). https://www.researchgate.net/publication/382641453_Digital_Literacy_and_Its_Importance_in_the_Modern_Workforce.</w:t>
      </w:r>
    </w:p>
    <w:p w14:paraId="38BB4A41" w14:textId="77777777" w:rsidR="000B3252"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Kandampully</w:t>
      </w:r>
      <w:proofErr w:type="spellEnd"/>
      <w:r>
        <w:rPr>
          <w:rFonts w:ascii="Times New Roman" w:hAnsi="Times New Roman" w:cs="Times New Roman"/>
          <w:sz w:val="20"/>
          <w:szCs w:val="20"/>
        </w:rPr>
        <w:t xml:space="preserve">, J., Zhang and Jaakkola, E. (2017) Customer experience management in hospitality, </w:t>
      </w:r>
      <w:r>
        <w:rPr>
          <w:rFonts w:ascii="Times New Roman" w:hAnsi="Times New Roman" w:cs="Times New Roman"/>
          <w:i/>
          <w:iCs/>
          <w:sz w:val="20"/>
          <w:szCs w:val="20"/>
        </w:rPr>
        <w:t>International Journal of Contemporary Hospitality Management</w:t>
      </w:r>
      <w:r>
        <w:rPr>
          <w:rFonts w:ascii="Times New Roman" w:hAnsi="Times New Roman" w:cs="Times New Roman"/>
          <w:sz w:val="20"/>
          <w:szCs w:val="20"/>
        </w:rPr>
        <w:t>, 30(1), pp. 21–56. https://doi.org/10.1108/ijchm-10-2015-0549.</w:t>
      </w:r>
    </w:p>
    <w:p w14:paraId="041C64DA"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Mampuru, M.P., Mokoena, B.A. and Isabirye, A.K. (2024) Training and development impact on job satisfaction, loyalty and retention among academics, </w:t>
      </w:r>
      <w:r>
        <w:rPr>
          <w:rFonts w:ascii="Times New Roman" w:hAnsi="Times New Roman" w:cs="Times New Roman"/>
          <w:i/>
          <w:iCs/>
          <w:sz w:val="20"/>
          <w:szCs w:val="20"/>
        </w:rPr>
        <w:t>SA Journal of Human Resource Management</w:t>
      </w:r>
      <w:r>
        <w:rPr>
          <w:rFonts w:ascii="Times New Roman" w:hAnsi="Times New Roman" w:cs="Times New Roman"/>
          <w:sz w:val="20"/>
          <w:szCs w:val="20"/>
        </w:rPr>
        <w:t>, 22. https://doi.org/10.4102/sajhrm.v22i0.2420.</w:t>
      </w:r>
    </w:p>
    <w:p w14:paraId="5055AC60" w14:textId="77777777" w:rsidR="000B3252"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Mbarushimana</w:t>
      </w:r>
      <w:proofErr w:type="spellEnd"/>
      <w:r>
        <w:rPr>
          <w:rFonts w:ascii="Times New Roman" w:hAnsi="Times New Roman" w:cs="Times New Roman"/>
          <w:sz w:val="20"/>
          <w:szCs w:val="20"/>
        </w:rPr>
        <w:t xml:space="preserve">, S. (2024) The impact of smart room technology on guest satisfaction and operational efficiency, </w:t>
      </w:r>
      <w:r>
        <w:rPr>
          <w:rFonts w:ascii="Times New Roman" w:hAnsi="Times New Roman" w:cs="Times New Roman"/>
          <w:i/>
          <w:iCs/>
          <w:sz w:val="20"/>
          <w:szCs w:val="20"/>
        </w:rPr>
        <w:t>Journal of Modern Hospitality</w:t>
      </w:r>
      <w:r>
        <w:rPr>
          <w:rFonts w:ascii="Times New Roman" w:hAnsi="Times New Roman" w:cs="Times New Roman"/>
          <w:sz w:val="20"/>
          <w:szCs w:val="20"/>
        </w:rPr>
        <w:t>, 3(2), pp. 1–13. https://doi.org/10.47941/jmh.1956.</w:t>
      </w:r>
    </w:p>
    <w:p w14:paraId="01C2CD06"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Mei, C.W., Konar, R. and Kumar, J. (2024) The role of AI chatbots in transforming guest engagement and marketing in hospitality, in </w:t>
      </w:r>
      <w:r>
        <w:rPr>
          <w:rFonts w:ascii="Times New Roman" w:hAnsi="Times New Roman" w:cs="Times New Roman"/>
          <w:i/>
          <w:iCs/>
          <w:sz w:val="20"/>
          <w:szCs w:val="20"/>
        </w:rPr>
        <w:t>Advances in marketing, customer relationship management, and e-services book series</w:t>
      </w:r>
      <w:r>
        <w:rPr>
          <w:rFonts w:ascii="Times New Roman" w:hAnsi="Times New Roman" w:cs="Times New Roman"/>
          <w:sz w:val="20"/>
          <w:szCs w:val="20"/>
        </w:rPr>
        <w:t>, pp. 595–620. https://doi.org/10.4018/979-8-3693-7122-0.ch029.</w:t>
      </w:r>
    </w:p>
    <w:p w14:paraId="2940131B"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Mohapatra, A. and Lee, T. (2024) Expedia Group’s Continued Commitment to Advancing Sustainability Across the Travel Industry, </w:t>
      </w:r>
      <w:r>
        <w:rPr>
          <w:rFonts w:ascii="Times New Roman" w:hAnsi="Times New Roman" w:cs="Times New Roman"/>
          <w:i/>
          <w:iCs/>
          <w:sz w:val="20"/>
          <w:szCs w:val="20"/>
        </w:rPr>
        <w:t>Expedia Group</w:t>
      </w:r>
      <w:r>
        <w:rPr>
          <w:rFonts w:ascii="Times New Roman" w:hAnsi="Times New Roman" w:cs="Times New Roman"/>
          <w:sz w:val="20"/>
          <w:szCs w:val="20"/>
        </w:rPr>
        <w:t xml:space="preserve"> [Preprint]. https://www.expediagroup.com/investors/news-and-events/financial-releases/news/news-details/2024/Building-a-Prosperous-Planet-for-Generatio….</w:t>
      </w:r>
    </w:p>
    <w:p w14:paraId="1A29C7EF" w14:textId="77777777" w:rsidR="000B3252"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Ndalnamu</w:t>
      </w:r>
      <w:proofErr w:type="spellEnd"/>
      <w:r>
        <w:rPr>
          <w:rFonts w:ascii="Times New Roman" w:hAnsi="Times New Roman" w:cs="Times New Roman"/>
          <w:sz w:val="20"/>
          <w:szCs w:val="20"/>
        </w:rPr>
        <w:t xml:space="preserve">, J., </w:t>
      </w:r>
      <w:proofErr w:type="spellStart"/>
      <w:r>
        <w:rPr>
          <w:rFonts w:ascii="Times New Roman" w:hAnsi="Times New Roman" w:cs="Times New Roman"/>
          <w:sz w:val="20"/>
          <w:szCs w:val="20"/>
        </w:rPr>
        <w:t>Ezenagu</w:t>
      </w:r>
      <w:proofErr w:type="spellEnd"/>
      <w:r>
        <w:rPr>
          <w:rFonts w:ascii="Times New Roman" w:hAnsi="Times New Roman" w:cs="Times New Roman"/>
          <w:sz w:val="20"/>
          <w:szCs w:val="20"/>
        </w:rPr>
        <w:t xml:space="preserve">, N. and Olumide, O.-G. (2024) The effect of environmentally sustainable practices on hotel guests’ satisfaction and retention, </w:t>
      </w:r>
      <w:r>
        <w:rPr>
          <w:rFonts w:ascii="Times New Roman" w:hAnsi="Times New Roman" w:cs="Times New Roman"/>
          <w:i/>
          <w:iCs/>
          <w:sz w:val="20"/>
          <w:szCs w:val="20"/>
        </w:rPr>
        <w:t>African Journal of Hospitality, Tourism and Leisure</w:t>
      </w:r>
      <w:r>
        <w:rPr>
          <w:rFonts w:ascii="Times New Roman" w:hAnsi="Times New Roman" w:cs="Times New Roman"/>
          <w:sz w:val="20"/>
          <w:szCs w:val="20"/>
        </w:rPr>
        <w:t>, pp. 149–158. https://doi.org/10.46222/ajhtl.19770720.492.</w:t>
      </w:r>
    </w:p>
    <w:p w14:paraId="4FE7CD20" w14:textId="77777777" w:rsidR="000B3252"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Patov</w:t>
      </w:r>
      <w:proofErr w:type="spellEnd"/>
      <w:r>
        <w:rPr>
          <w:rFonts w:ascii="Times New Roman" w:hAnsi="Times New Roman" w:cs="Times New Roman"/>
          <w:sz w:val="20"/>
          <w:szCs w:val="20"/>
        </w:rPr>
        <w:t xml:space="preserve">, A. (2024) </w:t>
      </w:r>
      <w:r>
        <w:rPr>
          <w:rFonts w:ascii="Times New Roman" w:hAnsi="Times New Roman" w:cs="Times New Roman"/>
          <w:i/>
          <w:iCs/>
          <w:sz w:val="20"/>
          <w:szCs w:val="20"/>
        </w:rPr>
        <w:t>Key Performance Indicators (KPIS) for Employee Experience (EX): Measuring engagement, satisfaction, and productivity</w:t>
      </w:r>
      <w:r>
        <w:rPr>
          <w:rFonts w:ascii="Times New Roman" w:hAnsi="Times New Roman" w:cs="Times New Roman"/>
          <w:sz w:val="20"/>
          <w:szCs w:val="20"/>
        </w:rPr>
        <w:t>. https://www.renascence.io/journal/key-performance-indicators-kpis-for-employee-experience-ex-measuring-engagement-satisfaction-and-productivity.</w:t>
      </w:r>
    </w:p>
    <w:p w14:paraId="0AB53266"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Rajan, R. and Ganesan, R. (2017) A critical analysis of John P. Kotter’s change management framework, </w:t>
      </w:r>
      <w:r>
        <w:rPr>
          <w:rFonts w:ascii="Times New Roman" w:hAnsi="Times New Roman" w:cs="Times New Roman"/>
          <w:i/>
          <w:iCs/>
          <w:sz w:val="20"/>
          <w:szCs w:val="20"/>
        </w:rPr>
        <w:t>Asian Journal of Research in Business Economics and Management</w:t>
      </w:r>
      <w:r>
        <w:rPr>
          <w:rFonts w:ascii="Times New Roman" w:hAnsi="Times New Roman" w:cs="Times New Roman"/>
          <w:sz w:val="20"/>
          <w:szCs w:val="20"/>
        </w:rPr>
        <w:t>, 7(7), p. 181. https://doi.org/10.5958/2249-7307.2017.00106.2.</w:t>
      </w:r>
    </w:p>
    <w:p w14:paraId="645B2A80"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lastRenderedPageBreak/>
        <w:t xml:space="preserve">Rodriguez, J. </w:t>
      </w:r>
      <w:r>
        <w:rPr>
          <w:rFonts w:ascii="Times New Roman" w:hAnsi="Times New Roman" w:cs="Times New Roman"/>
          <w:i/>
          <w:iCs/>
          <w:sz w:val="20"/>
          <w:szCs w:val="20"/>
        </w:rPr>
        <w:t>et al.</w:t>
      </w:r>
      <w:r>
        <w:rPr>
          <w:rFonts w:ascii="Times New Roman" w:hAnsi="Times New Roman" w:cs="Times New Roman"/>
          <w:sz w:val="20"/>
          <w:szCs w:val="20"/>
        </w:rPr>
        <w:t xml:space="preserve"> (2017) The importance of training and development in employee performance and evaluation, </w:t>
      </w:r>
      <w:r>
        <w:rPr>
          <w:rFonts w:ascii="Times New Roman" w:hAnsi="Times New Roman" w:cs="Times New Roman"/>
          <w:i/>
          <w:iCs/>
          <w:sz w:val="20"/>
          <w:szCs w:val="20"/>
        </w:rPr>
        <w:t>World Wi De Journal of Multidisciplinary Research and Development</w:t>
      </w:r>
      <w:r>
        <w:rPr>
          <w:rFonts w:ascii="Times New Roman" w:hAnsi="Times New Roman" w:cs="Times New Roman"/>
          <w:sz w:val="20"/>
          <w:szCs w:val="20"/>
        </w:rPr>
        <w:t xml:space="preserve"> [Preprint]. https://www.researchgate.net/publication/332537797_The_Importance_of_Training_and_Development_in_Employee_Performance_and_Evaluation.</w:t>
      </w:r>
    </w:p>
    <w:p w14:paraId="187A5A3A"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Schwarz, L. (2024) </w:t>
      </w:r>
      <w:r>
        <w:rPr>
          <w:rFonts w:ascii="Times New Roman" w:hAnsi="Times New Roman" w:cs="Times New Roman"/>
          <w:i/>
          <w:iCs/>
          <w:sz w:val="20"/>
          <w:szCs w:val="20"/>
        </w:rPr>
        <w:t>7 Trends Driving the hospitality industry in 2024</w:t>
      </w:r>
      <w:r>
        <w:rPr>
          <w:rFonts w:ascii="Times New Roman" w:hAnsi="Times New Roman" w:cs="Times New Roman"/>
          <w:sz w:val="20"/>
          <w:szCs w:val="20"/>
        </w:rPr>
        <w:t>. https://www.netsuite.com/portal/resource/articles/erp/hospitality-industry-trends.shtml.</w:t>
      </w:r>
    </w:p>
    <w:p w14:paraId="28E421DD"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Schwarz, L. (2025) AI in Hospitality: Advantages &amp; Use cases, </w:t>
      </w:r>
      <w:r>
        <w:rPr>
          <w:rFonts w:ascii="Times New Roman" w:hAnsi="Times New Roman" w:cs="Times New Roman"/>
          <w:i/>
          <w:iCs/>
          <w:sz w:val="20"/>
          <w:szCs w:val="20"/>
        </w:rPr>
        <w:t xml:space="preserve">Oracle </w:t>
      </w:r>
      <w:proofErr w:type="spellStart"/>
      <w:r>
        <w:rPr>
          <w:rFonts w:ascii="Times New Roman" w:hAnsi="Times New Roman" w:cs="Times New Roman"/>
          <w:i/>
          <w:iCs/>
          <w:sz w:val="20"/>
          <w:szCs w:val="20"/>
        </w:rPr>
        <w:t>NetSuit</w:t>
      </w:r>
      <w:proofErr w:type="spellEnd"/>
      <w:r>
        <w:rPr>
          <w:rFonts w:ascii="Times New Roman" w:hAnsi="Times New Roman" w:cs="Times New Roman"/>
          <w:sz w:val="20"/>
          <w:szCs w:val="20"/>
        </w:rPr>
        <w:t xml:space="preserve"> [Preprint]. https://www.netsuite.com/portal/resource/articles/business-strategy/ai-hospitality.shtml.</w:t>
      </w:r>
    </w:p>
    <w:p w14:paraId="52F3D701"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Sigurjonsson, T. and Ruano De La Fuente, J. (2024) </w:t>
      </w:r>
      <w:r>
        <w:rPr>
          <w:rFonts w:ascii="Times New Roman" w:hAnsi="Times New Roman" w:cs="Times New Roman"/>
          <w:i/>
          <w:iCs/>
          <w:sz w:val="20"/>
          <w:szCs w:val="20"/>
        </w:rPr>
        <w:t>Sustainability efforts and importance of change management</w:t>
      </w:r>
      <w:r>
        <w:rPr>
          <w:rFonts w:ascii="Times New Roman" w:hAnsi="Times New Roman" w:cs="Times New Roman"/>
          <w:sz w:val="20"/>
          <w:szCs w:val="20"/>
        </w:rPr>
        <w:t>. https://www.mdpi.com/topics/AVGW3801JM.</w:t>
      </w:r>
    </w:p>
    <w:p w14:paraId="6F8C1249"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Silcock, C. </w:t>
      </w:r>
      <w:r>
        <w:rPr>
          <w:rFonts w:ascii="Times New Roman" w:hAnsi="Times New Roman" w:cs="Times New Roman"/>
          <w:i/>
          <w:iCs/>
          <w:sz w:val="20"/>
          <w:szCs w:val="20"/>
        </w:rPr>
        <w:t>et al.</w:t>
      </w:r>
      <w:r>
        <w:rPr>
          <w:rFonts w:ascii="Times New Roman" w:hAnsi="Times New Roman" w:cs="Times New Roman"/>
          <w:sz w:val="20"/>
          <w:szCs w:val="20"/>
        </w:rPr>
        <w:t xml:space="preserve"> (2023) </w:t>
      </w:r>
      <w:r>
        <w:rPr>
          <w:rFonts w:ascii="Times New Roman" w:hAnsi="Times New Roman" w:cs="Times New Roman"/>
          <w:i/>
          <w:iCs/>
          <w:sz w:val="20"/>
          <w:szCs w:val="20"/>
        </w:rPr>
        <w:t>How Hilton’s tech innovations deliver frictionless travel</w:t>
      </w:r>
      <w:r>
        <w:rPr>
          <w:rFonts w:ascii="Times New Roman" w:hAnsi="Times New Roman" w:cs="Times New Roman"/>
          <w:sz w:val="20"/>
          <w:szCs w:val="20"/>
        </w:rPr>
        <w:t xml:space="preserve">, </w:t>
      </w:r>
      <w:r>
        <w:rPr>
          <w:rFonts w:ascii="Times New Roman" w:hAnsi="Times New Roman" w:cs="Times New Roman"/>
          <w:i/>
          <w:iCs/>
          <w:sz w:val="20"/>
          <w:szCs w:val="20"/>
        </w:rPr>
        <w:t>Innovation</w:t>
      </w:r>
      <w:r>
        <w:rPr>
          <w:rFonts w:ascii="Times New Roman" w:hAnsi="Times New Roman" w:cs="Times New Roman"/>
          <w:sz w:val="20"/>
          <w:szCs w:val="20"/>
        </w:rPr>
        <w:t>. https://stories.hilton.com/innovation/hiltons-consumer-centric-tech-innovations-delivering-frictionless-travel-experience.</w:t>
      </w:r>
    </w:p>
    <w:p w14:paraId="6BA65AF3"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Stobierski, T. (2021) </w:t>
      </w:r>
      <w:r>
        <w:rPr>
          <w:rFonts w:ascii="Times New Roman" w:hAnsi="Times New Roman" w:cs="Times New Roman"/>
          <w:i/>
          <w:iCs/>
          <w:sz w:val="20"/>
          <w:szCs w:val="20"/>
        </w:rPr>
        <w:t>15 Eye-Opening Corporate Social Responsibility Statistics</w:t>
      </w:r>
      <w:r>
        <w:rPr>
          <w:rFonts w:ascii="Times New Roman" w:hAnsi="Times New Roman" w:cs="Times New Roman"/>
          <w:sz w:val="20"/>
          <w:szCs w:val="20"/>
        </w:rPr>
        <w:t>. https://online.hbs.edu/blog/post/corporate-social-responsibility-statistics.</w:t>
      </w:r>
    </w:p>
    <w:p w14:paraId="67FC13C9"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Van </w:t>
      </w:r>
      <w:proofErr w:type="spellStart"/>
      <w:r>
        <w:rPr>
          <w:rFonts w:ascii="Times New Roman" w:hAnsi="Times New Roman" w:cs="Times New Roman"/>
          <w:sz w:val="20"/>
          <w:szCs w:val="20"/>
        </w:rPr>
        <w:t>IJssel</w:t>
      </w:r>
      <w:proofErr w:type="spellEnd"/>
      <w:r>
        <w:rPr>
          <w:rFonts w:ascii="Times New Roman" w:hAnsi="Times New Roman" w:cs="Times New Roman"/>
          <w:sz w:val="20"/>
          <w:szCs w:val="20"/>
        </w:rPr>
        <w:t xml:space="preserve">, M. (2024) </w:t>
      </w:r>
      <w:r>
        <w:rPr>
          <w:rFonts w:ascii="Times New Roman" w:hAnsi="Times New Roman" w:cs="Times New Roman"/>
          <w:i/>
          <w:iCs/>
          <w:sz w:val="20"/>
          <w:szCs w:val="20"/>
        </w:rPr>
        <w:t>European Tourism: Trends &amp; Prospects Quarterly Report Q2/2024</w:t>
      </w:r>
      <w:r>
        <w:rPr>
          <w:rFonts w:ascii="Times New Roman" w:hAnsi="Times New Roman" w:cs="Times New Roman"/>
          <w:sz w:val="20"/>
          <w:szCs w:val="20"/>
        </w:rPr>
        <w:t xml:space="preserve"> [Print], </w:t>
      </w:r>
      <w:r>
        <w:rPr>
          <w:rFonts w:ascii="Times New Roman" w:hAnsi="Times New Roman" w:cs="Times New Roman"/>
          <w:i/>
          <w:iCs/>
          <w:sz w:val="20"/>
          <w:szCs w:val="20"/>
        </w:rPr>
        <w:t>European Tourism: Trends &amp; Prospects</w:t>
      </w:r>
      <w:r>
        <w:rPr>
          <w:rFonts w:ascii="Times New Roman" w:hAnsi="Times New Roman" w:cs="Times New Roman"/>
          <w:sz w:val="20"/>
          <w:szCs w:val="20"/>
        </w:rPr>
        <w:t>. report. European Travel Commission. https://www.etc-corporate.org.</w:t>
      </w:r>
    </w:p>
    <w:p w14:paraId="4C8FFB6F"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Verma, R. and Mishra, S. (2024) The Future of Performance Management: Shifting from Annual Reviews to Continuous Feedback, </w:t>
      </w:r>
      <w:r>
        <w:rPr>
          <w:rFonts w:ascii="Times New Roman" w:hAnsi="Times New Roman" w:cs="Times New Roman"/>
          <w:i/>
          <w:iCs/>
          <w:sz w:val="20"/>
          <w:szCs w:val="20"/>
        </w:rPr>
        <w:t>International Journal for Research in Applied Science and Engineering Technology</w:t>
      </w:r>
      <w:r>
        <w:rPr>
          <w:rFonts w:ascii="Times New Roman" w:hAnsi="Times New Roman" w:cs="Times New Roman"/>
          <w:sz w:val="20"/>
          <w:szCs w:val="20"/>
        </w:rPr>
        <w:t>, 12(9), pp. 216–229. https://doi.org/10.22214/ijraset.2024.64153.</w:t>
      </w:r>
    </w:p>
    <w:p w14:paraId="4AAD9D00"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Verma, V.K. and Chandra, B. (2017) Sustainability and customers’ hotel choice behaviour: a choice-based conjoint analysis approach, </w:t>
      </w:r>
      <w:r>
        <w:rPr>
          <w:rFonts w:ascii="Times New Roman" w:hAnsi="Times New Roman" w:cs="Times New Roman"/>
          <w:i/>
          <w:iCs/>
          <w:sz w:val="20"/>
          <w:szCs w:val="20"/>
        </w:rPr>
        <w:t>Environment Development and Sustainability</w:t>
      </w:r>
      <w:r>
        <w:rPr>
          <w:rFonts w:ascii="Times New Roman" w:hAnsi="Times New Roman" w:cs="Times New Roman"/>
          <w:sz w:val="20"/>
          <w:szCs w:val="20"/>
        </w:rPr>
        <w:t>, 20(3), pp. 1347–1363. https://doi.org/10.1007/s10668-017-9944-6.</w:t>
      </w:r>
    </w:p>
    <w:p w14:paraId="016CF460"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Vide, R.K., Zavrl, I. and Hunjet, A. (2021) Exploring emerging markets’ demographic and macroeconomic dynamics and the </w:t>
      </w:r>
      <w:proofErr w:type="gramStart"/>
      <w:r>
        <w:rPr>
          <w:rFonts w:ascii="Times New Roman" w:hAnsi="Times New Roman" w:cs="Times New Roman"/>
          <w:sz w:val="20"/>
          <w:szCs w:val="20"/>
        </w:rPr>
        <w:t>middle class</w:t>
      </w:r>
      <w:proofErr w:type="gramEnd"/>
      <w:r>
        <w:rPr>
          <w:rFonts w:ascii="Times New Roman" w:hAnsi="Times New Roman" w:cs="Times New Roman"/>
          <w:sz w:val="20"/>
          <w:szCs w:val="20"/>
        </w:rPr>
        <w:t xml:space="preserve"> growth: the case of China and India, </w:t>
      </w:r>
      <w:r>
        <w:rPr>
          <w:rFonts w:ascii="Times New Roman" w:hAnsi="Times New Roman" w:cs="Times New Roman"/>
          <w:i/>
          <w:iCs/>
          <w:sz w:val="20"/>
          <w:szCs w:val="20"/>
        </w:rPr>
        <w:t>Our Economy Journal of Contemporary Issues in Economics and Business</w:t>
      </w:r>
      <w:r>
        <w:rPr>
          <w:rFonts w:ascii="Times New Roman" w:hAnsi="Times New Roman" w:cs="Times New Roman"/>
          <w:sz w:val="20"/>
          <w:szCs w:val="20"/>
        </w:rPr>
        <w:t>, 67(4), pp. 33–55. https://doi.org/10.2478/ngoe-2021-0020.</w:t>
      </w:r>
    </w:p>
    <w:p w14:paraId="4BE7C584" w14:textId="77777777" w:rsidR="000B3252"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Vizjak</w:t>
      </w:r>
      <w:proofErr w:type="spellEnd"/>
      <w:r>
        <w:rPr>
          <w:rFonts w:ascii="Times New Roman" w:hAnsi="Times New Roman" w:cs="Times New Roman"/>
          <w:sz w:val="20"/>
          <w:szCs w:val="20"/>
        </w:rPr>
        <w:t xml:space="preserve">, M., </w:t>
      </w:r>
      <w:proofErr w:type="spellStart"/>
      <w:r>
        <w:rPr>
          <w:rFonts w:ascii="Times New Roman" w:hAnsi="Times New Roman" w:cs="Times New Roman"/>
          <w:sz w:val="20"/>
          <w:szCs w:val="20"/>
        </w:rPr>
        <w:t>Paulišić</w:t>
      </w:r>
      <w:proofErr w:type="spellEnd"/>
      <w:r>
        <w:rPr>
          <w:rFonts w:ascii="Times New Roman" w:hAnsi="Times New Roman" w:cs="Times New Roman"/>
          <w:sz w:val="20"/>
          <w:szCs w:val="20"/>
        </w:rPr>
        <w:t xml:space="preserve">, M. and </w:t>
      </w:r>
      <w:proofErr w:type="spellStart"/>
      <w:r>
        <w:rPr>
          <w:rFonts w:ascii="Times New Roman" w:hAnsi="Times New Roman" w:cs="Times New Roman"/>
          <w:sz w:val="20"/>
          <w:szCs w:val="20"/>
        </w:rPr>
        <w:t>Mišević</w:t>
      </w:r>
      <w:proofErr w:type="spellEnd"/>
      <w:r>
        <w:rPr>
          <w:rFonts w:ascii="Times New Roman" w:hAnsi="Times New Roman" w:cs="Times New Roman"/>
          <w:sz w:val="20"/>
          <w:szCs w:val="20"/>
        </w:rPr>
        <w:t xml:space="preserve">, P. (2024) Adapting to the digital shift: skills development and workplace transformation in the era of Human-Technology Collaboration, </w:t>
      </w:r>
      <w:r>
        <w:rPr>
          <w:rFonts w:ascii="Times New Roman" w:hAnsi="Times New Roman" w:cs="Times New Roman"/>
          <w:i/>
          <w:iCs/>
          <w:sz w:val="20"/>
          <w:szCs w:val="20"/>
        </w:rPr>
        <w:t>Croatian Regional Development Journal</w:t>
      </w:r>
      <w:r>
        <w:rPr>
          <w:rFonts w:ascii="Times New Roman" w:hAnsi="Times New Roman" w:cs="Times New Roman"/>
          <w:sz w:val="20"/>
          <w:szCs w:val="20"/>
        </w:rPr>
        <w:t>, 5(2), pp. 92–110. https://doi.org/10.2478/crdj-2024-0010.</w:t>
      </w:r>
    </w:p>
    <w:p w14:paraId="15912D1A"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Vuong, T.K. and Bui, H.M. (2023) The role of corporate social responsibility activities in employees’ perception of brand reputation and brand equity, </w:t>
      </w:r>
      <w:r>
        <w:rPr>
          <w:rFonts w:ascii="Times New Roman" w:hAnsi="Times New Roman" w:cs="Times New Roman"/>
          <w:i/>
          <w:iCs/>
          <w:sz w:val="20"/>
          <w:szCs w:val="20"/>
        </w:rPr>
        <w:t>Case Studies in Chemical and Environmental Engineering</w:t>
      </w:r>
      <w:r>
        <w:rPr>
          <w:rFonts w:ascii="Times New Roman" w:hAnsi="Times New Roman" w:cs="Times New Roman"/>
          <w:sz w:val="20"/>
          <w:szCs w:val="20"/>
        </w:rPr>
        <w:t>, 7, p. 100313. https://doi.org/10.1016/j.cscee.2023.100313.</w:t>
      </w:r>
    </w:p>
    <w:p w14:paraId="7D7BFCB5"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lastRenderedPageBreak/>
        <w:t xml:space="preserve">Wang, M.-R. and Chen, C.-L. (2024) Exploring the Value Co-Creation of Cultural Creative Hotels: From the perspective of Social Innovation, </w:t>
      </w:r>
      <w:r>
        <w:rPr>
          <w:rFonts w:ascii="Times New Roman" w:hAnsi="Times New Roman" w:cs="Times New Roman"/>
          <w:i/>
          <w:iCs/>
          <w:sz w:val="20"/>
          <w:szCs w:val="20"/>
        </w:rPr>
        <w:t>Sustainability</w:t>
      </w:r>
      <w:r>
        <w:rPr>
          <w:rFonts w:ascii="Times New Roman" w:hAnsi="Times New Roman" w:cs="Times New Roman"/>
          <w:sz w:val="20"/>
          <w:szCs w:val="20"/>
        </w:rPr>
        <w:t>, 16(11), p. 4510. https://doi.org/10.3390/su16114510.</w:t>
      </w:r>
    </w:p>
    <w:p w14:paraId="189AA9C9"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Wang, Y. </w:t>
      </w:r>
      <w:r>
        <w:rPr>
          <w:rFonts w:ascii="Times New Roman" w:hAnsi="Times New Roman" w:cs="Times New Roman"/>
          <w:i/>
          <w:iCs/>
          <w:sz w:val="20"/>
          <w:szCs w:val="20"/>
        </w:rPr>
        <w:t>et al.</w:t>
      </w:r>
      <w:r>
        <w:rPr>
          <w:rFonts w:ascii="Times New Roman" w:hAnsi="Times New Roman" w:cs="Times New Roman"/>
          <w:sz w:val="20"/>
          <w:szCs w:val="20"/>
        </w:rPr>
        <w:t xml:space="preserve"> (2025) Employee Sustainability: How Green Practices Drive Employee Well-Being and Citizenship </w:t>
      </w:r>
      <w:proofErr w:type="spellStart"/>
      <w:r>
        <w:rPr>
          <w:rFonts w:ascii="Times New Roman" w:hAnsi="Times New Roman" w:cs="Times New Roman"/>
          <w:sz w:val="20"/>
          <w:szCs w:val="20"/>
        </w:rPr>
        <w:t>behavior</w:t>
      </w:r>
      <w:proofErr w:type="spellEnd"/>
      <w:r>
        <w:rPr>
          <w:rFonts w:ascii="Times New Roman" w:hAnsi="Times New Roman" w:cs="Times New Roman"/>
          <w:sz w:val="20"/>
          <w:szCs w:val="20"/>
        </w:rPr>
        <w:t xml:space="preserve">, </w:t>
      </w:r>
      <w:r>
        <w:rPr>
          <w:rFonts w:ascii="Times New Roman" w:hAnsi="Times New Roman" w:cs="Times New Roman"/>
          <w:i/>
          <w:iCs/>
          <w:sz w:val="20"/>
          <w:szCs w:val="20"/>
        </w:rPr>
        <w:t>Sustainability</w:t>
      </w:r>
      <w:r>
        <w:rPr>
          <w:rFonts w:ascii="Times New Roman" w:hAnsi="Times New Roman" w:cs="Times New Roman"/>
          <w:sz w:val="20"/>
          <w:szCs w:val="20"/>
        </w:rPr>
        <w:t>, 17(3), p. 936. https://doi.org/10.3390/su17030936.</w:t>
      </w:r>
    </w:p>
    <w:p w14:paraId="00704B95"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Wright, R. (2024) Barcelona increases its tourist tax this week: Where else will you have to pay to enter in </w:t>
      </w:r>
      <w:proofErr w:type="gramStart"/>
      <w:r>
        <w:rPr>
          <w:rFonts w:ascii="Times New Roman" w:hAnsi="Times New Roman" w:cs="Times New Roman"/>
          <w:sz w:val="20"/>
          <w:szCs w:val="20"/>
        </w:rPr>
        <w:t>2024?,</w:t>
      </w:r>
      <w:proofErr w:type="gramEnd"/>
      <w:r>
        <w:rPr>
          <w:rFonts w:ascii="Times New Roman" w:hAnsi="Times New Roman" w:cs="Times New Roman"/>
          <w:sz w:val="20"/>
          <w:szCs w:val="20"/>
        </w:rPr>
        <w:t xml:space="preserve"> </w:t>
      </w:r>
      <w:r>
        <w:rPr>
          <w:rFonts w:ascii="Times New Roman" w:hAnsi="Times New Roman" w:cs="Times New Roman"/>
          <w:i/>
          <w:iCs/>
          <w:sz w:val="20"/>
          <w:szCs w:val="20"/>
        </w:rPr>
        <w:t>Euronews</w:t>
      </w:r>
      <w:r>
        <w:rPr>
          <w:rFonts w:ascii="Times New Roman" w:hAnsi="Times New Roman" w:cs="Times New Roman"/>
          <w:sz w:val="20"/>
          <w:szCs w:val="20"/>
        </w:rPr>
        <w:t>, 1 July. https://www.euronews.com/travel/2024/04/01/tourist-taxes-all-of-the-countries-you-will-have-to-pay-to-enter-in-2022.</w:t>
      </w:r>
    </w:p>
    <w:p w14:paraId="6F103226" w14:textId="77777777" w:rsidR="000B3252"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Wujie</w:t>
      </w:r>
      <w:proofErr w:type="spellEnd"/>
      <w:r>
        <w:rPr>
          <w:rFonts w:ascii="Times New Roman" w:hAnsi="Times New Roman" w:cs="Times New Roman"/>
          <w:sz w:val="20"/>
          <w:szCs w:val="20"/>
        </w:rPr>
        <w:t xml:space="preserve">, X. (2023) The impact of geopolitical risks and international relations on inbound tourism——evidence from China and key source countries, </w:t>
      </w:r>
      <w:r>
        <w:rPr>
          <w:rFonts w:ascii="Times New Roman" w:hAnsi="Times New Roman" w:cs="Times New Roman"/>
          <w:i/>
          <w:iCs/>
          <w:sz w:val="20"/>
          <w:szCs w:val="20"/>
        </w:rPr>
        <w:t>Cogent Social Sciences</w:t>
      </w:r>
      <w:r>
        <w:rPr>
          <w:rFonts w:ascii="Times New Roman" w:hAnsi="Times New Roman" w:cs="Times New Roman"/>
          <w:sz w:val="20"/>
          <w:szCs w:val="20"/>
        </w:rPr>
        <w:t>, 9(2). https://doi.org/10.1080/23311886.2023.2285244.</w:t>
      </w:r>
    </w:p>
    <w:p w14:paraId="5B60BD49"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Yrjölä, M. </w:t>
      </w:r>
      <w:r>
        <w:rPr>
          <w:rFonts w:ascii="Times New Roman" w:hAnsi="Times New Roman" w:cs="Times New Roman"/>
          <w:i/>
          <w:iCs/>
          <w:sz w:val="20"/>
          <w:szCs w:val="20"/>
        </w:rPr>
        <w:t>et al.</w:t>
      </w:r>
      <w:r>
        <w:rPr>
          <w:rFonts w:ascii="Times New Roman" w:hAnsi="Times New Roman" w:cs="Times New Roman"/>
          <w:sz w:val="20"/>
          <w:szCs w:val="20"/>
        </w:rPr>
        <w:t xml:space="preserve"> (2019) A customer value perspective to service experiences in restaurants, </w:t>
      </w:r>
      <w:r>
        <w:rPr>
          <w:rFonts w:ascii="Times New Roman" w:hAnsi="Times New Roman" w:cs="Times New Roman"/>
          <w:i/>
          <w:iCs/>
          <w:sz w:val="20"/>
          <w:szCs w:val="20"/>
        </w:rPr>
        <w:t>Journal of Retailing and Consumer Services</w:t>
      </w:r>
      <w:r>
        <w:rPr>
          <w:rFonts w:ascii="Times New Roman" w:hAnsi="Times New Roman" w:cs="Times New Roman"/>
          <w:sz w:val="20"/>
          <w:szCs w:val="20"/>
        </w:rPr>
        <w:t>, 51, pp. 91–101. https://doi.org/10.1016/j.jretconser.2019.05.030.</w:t>
      </w:r>
    </w:p>
    <w:p w14:paraId="294A8B0A"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Zada, M. </w:t>
      </w:r>
      <w:r>
        <w:rPr>
          <w:rFonts w:ascii="Times New Roman" w:hAnsi="Times New Roman" w:cs="Times New Roman"/>
          <w:i/>
          <w:iCs/>
          <w:sz w:val="20"/>
          <w:szCs w:val="20"/>
        </w:rPr>
        <w:t>et al.</w:t>
      </w:r>
      <w:r>
        <w:rPr>
          <w:rFonts w:ascii="Times New Roman" w:hAnsi="Times New Roman" w:cs="Times New Roman"/>
          <w:sz w:val="20"/>
          <w:szCs w:val="20"/>
        </w:rPr>
        <w:t xml:space="preserve"> (2025) Integrating </w:t>
      </w:r>
      <w:proofErr w:type="gramStart"/>
      <w:r>
        <w:rPr>
          <w:rFonts w:ascii="Times New Roman" w:hAnsi="Times New Roman" w:cs="Times New Roman"/>
          <w:sz w:val="20"/>
          <w:szCs w:val="20"/>
        </w:rPr>
        <w:t>Social Media</w:t>
      </w:r>
      <w:proofErr w:type="gramEnd"/>
      <w:r>
        <w:rPr>
          <w:rFonts w:ascii="Times New Roman" w:hAnsi="Times New Roman" w:cs="Times New Roman"/>
          <w:sz w:val="20"/>
          <w:szCs w:val="20"/>
        </w:rPr>
        <w:t xml:space="preserve">-Driven Service innovation and Sustainable Leadership: Advancing sustainable practices in tourism and hospitality, </w:t>
      </w:r>
      <w:r>
        <w:rPr>
          <w:rFonts w:ascii="Times New Roman" w:hAnsi="Times New Roman" w:cs="Times New Roman"/>
          <w:i/>
          <w:iCs/>
          <w:sz w:val="20"/>
          <w:szCs w:val="20"/>
        </w:rPr>
        <w:t>Sustainability</w:t>
      </w:r>
      <w:r>
        <w:rPr>
          <w:rFonts w:ascii="Times New Roman" w:hAnsi="Times New Roman" w:cs="Times New Roman"/>
          <w:sz w:val="20"/>
          <w:szCs w:val="20"/>
        </w:rPr>
        <w:t>, 17(2), p. 399. https://doi.org/10.3390/su17020399.</w:t>
      </w:r>
    </w:p>
    <w:p w14:paraId="2BC4B93A"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Zahidi, F., </w:t>
      </w:r>
      <w:proofErr w:type="spellStart"/>
      <w:r>
        <w:rPr>
          <w:rFonts w:ascii="Times New Roman" w:hAnsi="Times New Roman" w:cs="Times New Roman"/>
          <w:sz w:val="20"/>
          <w:szCs w:val="20"/>
        </w:rPr>
        <w:t>Kaluvilla</w:t>
      </w:r>
      <w:proofErr w:type="spellEnd"/>
      <w:r>
        <w:rPr>
          <w:rFonts w:ascii="Times New Roman" w:hAnsi="Times New Roman" w:cs="Times New Roman"/>
          <w:sz w:val="20"/>
          <w:szCs w:val="20"/>
        </w:rPr>
        <w:t xml:space="preserve">, B.B. and Mulla, T. (2024) Embracing the new era: artificial intelligence and its multifaceted impact on the hospitality industry, </w:t>
      </w:r>
      <w:r>
        <w:rPr>
          <w:rFonts w:ascii="Times New Roman" w:hAnsi="Times New Roman" w:cs="Times New Roman"/>
          <w:i/>
          <w:iCs/>
          <w:sz w:val="20"/>
          <w:szCs w:val="20"/>
        </w:rPr>
        <w:t>Journal of Open Innovation Technology Market and Complexity</w:t>
      </w:r>
      <w:r>
        <w:rPr>
          <w:rFonts w:ascii="Times New Roman" w:hAnsi="Times New Roman" w:cs="Times New Roman"/>
          <w:sz w:val="20"/>
          <w:szCs w:val="20"/>
        </w:rPr>
        <w:t>, p. 100390. https://doi.org/10.1016/j.joitmc.2024.100390.</w:t>
      </w:r>
    </w:p>
    <w:p w14:paraId="3502C18F" w14:textId="77777777" w:rsidR="000B3252"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Zientara, P. </w:t>
      </w:r>
      <w:r>
        <w:rPr>
          <w:rFonts w:ascii="Times New Roman" w:hAnsi="Times New Roman" w:cs="Times New Roman"/>
          <w:i/>
          <w:iCs/>
          <w:sz w:val="20"/>
          <w:szCs w:val="20"/>
        </w:rPr>
        <w:t>et al.</w:t>
      </w:r>
      <w:r>
        <w:rPr>
          <w:rFonts w:ascii="Times New Roman" w:hAnsi="Times New Roman" w:cs="Times New Roman"/>
          <w:sz w:val="20"/>
          <w:szCs w:val="20"/>
        </w:rPr>
        <w:t xml:space="preserve"> (2020) A case study of </w:t>
      </w:r>
      <w:proofErr w:type="spellStart"/>
      <w:r>
        <w:rPr>
          <w:rFonts w:ascii="Times New Roman" w:hAnsi="Times New Roman" w:cs="Times New Roman"/>
          <w:sz w:val="20"/>
          <w:szCs w:val="20"/>
        </w:rPr>
        <w:t>LightStay</w:t>
      </w:r>
      <w:proofErr w:type="spellEnd"/>
      <w:r>
        <w:rPr>
          <w:rFonts w:ascii="Times New Roman" w:hAnsi="Times New Roman" w:cs="Times New Roman"/>
          <w:sz w:val="20"/>
          <w:szCs w:val="20"/>
        </w:rPr>
        <w:t xml:space="preserve"> (2010–2017)—Hilton’s Corporate Responsibility Management system, </w:t>
      </w:r>
      <w:r>
        <w:rPr>
          <w:rFonts w:ascii="Times New Roman" w:hAnsi="Times New Roman" w:cs="Times New Roman"/>
          <w:i/>
          <w:iCs/>
          <w:sz w:val="20"/>
          <w:szCs w:val="20"/>
        </w:rPr>
        <w:t>Energies</w:t>
      </w:r>
      <w:r>
        <w:rPr>
          <w:rFonts w:ascii="Times New Roman" w:hAnsi="Times New Roman" w:cs="Times New Roman"/>
          <w:sz w:val="20"/>
          <w:szCs w:val="20"/>
        </w:rPr>
        <w:t>, 13(9), p. 2303. https://doi.org/10.3390/en13092303.</w:t>
      </w:r>
    </w:p>
    <w:p w14:paraId="45C85C79" w14:textId="77777777" w:rsidR="000B3252" w:rsidRDefault="000B3252">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p>
    <w:p w14:paraId="32905969" w14:textId="77777777" w:rsidR="000B3252" w:rsidRDefault="000B3252">
      <w:pPr>
        <w:spacing w:line="360" w:lineRule="auto"/>
        <w:jc w:val="both"/>
        <w:rPr>
          <w:rFonts w:ascii="Times New Roman" w:hAnsi="Times New Roman" w:cs="Times New Roman"/>
          <w:sz w:val="20"/>
          <w:szCs w:val="20"/>
        </w:rPr>
      </w:pPr>
    </w:p>
    <w:p w14:paraId="66C2E79C" w14:textId="77777777" w:rsidR="000B3252" w:rsidRDefault="000B3252">
      <w:pPr>
        <w:pStyle w:val="Heading1"/>
        <w:spacing w:line="360" w:lineRule="auto"/>
        <w:rPr>
          <w:rFonts w:ascii="Times New Roman" w:hAnsi="Times New Roman" w:cs="Times New Roman"/>
          <w:color w:val="000000"/>
          <w:sz w:val="20"/>
          <w:szCs w:val="20"/>
        </w:rPr>
      </w:pPr>
      <w:bookmarkStart w:id="32" w:name="_Toc31"/>
    </w:p>
    <w:p w14:paraId="5E3C3D09" w14:textId="77777777" w:rsidR="000B3252" w:rsidRDefault="000B3252">
      <w:pPr>
        <w:pStyle w:val="Heading1"/>
        <w:spacing w:line="360" w:lineRule="auto"/>
        <w:rPr>
          <w:rFonts w:ascii="Times New Roman" w:hAnsi="Times New Roman" w:cs="Times New Roman"/>
          <w:color w:val="000000"/>
          <w:sz w:val="20"/>
          <w:szCs w:val="20"/>
        </w:rPr>
      </w:pPr>
    </w:p>
    <w:p w14:paraId="47FE7BA7" w14:textId="77777777" w:rsidR="000B3252" w:rsidRDefault="000B3252">
      <w:pPr>
        <w:pStyle w:val="Heading1"/>
        <w:spacing w:line="360" w:lineRule="auto"/>
        <w:rPr>
          <w:rFonts w:ascii="Times New Roman" w:hAnsi="Times New Roman" w:cs="Times New Roman"/>
          <w:color w:val="000000"/>
          <w:sz w:val="20"/>
          <w:szCs w:val="20"/>
        </w:rPr>
      </w:pPr>
    </w:p>
    <w:p w14:paraId="08DA9967" w14:textId="77777777" w:rsidR="000B3252" w:rsidRDefault="000B3252">
      <w:pPr>
        <w:pStyle w:val="Heading1"/>
        <w:spacing w:line="360" w:lineRule="auto"/>
        <w:rPr>
          <w:rFonts w:ascii="Times New Roman" w:hAnsi="Times New Roman" w:cs="Times New Roman"/>
          <w:color w:val="000000"/>
          <w:sz w:val="20"/>
          <w:szCs w:val="20"/>
        </w:rPr>
      </w:pPr>
    </w:p>
    <w:p w14:paraId="453BAED4" w14:textId="77777777" w:rsidR="000B3252" w:rsidRDefault="000B3252">
      <w:pPr>
        <w:pStyle w:val="Heading1"/>
        <w:spacing w:line="360" w:lineRule="auto"/>
        <w:rPr>
          <w:rFonts w:ascii="Times New Roman" w:hAnsi="Times New Roman" w:cs="Times New Roman"/>
          <w:color w:val="000000"/>
          <w:sz w:val="20"/>
          <w:szCs w:val="20"/>
        </w:rPr>
      </w:pPr>
    </w:p>
    <w:p w14:paraId="1DAECD84" w14:textId="77777777" w:rsidR="000B3252" w:rsidRDefault="000B3252">
      <w:pPr>
        <w:pStyle w:val="Heading1"/>
        <w:spacing w:line="360" w:lineRule="auto"/>
        <w:rPr>
          <w:rFonts w:ascii="Times New Roman" w:hAnsi="Times New Roman" w:cs="Times New Roman"/>
          <w:color w:val="000000"/>
          <w:sz w:val="20"/>
          <w:szCs w:val="20"/>
        </w:rPr>
      </w:pPr>
    </w:p>
    <w:p w14:paraId="560EF3E7" w14:textId="77777777" w:rsidR="000B3252" w:rsidRDefault="000B3252">
      <w:pPr>
        <w:pStyle w:val="Heading1"/>
        <w:spacing w:line="360" w:lineRule="auto"/>
        <w:rPr>
          <w:rFonts w:ascii="Times New Roman" w:hAnsi="Times New Roman" w:cs="Times New Roman"/>
          <w:color w:val="000000"/>
          <w:sz w:val="20"/>
          <w:szCs w:val="20"/>
        </w:rPr>
      </w:pPr>
    </w:p>
    <w:p w14:paraId="16AFD28A" w14:textId="77777777" w:rsidR="000B3252" w:rsidRDefault="000B3252">
      <w:pPr>
        <w:spacing w:line="360" w:lineRule="auto"/>
        <w:rPr>
          <w:rFonts w:hint="eastAsia"/>
        </w:rPr>
      </w:pPr>
    </w:p>
    <w:p w14:paraId="722CC801" w14:textId="77777777" w:rsidR="000B3252" w:rsidRDefault="000B3252">
      <w:pPr>
        <w:spacing w:line="360" w:lineRule="auto"/>
        <w:rPr>
          <w:rFonts w:hint="eastAsia"/>
        </w:rPr>
      </w:pPr>
    </w:p>
    <w:p w14:paraId="3B01C054" w14:textId="77777777" w:rsidR="000B3252" w:rsidRDefault="000B3252">
      <w:pPr>
        <w:spacing w:line="360" w:lineRule="auto"/>
        <w:rPr>
          <w:rFonts w:hint="eastAsia"/>
        </w:rPr>
      </w:pPr>
    </w:p>
    <w:p w14:paraId="4D3C3AFE" w14:textId="77777777" w:rsidR="000B3252" w:rsidRDefault="00000000">
      <w:pPr>
        <w:pStyle w:val="Heading1"/>
        <w:spacing w:line="360" w:lineRule="auto"/>
        <w:rPr>
          <w:rFonts w:ascii="Times New Roman" w:hAnsi="Times New Roman" w:cs="Times New Roman"/>
          <w:color w:val="000000"/>
          <w:sz w:val="24"/>
          <w:szCs w:val="24"/>
        </w:rPr>
      </w:pPr>
      <w:bookmarkStart w:id="33" w:name="_Toc34"/>
      <w:r>
        <w:rPr>
          <w:rFonts w:ascii="Times New Roman" w:hAnsi="Times New Roman" w:cs="Times New Roman"/>
          <w:color w:val="000000"/>
          <w:sz w:val="24"/>
          <w:szCs w:val="24"/>
        </w:rPr>
        <w:t>Appendices</w:t>
      </w:r>
      <w:bookmarkEnd w:id="32"/>
      <w:bookmarkEnd w:id="33"/>
    </w:p>
    <w:p w14:paraId="1AB0125E" w14:textId="77777777" w:rsidR="000B3252" w:rsidRDefault="00000000">
      <w:pPr>
        <w:pStyle w:val="Heading2"/>
        <w:spacing w:line="360" w:lineRule="auto"/>
        <w:rPr>
          <w:rFonts w:ascii="Times New Roman" w:hAnsi="Times New Roman" w:cs="Times New Roman"/>
          <w:color w:val="000000"/>
          <w:sz w:val="20"/>
          <w:szCs w:val="20"/>
        </w:rPr>
      </w:pPr>
      <w:bookmarkStart w:id="34" w:name="_Toc35"/>
      <w:r>
        <w:rPr>
          <w:rFonts w:ascii="Times New Roman" w:hAnsi="Times New Roman" w:cs="Times New Roman"/>
          <w:color w:val="000000"/>
          <w:sz w:val="20"/>
          <w:szCs w:val="20"/>
        </w:rPr>
        <w:t>Appendix 1 Types of certificates</w:t>
      </w:r>
      <w:bookmarkEnd w:id="34"/>
    </w:p>
    <w:p w14:paraId="6FBD6FCB"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4229683E" wp14:editId="4990D9EE">
            <wp:extent cx="1720215" cy="1818640"/>
            <wp:effectExtent l="0" t="0" r="0" b="0"/>
            <wp:docPr id="622" name="Picture 6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a:picLocks noChangeAspect="1"/>
                    </pic:cNvPicPr>
                  </pic:nvPicPr>
                  <pic:blipFill>
                    <a:blip r:embed="rId14"/>
                    <a:srcRect/>
                    <a:stretch>
                      <a:fillRect/>
                    </a:stretch>
                  </pic:blipFill>
                  <pic:spPr>
                    <a:xfrm>
                      <a:off x="0" y="0"/>
                      <a:ext cx="1720215" cy="1818640"/>
                    </a:xfrm>
                    <a:prstGeom prst="rect">
                      <a:avLst/>
                    </a:prstGeom>
                  </pic:spPr>
                </pic:pic>
              </a:graphicData>
            </a:graphic>
          </wp:inline>
        </w:drawing>
      </w:r>
      <w:r>
        <w:rPr>
          <w:rFonts w:ascii="Times New Roman" w:hAnsi="Times New Roman" w:cs="Times New Roman"/>
          <w:noProof/>
          <w:sz w:val="20"/>
          <w:szCs w:val="20"/>
        </w:rPr>
        <w:drawing>
          <wp:inline distT="0" distB="0" distL="0" distR="0" wp14:anchorId="55055D45" wp14:editId="49D809CA">
            <wp:extent cx="2068195" cy="2068195"/>
            <wp:effectExtent l="0" t="0" r="0" b="0"/>
            <wp:docPr id="623" name="Picture 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a:picLocks noChangeAspect="1"/>
                    </pic:cNvPicPr>
                  </pic:nvPicPr>
                  <pic:blipFill>
                    <a:blip r:embed="rId15"/>
                    <a:srcRect/>
                    <a:stretch>
                      <a:fillRect/>
                    </a:stretch>
                  </pic:blipFill>
                  <pic:spPr>
                    <a:xfrm>
                      <a:off x="0" y="0"/>
                      <a:ext cx="2068195" cy="2068195"/>
                    </a:xfrm>
                    <a:prstGeom prst="rect">
                      <a:avLst/>
                    </a:prstGeom>
                  </pic:spPr>
                </pic:pic>
              </a:graphicData>
            </a:graphic>
          </wp:inline>
        </w:drawing>
      </w:r>
      <w:r>
        <w:rPr>
          <w:rFonts w:ascii="Times New Roman" w:hAnsi="Times New Roman" w:cs="Times New Roman"/>
          <w:noProof/>
          <w:sz w:val="20"/>
          <w:szCs w:val="20"/>
        </w:rPr>
        <w:drawing>
          <wp:inline distT="0" distB="0" distL="0" distR="0" wp14:anchorId="7FFC6F88" wp14:editId="124FBCDB">
            <wp:extent cx="1828800" cy="1833880"/>
            <wp:effectExtent l="0" t="0" r="0" b="0"/>
            <wp:docPr id="624" name="Picture 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a:picLocks noChangeAspect="1"/>
                    </pic:cNvPicPr>
                  </pic:nvPicPr>
                  <pic:blipFill>
                    <a:blip r:embed="rId16"/>
                    <a:srcRect/>
                    <a:stretch>
                      <a:fillRect/>
                    </a:stretch>
                  </pic:blipFill>
                  <pic:spPr>
                    <a:xfrm>
                      <a:off x="0" y="0"/>
                      <a:ext cx="1828800" cy="1834515"/>
                    </a:xfrm>
                    <a:prstGeom prst="rect">
                      <a:avLst/>
                    </a:prstGeom>
                  </pic:spPr>
                </pic:pic>
              </a:graphicData>
            </a:graphic>
          </wp:inline>
        </w:drawing>
      </w:r>
    </w:p>
    <w:p w14:paraId="5176C22B" w14:textId="77777777" w:rsidR="000B3252" w:rsidRDefault="000B3252">
      <w:pPr>
        <w:spacing w:line="360" w:lineRule="auto"/>
        <w:jc w:val="both"/>
        <w:rPr>
          <w:rFonts w:ascii="Times New Roman" w:hAnsi="Times New Roman" w:cs="Times New Roman"/>
          <w:sz w:val="20"/>
          <w:szCs w:val="20"/>
        </w:rPr>
      </w:pPr>
    </w:p>
    <w:p w14:paraId="5403DC8A" w14:textId="77777777" w:rsidR="000B3252" w:rsidRDefault="000B3252">
      <w:pPr>
        <w:spacing w:line="360" w:lineRule="auto"/>
        <w:jc w:val="both"/>
        <w:rPr>
          <w:rFonts w:ascii="Times New Roman" w:hAnsi="Times New Roman" w:cs="Times New Roman"/>
          <w:sz w:val="20"/>
          <w:szCs w:val="20"/>
        </w:rPr>
      </w:pPr>
    </w:p>
    <w:p w14:paraId="333069B5" w14:textId="77777777" w:rsidR="000B3252" w:rsidRDefault="000B3252">
      <w:pPr>
        <w:spacing w:line="360" w:lineRule="auto"/>
        <w:jc w:val="both"/>
        <w:rPr>
          <w:rFonts w:ascii="Times New Roman" w:hAnsi="Times New Roman" w:cs="Times New Roman"/>
          <w:sz w:val="20"/>
          <w:szCs w:val="20"/>
        </w:rPr>
      </w:pPr>
    </w:p>
    <w:p w14:paraId="63541AD8" w14:textId="77777777" w:rsidR="000B3252" w:rsidRDefault="000B3252">
      <w:pPr>
        <w:spacing w:line="360" w:lineRule="auto"/>
        <w:jc w:val="both"/>
        <w:rPr>
          <w:rFonts w:ascii="Times New Roman" w:hAnsi="Times New Roman" w:cs="Times New Roman"/>
          <w:sz w:val="20"/>
          <w:szCs w:val="20"/>
        </w:rPr>
      </w:pPr>
    </w:p>
    <w:p w14:paraId="2C96C55C" w14:textId="77777777" w:rsidR="000B3252" w:rsidRDefault="000B3252">
      <w:pPr>
        <w:spacing w:line="360" w:lineRule="auto"/>
        <w:jc w:val="both"/>
        <w:rPr>
          <w:rFonts w:ascii="Times New Roman" w:hAnsi="Times New Roman" w:cs="Times New Roman"/>
          <w:sz w:val="20"/>
          <w:szCs w:val="20"/>
        </w:rPr>
      </w:pPr>
    </w:p>
    <w:p w14:paraId="2F1E1BB0" w14:textId="77777777" w:rsidR="000B3252" w:rsidRDefault="000B3252">
      <w:pPr>
        <w:spacing w:line="360" w:lineRule="auto"/>
        <w:jc w:val="both"/>
        <w:rPr>
          <w:rFonts w:ascii="Times New Roman" w:hAnsi="Times New Roman" w:cs="Times New Roman"/>
          <w:sz w:val="20"/>
          <w:szCs w:val="20"/>
        </w:rPr>
      </w:pPr>
    </w:p>
    <w:p w14:paraId="3118EA6F" w14:textId="77777777" w:rsidR="000B3252" w:rsidRDefault="000B3252">
      <w:pPr>
        <w:spacing w:line="360" w:lineRule="auto"/>
        <w:jc w:val="both"/>
        <w:rPr>
          <w:rFonts w:ascii="Times New Roman" w:hAnsi="Times New Roman" w:cs="Times New Roman"/>
          <w:sz w:val="20"/>
          <w:szCs w:val="20"/>
        </w:rPr>
      </w:pPr>
    </w:p>
    <w:p w14:paraId="23E66058" w14:textId="77777777" w:rsidR="000B3252" w:rsidRDefault="000B3252">
      <w:pPr>
        <w:spacing w:line="360" w:lineRule="auto"/>
        <w:jc w:val="both"/>
        <w:rPr>
          <w:rFonts w:ascii="Times New Roman" w:hAnsi="Times New Roman" w:cs="Times New Roman"/>
          <w:sz w:val="20"/>
          <w:szCs w:val="20"/>
        </w:rPr>
      </w:pPr>
    </w:p>
    <w:p w14:paraId="580AD666" w14:textId="77777777" w:rsidR="000B3252" w:rsidRDefault="000B3252">
      <w:pPr>
        <w:spacing w:line="360" w:lineRule="auto"/>
        <w:jc w:val="both"/>
        <w:rPr>
          <w:rFonts w:ascii="Times New Roman" w:hAnsi="Times New Roman" w:cs="Times New Roman"/>
          <w:sz w:val="20"/>
          <w:szCs w:val="20"/>
        </w:rPr>
      </w:pPr>
    </w:p>
    <w:p w14:paraId="32CFFD5E" w14:textId="77777777" w:rsidR="000B3252" w:rsidRDefault="000B3252">
      <w:pPr>
        <w:spacing w:line="360" w:lineRule="auto"/>
        <w:jc w:val="both"/>
        <w:rPr>
          <w:rFonts w:ascii="Times New Roman" w:hAnsi="Times New Roman" w:cs="Times New Roman"/>
          <w:sz w:val="20"/>
          <w:szCs w:val="20"/>
        </w:rPr>
      </w:pPr>
    </w:p>
    <w:p w14:paraId="7037D1B8" w14:textId="77777777" w:rsidR="000B3252" w:rsidRDefault="000B3252">
      <w:pPr>
        <w:spacing w:line="360" w:lineRule="auto"/>
        <w:jc w:val="both"/>
        <w:rPr>
          <w:rFonts w:ascii="Times New Roman" w:hAnsi="Times New Roman" w:cs="Times New Roman"/>
          <w:sz w:val="20"/>
          <w:szCs w:val="20"/>
        </w:rPr>
      </w:pPr>
    </w:p>
    <w:p w14:paraId="28756021" w14:textId="77777777" w:rsidR="000B3252" w:rsidRDefault="000B3252">
      <w:pPr>
        <w:spacing w:line="360" w:lineRule="auto"/>
        <w:jc w:val="both"/>
        <w:rPr>
          <w:rFonts w:ascii="Times New Roman" w:hAnsi="Times New Roman" w:cs="Times New Roman"/>
          <w:sz w:val="20"/>
          <w:szCs w:val="20"/>
        </w:rPr>
      </w:pPr>
    </w:p>
    <w:p w14:paraId="39F59533" w14:textId="77777777" w:rsidR="000B3252" w:rsidRDefault="000B3252">
      <w:pPr>
        <w:spacing w:line="360" w:lineRule="auto"/>
        <w:jc w:val="both"/>
        <w:rPr>
          <w:rFonts w:ascii="Times New Roman" w:hAnsi="Times New Roman" w:cs="Times New Roman"/>
          <w:sz w:val="20"/>
          <w:szCs w:val="20"/>
        </w:rPr>
      </w:pPr>
    </w:p>
    <w:p w14:paraId="1D699CBF" w14:textId="77777777" w:rsidR="000B3252" w:rsidRDefault="000B3252">
      <w:pPr>
        <w:spacing w:line="360" w:lineRule="auto"/>
        <w:jc w:val="both"/>
        <w:rPr>
          <w:rFonts w:ascii="Times New Roman" w:hAnsi="Times New Roman" w:cs="Times New Roman"/>
          <w:sz w:val="20"/>
          <w:szCs w:val="20"/>
        </w:rPr>
      </w:pPr>
    </w:p>
    <w:p w14:paraId="77AF0F58" w14:textId="77777777" w:rsidR="000B3252" w:rsidRDefault="000B3252">
      <w:pPr>
        <w:spacing w:line="360" w:lineRule="auto"/>
        <w:jc w:val="both"/>
        <w:rPr>
          <w:rFonts w:ascii="Times New Roman" w:hAnsi="Times New Roman" w:cs="Times New Roman"/>
          <w:sz w:val="20"/>
          <w:szCs w:val="20"/>
        </w:rPr>
      </w:pPr>
    </w:p>
    <w:p w14:paraId="11EC9982" w14:textId="77777777" w:rsidR="000B3252" w:rsidRDefault="000B3252">
      <w:pPr>
        <w:spacing w:line="360" w:lineRule="auto"/>
        <w:jc w:val="both"/>
        <w:rPr>
          <w:rFonts w:ascii="Times New Roman" w:hAnsi="Times New Roman" w:cs="Times New Roman"/>
          <w:sz w:val="20"/>
          <w:szCs w:val="20"/>
        </w:rPr>
      </w:pPr>
    </w:p>
    <w:p w14:paraId="3CC9D17D" w14:textId="77777777" w:rsidR="000B3252" w:rsidRDefault="000B3252">
      <w:pPr>
        <w:spacing w:line="360" w:lineRule="auto"/>
        <w:jc w:val="both"/>
        <w:rPr>
          <w:rFonts w:ascii="Times New Roman" w:hAnsi="Times New Roman" w:cs="Times New Roman"/>
          <w:sz w:val="20"/>
          <w:szCs w:val="20"/>
        </w:rPr>
      </w:pPr>
    </w:p>
    <w:p w14:paraId="25768A45" w14:textId="77777777" w:rsidR="000B3252" w:rsidRDefault="000B3252">
      <w:pPr>
        <w:spacing w:line="360" w:lineRule="auto"/>
        <w:jc w:val="both"/>
        <w:rPr>
          <w:rFonts w:ascii="Times New Roman" w:hAnsi="Times New Roman" w:cs="Times New Roman"/>
          <w:sz w:val="20"/>
          <w:szCs w:val="20"/>
        </w:rPr>
      </w:pPr>
    </w:p>
    <w:p w14:paraId="4FA33515" w14:textId="77777777" w:rsidR="000B3252" w:rsidRDefault="00000000">
      <w:pPr>
        <w:pStyle w:val="Heading2"/>
        <w:spacing w:line="360" w:lineRule="auto"/>
        <w:rPr>
          <w:rFonts w:ascii="Times New Roman" w:hAnsi="Times New Roman" w:cs="Times New Roman"/>
          <w:color w:val="000000"/>
          <w:sz w:val="20"/>
          <w:szCs w:val="20"/>
        </w:rPr>
      </w:pPr>
      <w:bookmarkStart w:id="35" w:name="_Toc36"/>
      <w:r>
        <w:rPr>
          <w:rFonts w:ascii="Times New Roman" w:hAnsi="Times New Roman" w:cs="Times New Roman"/>
          <w:color w:val="000000"/>
          <w:sz w:val="20"/>
          <w:szCs w:val="20"/>
        </w:rPr>
        <w:t>Appendix 2 Hilton Barcelona Location</w:t>
      </w:r>
      <w:bookmarkEnd w:id="35"/>
    </w:p>
    <w:p w14:paraId="4338536D" w14:textId="77777777" w:rsidR="000B3252" w:rsidRDefault="000B3252">
      <w:pPr>
        <w:spacing w:line="360" w:lineRule="auto"/>
        <w:jc w:val="both"/>
        <w:rPr>
          <w:rFonts w:ascii="Times New Roman" w:hAnsi="Times New Roman" w:cs="Times New Roman"/>
          <w:sz w:val="20"/>
          <w:szCs w:val="20"/>
        </w:rPr>
      </w:pPr>
    </w:p>
    <w:p w14:paraId="62E54C8B" w14:textId="77777777" w:rsidR="000B3252" w:rsidRDefault="00000000">
      <w:pPr>
        <w:spacing w:line="360" w:lineRule="auto"/>
        <w:jc w:val="both"/>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180CC832" wp14:editId="3D68E734">
            <wp:extent cx="5731510" cy="3827780"/>
            <wp:effectExtent l="0" t="0" r="0" b="0"/>
            <wp:docPr id="625" name="Picture 6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a:picLocks noChangeAspect="1"/>
                    </pic:cNvPicPr>
                  </pic:nvPicPr>
                  <pic:blipFill>
                    <a:blip r:embed="rId17"/>
                    <a:srcRect/>
                    <a:stretch>
                      <a:fillRect/>
                    </a:stretch>
                  </pic:blipFill>
                  <pic:spPr>
                    <a:xfrm>
                      <a:off x="0" y="0"/>
                      <a:ext cx="5731510" cy="3827780"/>
                    </a:xfrm>
                    <a:prstGeom prst="rect">
                      <a:avLst/>
                    </a:prstGeom>
                  </pic:spPr>
                </pic:pic>
              </a:graphicData>
            </a:graphic>
          </wp:inline>
        </w:drawing>
      </w:r>
    </w:p>
    <w:p w14:paraId="11B6696F" w14:textId="77777777" w:rsidR="000B3252" w:rsidRDefault="000B3252">
      <w:pPr>
        <w:spacing w:line="360" w:lineRule="auto"/>
        <w:jc w:val="both"/>
        <w:rPr>
          <w:rFonts w:ascii="Times New Roman" w:hAnsi="Times New Roman" w:cs="Times New Roman"/>
          <w:sz w:val="20"/>
          <w:szCs w:val="20"/>
        </w:rPr>
      </w:pPr>
    </w:p>
    <w:p w14:paraId="1DF7813F" w14:textId="77777777" w:rsidR="000B3252" w:rsidRDefault="000B3252">
      <w:pPr>
        <w:spacing w:line="360" w:lineRule="auto"/>
        <w:jc w:val="both"/>
        <w:rPr>
          <w:rFonts w:ascii="Times New Roman" w:hAnsi="Times New Roman" w:cs="Times New Roman"/>
          <w:sz w:val="20"/>
          <w:szCs w:val="20"/>
        </w:rPr>
      </w:pPr>
    </w:p>
    <w:p w14:paraId="3B261106" w14:textId="77777777" w:rsidR="000B3252" w:rsidRDefault="000B3252">
      <w:pPr>
        <w:spacing w:line="360" w:lineRule="auto"/>
        <w:jc w:val="both"/>
        <w:rPr>
          <w:rFonts w:ascii="Times New Roman" w:hAnsi="Times New Roman" w:cs="Times New Roman"/>
          <w:sz w:val="20"/>
          <w:szCs w:val="20"/>
        </w:rPr>
      </w:pPr>
    </w:p>
    <w:p w14:paraId="3E67E36E" w14:textId="77777777" w:rsidR="000B3252" w:rsidRDefault="000B3252">
      <w:pPr>
        <w:spacing w:line="360" w:lineRule="auto"/>
        <w:jc w:val="both"/>
        <w:rPr>
          <w:rFonts w:ascii="Times New Roman" w:hAnsi="Times New Roman" w:cs="Times New Roman"/>
          <w:sz w:val="20"/>
          <w:szCs w:val="20"/>
        </w:rPr>
      </w:pPr>
    </w:p>
    <w:p w14:paraId="328CBB0B" w14:textId="77777777" w:rsidR="000B3252" w:rsidRDefault="000B3252">
      <w:pPr>
        <w:spacing w:line="360" w:lineRule="auto"/>
        <w:jc w:val="both"/>
        <w:rPr>
          <w:rFonts w:ascii="Times New Roman" w:hAnsi="Times New Roman" w:cs="Times New Roman"/>
          <w:sz w:val="20"/>
          <w:szCs w:val="20"/>
        </w:rPr>
      </w:pPr>
    </w:p>
    <w:p w14:paraId="5BF064CB" w14:textId="77777777" w:rsidR="000B3252" w:rsidRDefault="000B3252">
      <w:pPr>
        <w:spacing w:line="360" w:lineRule="auto"/>
        <w:jc w:val="both"/>
        <w:rPr>
          <w:rFonts w:ascii="Times New Roman" w:hAnsi="Times New Roman" w:cs="Times New Roman"/>
          <w:sz w:val="20"/>
          <w:szCs w:val="20"/>
        </w:rPr>
      </w:pPr>
    </w:p>
    <w:p w14:paraId="3057AABF" w14:textId="77777777" w:rsidR="000B3252" w:rsidRDefault="000B3252">
      <w:pPr>
        <w:spacing w:line="360" w:lineRule="auto"/>
        <w:jc w:val="both"/>
        <w:rPr>
          <w:rFonts w:ascii="Times New Roman" w:hAnsi="Times New Roman" w:cs="Times New Roman"/>
          <w:sz w:val="20"/>
          <w:szCs w:val="20"/>
        </w:rPr>
      </w:pPr>
    </w:p>
    <w:p w14:paraId="2E3E238D" w14:textId="77777777" w:rsidR="000B3252" w:rsidRDefault="000B3252">
      <w:pPr>
        <w:spacing w:line="360" w:lineRule="auto"/>
        <w:jc w:val="both"/>
        <w:rPr>
          <w:rFonts w:ascii="Times New Roman" w:hAnsi="Times New Roman" w:cs="Times New Roman"/>
          <w:sz w:val="20"/>
          <w:szCs w:val="20"/>
        </w:rPr>
      </w:pPr>
    </w:p>
    <w:p w14:paraId="20E69A9D" w14:textId="77777777" w:rsidR="000B3252" w:rsidRDefault="000B3252">
      <w:pPr>
        <w:spacing w:line="360" w:lineRule="auto"/>
        <w:jc w:val="both"/>
        <w:rPr>
          <w:rFonts w:ascii="Times New Roman" w:hAnsi="Times New Roman" w:cs="Times New Roman"/>
          <w:sz w:val="20"/>
          <w:szCs w:val="20"/>
        </w:rPr>
      </w:pPr>
    </w:p>
    <w:p w14:paraId="49C629F7" w14:textId="77777777" w:rsidR="000B3252" w:rsidRDefault="000B3252">
      <w:pPr>
        <w:spacing w:line="360" w:lineRule="auto"/>
        <w:jc w:val="both"/>
        <w:rPr>
          <w:rFonts w:ascii="Times New Roman" w:hAnsi="Times New Roman" w:cs="Times New Roman"/>
          <w:sz w:val="20"/>
          <w:szCs w:val="20"/>
        </w:rPr>
      </w:pPr>
    </w:p>
    <w:p w14:paraId="5244B3A8" w14:textId="77777777" w:rsidR="000B3252" w:rsidRDefault="000B3252">
      <w:pPr>
        <w:spacing w:line="360" w:lineRule="auto"/>
        <w:jc w:val="both"/>
        <w:rPr>
          <w:rFonts w:ascii="Times New Roman" w:hAnsi="Times New Roman" w:cs="Times New Roman"/>
          <w:sz w:val="20"/>
          <w:szCs w:val="20"/>
        </w:rPr>
      </w:pPr>
    </w:p>
    <w:p w14:paraId="30AD2673" w14:textId="77777777" w:rsidR="000B3252" w:rsidRDefault="000B3252">
      <w:pPr>
        <w:spacing w:line="360" w:lineRule="auto"/>
        <w:jc w:val="both"/>
        <w:rPr>
          <w:rFonts w:ascii="Times New Roman" w:hAnsi="Times New Roman" w:cs="Times New Roman"/>
          <w:sz w:val="20"/>
          <w:szCs w:val="20"/>
        </w:rPr>
      </w:pPr>
    </w:p>
    <w:p w14:paraId="7DA8CB43" w14:textId="77777777" w:rsidR="000B3252" w:rsidRDefault="00000000">
      <w:pPr>
        <w:pStyle w:val="Heading2"/>
        <w:rPr>
          <w:rFonts w:ascii="Times New Roman" w:hAnsi="Times New Roman" w:cs="Times New Roman"/>
          <w:color w:val="000000"/>
          <w:sz w:val="20"/>
          <w:szCs w:val="20"/>
        </w:rPr>
      </w:pPr>
      <w:bookmarkStart w:id="36" w:name="_Toc37"/>
      <w:r>
        <w:rPr>
          <w:rFonts w:ascii="Times New Roman" w:hAnsi="Times New Roman" w:cs="Times New Roman"/>
          <w:color w:val="000000"/>
          <w:sz w:val="20"/>
          <w:szCs w:val="20"/>
        </w:rPr>
        <w:t>Appendix 3 Number of visits from Spain to the United Kingdom from 2004 to 2023</w:t>
      </w:r>
      <w:bookmarkEnd w:id="36"/>
    </w:p>
    <w:p w14:paraId="4F8AC01A" w14:textId="77777777" w:rsidR="000B3252" w:rsidRDefault="000B3252">
      <w:pPr>
        <w:rPr>
          <w:rFonts w:hint="eastAsia"/>
          <w:sz w:val="20"/>
          <w:szCs w:val="20"/>
        </w:rPr>
      </w:pPr>
    </w:p>
    <w:p w14:paraId="18F87B8A" w14:textId="77777777" w:rsidR="000B3252" w:rsidRDefault="00000000">
      <w:pPr>
        <w:spacing w:line="360" w:lineRule="auto"/>
        <w:jc w:val="center"/>
        <w:rPr>
          <w:rFonts w:ascii="Times New Roman" w:hAnsi="Times New Roman" w:cs="Times New Roman"/>
          <w:b/>
          <w:bCs/>
          <w:sz w:val="20"/>
          <w:szCs w:val="20"/>
        </w:rPr>
      </w:pPr>
      <w:r>
        <w:rPr>
          <w:rFonts w:ascii="Times New Roman" w:hAnsi="Times New Roman" w:cs="Times New Roman"/>
          <w:b/>
          <w:bCs/>
          <w:noProof/>
          <w:sz w:val="20"/>
          <w:szCs w:val="20"/>
        </w:rPr>
        <w:lastRenderedPageBreak/>
        <w:drawing>
          <wp:inline distT="0" distB="0" distL="0" distR="0" wp14:anchorId="7C7A82D7" wp14:editId="02FA60DB">
            <wp:extent cx="5093335" cy="3307715"/>
            <wp:effectExtent l="0" t="0" r="0" b="0"/>
            <wp:docPr id="626" name="Picture 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a:picLocks noChangeAspect="1"/>
                    </pic:cNvPicPr>
                  </pic:nvPicPr>
                  <pic:blipFill>
                    <a:blip r:embed="rId18"/>
                    <a:srcRect/>
                    <a:stretch>
                      <a:fillRect/>
                    </a:stretch>
                  </pic:blipFill>
                  <pic:spPr>
                    <a:xfrm>
                      <a:off x="0" y="0"/>
                      <a:ext cx="5093335" cy="3307715"/>
                    </a:xfrm>
                    <a:prstGeom prst="rect">
                      <a:avLst/>
                    </a:prstGeom>
                  </pic:spPr>
                </pic:pic>
              </a:graphicData>
            </a:graphic>
          </wp:inline>
        </w:drawing>
      </w:r>
    </w:p>
    <w:p w14:paraId="0FA82BA9" w14:textId="77777777" w:rsidR="000B3252" w:rsidRDefault="00000000">
      <w:pPr>
        <w:spacing w:line="360" w:lineRule="auto"/>
        <w:jc w:val="center"/>
        <w:rPr>
          <w:rFonts w:ascii="Times New Roman" w:hAnsi="Times New Roman" w:cs="Times New Roman"/>
          <w:sz w:val="20"/>
          <w:szCs w:val="20"/>
        </w:rPr>
      </w:pPr>
      <w:r>
        <w:rPr>
          <w:rFonts w:ascii="Times New Roman" w:hAnsi="Times New Roman" w:cs="Times New Roman"/>
          <w:sz w:val="20"/>
          <w:szCs w:val="20"/>
        </w:rPr>
        <w:t>Source: (Statista, 2025).</w:t>
      </w:r>
    </w:p>
    <w:sectPr w:rsidR="000B3252">
      <w:headerReference w:type="default" r:id="rId19"/>
      <w:footerReference w:type="default" r:id="rId20"/>
      <w:pgSz w:w="11906" w:h="16838"/>
      <w:pgMar w:top="1440" w:right="1440" w:bottom="1440" w:left="1440" w:header="708" w:footer="708" w:gutter="0"/>
      <w:paperSrc w:first="1" w:other="1"/>
      <w:pgBorders w:offsetFrom="page">
        <w:top w:val="single" w:sz="24" w:space="24" w:color="auto"/>
        <w:left w:val="single" w:sz="24" w:space="24" w:color="auto"/>
        <w:bottom w:val="single" w:sz="24" w:space="24" w:color="auto"/>
        <w:right w:val="single" w:sz="2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996B5" w14:textId="77777777" w:rsidR="00EA3898" w:rsidRDefault="00EA3898">
      <w:pPr>
        <w:spacing w:after="0" w:line="240" w:lineRule="auto"/>
        <w:rPr>
          <w:rFonts w:hint="eastAsia"/>
        </w:rPr>
      </w:pPr>
      <w:r>
        <w:separator/>
      </w:r>
    </w:p>
  </w:endnote>
  <w:endnote w:type="continuationSeparator" w:id="0">
    <w:p w14:paraId="72845044" w14:textId="77777777" w:rsidR="00EA3898" w:rsidRDefault="00EA3898">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5889E5" w14:textId="77777777" w:rsidR="000B3252" w:rsidRDefault="00000000">
    <w:pPr>
      <w:spacing w:after="0" w:line="240" w:lineRule="auto"/>
      <w:jc w:val="center"/>
      <w:rPr>
        <w:rFonts w:ascii="Times New Roman" w:hAnsi="Times New Roman" w:cs="Times New Roman"/>
        <w:sz w:val="32"/>
        <w:szCs w:val="32"/>
        <w:vertAlign w:val="superscript"/>
      </w:rPr>
    </w:pPr>
    <w:r>
      <w:rPr>
        <w:rFonts w:ascii="Times New Roman" w:hAnsi="Times New Roman" w:cs="Times New Roman"/>
        <w:sz w:val="32"/>
        <w:szCs w:val="32"/>
        <w:vertAlign w:val="superscript"/>
        <w:lang w:val="en-US"/>
      </w:rPr>
      <w:fldChar w:fldCharType="begin"/>
    </w:r>
    <w:r>
      <w:rPr>
        <w:rFonts w:ascii="Times New Roman" w:hAnsi="Times New Roman" w:cs="Times New Roman"/>
        <w:sz w:val="32"/>
        <w:szCs w:val="32"/>
        <w:vertAlign w:val="superscript"/>
        <w:lang w:val="en-US"/>
      </w:rPr>
      <w:instrText>PAGE</w:instrText>
    </w:r>
    <w:r>
      <w:rPr>
        <w:rFonts w:ascii="Times New Roman" w:hAnsi="Times New Roman" w:cs="Times New Roman"/>
        <w:sz w:val="32"/>
        <w:szCs w:val="32"/>
        <w:vertAlign w:val="superscript"/>
        <w:lang w:val="en-US"/>
      </w:rPr>
      <w:fldChar w:fldCharType="separate"/>
    </w:r>
    <w:r>
      <w:rPr>
        <w:rFonts w:ascii="Times New Roman" w:hAnsi="Times New Roman" w:cs="Times New Roman"/>
        <w:sz w:val="32"/>
        <w:szCs w:val="32"/>
        <w:vertAlign w:val="superscript"/>
        <w:lang w:val="en-US"/>
      </w:rPr>
      <w:t>*</w:t>
    </w:r>
    <w:r>
      <w:rPr>
        <w:rFonts w:ascii="Times New Roman" w:hAnsi="Times New Roman" w:cs="Times New Roman"/>
        <w:sz w:val="32"/>
        <w:szCs w:val="32"/>
        <w:vertAlign w:val="superscript"/>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9BE32" w14:textId="77777777" w:rsidR="00EA3898" w:rsidRDefault="00EA3898">
      <w:pPr>
        <w:spacing w:after="0" w:line="240" w:lineRule="auto"/>
        <w:rPr>
          <w:rFonts w:hint="eastAsia"/>
        </w:rPr>
      </w:pPr>
      <w:r>
        <w:separator/>
      </w:r>
    </w:p>
  </w:footnote>
  <w:footnote w:type="continuationSeparator" w:id="0">
    <w:p w14:paraId="2E3E2132" w14:textId="77777777" w:rsidR="00EA3898" w:rsidRDefault="00EA3898">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1748CA" w14:textId="77777777" w:rsidR="000B3252" w:rsidRDefault="000B3252">
    <w:pPr>
      <w:spacing w:after="0" w:line="240" w:lineRule="auto"/>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196ED9"/>
    <w:multiLevelType w:val="multilevel"/>
    <w:tmpl w:val="9CB69EEE"/>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496459865">
    <w:abstractNumId w:val="0"/>
    <w:lvlOverride w:ilvl="0">
      <w:lvl w:ilvl="0" w:tentative="1">
        <w:numFmt w:val="bullet"/>
        <w:lvlText w:val="·"/>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0B3252"/>
    <w:rsid w:val="000B3252"/>
    <w:rsid w:val="00672F81"/>
    <w:rsid w:val="00C77B42"/>
    <w:rsid w:val="00EA38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C5E4A"/>
  <w15:docId w15:val="{FA8E2BD5-355A-4447-89AF-9720B1F02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Segoe UI" w:eastAsiaTheme="minorEastAsia" w:hAnsi="Segoe UI" w:cs="Arial"/>
        <w:color w:val="000000"/>
        <w:sz w:val="18"/>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Pr>
      <w:color w:val="954F72" w:themeColor="followed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line="240" w:lineRule="auto"/>
    </w:pPr>
    <w:rPr>
      <w:i/>
      <w:iCs/>
      <w:color w:val="44546A" w:themeColor="text2"/>
      <w:szCs w:val="18"/>
    </w:rPr>
  </w:style>
  <w:style w:type="paragraph" w:styleId="TOCHeading">
    <w:name w:val="TOC Heading"/>
    <w:basedOn w:val="Heading1"/>
    <w:next w:val="Normal"/>
    <w:uiPriority w:val="39"/>
    <w:unhideWhenUsed/>
    <w:qFormat/>
    <w:rPr>
      <w:b w:val="0"/>
      <w:bCs w:val="0"/>
      <w:sz w:val="32"/>
      <w:szCs w:val="3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table" w:styleId="TableGrid">
    <w:name w:val="Table Grid"/>
    <w:uiPriority w:val="5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ibliography">
    <w:name w:val="Bibliography"/>
    <w:basedOn w:val="Normal"/>
    <w:uiPriority w:val="99"/>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30</Pages>
  <Words>9640</Words>
  <Characters>54948</Characters>
  <Application>Microsoft Office Word</Application>
  <DocSecurity>0</DocSecurity>
  <Lines>457</Lines>
  <Paragraphs>128</Paragraphs>
  <ScaleCrop>false</ScaleCrop>
  <Company/>
  <LinksUpToDate>false</LinksUpToDate>
  <CharactersWithSpaces>64460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Party Kids</dc:creator>
  <cp:lastModifiedBy>Ovidiu Crozolo</cp:lastModifiedBy>
  <cp:revision>2</cp:revision>
  <dcterms:created xsi:type="dcterms:W3CDTF">2025-03-04T19:30:00Z</dcterms:created>
  <dcterms:modified xsi:type="dcterms:W3CDTF">2025-03-04T19:32:00Z</dcterms:modified>
</cp:coreProperties>
</file>