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b/>
          <w:bCs/>
          <w:sz w:val="32"/>
          <w:szCs w:val="32"/>
          <w:lang w:val="en-GB"/>
        </w:rPr>
      </w:pPr>
      <w:r>
        <w:rPr>
          <w:rFonts w:hint="default"/>
          <w:b/>
          <w:bCs/>
          <w:sz w:val="32"/>
          <w:szCs w:val="32"/>
          <w:lang w:val="en-GB"/>
        </w:rPr>
        <w:t xml:space="preserve">Student name:  Alexandra Vlad </w:t>
      </w:r>
    </w:p>
    <w:p>
      <w:pPr>
        <w:jc w:val="both"/>
        <w:rPr>
          <w:rFonts w:hint="default"/>
          <w:b/>
          <w:bCs/>
          <w:sz w:val="32"/>
          <w:szCs w:val="32"/>
          <w:lang w:val="en-GB"/>
        </w:rPr>
      </w:pPr>
      <w:r>
        <w:rPr>
          <w:rFonts w:hint="default"/>
          <w:b/>
          <w:bCs/>
          <w:sz w:val="32"/>
          <w:szCs w:val="32"/>
          <w:lang w:val="en-GB"/>
        </w:rPr>
        <w:t>Student id:2118684</w:t>
      </w:r>
    </w:p>
    <w:p>
      <w:pPr>
        <w:jc w:val="both"/>
        <w:rPr>
          <w:rFonts w:hint="default"/>
          <w:b/>
          <w:bCs/>
          <w:sz w:val="32"/>
          <w:szCs w:val="32"/>
          <w:lang w:val="en-GB"/>
        </w:rPr>
      </w:pPr>
      <w:r>
        <w:rPr>
          <w:rFonts w:hint="default"/>
          <w:b/>
          <w:bCs/>
          <w:sz w:val="32"/>
          <w:szCs w:val="32"/>
          <w:lang w:val="en-GB"/>
        </w:rPr>
        <w:t>Module:Personal Resourcing and Development</w:t>
      </w:r>
    </w:p>
    <w:p>
      <w:pPr>
        <w:jc w:val="both"/>
        <w:rPr>
          <w:rFonts w:hint="default"/>
          <w:b/>
          <w:bCs/>
          <w:sz w:val="32"/>
          <w:szCs w:val="32"/>
          <w:lang w:val="en-GB"/>
        </w:rPr>
      </w:pPr>
      <w:r>
        <w:rPr>
          <w:rFonts w:hint="default"/>
          <w:b/>
          <w:bCs/>
          <w:sz w:val="32"/>
          <w:szCs w:val="32"/>
          <w:lang w:val="en-GB"/>
        </w:rPr>
        <w:t xml:space="preserve">Lecturer name:Kathryn Roberts </w:t>
      </w:r>
    </w:p>
    <w:p>
      <w:pPr>
        <w:jc w:val="center"/>
        <w:rPr>
          <w:b/>
          <w:bCs/>
          <w:sz w:val="32"/>
          <w:szCs w:val="32"/>
        </w:rPr>
      </w:pPr>
    </w:p>
    <w:p>
      <w:pPr>
        <w:jc w:val="center"/>
        <w:rPr>
          <w:b/>
          <w:bCs/>
          <w:sz w:val="32"/>
          <w:szCs w:val="32"/>
        </w:rPr>
      </w:pPr>
    </w:p>
    <w:p>
      <w:pPr>
        <w:jc w:val="center"/>
        <w:rPr>
          <w:b/>
          <w:bCs/>
          <w:sz w:val="32"/>
          <w:szCs w:val="32"/>
        </w:rPr>
      </w:pPr>
      <w:bookmarkStart w:id="7" w:name="_GoBack"/>
      <w:bookmarkEnd w:id="7"/>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r>
        <w:rPr>
          <w:b/>
          <w:bCs/>
          <w:sz w:val="32"/>
          <w:szCs w:val="32"/>
        </w:rPr>
        <w:t>ESSAY: EMPLOYEE ENGAGEMENT</w:t>
      </w:r>
    </w:p>
    <w:p>
      <w:pPr>
        <w:rPr>
          <w:b/>
          <w:bCs/>
          <w:sz w:val="32"/>
          <w:szCs w:val="32"/>
        </w:rPr>
      </w:pPr>
      <w:r>
        <w:rPr>
          <w:b/>
          <w:bCs/>
          <w:sz w:val="32"/>
          <w:szCs w:val="32"/>
        </w:rPr>
        <w:br w:type="page"/>
      </w:r>
    </w:p>
    <w:p>
      <w:pPr>
        <w:pStyle w:val="2"/>
      </w:pPr>
      <w:bookmarkStart w:id="0" w:name="_jzwxvrg2qvf6" w:colFirst="0" w:colLast="0"/>
      <w:bookmarkEnd w:id="0"/>
      <w:bookmarkStart w:id="1" w:name="_Toc126087041"/>
      <w:r>
        <w:t>Introduction</w:t>
      </w:r>
      <w:bookmarkEnd w:id="1"/>
    </w:p>
    <w:p>
      <w:pPr>
        <w:spacing w:line="360" w:lineRule="auto"/>
        <w:jc w:val="both"/>
        <w:rPr>
          <w:sz w:val="24"/>
          <w:szCs w:val="24"/>
        </w:rPr>
      </w:pPr>
      <w:r>
        <w:rPr>
          <w:sz w:val="24"/>
          <w:szCs w:val="24"/>
        </w:rPr>
        <w:t>Professionals in the field of human resources (HR) often use the word “employee engagement” to refer to the degree to which an employee is interested in and committed to their employment. Employees who are imprisoned feel immense satisfaction in their job, believe they have contributed to the success of the organization, and are aware that their obligations are important. A locked-in worker is committed to the success of the company on a level that goes beyond receiving adequate financial compensation for their work. Employee engagement may be the deciding factor in a company’s success because of the obvious connection it shares with feelings of job satisfaction and confidence. Maintaining open lines of communication is an essential component in the process of building and sustaining representative enthusiasm. Representatives that are invested in their profession have a greater chance of meeting and exceeding their clients’ expectations. They often give the impression of having a greater devotion to the values and priorities of the firm.</w:t>
      </w:r>
    </w:p>
    <w:p>
      <w:pPr>
        <w:pStyle w:val="2"/>
      </w:pPr>
      <w:bookmarkStart w:id="2" w:name="_om5rgi8gu3l5" w:colFirst="0" w:colLast="0"/>
      <w:bookmarkEnd w:id="2"/>
      <w:r>
        <w:t xml:space="preserve">Discussion </w:t>
      </w:r>
    </w:p>
    <w:p>
      <w:pPr>
        <w:spacing w:line="360" w:lineRule="auto"/>
        <w:jc w:val="both"/>
        <w:rPr>
          <w:sz w:val="24"/>
          <w:szCs w:val="24"/>
        </w:rPr>
      </w:pPr>
      <w:r>
        <w:rPr>
          <w:sz w:val="24"/>
          <w:szCs w:val="24"/>
        </w:rPr>
        <w:t>Employees who are fully invested in their work are those who are effectively putting their talents to use, who have supportive supervisors and peers, and who see opportunities for advancement in their professions. In order to properly lock in workers, human resources have to have a holistic view of the employee agreement (Sun and Bunchapattanasakda, 2019). Human resources are responsible for facilitating optimal worker performance by supplying personnel with training, resources, and a conducive work environment. And HR has to continuously training workers to keep them enthusiastic. Maintain distinct avenues for professional development. Employees that are invested in their work understand their roles and responsibilities. Each individual and the organization as a whole have their own set of objectives.</w:t>
      </w:r>
    </w:p>
    <w:p>
      <w:pPr>
        <w:spacing w:line="360" w:lineRule="auto"/>
        <w:jc w:val="both"/>
        <w:rPr>
          <w:sz w:val="24"/>
          <w:szCs w:val="24"/>
        </w:rPr>
      </w:pPr>
      <w:r>
        <w:rPr>
          <w:sz w:val="24"/>
          <w:szCs w:val="24"/>
        </w:rPr>
        <w:t xml:space="preserve">A lack of clarity regarding roles and responsibilities on a project may dampen morale among workers. When HR delegate tasks to employees, they always make sure to provide as much specifics as possible and double-check that everyone understands what is expected of them (Lee </w:t>
      </w:r>
      <w:r>
        <w:rPr>
          <w:i/>
          <w:sz w:val="24"/>
          <w:szCs w:val="24"/>
        </w:rPr>
        <w:t xml:space="preserve">et al. </w:t>
      </w:r>
      <w:r>
        <w:rPr>
          <w:sz w:val="24"/>
          <w:szCs w:val="24"/>
        </w:rPr>
        <w:t>2020). They let them know how the project relates to the company’s overall objectives and invite them to ask questions if they are unclear about anything.</w:t>
      </w:r>
    </w:p>
    <w:p>
      <w:pPr>
        <w:spacing w:line="360" w:lineRule="auto"/>
        <w:jc w:val="both"/>
        <w:rPr>
          <w:sz w:val="24"/>
          <w:szCs w:val="24"/>
        </w:rPr>
      </w:pPr>
      <w:r>
        <w:rPr>
          <w:sz w:val="24"/>
          <w:szCs w:val="24"/>
        </w:rPr>
        <w:t xml:space="preserve">Despite this, absenteeism is often seen as a management problem even when it directly affects people. Truancy in mediation may have devastating financial and operational consequences for any organization. Employees who like their work and their workplace are less likely to take time off without a good cause or without informing their supervisor (Saks, 2022). They need to have faith that their company will accommodate their requests for time off. Employees who are dissatisfied or apathetic about their job and team are more likely to take advantage of opportunities to leave work early or not show up at all. In order to reduce absenteeism, management should assess employee happiness, morale, and commitment (Rasool </w:t>
      </w:r>
      <w:r>
        <w:rPr>
          <w:i/>
          <w:sz w:val="24"/>
          <w:szCs w:val="24"/>
        </w:rPr>
        <w:t xml:space="preserve">et al. </w:t>
      </w:r>
      <w:r>
        <w:rPr>
          <w:sz w:val="24"/>
          <w:szCs w:val="24"/>
        </w:rPr>
        <w:t>2021). Imagine the gains they might obtain if they improved the whole employee experience in the business, since an increase in employee engagement alone has been shown to reduce absenteeism by up to 41%.</w:t>
      </w:r>
    </w:p>
    <w:p>
      <w:pPr>
        <w:spacing w:line="360" w:lineRule="auto"/>
        <w:jc w:val="both"/>
        <w:rPr>
          <w:sz w:val="24"/>
          <w:szCs w:val="24"/>
        </w:rPr>
      </w:pPr>
      <w:r>
        <w:rPr>
          <w:b/>
          <w:i/>
          <w:sz w:val="24"/>
          <w:szCs w:val="24"/>
        </w:rPr>
        <w:t>The employee life cycle</w:t>
      </w:r>
      <w:r>
        <w:rPr>
          <w:sz w:val="24"/>
          <w:szCs w:val="24"/>
        </w:rPr>
        <w:t xml:space="preserve"> display is used to exhibit and describe the many phases that an employee goes through throughout their tenure with the company, each of which presents its own unique difficulties and opportunities (Kwon and Park, 2019). There are six phases at play: attracting and boarding contemporary folks, sorting and preparing them, keeping them on board, and finally releasing them. As the roles are reversed, an expert quickly moves through them.</w:t>
      </w:r>
    </w:p>
    <w:p>
      <w:pPr>
        <w:spacing w:line="360" w:lineRule="auto"/>
        <w:jc w:val="both"/>
        <w:rPr>
          <w:sz w:val="24"/>
          <w:szCs w:val="24"/>
        </w:rPr>
      </w:pPr>
      <w:r>
        <w:rPr>
          <w:b/>
          <w:i/>
          <w:sz w:val="24"/>
          <w:szCs w:val="24"/>
        </w:rPr>
        <w:t>In the attraction stage of the employee life cycle</w:t>
      </w:r>
      <w:r>
        <w:rPr>
          <w:sz w:val="24"/>
          <w:szCs w:val="24"/>
        </w:rPr>
        <w:t>, they will be working to get potential new hires excited about the firm, the available positions, and the work they would be doing. The way an HR manager communicates with potential employees may have a major impact on how those individuals feel about working for the company. And if a firm takes care of its reputation as an employer, 72% of qualified candidates will apply for a position with that company. It is important for businesses to think about how their employer brand comes across to potential employees (Saks, 2019). They give thought to how best to promote themselves as an employer to those who meet their criteria for employment. They need to identify the kind of applicants they are seeking and then tailor their messages and distribution methods accordingly. In the attraction phase of the employee life cycle model, HR marketing strategies including audience segmentation, performance marketing, and a multi-channel strategy to reaching the audience are helpful (Heslina and Syahruni, 2021). Employer branding goes much beyond advertising available positions online or sending out periodic emails. The goal is to cultivate a work environment that encourages and rewards employees for taking pride in their job, so that they may give their all while employed by the company.</w:t>
      </w:r>
    </w:p>
    <w:p>
      <w:pPr>
        <w:spacing w:line="360" w:lineRule="auto"/>
        <w:jc w:val="both"/>
        <w:rPr>
          <w:sz w:val="24"/>
          <w:szCs w:val="24"/>
        </w:rPr>
      </w:pPr>
      <w:r>
        <w:rPr>
          <w:b/>
          <w:i/>
          <w:sz w:val="24"/>
          <w:szCs w:val="24"/>
        </w:rPr>
        <w:t>The second phase of a worker’s development is recruitment</w:t>
      </w:r>
      <w:r>
        <w:rPr>
          <w:sz w:val="24"/>
          <w:szCs w:val="24"/>
        </w:rPr>
        <w:t>. Successful hiring hinges on giving job seekers a positive experience from the moment they hear about new positions until they decide whether or not to accept an offer. Recognizing the kind of applicants, they are hoping to attract and writing job descriptions that appeal to them is a tried-and-true method of attracting the best possible crop of workers (Turner and Turner, 2020). They may tailor the details of their advertisements for open positions to certain demographics. The social media ad would seem different if its goal is to recruit entry-level individuals as opposed to more experienced professionals. Instead of listing out a laundry list of needs, they outline the roles and duties of the position, as well as the benefits and qualities the perfect applicant should possess (Ababneh, 2021). They want to attract a diverse pool of applicants, so they frame job postings in language that is welcoming to everyone.</w:t>
      </w:r>
    </w:p>
    <w:p>
      <w:pPr>
        <w:spacing w:line="360" w:lineRule="auto"/>
        <w:jc w:val="both"/>
        <w:rPr>
          <w:sz w:val="24"/>
          <w:szCs w:val="24"/>
        </w:rPr>
      </w:pPr>
      <w:r>
        <w:rPr>
          <w:sz w:val="24"/>
          <w:szCs w:val="24"/>
        </w:rPr>
        <w:t xml:space="preserve">The process of bringing newly hired workers up to speed on how the firm operates and their place in the organization is referred to as </w:t>
      </w:r>
      <w:r>
        <w:rPr>
          <w:b/>
          <w:i/>
          <w:sz w:val="24"/>
          <w:szCs w:val="24"/>
        </w:rPr>
        <w:t xml:space="preserve">“employee onboarding </w:t>
      </w:r>
      <w:r>
        <w:rPr>
          <w:sz w:val="24"/>
          <w:szCs w:val="24"/>
        </w:rPr>
        <w:t xml:space="preserve">(Verčič, 2021).” During the onboarding phase of the employee life cycle, the basis of the connection between the employer and the employee is being established. To ensure that new hires have a thorough comprehension of what is expected of them and how they might achieve success in their positions, the onboarding process must be individualized for each person. The process of onboarding new workers should be ongoing, and throughout this time, they should get help and direction as they adjust to their new jobs. Nevertheless, it is also about getting the documentation for newly hired employees in order and making sure that HR regulations are followed (Duque </w:t>
      </w:r>
      <w:r>
        <w:rPr>
          <w:i/>
          <w:sz w:val="24"/>
          <w:szCs w:val="24"/>
        </w:rPr>
        <w:t xml:space="preserve">et al. </w:t>
      </w:r>
      <w:r>
        <w:rPr>
          <w:sz w:val="24"/>
          <w:szCs w:val="24"/>
        </w:rPr>
        <w:t>2020). The more they can do to make new hires feel encouraged and welcomed, the better it will be for everyone. Because of this, they will be better able to create strong connections with their colleagues and develop a feeling of belonging at work, both of which will contribute to their success in their careers.</w:t>
      </w:r>
    </w:p>
    <w:p>
      <w:pPr>
        <w:spacing w:line="360" w:lineRule="auto"/>
        <w:jc w:val="both"/>
        <w:rPr>
          <w:sz w:val="24"/>
          <w:szCs w:val="24"/>
        </w:rPr>
      </w:pPr>
      <w:r>
        <w:rPr>
          <w:b/>
          <w:i/>
          <w:sz w:val="24"/>
          <w:szCs w:val="24"/>
        </w:rPr>
        <w:t>The phase of an employee’s life cycle that deals with retention is rather lengthy</w:t>
      </w:r>
      <w:r>
        <w:rPr>
          <w:sz w:val="24"/>
          <w:szCs w:val="24"/>
        </w:rPr>
        <w:t xml:space="preserve">. If they want to keep their staff on board, they need to keep them actively involved. That helps them establish a stable, effective staff and saves them time and money in the long run by reducing the need to constantly replace personnel. The greatest method to keep staff around is to make sure they like what they do for the firm (Shrotryia and Dhanda, 2019). The employee engagement and overall employee experience have reached a new level in the digital employee experience (Arifin </w:t>
      </w:r>
      <w:r>
        <w:rPr>
          <w:i/>
          <w:sz w:val="24"/>
          <w:szCs w:val="24"/>
        </w:rPr>
        <w:t xml:space="preserve">et al. </w:t>
      </w:r>
      <w:r>
        <w:rPr>
          <w:sz w:val="24"/>
          <w:szCs w:val="24"/>
        </w:rPr>
        <w:t>2019). It is crucial now that so many individuals, particularly those who spend their days at a desk, have shifted their attention away from the actual workplace and toward the digital one. The company’s culture has an important role in attracting and retaining talented workers. The way that workers engage with one another is something that will be shaped by the culture they establish. Hence, it is crucial to make sure their culture welcomes everyone.</w:t>
      </w:r>
    </w:p>
    <w:p>
      <w:pPr>
        <w:spacing w:line="360" w:lineRule="auto"/>
        <w:jc w:val="both"/>
        <w:rPr>
          <w:sz w:val="24"/>
          <w:szCs w:val="24"/>
        </w:rPr>
      </w:pPr>
      <w:r>
        <w:rPr>
          <w:b/>
          <w:i/>
          <w:sz w:val="24"/>
          <w:szCs w:val="24"/>
        </w:rPr>
        <w:t>Development opportunities</w:t>
      </w:r>
      <w:r>
        <w:rPr>
          <w:sz w:val="24"/>
          <w:szCs w:val="24"/>
        </w:rPr>
        <w:t xml:space="preserve"> and employee retention go hand in hand. If employees believe they have little room for advancement in their current position, they will go elsewhere. Many individuals left their occupations in the aftermath of the epidemic because they saw no opportunities for development or progress. That is why it is crucial for employers to take the time to learn about their staff members’ areas of development, identify ways to put those skills to use, and provide them plenty of chances to grow professionally (Lemon, 2019). They should make an effort to bridge any knowledge gaps that may exist. If there are skills, they possess but are not given the opportunity to use on a regular basis, they should consider ways to implement change. They will aim to maintain interest and motivation by providing challenging tasks and potential for advancement. Employee development is most effective when employers consider how each worker contributes to the firm as a whole. It is crucial for employers to collaborate with their staff in developing individual development plans that serve both the company and its workers (Nikolova </w:t>
      </w:r>
      <w:r>
        <w:rPr>
          <w:i/>
          <w:sz w:val="24"/>
          <w:szCs w:val="24"/>
        </w:rPr>
        <w:t xml:space="preserve">et al. </w:t>
      </w:r>
      <w:r>
        <w:rPr>
          <w:sz w:val="24"/>
          <w:szCs w:val="24"/>
        </w:rPr>
        <w:t>2019).</w:t>
      </w:r>
    </w:p>
    <w:p>
      <w:pPr>
        <w:spacing w:line="360" w:lineRule="auto"/>
        <w:jc w:val="both"/>
        <w:rPr>
          <w:sz w:val="24"/>
          <w:szCs w:val="24"/>
        </w:rPr>
      </w:pPr>
      <w:r>
        <w:rPr>
          <w:sz w:val="24"/>
          <w:szCs w:val="24"/>
        </w:rPr>
        <w:t>Workers usually leave for other companies after a while.</w:t>
      </w:r>
      <w:r>
        <w:rPr>
          <w:b/>
          <w:i/>
          <w:sz w:val="24"/>
          <w:szCs w:val="24"/>
        </w:rPr>
        <w:t xml:space="preserve"> During the</w:t>
      </w:r>
      <w:r>
        <w:rPr>
          <w:sz w:val="24"/>
          <w:szCs w:val="24"/>
        </w:rPr>
        <w:t xml:space="preserve"> </w:t>
      </w:r>
      <w:r>
        <w:rPr>
          <w:b/>
          <w:i/>
          <w:sz w:val="24"/>
          <w:szCs w:val="24"/>
        </w:rPr>
        <w:t>Separation phase of an employee’s life cycle</w:t>
      </w:r>
      <w:r>
        <w:rPr>
          <w:sz w:val="24"/>
          <w:szCs w:val="24"/>
        </w:rPr>
        <w:t xml:space="preserve">, several factors come into play (Setiyani </w:t>
      </w:r>
      <w:r>
        <w:rPr>
          <w:i/>
          <w:sz w:val="24"/>
          <w:szCs w:val="24"/>
        </w:rPr>
        <w:t xml:space="preserve">et al. </w:t>
      </w:r>
      <w:r>
        <w:rPr>
          <w:sz w:val="24"/>
          <w:szCs w:val="24"/>
        </w:rPr>
        <w:t xml:space="preserve">2019). Ex-employees could leave for a variety of reasons, such as moving away, becoming interested in other job opportunities, retiring, going out on their own, or being tempted by a competitor’s offer. Reflection is crucial at this juncture. By having a smooth offboarding procedure in place, companies can see where their employees’ last days may be enhanced. It may also prompt important questions when they draught work agreements or rules for gardening time off. Both the departing employee and the remaining workforce members feel the effects of the separation phase of the employee life cycle (Djoemadi </w:t>
      </w:r>
      <w:r>
        <w:rPr>
          <w:i/>
          <w:sz w:val="24"/>
          <w:szCs w:val="24"/>
        </w:rPr>
        <w:t xml:space="preserve">et al. </w:t>
      </w:r>
      <w:r>
        <w:rPr>
          <w:sz w:val="24"/>
          <w:szCs w:val="24"/>
        </w:rPr>
        <w:t>2019). To lessen the blow, it might be helpful to include them in the new hiring process or to reassure them that they will be supported even in the absence of the team member.</w:t>
      </w:r>
    </w:p>
    <w:p>
      <w:pPr>
        <w:spacing w:line="360" w:lineRule="auto"/>
        <w:jc w:val="both"/>
        <w:rPr>
          <w:sz w:val="24"/>
          <w:szCs w:val="24"/>
        </w:rPr>
      </w:pPr>
      <w:r>
        <w:rPr>
          <w:sz w:val="24"/>
          <w:szCs w:val="24"/>
        </w:rPr>
        <w:t xml:space="preserve">By making employee satisfaction a top priority, I can boost my company’s retention, morale, and productivity by investing in my staff (Baqir </w:t>
      </w:r>
      <w:r>
        <w:rPr>
          <w:i/>
          <w:sz w:val="24"/>
          <w:szCs w:val="24"/>
        </w:rPr>
        <w:t>et al.</w:t>
      </w:r>
      <w:r>
        <w:t xml:space="preserve"> 2020</w:t>
      </w:r>
      <w:r>
        <w:rPr>
          <w:sz w:val="24"/>
          <w:szCs w:val="24"/>
        </w:rPr>
        <w:t xml:space="preserve">). </w:t>
      </w:r>
      <w:r>
        <w:rPr>
          <w:b/>
          <w:i/>
          <w:sz w:val="24"/>
          <w:szCs w:val="24"/>
        </w:rPr>
        <w:t>I know that the key to retaining my staff is fostering an inclusive environment where everyone feels at home.</w:t>
      </w:r>
      <w:r>
        <w:rPr>
          <w:sz w:val="24"/>
          <w:szCs w:val="24"/>
        </w:rPr>
        <w:t xml:space="preserve"> By fostering an atmosphere where everyone feels welcome and valued, I can show my staff that they have the full support of management, which is essential for their personal and professional development.</w:t>
      </w:r>
    </w:p>
    <w:p>
      <w:pPr>
        <w:spacing w:line="360" w:lineRule="auto"/>
        <w:jc w:val="both"/>
        <w:rPr>
          <w:sz w:val="24"/>
          <w:szCs w:val="24"/>
        </w:rPr>
      </w:pPr>
      <w:r>
        <w:rPr>
          <w:b/>
          <w:i/>
          <w:sz w:val="24"/>
          <w:szCs w:val="24"/>
        </w:rPr>
        <w:t>Maslow’s hierarchy of needs</w:t>
      </w:r>
      <w:r>
        <w:rPr>
          <w:sz w:val="24"/>
          <w:szCs w:val="24"/>
        </w:rPr>
        <w:t xml:space="preserve"> is well known in the business world. It has had a significant impact on human resource management and is almost a requirement of every business education worth its salt. Abraham Maslow introduced the theory of a hierarchy of needs in his 1943 publication “A Theory of Human Motivation.” Maslow proposed a hierarchy of demands spanning five stages in his motivational theory for understanding the brain. The theory posits that people are impelled to exert themselves in order to meet their material, security, social, regard, and self-actualization needs (satisfaction). When an employee’s needs are addressed, he or she feels more motivated. I agree that if one’s basic psychological needs are not addressed, it will be impossible to feel fully invested in or pleased by one’s profession (Weideman and Hofmeyr, 2020). Employees have the most fundamental needs met when they have a guarantee of employment, are paid a decent wage, and are guaranteed physical and emotional safety at work. Employees need a feeling of camaraderie to help them feel like they belong and to boost their self-esteem. Employees need chances for promotion, growth, creative problem solving, and the freedom to act on their own views. It is not the case that certain requirements are more critical than others. The finest work comes from happy workers, and that comes when they are content in every aspect of their work lives.</w:t>
      </w:r>
    </w:p>
    <w:p>
      <w:pPr>
        <w:spacing w:line="360" w:lineRule="auto"/>
        <w:jc w:val="both"/>
        <w:rPr>
          <w:sz w:val="24"/>
          <w:szCs w:val="24"/>
        </w:rPr>
      </w:pPr>
      <w:r>
        <w:rPr>
          <w:b/>
          <w:i/>
          <w:sz w:val="24"/>
          <w:szCs w:val="24"/>
        </w:rPr>
        <w:t>For instance,</w:t>
      </w:r>
      <w:r>
        <w:rPr>
          <w:sz w:val="24"/>
          <w:szCs w:val="24"/>
        </w:rPr>
        <w:t xml:space="preserve"> Quantum Workplace defines employee engagement as “the degree to which an individual feels an intense sense of commitment to, and enthusiasm for the workplace (Khodakarami and Dirani, 2020).” According to Gallup, “engaged” workers are individuals who are invested in their jobs and organizations.</w:t>
      </w:r>
    </w:p>
    <w:p>
      <w:pPr>
        <w:pStyle w:val="2"/>
      </w:pPr>
      <w:bookmarkStart w:id="3" w:name="_6ik59ulgw5xr" w:colFirst="0" w:colLast="0"/>
      <w:bookmarkEnd w:id="3"/>
      <w:bookmarkStart w:id="4" w:name="_Toc126087043"/>
      <w:r>
        <w:t>Conclusion</w:t>
      </w:r>
      <w:bookmarkEnd w:id="4"/>
    </w:p>
    <w:p>
      <w:pPr>
        <w:spacing w:line="360" w:lineRule="auto"/>
        <w:jc w:val="both"/>
        <w:rPr>
          <w:b/>
          <w:sz w:val="28"/>
          <w:szCs w:val="28"/>
        </w:rPr>
      </w:pPr>
      <w:r>
        <w:rPr>
          <w:sz w:val="24"/>
          <w:szCs w:val="24"/>
        </w:rPr>
        <w:t>It is probable that efforts made by managers in the hotel business to engage their staff will result in demonstrable benefits to the organization’s bottom line. Devoting time and effort to acquainting new workers with the objectives of the firm, the brand strategy, and the ways in which their job directly influences the success of the business can help to concentrate their efforts in a single direction and enhance their motivation in their day-to-day work. By acting with integrity and earning the respect of their workforce, leaders can cultivate an atmosphere at work that fosters a sense of belonging for their staff members, thereby increasing employee engagement and productivity. Expert and referent power can be developed through the demonstration of integrity.</w:t>
      </w:r>
      <w:r>
        <w:br w:type="page"/>
      </w:r>
    </w:p>
    <w:p>
      <w:pPr>
        <w:pStyle w:val="2"/>
      </w:pPr>
      <w:bookmarkStart w:id="5" w:name="_lqcchksnlqmf" w:colFirst="0" w:colLast="0"/>
      <w:bookmarkEnd w:id="5"/>
      <w:bookmarkStart w:id="6" w:name="_Toc126087044"/>
      <w:r>
        <w:t>References</w:t>
      </w:r>
      <w:bookmarkEnd w:id="6"/>
    </w:p>
    <w:p>
      <w:pPr>
        <w:spacing w:line="360" w:lineRule="auto"/>
        <w:jc w:val="both"/>
        <w:rPr>
          <w:color w:val="222222"/>
          <w:sz w:val="24"/>
          <w:szCs w:val="24"/>
          <w:highlight w:val="white"/>
        </w:rPr>
      </w:pPr>
      <w:r>
        <w:rPr>
          <w:color w:val="222222"/>
          <w:sz w:val="24"/>
          <w:szCs w:val="24"/>
          <w:highlight w:val="white"/>
        </w:rPr>
        <w:t xml:space="preserve">Sun, L. and Bunchapattanasakda, C., 2019. Employee engagement: A literature review. </w:t>
      </w:r>
      <w:r>
        <w:rPr>
          <w:i/>
          <w:color w:val="222222"/>
          <w:sz w:val="24"/>
          <w:szCs w:val="24"/>
          <w:highlight w:val="white"/>
        </w:rPr>
        <w:t>International Journal of Human Resource Studies</w:t>
      </w:r>
      <w:r>
        <w:rPr>
          <w:color w:val="222222"/>
          <w:sz w:val="24"/>
          <w:szCs w:val="24"/>
          <w:highlight w:val="white"/>
        </w:rPr>
        <w:t xml:space="preserve">, </w:t>
      </w:r>
      <w:r>
        <w:rPr>
          <w:i/>
          <w:color w:val="222222"/>
          <w:sz w:val="24"/>
          <w:szCs w:val="24"/>
          <w:highlight w:val="white"/>
        </w:rPr>
        <w:t>9</w:t>
      </w:r>
      <w:r>
        <w:rPr>
          <w:color w:val="222222"/>
          <w:sz w:val="24"/>
          <w:szCs w:val="24"/>
          <w:highlight w:val="white"/>
        </w:rPr>
        <w:t>(1), pp.63-80.</w:t>
      </w:r>
    </w:p>
    <w:p>
      <w:pPr>
        <w:spacing w:line="360" w:lineRule="auto"/>
        <w:jc w:val="both"/>
        <w:rPr>
          <w:color w:val="222222"/>
          <w:sz w:val="24"/>
          <w:szCs w:val="24"/>
          <w:highlight w:val="white"/>
        </w:rPr>
      </w:pPr>
      <w:r>
        <w:rPr>
          <w:color w:val="222222"/>
          <w:sz w:val="24"/>
          <w:szCs w:val="24"/>
          <w:highlight w:val="white"/>
        </w:rPr>
        <w:t xml:space="preserve">Lee, J.Y., Rocco, T.S. and Shuck, B., 2020. What is a resource: Toward a taxonomy of resources for employee engagement. </w:t>
      </w:r>
      <w:r>
        <w:rPr>
          <w:i/>
          <w:color w:val="222222"/>
          <w:sz w:val="24"/>
          <w:szCs w:val="24"/>
          <w:highlight w:val="white"/>
        </w:rPr>
        <w:t>Human Resource Development Review</w:t>
      </w:r>
      <w:r>
        <w:rPr>
          <w:color w:val="222222"/>
          <w:sz w:val="24"/>
          <w:szCs w:val="24"/>
          <w:highlight w:val="white"/>
        </w:rPr>
        <w:t xml:space="preserve">, </w:t>
      </w:r>
      <w:r>
        <w:rPr>
          <w:i/>
          <w:color w:val="222222"/>
          <w:sz w:val="24"/>
          <w:szCs w:val="24"/>
          <w:highlight w:val="white"/>
        </w:rPr>
        <w:t>19</w:t>
      </w:r>
      <w:r>
        <w:rPr>
          <w:color w:val="222222"/>
          <w:sz w:val="24"/>
          <w:szCs w:val="24"/>
          <w:highlight w:val="white"/>
        </w:rPr>
        <w:t>(1), pp.5-38.</w:t>
      </w:r>
    </w:p>
    <w:p>
      <w:pPr>
        <w:spacing w:line="360" w:lineRule="auto"/>
        <w:jc w:val="both"/>
        <w:rPr>
          <w:color w:val="222222"/>
          <w:sz w:val="24"/>
          <w:szCs w:val="24"/>
          <w:highlight w:val="white"/>
        </w:rPr>
      </w:pPr>
      <w:r>
        <w:rPr>
          <w:color w:val="222222"/>
          <w:sz w:val="24"/>
          <w:szCs w:val="24"/>
          <w:highlight w:val="white"/>
        </w:rPr>
        <w:t xml:space="preserve">Saks, A.M., 2022. Caring human resources management and employee engagement. </w:t>
      </w:r>
      <w:r>
        <w:rPr>
          <w:i/>
          <w:color w:val="222222"/>
          <w:sz w:val="24"/>
          <w:szCs w:val="24"/>
          <w:highlight w:val="white"/>
        </w:rPr>
        <w:t>Human Resource Management Review</w:t>
      </w:r>
      <w:r>
        <w:rPr>
          <w:color w:val="222222"/>
          <w:sz w:val="24"/>
          <w:szCs w:val="24"/>
          <w:highlight w:val="white"/>
        </w:rPr>
        <w:t xml:space="preserve">, </w:t>
      </w:r>
      <w:r>
        <w:rPr>
          <w:i/>
          <w:color w:val="222222"/>
          <w:sz w:val="24"/>
          <w:szCs w:val="24"/>
          <w:highlight w:val="white"/>
        </w:rPr>
        <w:t>32</w:t>
      </w:r>
      <w:r>
        <w:rPr>
          <w:color w:val="222222"/>
          <w:sz w:val="24"/>
          <w:szCs w:val="24"/>
          <w:highlight w:val="white"/>
        </w:rPr>
        <w:t>(3), p.100835.</w:t>
      </w:r>
    </w:p>
    <w:p>
      <w:pPr>
        <w:spacing w:line="360" w:lineRule="auto"/>
        <w:jc w:val="both"/>
        <w:rPr>
          <w:color w:val="222222"/>
          <w:sz w:val="24"/>
          <w:szCs w:val="24"/>
          <w:highlight w:val="white"/>
        </w:rPr>
      </w:pPr>
      <w:r>
        <w:rPr>
          <w:color w:val="222222"/>
          <w:sz w:val="24"/>
          <w:szCs w:val="24"/>
          <w:highlight w:val="white"/>
        </w:rPr>
        <w:t xml:space="preserve">Rasool, S.F., Wang, M., Tang, M., Saeed, A. and Iqbal, J., 2021. How toxic workplace environment effects the employee engagement: The mediating role of organizational support and employee wellbeing. </w:t>
      </w:r>
      <w:r>
        <w:rPr>
          <w:i/>
          <w:color w:val="222222"/>
          <w:sz w:val="24"/>
          <w:szCs w:val="24"/>
          <w:highlight w:val="white"/>
        </w:rPr>
        <w:t>International journal of environmental research and public health</w:t>
      </w:r>
      <w:r>
        <w:rPr>
          <w:color w:val="222222"/>
          <w:sz w:val="24"/>
          <w:szCs w:val="24"/>
          <w:highlight w:val="white"/>
        </w:rPr>
        <w:t xml:space="preserve">, </w:t>
      </w:r>
      <w:r>
        <w:rPr>
          <w:i/>
          <w:color w:val="222222"/>
          <w:sz w:val="24"/>
          <w:szCs w:val="24"/>
          <w:highlight w:val="white"/>
        </w:rPr>
        <w:t>18</w:t>
      </w:r>
      <w:r>
        <w:rPr>
          <w:color w:val="222222"/>
          <w:sz w:val="24"/>
          <w:szCs w:val="24"/>
          <w:highlight w:val="white"/>
        </w:rPr>
        <w:t>(5), p.2294.</w:t>
      </w:r>
    </w:p>
    <w:p>
      <w:pPr>
        <w:spacing w:line="360" w:lineRule="auto"/>
        <w:jc w:val="both"/>
        <w:rPr>
          <w:color w:val="222222"/>
          <w:sz w:val="24"/>
          <w:szCs w:val="24"/>
          <w:highlight w:val="white"/>
        </w:rPr>
      </w:pPr>
      <w:r>
        <w:rPr>
          <w:color w:val="222222"/>
          <w:sz w:val="24"/>
          <w:szCs w:val="24"/>
          <w:highlight w:val="white"/>
        </w:rPr>
        <w:t xml:space="preserve">Saks, A.M., 2019. Antecedents and consequences of employee engagement revisited. </w:t>
      </w:r>
      <w:r>
        <w:rPr>
          <w:i/>
          <w:color w:val="222222"/>
          <w:sz w:val="24"/>
          <w:szCs w:val="24"/>
          <w:highlight w:val="white"/>
        </w:rPr>
        <w:t>Journal of Organizational Effectiveness: People and Performance</w:t>
      </w:r>
      <w:r>
        <w:rPr>
          <w:color w:val="222222"/>
          <w:sz w:val="24"/>
          <w:szCs w:val="24"/>
          <w:highlight w:val="white"/>
        </w:rPr>
        <w:t xml:space="preserve">, </w:t>
      </w:r>
      <w:r>
        <w:rPr>
          <w:i/>
          <w:color w:val="222222"/>
          <w:sz w:val="24"/>
          <w:szCs w:val="24"/>
          <w:highlight w:val="white"/>
        </w:rPr>
        <w:t>6</w:t>
      </w:r>
      <w:r>
        <w:rPr>
          <w:color w:val="222222"/>
          <w:sz w:val="24"/>
          <w:szCs w:val="24"/>
          <w:highlight w:val="white"/>
        </w:rPr>
        <w:t>(1), pp.19-38.</w:t>
      </w:r>
    </w:p>
    <w:p>
      <w:pPr>
        <w:spacing w:line="360" w:lineRule="auto"/>
        <w:jc w:val="both"/>
        <w:rPr>
          <w:color w:val="222222"/>
          <w:sz w:val="24"/>
          <w:szCs w:val="24"/>
          <w:highlight w:val="white"/>
        </w:rPr>
      </w:pPr>
      <w:r>
        <w:rPr>
          <w:color w:val="222222"/>
          <w:sz w:val="24"/>
          <w:szCs w:val="24"/>
          <w:highlight w:val="white"/>
        </w:rPr>
        <w:t xml:space="preserve">Heslina, H. and Syahruni, A., 2021. The influence of information technology, human resources competency and employee engagement on performance of employees. </w:t>
      </w:r>
      <w:r>
        <w:rPr>
          <w:i/>
          <w:color w:val="222222"/>
          <w:sz w:val="24"/>
          <w:szCs w:val="24"/>
          <w:highlight w:val="white"/>
        </w:rPr>
        <w:t>Golden Ratio of Human Resource Management</w:t>
      </w:r>
      <w:r>
        <w:rPr>
          <w:color w:val="222222"/>
          <w:sz w:val="24"/>
          <w:szCs w:val="24"/>
          <w:highlight w:val="white"/>
        </w:rPr>
        <w:t xml:space="preserve">, </w:t>
      </w:r>
      <w:r>
        <w:rPr>
          <w:i/>
          <w:color w:val="222222"/>
          <w:sz w:val="24"/>
          <w:szCs w:val="24"/>
          <w:highlight w:val="white"/>
        </w:rPr>
        <w:t>1</w:t>
      </w:r>
      <w:r>
        <w:rPr>
          <w:color w:val="222222"/>
          <w:sz w:val="24"/>
          <w:szCs w:val="24"/>
          <w:highlight w:val="white"/>
        </w:rPr>
        <w:t>(1), pp.01-12.</w:t>
      </w:r>
    </w:p>
    <w:p>
      <w:pPr>
        <w:spacing w:line="360" w:lineRule="auto"/>
        <w:jc w:val="both"/>
        <w:rPr>
          <w:color w:val="222222"/>
          <w:sz w:val="24"/>
          <w:szCs w:val="24"/>
          <w:highlight w:val="white"/>
        </w:rPr>
      </w:pPr>
      <w:r>
        <w:rPr>
          <w:color w:val="222222"/>
          <w:sz w:val="24"/>
          <w:szCs w:val="24"/>
          <w:highlight w:val="white"/>
        </w:rPr>
        <w:t xml:space="preserve">Turner, P. and Turner, P., 2020. </w:t>
      </w:r>
      <w:r>
        <w:rPr>
          <w:i/>
          <w:color w:val="222222"/>
          <w:sz w:val="24"/>
          <w:szCs w:val="24"/>
          <w:highlight w:val="white"/>
        </w:rPr>
        <w:t>What Is Employee Engagement?</w:t>
      </w:r>
      <w:r>
        <w:rPr>
          <w:color w:val="222222"/>
          <w:sz w:val="24"/>
          <w:szCs w:val="24"/>
          <w:highlight w:val="white"/>
        </w:rPr>
        <w:t xml:space="preserve"> (pp. 27-56). Springer International Publishing.</w:t>
      </w:r>
    </w:p>
    <w:p>
      <w:pPr>
        <w:spacing w:line="360" w:lineRule="auto"/>
        <w:jc w:val="both"/>
        <w:rPr>
          <w:color w:val="222222"/>
          <w:sz w:val="24"/>
          <w:szCs w:val="24"/>
          <w:highlight w:val="white"/>
        </w:rPr>
      </w:pPr>
      <w:r>
        <w:rPr>
          <w:color w:val="222222"/>
          <w:sz w:val="24"/>
          <w:szCs w:val="24"/>
          <w:highlight w:val="white"/>
        </w:rPr>
        <w:t xml:space="preserve">Ababneh, O.M.A., 2021. How do green HRM practices affect employees’ green behaviors? The role of employee engagement and personality attributes. </w:t>
      </w:r>
      <w:r>
        <w:rPr>
          <w:i/>
          <w:color w:val="222222"/>
          <w:sz w:val="24"/>
          <w:szCs w:val="24"/>
          <w:highlight w:val="white"/>
        </w:rPr>
        <w:t>Journal of Environmental Planning and Management</w:t>
      </w:r>
      <w:r>
        <w:rPr>
          <w:color w:val="222222"/>
          <w:sz w:val="24"/>
          <w:szCs w:val="24"/>
          <w:highlight w:val="white"/>
        </w:rPr>
        <w:t xml:space="preserve">, </w:t>
      </w:r>
      <w:r>
        <w:rPr>
          <w:i/>
          <w:color w:val="222222"/>
          <w:sz w:val="24"/>
          <w:szCs w:val="24"/>
          <w:highlight w:val="white"/>
        </w:rPr>
        <w:t>64</w:t>
      </w:r>
      <w:r>
        <w:rPr>
          <w:color w:val="222222"/>
          <w:sz w:val="24"/>
          <w:szCs w:val="24"/>
          <w:highlight w:val="white"/>
        </w:rPr>
        <w:t>(7), pp.1204-1226.</w:t>
      </w:r>
    </w:p>
    <w:p>
      <w:pPr>
        <w:spacing w:line="360" w:lineRule="auto"/>
        <w:jc w:val="both"/>
        <w:rPr>
          <w:color w:val="222222"/>
          <w:sz w:val="24"/>
          <w:szCs w:val="24"/>
          <w:highlight w:val="white"/>
        </w:rPr>
      </w:pPr>
      <w:r>
        <w:rPr>
          <w:color w:val="222222"/>
          <w:sz w:val="24"/>
          <w:szCs w:val="24"/>
          <w:highlight w:val="white"/>
        </w:rPr>
        <w:t xml:space="preserve">Verčič, A.T., 2021. The impact of employee engagement, organisational support and employer branding on internal communication satisfaction. </w:t>
      </w:r>
      <w:r>
        <w:rPr>
          <w:i/>
          <w:color w:val="222222"/>
          <w:sz w:val="24"/>
          <w:szCs w:val="24"/>
          <w:highlight w:val="white"/>
        </w:rPr>
        <w:t>Public Relations Review</w:t>
      </w:r>
      <w:r>
        <w:rPr>
          <w:color w:val="222222"/>
          <w:sz w:val="24"/>
          <w:szCs w:val="24"/>
          <w:highlight w:val="white"/>
        </w:rPr>
        <w:t xml:space="preserve">, </w:t>
      </w:r>
      <w:r>
        <w:rPr>
          <w:i/>
          <w:color w:val="222222"/>
          <w:sz w:val="24"/>
          <w:szCs w:val="24"/>
          <w:highlight w:val="white"/>
        </w:rPr>
        <w:t>47</w:t>
      </w:r>
      <w:r>
        <w:rPr>
          <w:color w:val="222222"/>
          <w:sz w:val="24"/>
          <w:szCs w:val="24"/>
          <w:highlight w:val="white"/>
        </w:rPr>
        <w:t>(1), p.102009.</w:t>
      </w:r>
    </w:p>
    <w:p>
      <w:pPr>
        <w:spacing w:line="360" w:lineRule="auto"/>
        <w:jc w:val="both"/>
        <w:rPr>
          <w:color w:val="222222"/>
          <w:sz w:val="24"/>
          <w:szCs w:val="24"/>
          <w:highlight w:val="white"/>
        </w:rPr>
      </w:pPr>
      <w:r>
        <w:rPr>
          <w:color w:val="222222"/>
          <w:sz w:val="24"/>
          <w:szCs w:val="24"/>
          <w:highlight w:val="white"/>
        </w:rPr>
        <w:t xml:space="preserve">Duque, L., Costa, R., Dias, Á., Pereira, L., Santos, J. and António, N., 2020. New ways of working and the physical environment to improve employee engagement. </w:t>
      </w:r>
      <w:r>
        <w:rPr>
          <w:i/>
          <w:color w:val="222222"/>
          <w:sz w:val="24"/>
          <w:szCs w:val="24"/>
          <w:highlight w:val="white"/>
        </w:rPr>
        <w:t>Sustainability</w:t>
      </w:r>
      <w:r>
        <w:rPr>
          <w:color w:val="222222"/>
          <w:sz w:val="24"/>
          <w:szCs w:val="24"/>
          <w:highlight w:val="white"/>
        </w:rPr>
        <w:t xml:space="preserve">, </w:t>
      </w:r>
      <w:r>
        <w:rPr>
          <w:i/>
          <w:color w:val="222222"/>
          <w:sz w:val="24"/>
          <w:szCs w:val="24"/>
          <w:highlight w:val="white"/>
        </w:rPr>
        <w:t>12</w:t>
      </w:r>
      <w:r>
        <w:rPr>
          <w:color w:val="222222"/>
          <w:sz w:val="24"/>
          <w:szCs w:val="24"/>
          <w:highlight w:val="white"/>
        </w:rPr>
        <w:t>(17), p.6759.</w:t>
      </w:r>
    </w:p>
    <w:p>
      <w:pPr>
        <w:spacing w:line="360" w:lineRule="auto"/>
        <w:jc w:val="both"/>
        <w:rPr>
          <w:color w:val="222222"/>
          <w:sz w:val="24"/>
          <w:szCs w:val="24"/>
          <w:highlight w:val="white"/>
        </w:rPr>
      </w:pPr>
      <w:r>
        <w:rPr>
          <w:color w:val="222222"/>
          <w:sz w:val="24"/>
          <w:szCs w:val="24"/>
          <w:highlight w:val="white"/>
        </w:rPr>
        <w:t xml:space="preserve">Shrotryia, V.K. and Dhanda, U., 2019. Content validity of assessment instrument for employee engagement. </w:t>
      </w:r>
      <w:r>
        <w:rPr>
          <w:i/>
          <w:color w:val="222222"/>
          <w:sz w:val="24"/>
          <w:szCs w:val="24"/>
          <w:highlight w:val="white"/>
        </w:rPr>
        <w:t>Sage Open</w:t>
      </w:r>
      <w:r>
        <w:rPr>
          <w:color w:val="222222"/>
          <w:sz w:val="24"/>
          <w:szCs w:val="24"/>
          <w:highlight w:val="white"/>
        </w:rPr>
        <w:t xml:space="preserve">, </w:t>
      </w:r>
      <w:r>
        <w:rPr>
          <w:i/>
          <w:color w:val="222222"/>
          <w:sz w:val="24"/>
          <w:szCs w:val="24"/>
          <w:highlight w:val="white"/>
        </w:rPr>
        <w:t>9</w:t>
      </w:r>
      <w:r>
        <w:rPr>
          <w:color w:val="222222"/>
          <w:sz w:val="24"/>
          <w:szCs w:val="24"/>
          <w:highlight w:val="white"/>
        </w:rPr>
        <w:t>(1), p.2158244018821751.</w:t>
      </w:r>
    </w:p>
    <w:p>
      <w:pPr>
        <w:spacing w:line="360" w:lineRule="auto"/>
        <w:jc w:val="both"/>
        <w:rPr>
          <w:color w:val="222222"/>
          <w:sz w:val="24"/>
          <w:szCs w:val="24"/>
          <w:highlight w:val="white"/>
        </w:rPr>
      </w:pPr>
      <w:r>
        <w:rPr>
          <w:color w:val="222222"/>
          <w:sz w:val="24"/>
          <w:szCs w:val="24"/>
          <w:highlight w:val="white"/>
        </w:rPr>
        <w:t xml:space="preserve">Arifin, Z., Nirwanto, N. and Manan, A., 2019. Improving the effect of work satisfaction on job performance through employee engagement. </w:t>
      </w:r>
      <w:r>
        <w:rPr>
          <w:i/>
          <w:color w:val="222222"/>
          <w:sz w:val="24"/>
          <w:szCs w:val="24"/>
          <w:highlight w:val="white"/>
        </w:rPr>
        <w:t>International Journal of Multi-Discipline Science (IJ-MDS)</w:t>
      </w:r>
      <w:r>
        <w:rPr>
          <w:color w:val="222222"/>
          <w:sz w:val="24"/>
          <w:szCs w:val="24"/>
          <w:highlight w:val="white"/>
        </w:rPr>
        <w:t xml:space="preserve">, </w:t>
      </w:r>
      <w:r>
        <w:rPr>
          <w:i/>
          <w:color w:val="222222"/>
          <w:sz w:val="24"/>
          <w:szCs w:val="24"/>
          <w:highlight w:val="white"/>
        </w:rPr>
        <w:t>2</w:t>
      </w:r>
      <w:r>
        <w:rPr>
          <w:color w:val="222222"/>
          <w:sz w:val="24"/>
          <w:szCs w:val="24"/>
          <w:highlight w:val="white"/>
        </w:rPr>
        <w:t>(1), pp.1-9.</w:t>
      </w:r>
    </w:p>
    <w:p>
      <w:pPr>
        <w:spacing w:line="360" w:lineRule="auto"/>
        <w:jc w:val="both"/>
        <w:rPr>
          <w:color w:val="222222"/>
          <w:sz w:val="24"/>
          <w:szCs w:val="24"/>
          <w:highlight w:val="white"/>
        </w:rPr>
      </w:pPr>
      <w:r>
        <w:rPr>
          <w:color w:val="222222"/>
          <w:sz w:val="24"/>
          <w:szCs w:val="24"/>
          <w:highlight w:val="white"/>
        </w:rPr>
        <w:t xml:space="preserve">Lemon, L.L., 2019. The employee experience: How employees make meaning of employee engagement. </w:t>
      </w:r>
      <w:r>
        <w:rPr>
          <w:i/>
          <w:color w:val="222222"/>
          <w:sz w:val="24"/>
          <w:szCs w:val="24"/>
          <w:highlight w:val="white"/>
        </w:rPr>
        <w:t>Journal of Public Relations Research</w:t>
      </w:r>
      <w:r>
        <w:rPr>
          <w:color w:val="222222"/>
          <w:sz w:val="24"/>
          <w:szCs w:val="24"/>
          <w:highlight w:val="white"/>
        </w:rPr>
        <w:t xml:space="preserve">, </w:t>
      </w:r>
      <w:r>
        <w:rPr>
          <w:i/>
          <w:color w:val="222222"/>
          <w:sz w:val="24"/>
          <w:szCs w:val="24"/>
          <w:highlight w:val="white"/>
        </w:rPr>
        <w:t>31</w:t>
      </w:r>
      <w:r>
        <w:rPr>
          <w:color w:val="222222"/>
          <w:sz w:val="24"/>
          <w:szCs w:val="24"/>
          <w:highlight w:val="white"/>
        </w:rPr>
        <w:t>(5-6), pp.176-199.</w:t>
      </w:r>
    </w:p>
    <w:p>
      <w:pPr>
        <w:spacing w:line="360" w:lineRule="auto"/>
        <w:jc w:val="both"/>
        <w:rPr>
          <w:color w:val="222222"/>
          <w:sz w:val="24"/>
          <w:szCs w:val="24"/>
          <w:highlight w:val="white"/>
        </w:rPr>
      </w:pPr>
      <w:r>
        <w:rPr>
          <w:color w:val="222222"/>
          <w:sz w:val="24"/>
          <w:szCs w:val="24"/>
          <w:highlight w:val="white"/>
        </w:rPr>
        <w:t xml:space="preserve">Nikolova, I., Schaufeli, W. and Notelaers, G., 2019. Engaging leader–Engaged employees? A cross-lagged study on employee engagement. </w:t>
      </w:r>
      <w:r>
        <w:rPr>
          <w:i/>
          <w:color w:val="222222"/>
          <w:sz w:val="24"/>
          <w:szCs w:val="24"/>
          <w:highlight w:val="white"/>
        </w:rPr>
        <w:t>European Management Journal</w:t>
      </w:r>
      <w:r>
        <w:rPr>
          <w:color w:val="222222"/>
          <w:sz w:val="24"/>
          <w:szCs w:val="24"/>
          <w:highlight w:val="white"/>
        </w:rPr>
        <w:t xml:space="preserve">, </w:t>
      </w:r>
      <w:r>
        <w:rPr>
          <w:i/>
          <w:color w:val="222222"/>
          <w:sz w:val="24"/>
          <w:szCs w:val="24"/>
          <w:highlight w:val="white"/>
        </w:rPr>
        <w:t>37</w:t>
      </w:r>
      <w:r>
        <w:rPr>
          <w:color w:val="222222"/>
          <w:sz w:val="24"/>
          <w:szCs w:val="24"/>
          <w:highlight w:val="white"/>
        </w:rPr>
        <w:t>(6), pp.772-783.</w:t>
      </w:r>
    </w:p>
    <w:p>
      <w:pPr>
        <w:spacing w:line="360" w:lineRule="auto"/>
        <w:jc w:val="both"/>
        <w:rPr>
          <w:color w:val="222222"/>
          <w:sz w:val="24"/>
          <w:szCs w:val="24"/>
          <w:highlight w:val="white"/>
        </w:rPr>
      </w:pPr>
      <w:r>
        <w:rPr>
          <w:color w:val="222222"/>
          <w:sz w:val="24"/>
          <w:szCs w:val="24"/>
          <w:highlight w:val="white"/>
        </w:rPr>
        <w:t xml:space="preserve">Setiyani, A., Djumarno, D., Riyanto, S. and Nawangsari, L., 2019. The effect of work environment on flexible working hours, employee engagement and employee motivation. </w:t>
      </w:r>
      <w:r>
        <w:rPr>
          <w:i/>
          <w:color w:val="222222"/>
          <w:sz w:val="24"/>
          <w:szCs w:val="24"/>
          <w:highlight w:val="white"/>
        </w:rPr>
        <w:t>International Review of Management and Marketing</w:t>
      </w:r>
      <w:r>
        <w:rPr>
          <w:color w:val="222222"/>
          <w:sz w:val="24"/>
          <w:szCs w:val="24"/>
          <w:highlight w:val="white"/>
        </w:rPr>
        <w:t xml:space="preserve">, </w:t>
      </w:r>
      <w:r>
        <w:rPr>
          <w:i/>
          <w:color w:val="222222"/>
          <w:sz w:val="24"/>
          <w:szCs w:val="24"/>
          <w:highlight w:val="white"/>
        </w:rPr>
        <w:t>9</w:t>
      </w:r>
      <w:r>
        <w:rPr>
          <w:color w:val="222222"/>
          <w:sz w:val="24"/>
          <w:szCs w:val="24"/>
          <w:highlight w:val="white"/>
        </w:rPr>
        <w:t>(3), pp.112-116.</w:t>
      </w:r>
    </w:p>
    <w:p>
      <w:pPr>
        <w:spacing w:line="360" w:lineRule="auto"/>
        <w:jc w:val="both"/>
        <w:rPr>
          <w:color w:val="222222"/>
          <w:sz w:val="24"/>
          <w:szCs w:val="24"/>
          <w:highlight w:val="white"/>
        </w:rPr>
      </w:pPr>
      <w:r>
        <w:rPr>
          <w:color w:val="222222"/>
          <w:sz w:val="24"/>
          <w:szCs w:val="24"/>
          <w:highlight w:val="white"/>
        </w:rPr>
        <w:t xml:space="preserve">Djoemadi, F.R., Setiawan, M., Noermijati, N. and Irawanto, D.W., 2019. The effect of work satisfaction on employee engagement. </w:t>
      </w:r>
      <w:r>
        <w:rPr>
          <w:i/>
          <w:color w:val="222222"/>
          <w:sz w:val="24"/>
          <w:szCs w:val="24"/>
          <w:highlight w:val="white"/>
        </w:rPr>
        <w:t>Polish Journal of Management Studies</w:t>
      </w:r>
      <w:r>
        <w:rPr>
          <w:color w:val="222222"/>
          <w:sz w:val="24"/>
          <w:szCs w:val="24"/>
          <w:highlight w:val="white"/>
        </w:rPr>
        <w:t xml:space="preserve">, </w:t>
      </w:r>
      <w:r>
        <w:rPr>
          <w:i/>
          <w:color w:val="222222"/>
          <w:sz w:val="24"/>
          <w:szCs w:val="24"/>
          <w:highlight w:val="white"/>
        </w:rPr>
        <w:t>19</w:t>
      </w:r>
      <w:r>
        <w:rPr>
          <w:color w:val="222222"/>
          <w:sz w:val="24"/>
          <w:szCs w:val="24"/>
          <w:highlight w:val="white"/>
        </w:rPr>
        <w:t>.</w:t>
      </w:r>
    </w:p>
    <w:p>
      <w:pPr>
        <w:spacing w:line="360" w:lineRule="auto"/>
        <w:jc w:val="both"/>
        <w:rPr>
          <w:color w:val="222222"/>
          <w:sz w:val="24"/>
          <w:szCs w:val="24"/>
          <w:highlight w:val="white"/>
        </w:rPr>
      </w:pPr>
      <w:r>
        <w:rPr>
          <w:color w:val="222222"/>
          <w:sz w:val="24"/>
          <w:szCs w:val="24"/>
          <w:highlight w:val="white"/>
        </w:rPr>
        <w:t xml:space="preserve">Baqir, M., Hussain, S., Waseem, R. and Islam, K.A., 2020. Impact of reward and recognition, supervisor support on employee engagement. </w:t>
      </w:r>
      <w:r>
        <w:rPr>
          <w:i/>
          <w:color w:val="222222"/>
          <w:sz w:val="24"/>
          <w:szCs w:val="24"/>
          <w:highlight w:val="white"/>
        </w:rPr>
        <w:t>American International Journal of Business and Management Studies</w:t>
      </w:r>
      <w:r>
        <w:rPr>
          <w:color w:val="222222"/>
          <w:sz w:val="24"/>
          <w:szCs w:val="24"/>
          <w:highlight w:val="white"/>
        </w:rPr>
        <w:t xml:space="preserve">, </w:t>
      </w:r>
      <w:r>
        <w:rPr>
          <w:i/>
          <w:color w:val="222222"/>
          <w:sz w:val="24"/>
          <w:szCs w:val="24"/>
          <w:highlight w:val="white"/>
        </w:rPr>
        <w:t>2</w:t>
      </w:r>
      <w:r>
        <w:rPr>
          <w:color w:val="222222"/>
          <w:sz w:val="24"/>
          <w:szCs w:val="24"/>
          <w:highlight w:val="white"/>
        </w:rPr>
        <w:t>(3), pp.8-21.</w:t>
      </w:r>
    </w:p>
    <w:p>
      <w:pPr>
        <w:spacing w:line="360" w:lineRule="auto"/>
        <w:jc w:val="both"/>
        <w:rPr>
          <w:color w:val="222222"/>
          <w:sz w:val="24"/>
          <w:szCs w:val="24"/>
          <w:highlight w:val="white"/>
        </w:rPr>
      </w:pPr>
      <w:r>
        <w:rPr>
          <w:color w:val="222222"/>
          <w:sz w:val="24"/>
          <w:szCs w:val="24"/>
          <w:highlight w:val="white"/>
        </w:rPr>
        <w:t xml:space="preserve">Weideman, M. and Hofmeyr, K.B., 2020. The influence of flexible work arrangements on employee engagement: An exploratory study. </w:t>
      </w:r>
      <w:r>
        <w:rPr>
          <w:i/>
          <w:color w:val="222222"/>
          <w:sz w:val="24"/>
          <w:szCs w:val="24"/>
          <w:highlight w:val="white"/>
        </w:rPr>
        <w:t>SA Journal of Human Resource Management</w:t>
      </w:r>
      <w:r>
        <w:rPr>
          <w:color w:val="222222"/>
          <w:sz w:val="24"/>
          <w:szCs w:val="24"/>
          <w:highlight w:val="white"/>
        </w:rPr>
        <w:t xml:space="preserve">, </w:t>
      </w:r>
      <w:r>
        <w:rPr>
          <w:i/>
          <w:color w:val="222222"/>
          <w:sz w:val="24"/>
          <w:szCs w:val="24"/>
          <w:highlight w:val="white"/>
        </w:rPr>
        <w:t>18</w:t>
      </w:r>
      <w:r>
        <w:rPr>
          <w:color w:val="222222"/>
          <w:sz w:val="24"/>
          <w:szCs w:val="24"/>
          <w:highlight w:val="white"/>
        </w:rPr>
        <w:t>(1), pp.1-18.</w:t>
      </w:r>
    </w:p>
    <w:p>
      <w:pPr>
        <w:spacing w:line="360" w:lineRule="auto"/>
        <w:jc w:val="both"/>
        <w:rPr>
          <w:color w:val="222222"/>
          <w:sz w:val="24"/>
          <w:szCs w:val="24"/>
          <w:highlight w:val="white"/>
        </w:rPr>
      </w:pPr>
      <w:r>
        <w:rPr>
          <w:color w:val="222222"/>
          <w:sz w:val="24"/>
          <w:szCs w:val="24"/>
          <w:highlight w:val="white"/>
        </w:rPr>
        <w:t xml:space="preserve">Khodakarami, N. and Dirani, K., 2020. Drivers of employee engagement: Differences by work area and gender. </w:t>
      </w:r>
      <w:r>
        <w:rPr>
          <w:i/>
          <w:color w:val="222222"/>
          <w:sz w:val="24"/>
          <w:szCs w:val="24"/>
          <w:highlight w:val="white"/>
        </w:rPr>
        <w:t>Industrial and Commercial Training</w:t>
      </w:r>
      <w:r>
        <w:rPr>
          <w:color w:val="222222"/>
          <w:sz w:val="24"/>
          <w:szCs w:val="24"/>
          <w:highlight w:val="white"/>
        </w:rPr>
        <w:t xml:space="preserve">, </w:t>
      </w:r>
      <w:r>
        <w:rPr>
          <w:i/>
          <w:color w:val="222222"/>
          <w:sz w:val="24"/>
          <w:szCs w:val="24"/>
          <w:highlight w:val="white"/>
        </w:rPr>
        <w:t>52</w:t>
      </w:r>
      <w:r>
        <w:rPr>
          <w:color w:val="222222"/>
          <w:sz w:val="24"/>
          <w:szCs w:val="24"/>
          <w:highlight w:val="white"/>
        </w:rPr>
        <w:t>(1), pp.81-91.</w:t>
      </w:r>
    </w:p>
    <w:p>
      <w:pPr>
        <w:spacing w:line="360" w:lineRule="auto"/>
        <w:jc w:val="both"/>
        <w:rPr>
          <w:color w:val="222222"/>
          <w:sz w:val="24"/>
          <w:szCs w:val="24"/>
          <w:highlight w:val="white"/>
        </w:rPr>
      </w:pPr>
      <w:r>
        <w:rPr>
          <w:sz w:val="24"/>
          <w:szCs w:val="24"/>
          <w:highlight w:val="white"/>
        </w:rPr>
        <w:t>Kwon, K. and Park</w:t>
      </w:r>
      <w:r>
        <w:rPr>
          <w:color w:val="222222"/>
          <w:sz w:val="24"/>
          <w:szCs w:val="24"/>
          <w:highlight w:val="white"/>
        </w:rPr>
        <w:t xml:space="preserve">, J., 2019. The life cycle of employee engagement theory in HRD research. </w:t>
      </w:r>
      <w:r>
        <w:rPr>
          <w:i/>
          <w:color w:val="222222"/>
          <w:sz w:val="24"/>
          <w:szCs w:val="24"/>
          <w:highlight w:val="white"/>
        </w:rPr>
        <w:t>Advances in Developing Human Resources</w:t>
      </w:r>
      <w:r>
        <w:rPr>
          <w:color w:val="222222"/>
          <w:sz w:val="24"/>
          <w:szCs w:val="24"/>
          <w:highlight w:val="white"/>
        </w:rPr>
        <w:t xml:space="preserve">, </w:t>
      </w:r>
      <w:r>
        <w:rPr>
          <w:i/>
          <w:color w:val="222222"/>
          <w:sz w:val="24"/>
          <w:szCs w:val="24"/>
          <w:highlight w:val="white"/>
        </w:rPr>
        <w:t>21</w:t>
      </w:r>
      <w:r>
        <w:rPr>
          <w:color w:val="222222"/>
          <w:sz w:val="24"/>
          <w:szCs w:val="24"/>
          <w:highlight w:val="white"/>
        </w:rPr>
        <w:t>(3), pp.352-370.</w:t>
      </w: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64222977"/>
      <w:docPartObj>
        <w:docPartGallery w:val="AutoText"/>
      </w:docPartObj>
    </w:sdtPr>
    <w:sdtContent>
      <w:p>
        <w:pPr>
          <w:pStyle w:val="10"/>
          <w:jc w:val="right"/>
        </w:pPr>
        <w:r>
          <w:fldChar w:fldCharType="begin"/>
        </w:r>
        <w:r>
          <w:instrText xml:space="preserve"> PAGE   \* MERGEFORMAT </w:instrText>
        </w:r>
        <w:r>
          <w:fldChar w:fldCharType="separate"/>
        </w:r>
        <w:r>
          <w:t>2</w:t>
        </w:r>
        <w:r>
          <w:fldChar w:fldCharType="end"/>
        </w:r>
      </w:p>
    </w:sdtContent>
  </w:sdt>
  <w:p>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7338"/>
    <w:rsid w:val="00037338"/>
    <w:rsid w:val="000D38FC"/>
    <w:rsid w:val="001279A2"/>
    <w:rsid w:val="00653128"/>
    <w:rsid w:val="008D0872"/>
    <w:rsid w:val="00BC0226"/>
    <w:rsid w:val="00D4287F"/>
    <w:rsid w:val="00ED4F5D"/>
    <w:rsid w:val="03E47515"/>
    <w:rsid w:val="0442248D"/>
    <w:rsid w:val="04CE3D21"/>
    <w:rsid w:val="12E26D88"/>
    <w:rsid w:val="1C0E658E"/>
    <w:rsid w:val="1E695F5C"/>
    <w:rsid w:val="366E2AEA"/>
    <w:rsid w:val="3DD516A1"/>
    <w:rsid w:val="795D3D1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eastAsia="en-IN" w:bidi="ar-SA"/>
    </w:rPr>
  </w:style>
  <w:style w:type="paragraph" w:styleId="2">
    <w:name w:val="heading 1"/>
    <w:basedOn w:val="1"/>
    <w:next w:val="1"/>
    <w:qFormat/>
    <w:uiPriority w:val="9"/>
    <w:pPr>
      <w:keepNext/>
      <w:keepLines/>
      <w:spacing w:line="360" w:lineRule="auto"/>
      <w:jc w:val="both"/>
      <w:outlineLvl w:val="0"/>
    </w:pPr>
    <w:rPr>
      <w:b/>
      <w:sz w:val="28"/>
      <w:szCs w:val="28"/>
    </w:rPr>
  </w:style>
  <w:style w:type="paragraph" w:styleId="3">
    <w:name w:val="heading 2"/>
    <w:basedOn w:val="1"/>
    <w:next w:val="1"/>
    <w:semiHidden/>
    <w:unhideWhenUsed/>
    <w:qFormat/>
    <w:uiPriority w:val="9"/>
    <w:pPr>
      <w:keepNext/>
      <w:keepLines/>
      <w:spacing w:before="360" w:after="120"/>
      <w:outlineLvl w:val="1"/>
    </w:pPr>
    <w:rPr>
      <w:sz w:val="32"/>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color w:val="666666"/>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17"/>
    <w:unhideWhenUsed/>
    <w:qFormat/>
    <w:uiPriority w:val="99"/>
    <w:pPr>
      <w:tabs>
        <w:tab w:val="center" w:pos="4513"/>
        <w:tab w:val="right" w:pos="9026"/>
      </w:tabs>
      <w:spacing w:line="240" w:lineRule="auto"/>
    </w:pPr>
  </w:style>
  <w:style w:type="paragraph" w:styleId="11">
    <w:name w:val="header"/>
    <w:basedOn w:val="1"/>
    <w:link w:val="16"/>
    <w:unhideWhenUsed/>
    <w:qFormat/>
    <w:uiPriority w:val="99"/>
    <w:pPr>
      <w:tabs>
        <w:tab w:val="center" w:pos="4513"/>
        <w:tab w:val="right" w:pos="9026"/>
      </w:tabs>
      <w:spacing w:line="240" w:lineRule="auto"/>
    </w:pPr>
  </w:style>
  <w:style w:type="character" w:styleId="12">
    <w:name w:val="Hyperlink"/>
    <w:basedOn w:val="8"/>
    <w:unhideWhenUsed/>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unhideWhenUsed/>
    <w:uiPriority w:val="39"/>
    <w:pPr>
      <w:spacing w:after="100"/>
    </w:pPr>
  </w:style>
  <w:style w:type="character" w:customStyle="1" w:styleId="16">
    <w:name w:val="Header Char"/>
    <w:basedOn w:val="8"/>
    <w:link w:val="11"/>
    <w:uiPriority w:val="99"/>
  </w:style>
  <w:style w:type="character" w:customStyle="1" w:styleId="17">
    <w:name w:val="Footer Char"/>
    <w:basedOn w:val="8"/>
    <w:link w:val="10"/>
    <w:qFormat/>
    <w:uiPriority w:val="99"/>
  </w:style>
  <w:style w:type="paragraph" w:customStyle="1" w:styleId="18">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BB8FC5-4056-4210-B54F-EE2D56BB9DE5}">
  <ds:schemaRefs/>
</ds:datastoreItem>
</file>

<file path=docProps/app.xml><?xml version="1.0" encoding="utf-8"?>
<Properties xmlns="http://schemas.openxmlformats.org/officeDocument/2006/extended-properties" xmlns:vt="http://schemas.openxmlformats.org/officeDocument/2006/docPropsVTypes">
  <Template>Normal</Template>
  <Pages>1</Pages>
  <Words>2536</Words>
  <Characters>14456</Characters>
  <Lines>120</Lines>
  <Paragraphs>33</Paragraphs>
  <TotalTime>3</TotalTime>
  <ScaleCrop>false</ScaleCrop>
  <LinksUpToDate>false</LinksUpToDate>
  <CharactersWithSpaces>16959</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2023-01-31T19:01:00Z</dcterms:created>
  <dcterms:modified xsi:type="dcterms:W3CDTF">2023-02-13T14:18:46Z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6597A6E5ED1447C6986E0AC1AA962845</vt:lpwstr>
  </property>
</Properties>
</file>