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B0369" w:rsidRDefault="00E858A0" w:rsidP="00E858A0">
      <w:pPr>
        <w:pStyle w:val="Title"/>
      </w:pPr>
      <w:r>
        <w:t>How should anthropologists approach the study and analysis of rituals?</w:t>
      </w:r>
    </w:p>
    <w:p w:rsidR="004C3E06" w:rsidRDefault="004C3E06" w:rsidP="004C3E06">
      <w:pPr>
        <w:rPr>
          <w:i/>
        </w:rPr>
      </w:pPr>
    </w:p>
    <w:p w:rsidR="004C3E06" w:rsidRDefault="004C3E06" w:rsidP="004C3E06">
      <w:pPr>
        <w:jc w:val="center"/>
        <w:rPr>
          <w:i/>
        </w:rPr>
      </w:pPr>
      <w:r w:rsidRPr="004C3E06">
        <w:rPr>
          <w:i/>
        </w:rPr>
        <w:t>'I have not proposed a new theory of ritual because I believe that a new theory of ritual, by definition, would do little to solve the real conundrums that the study of ritual has come up against.'</w:t>
      </w:r>
    </w:p>
    <w:p w:rsidR="004C3E06" w:rsidRDefault="004C3E06" w:rsidP="004C3E06">
      <w:pPr>
        <w:jc w:val="center"/>
      </w:pPr>
      <w:r>
        <w:t xml:space="preserve"> (Bell 1992:140)</w:t>
      </w:r>
    </w:p>
    <w:p w:rsidR="00E858A0" w:rsidRDefault="00E858A0" w:rsidP="004C3E06">
      <w:pPr>
        <w:jc w:val="center"/>
      </w:pPr>
    </w:p>
    <w:p w:rsidR="003F79C3" w:rsidRDefault="00093DD4" w:rsidP="003F79C3">
      <w:r>
        <w:t>I</w:t>
      </w:r>
      <w:r w:rsidR="006C2AC0">
        <w:t>n the study of ritual there are tw</w:t>
      </w:r>
      <w:r>
        <w:t>o important areas to focus on. O</w:t>
      </w:r>
      <w:r w:rsidR="006C2AC0">
        <w:t xml:space="preserve">ne being the theory that underpins the functionality and symbolism of the ritual, and the other being the anthropological method that guides us when we write ethnography. </w:t>
      </w:r>
      <w:r>
        <w:t xml:space="preserve">Ritual is often considered a key tool for understanding the social workings of a society, so it is important that we study it </w:t>
      </w:r>
      <w:r w:rsidR="003F79C3">
        <w:t>in a concordant way across the discipline (</w:t>
      </w:r>
      <w:proofErr w:type="spellStart"/>
      <w:r w:rsidR="003F79C3">
        <w:t>Eriksen</w:t>
      </w:r>
      <w:proofErr w:type="spellEnd"/>
      <w:r w:rsidR="003F79C3">
        <w:t xml:space="preserve"> 1995). Definitions of ritual vary depending on which sch</w:t>
      </w:r>
      <w:r w:rsidR="00B750BE">
        <w:t>olar you ask, so it is necessary</w:t>
      </w:r>
      <w:r w:rsidR="003F79C3">
        <w:t xml:space="preserve"> to tackle some of these definitions and the theories that come from them when exploring the approach to researching ritual practice. Since anthropologists started using ritual as a tool in ethnographic study, the attitudes to how we should conduct research and analyse ritual have changed. Early anthropological approaches to ritual attempted to create a universal theory that could encompass all ritual activity, but more recently the </w:t>
      </w:r>
      <w:r w:rsidR="00B750BE">
        <w:t xml:space="preserve">focus has shifted away from this. Some key scholars in the field include Christen Bell, Arnold Van </w:t>
      </w:r>
      <w:proofErr w:type="spellStart"/>
      <w:r w:rsidR="00B750BE">
        <w:t>Gennep</w:t>
      </w:r>
      <w:proofErr w:type="spellEnd"/>
      <w:r w:rsidR="00B750BE">
        <w:t>, and Victor Turner.</w:t>
      </w:r>
      <w:r w:rsidR="00365A79">
        <w:t xml:space="preserve"> In writing about issues such as exoticism and ethnocentricity, an key scholar is </w:t>
      </w:r>
      <w:proofErr w:type="spellStart"/>
      <w:r w:rsidR="00365A79">
        <w:t>Geertz</w:t>
      </w:r>
      <w:proofErr w:type="spellEnd"/>
      <w:r w:rsidR="00365A79">
        <w:t>.</w:t>
      </w:r>
    </w:p>
    <w:p w:rsidR="00093DD4" w:rsidRDefault="006727F1" w:rsidP="00093DD4">
      <w:r>
        <w:t xml:space="preserve">Anthropologists should strive to accurately represent the process and experience of ritual practice in different cultural contexts without over simplifying this complex and varied </w:t>
      </w:r>
      <w:r w:rsidR="00B750BE">
        <w:t>phenomenon</w:t>
      </w:r>
      <w:r>
        <w:t>.</w:t>
      </w:r>
      <w:r w:rsidR="00093DD4" w:rsidRPr="00093DD4">
        <w:t xml:space="preserve"> </w:t>
      </w:r>
    </w:p>
    <w:p w:rsidR="00FA252A" w:rsidRDefault="00FA252A" w:rsidP="00FA252A">
      <w:r>
        <w:t>Defining ritual is not an easy task, as ritual can be seen to include a range of practices from the mundane ritual of eating breakfast every morning to the complex, high profile coronation of a monarch. Evidently, there are different kinds of ritual. When hearing the word ritual you automatically think of some significant, exotic, practice</w:t>
      </w:r>
      <w:r w:rsidR="00AA6FCE">
        <w:t xml:space="preserve"> that denotes some big change. W</w:t>
      </w:r>
      <w:r>
        <w:t>e forget that we have many rituals in everyday life. We brush our teeth every morning, always use shampoo before conditioner, only have certain foods at specific times of the day, all different examples o</w:t>
      </w:r>
      <w:r w:rsidR="00AA6FCE">
        <w:t>f everyday rituals that we do not</w:t>
      </w:r>
      <w:r>
        <w:t xml:space="preserve"> even think twice about. Then there are </w:t>
      </w:r>
      <w:r w:rsidR="00AA6FCE">
        <w:t>more significant</w:t>
      </w:r>
      <w:r>
        <w:t xml:space="preserve"> rites of passage rituals that we often forget happen in our own cultures too. At a glance ritual theorists seem to focus on these bigger rituals primarily</w:t>
      </w:r>
      <w:r w:rsidR="00B750BE">
        <w:t xml:space="preserve"> (Van </w:t>
      </w:r>
      <w:proofErr w:type="spellStart"/>
      <w:r w:rsidR="00B750BE">
        <w:t>Gennep</w:t>
      </w:r>
      <w:proofErr w:type="spellEnd"/>
      <w:r w:rsidR="00B750BE">
        <w:t xml:space="preserve"> 1909, Turner 1970)</w:t>
      </w:r>
      <w:r>
        <w:t>.</w:t>
      </w:r>
    </w:p>
    <w:p w:rsidR="006727F1" w:rsidRDefault="00093B0A" w:rsidP="00E858A0">
      <w:r>
        <w:t xml:space="preserve">Before looking at some more recent discourse and theory about the how to approach studying ritual </w:t>
      </w:r>
      <w:r w:rsidR="00B750BE">
        <w:t>it seems</w:t>
      </w:r>
      <w:r>
        <w:t xml:space="preserve"> important to look briefly at the roots of this area of study and some of th</w:t>
      </w:r>
      <w:r w:rsidR="00093DD4">
        <w:t>e criticisms associated with the older approaches.</w:t>
      </w:r>
    </w:p>
    <w:p w:rsidR="00B750BE" w:rsidRDefault="008D6B8C" w:rsidP="00E858A0">
      <w:r>
        <w:t xml:space="preserve">In a chapter summary of the development of the study of ritual practice </w:t>
      </w:r>
      <w:proofErr w:type="spellStart"/>
      <w:r>
        <w:t>Erik</w:t>
      </w:r>
      <w:r w:rsidR="00AA6FCE">
        <w:t>s</w:t>
      </w:r>
      <w:r>
        <w:t>en</w:t>
      </w:r>
      <w:proofErr w:type="spellEnd"/>
      <w:r>
        <w:t xml:space="preserve"> gives a definition for ritual;</w:t>
      </w:r>
    </w:p>
    <w:p w:rsidR="00B750BE" w:rsidRDefault="008D6B8C" w:rsidP="00E858A0">
      <w:r w:rsidRPr="00B750BE">
        <w:rPr>
          <w:i/>
        </w:rPr>
        <w:lastRenderedPageBreak/>
        <w:t xml:space="preserve"> 'Rituals are rule-bound public events which in some way or other thematise the r</w:t>
      </w:r>
      <w:r w:rsidR="00AA6FCE" w:rsidRPr="00B750BE">
        <w:rPr>
          <w:i/>
        </w:rPr>
        <w:t>e</w:t>
      </w:r>
      <w:r w:rsidRPr="00B750BE">
        <w:rPr>
          <w:i/>
        </w:rPr>
        <w:t>lationship between the earthly and the spiritual realms</w:t>
      </w:r>
      <w:r w:rsidR="00AD4F34" w:rsidRPr="00B750BE">
        <w:rPr>
          <w:i/>
        </w:rPr>
        <w:t>’</w:t>
      </w:r>
      <w:r w:rsidR="00AD4F34">
        <w:t xml:space="preserve"> </w:t>
      </w:r>
      <w:r w:rsidR="00AA6FCE">
        <w:t>(</w:t>
      </w:r>
      <w:proofErr w:type="spellStart"/>
      <w:r w:rsidR="00AA6FCE">
        <w:t>Eriksen</w:t>
      </w:r>
      <w:proofErr w:type="spellEnd"/>
      <w:r w:rsidR="00AA6FCE">
        <w:t xml:space="preserve"> 1995, </w:t>
      </w:r>
      <w:r w:rsidR="00AD4F34">
        <w:t>227)</w:t>
      </w:r>
      <w:r>
        <w:t>.</w:t>
      </w:r>
    </w:p>
    <w:p w:rsidR="008D6B8C" w:rsidRDefault="008D6B8C" w:rsidP="00E858A0">
      <w:r>
        <w:t xml:space="preserve"> This, as he does point out later in the chapter, is a largely problematic definition</w:t>
      </w:r>
      <w:r w:rsidR="00093B0A">
        <w:t>. It excludes the private ritual, and any ritual practice that is functional as opposed to religious, but it does serve the purpose of showing where the study of ritual emerged from, and the early understanding of its purpose</w:t>
      </w:r>
      <w:r w:rsidR="00AD4F34" w:rsidRPr="00AD4F34">
        <w:t xml:space="preserve">). </w:t>
      </w:r>
      <w:r w:rsidR="00093B0A">
        <w:t>Religious ritual is still a large a</w:t>
      </w:r>
      <w:r w:rsidR="00AA6FCE">
        <w:t xml:space="preserve">rea of focus within the field but </w:t>
      </w:r>
      <w:r w:rsidR="00093B0A">
        <w:t xml:space="preserve">no longer the sole area </w:t>
      </w:r>
      <w:r w:rsidR="00AA6FCE">
        <w:t>under study</w:t>
      </w:r>
      <w:r w:rsidR="00093B0A">
        <w:t xml:space="preserve">. </w:t>
      </w:r>
      <w:proofErr w:type="spellStart"/>
      <w:r w:rsidR="00093B0A">
        <w:t>Eriksen</w:t>
      </w:r>
      <w:proofErr w:type="spellEnd"/>
      <w:r w:rsidR="00093B0A">
        <w:t xml:space="preserve"> criticises this definition as highly simplistic and far to</w:t>
      </w:r>
      <w:r w:rsidR="00AA6FCE">
        <w:t>o</w:t>
      </w:r>
      <w:r w:rsidR="00093B0A">
        <w:t xml:space="preserve"> focused, but a v</w:t>
      </w:r>
      <w:r w:rsidR="00AD4F34">
        <w:t>alid definition none the less (</w:t>
      </w:r>
      <w:proofErr w:type="spellStart"/>
      <w:r w:rsidR="00AD4F34">
        <w:t>Eriksen</w:t>
      </w:r>
      <w:proofErr w:type="spellEnd"/>
      <w:r w:rsidR="00AD4F34">
        <w:t xml:space="preserve"> 1995, 227-228</w:t>
      </w:r>
      <w:r w:rsidR="00AD4F34" w:rsidRPr="00AD4F34">
        <w:t xml:space="preserve">). </w:t>
      </w:r>
      <w:r w:rsidR="00AD4F34">
        <w:t xml:space="preserve"> T</w:t>
      </w:r>
      <w:r w:rsidR="00093B0A">
        <w:t xml:space="preserve">he key part to take from this definition </w:t>
      </w:r>
      <w:r w:rsidR="00AD4F34">
        <w:t>appears to be</w:t>
      </w:r>
      <w:r w:rsidR="00093B0A">
        <w:t xml:space="preserve"> the emphasis that rituals are 'rule-bound', therefore replicable, rigid, and largely unchanging. Whilst being 'rule-bound' a ritual can still be interpretive, but it does give way to study focusing on finding universal rules which can </w:t>
      </w:r>
      <w:r w:rsidR="00AD4F34">
        <w:t>be applied to ritual</w:t>
      </w:r>
      <w:r w:rsidR="00093B0A">
        <w:t>. In reality it is not so clean cut.</w:t>
      </w:r>
    </w:p>
    <w:p w:rsidR="000E1C66" w:rsidRDefault="000E1C66" w:rsidP="00E858A0">
      <w:r>
        <w:t xml:space="preserve">In his 1909 book 'Les Rites de Passage' Arnold Van </w:t>
      </w:r>
      <w:proofErr w:type="spellStart"/>
      <w:r>
        <w:t>Gennep</w:t>
      </w:r>
      <w:proofErr w:type="spellEnd"/>
      <w:r>
        <w:t xml:space="preserve"> </w:t>
      </w:r>
      <w:r w:rsidR="00A2491B">
        <w:t>provides a potential universal</w:t>
      </w:r>
      <w:r w:rsidR="007F64D8">
        <w:t xml:space="preserve"> theory for explaining ritual practice, but his theory is so heavily centred around rites of passage rituals that his three stages cannot be so easily applied outside of that context. We can provide substantial evidence,</w:t>
      </w:r>
      <w:r w:rsidR="00F35707">
        <w:t xml:space="preserve"> a good example being the boys initiation of The </w:t>
      </w:r>
      <w:proofErr w:type="spellStart"/>
      <w:r w:rsidR="00F35707">
        <w:t>Sambia</w:t>
      </w:r>
      <w:proofErr w:type="spellEnd"/>
      <w:r w:rsidR="00F35707">
        <w:t xml:space="preserve"> people of New </w:t>
      </w:r>
      <w:proofErr w:type="spellStart"/>
      <w:r w:rsidR="00F35707">
        <w:t>Guinua</w:t>
      </w:r>
      <w:proofErr w:type="spellEnd"/>
      <w:r w:rsidR="00F35707">
        <w:t xml:space="preserve">, as written about by Gilbert </w:t>
      </w:r>
      <w:r w:rsidR="00F35707" w:rsidRPr="00F35707">
        <w:rPr>
          <w:rFonts w:ascii="Calibri" w:hAnsi="Calibri" w:cs="Calibri"/>
        </w:rPr>
        <w:t>(</w:t>
      </w:r>
      <w:proofErr w:type="spellStart"/>
      <w:r w:rsidR="00F35707" w:rsidRPr="00F35707">
        <w:rPr>
          <w:rFonts w:ascii="Calibri" w:hAnsi="Calibri" w:cs="Calibri"/>
        </w:rPr>
        <w:t>Herdt</w:t>
      </w:r>
      <w:proofErr w:type="spellEnd"/>
      <w:r w:rsidR="00F35707" w:rsidRPr="00F35707">
        <w:rPr>
          <w:rFonts w:ascii="Calibri" w:hAnsi="Calibri" w:cs="Calibri"/>
        </w:rPr>
        <w:t xml:space="preserve"> 1987)</w:t>
      </w:r>
      <w:r w:rsidR="00F35707">
        <w:rPr>
          <w:rFonts w:ascii="Calibri" w:hAnsi="Calibri" w:cs="Calibri"/>
        </w:rPr>
        <w:t xml:space="preserve">. Stage one, Separation, occurs on the first day, when the boys are taken from their families before enduring a whole host of horrors in the second stage, </w:t>
      </w:r>
      <w:proofErr w:type="spellStart"/>
      <w:r w:rsidR="00F35707">
        <w:rPr>
          <w:rFonts w:ascii="Calibri" w:hAnsi="Calibri" w:cs="Calibri"/>
        </w:rPr>
        <w:t>Liminality</w:t>
      </w:r>
      <w:proofErr w:type="spellEnd"/>
      <w:r w:rsidR="00F35707">
        <w:rPr>
          <w:rFonts w:ascii="Calibri" w:hAnsi="Calibri" w:cs="Calibri"/>
        </w:rPr>
        <w:t>, where they spend years being, for want of a better term, ritually abused</w:t>
      </w:r>
      <w:r w:rsidR="00093DD4">
        <w:rPr>
          <w:rFonts w:ascii="Calibri" w:hAnsi="Calibri" w:cs="Calibri"/>
        </w:rPr>
        <w:t>. T</w:t>
      </w:r>
      <w:r w:rsidR="00F35707">
        <w:rPr>
          <w:rFonts w:ascii="Calibri" w:hAnsi="Calibri" w:cs="Calibri"/>
        </w:rPr>
        <w:t>hey emerge men in the third stage, Incorporation</w:t>
      </w:r>
      <w:r w:rsidR="00B750BE">
        <w:rPr>
          <w:rFonts w:ascii="Calibri" w:hAnsi="Calibri" w:cs="Calibri"/>
        </w:rPr>
        <w:t xml:space="preserve"> </w:t>
      </w:r>
      <w:r w:rsidR="00093DD4" w:rsidRPr="00F35707">
        <w:rPr>
          <w:rFonts w:ascii="Calibri" w:hAnsi="Calibri" w:cs="Calibri"/>
        </w:rPr>
        <w:t>(</w:t>
      </w:r>
      <w:proofErr w:type="spellStart"/>
      <w:r w:rsidR="00093DD4" w:rsidRPr="00F35707">
        <w:rPr>
          <w:rFonts w:ascii="Calibri" w:hAnsi="Calibri" w:cs="Calibri"/>
        </w:rPr>
        <w:t>Herdt</w:t>
      </w:r>
      <w:proofErr w:type="spellEnd"/>
      <w:r w:rsidR="00093DD4" w:rsidRPr="00F35707">
        <w:rPr>
          <w:rFonts w:ascii="Calibri" w:hAnsi="Calibri" w:cs="Calibri"/>
        </w:rPr>
        <w:t xml:space="preserve"> 1987</w:t>
      </w:r>
      <w:r w:rsidR="00093DD4">
        <w:rPr>
          <w:rFonts w:ascii="Calibri" w:hAnsi="Calibri" w:cs="Calibri"/>
        </w:rPr>
        <w:t xml:space="preserve">, Van </w:t>
      </w:r>
      <w:proofErr w:type="spellStart"/>
      <w:r w:rsidR="00093DD4">
        <w:rPr>
          <w:rFonts w:ascii="Calibri" w:hAnsi="Calibri" w:cs="Calibri"/>
        </w:rPr>
        <w:t>Gennep</w:t>
      </w:r>
      <w:proofErr w:type="spellEnd"/>
      <w:r w:rsidR="00093DD4">
        <w:rPr>
          <w:rFonts w:ascii="Calibri" w:hAnsi="Calibri" w:cs="Calibri"/>
        </w:rPr>
        <w:t xml:space="preserve"> 1909)</w:t>
      </w:r>
      <w:r w:rsidR="00F35707">
        <w:rPr>
          <w:rFonts w:ascii="Calibri" w:hAnsi="Calibri" w:cs="Calibri"/>
        </w:rPr>
        <w:t>.</w:t>
      </w:r>
      <w:r w:rsidR="00093DD4">
        <w:rPr>
          <w:rFonts w:ascii="Calibri" w:hAnsi="Calibri" w:cs="Calibri"/>
        </w:rPr>
        <w:t xml:space="preserve"> Although this and many other ethnographic examples do exist, there are many examples that do not fit the theory, an example being the </w:t>
      </w:r>
      <w:proofErr w:type="spellStart"/>
      <w:r w:rsidR="00093DD4">
        <w:rPr>
          <w:rFonts w:ascii="Calibri" w:hAnsi="Calibri" w:cs="Calibri"/>
        </w:rPr>
        <w:t>M'Buti's</w:t>
      </w:r>
      <w:proofErr w:type="spellEnd"/>
      <w:r w:rsidR="00093DD4">
        <w:rPr>
          <w:rFonts w:ascii="Calibri" w:hAnsi="Calibri" w:cs="Calibri"/>
        </w:rPr>
        <w:t xml:space="preserve"> Molimo ritual (Turnbull 1962)</w:t>
      </w:r>
    </w:p>
    <w:p w:rsidR="006208F3" w:rsidRDefault="00AD4F34" w:rsidP="006208F3">
      <w:r>
        <w:t xml:space="preserve">Scholars like Van </w:t>
      </w:r>
      <w:proofErr w:type="spellStart"/>
      <w:r>
        <w:t>G</w:t>
      </w:r>
      <w:r w:rsidR="008E2E4B">
        <w:t>ennep</w:t>
      </w:r>
      <w:proofErr w:type="spellEnd"/>
      <w:r w:rsidR="008E2E4B">
        <w:t xml:space="preserve"> have tried to look for </w:t>
      </w:r>
      <w:r>
        <w:t>nomothetic</w:t>
      </w:r>
      <w:r w:rsidR="008E2E4B">
        <w:t xml:space="preserve"> style</w:t>
      </w:r>
      <w:r w:rsidR="008D6B8C">
        <w:t xml:space="preserve"> </w:t>
      </w:r>
      <w:r w:rsidR="008E2E4B">
        <w:t xml:space="preserve">themes </w:t>
      </w:r>
      <w:r>
        <w:t>that can be applied</w:t>
      </w:r>
      <w:r w:rsidR="008D6B8C">
        <w:t xml:space="preserve"> to any ritual. This may indeed allow easier study as a whole, but it certainly limi</w:t>
      </w:r>
      <w:r>
        <w:t xml:space="preserve">ts the study of ritual to only </w:t>
      </w:r>
      <w:r w:rsidR="008D6B8C">
        <w:t>practice</w:t>
      </w:r>
      <w:r>
        <w:t>s that fit</w:t>
      </w:r>
      <w:r w:rsidR="008D6B8C">
        <w:t xml:space="preserve"> into the </w:t>
      </w:r>
      <w:r w:rsidR="006A61D3">
        <w:t xml:space="preserve">potentially </w:t>
      </w:r>
      <w:r w:rsidR="008D6B8C">
        <w:t>restrictive theories and definitions tha</w:t>
      </w:r>
      <w:r w:rsidR="006A61D3">
        <w:t>t these scholars try to apply to</w:t>
      </w:r>
      <w:r w:rsidR="008D6B8C">
        <w:t xml:space="preserve"> them. </w:t>
      </w:r>
      <w:r w:rsidR="007F64D8">
        <w:t>The Universal theory looks less and less likely, and m</w:t>
      </w:r>
      <w:r w:rsidR="006A61D3">
        <w:t>ost modern anthropologists appear to now be moving away from searching for</w:t>
      </w:r>
      <w:r w:rsidR="008D6B8C">
        <w:t xml:space="preserve"> </w:t>
      </w:r>
      <w:r w:rsidR="007F64D8">
        <w:t>this</w:t>
      </w:r>
      <w:r w:rsidR="006A61D3">
        <w:t xml:space="preserve"> truly uni</w:t>
      </w:r>
      <w:r w:rsidR="00054D94">
        <w:t xml:space="preserve">versal theory (Bell 1992, </w:t>
      </w:r>
      <w:proofErr w:type="spellStart"/>
      <w:r w:rsidR="00054D94">
        <w:t>Eriksen</w:t>
      </w:r>
      <w:proofErr w:type="spellEnd"/>
      <w:r w:rsidR="00054D94">
        <w:t xml:space="preserve"> 1995</w:t>
      </w:r>
      <w:r w:rsidR="006A61D3">
        <w:t>).</w:t>
      </w:r>
      <w:r w:rsidR="008D6B8C">
        <w:t xml:space="preserve"> </w:t>
      </w:r>
      <w:r w:rsidR="006A61D3">
        <w:t>The initial</w:t>
      </w:r>
      <w:r w:rsidR="008D6B8C">
        <w:t xml:space="preserve"> </w:t>
      </w:r>
      <w:r w:rsidR="006A61D3">
        <w:t>idea</w:t>
      </w:r>
      <w:r w:rsidR="008D6B8C">
        <w:t xml:space="preserve"> that a single theory may even exist, when a single definition does not</w:t>
      </w:r>
      <w:r w:rsidR="006A61D3">
        <w:t xml:space="preserve"> seem to exist for ritual itself is problematic</w:t>
      </w:r>
      <w:r w:rsidR="00F35707">
        <w:t>.</w:t>
      </w:r>
      <w:r w:rsidR="006208F3" w:rsidRPr="006208F3">
        <w:t xml:space="preserve"> </w:t>
      </w:r>
    </w:p>
    <w:p w:rsidR="00B750BE" w:rsidRDefault="009411C9" w:rsidP="00E858A0">
      <w:r>
        <w:t>Anthropologists have noticed how rich in symbolism rituals usually are, this has led anthropologists</w:t>
      </w:r>
      <w:bookmarkStart w:id="0" w:name="_GoBack"/>
      <w:bookmarkEnd w:id="0"/>
      <w:r>
        <w:t xml:space="preserve"> to develop approaches to ritual that focus on this symbolism. </w:t>
      </w:r>
      <w:r w:rsidR="006208F3">
        <w:t xml:space="preserve">Victor Turner focused on the significance </w:t>
      </w:r>
      <w:r w:rsidR="00F47936">
        <w:t xml:space="preserve">and </w:t>
      </w:r>
      <w:r w:rsidR="00054D94">
        <w:t>multimodality</w:t>
      </w:r>
      <w:r w:rsidR="00F47936">
        <w:t xml:space="preserve"> of symbols in both ritual and as cultural tools as a whole.</w:t>
      </w:r>
      <w:r w:rsidR="006208F3">
        <w:t xml:space="preserve"> </w:t>
      </w:r>
      <w:r w:rsidR="00F47936">
        <w:t>He attempted to explain ritual as</w:t>
      </w:r>
      <w:r w:rsidR="00B750BE">
        <w:t>;</w:t>
      </w:r>
      <w:r w:rsidR="00F47936">
        <w:t xml:space="preserve"> </w:t>
      </w:r>
    </w:p>
    <w:p w:rsidR="00B750BE" w:rsidRDefault="00F47936" w:rsidP="00E858A0">
      <w:r w:rsidRPr="00B750BE">
        <w:rPr>
          <w:i/>
        </w:rPr>
        <w:t>'</w:t>
      </w:r>
      <w:r w:rsidRPr="00B750BE">
        <w:rPr>
          <w:rFonts w:eastAsia="Times New Roman" w:cstheme="minorHAnsi"/>
          <w:i/>
          <w:lang w:eastAsia="en-GB"/>
        </w:rPr>
        <w:t xml:space="preserve">prescribed </w:t>
      </w:r>
      <w:r w:rsidRPr="00F47936">
        <w:rPr>
          <w:rFonts w:eastAsia="Times New Roman" w:cstheme="minorHAnsi"/>
          <w:i/>
          <w:lang w:eastAsia="en-GB"/>
        </w:rPr>
        <w:t>formal behaviour for occasions not given over to technological routine, having reference to beliefs in mystical beings or powers. The symbol is the smallest unit of ritual which still retains the specific properties of ritual behaviour</w:t>
      </w:r>
      <w:r w:rsidR="00054D94" w:rsidRPr="00B750BE">
        <w:rPr>
          <w:rFonts w:eastAsia="Times New Roman" w:cstheme="minorHAnsi"/>
          <w:i/>
          <w:lang w:eastAsia="en-GB"/>
        </w:rPr>
        <w:t>.</w:t>
      </w:r>
      <w:r w:rsidRPr="00B750BE">
        <w:rPr>
          <w:i/>
        </w:rPr>
        <w:t>'</w:t>
      </w:r>
      <w:r>
        <w:t xml:space="preserve"> (Turner</w:t>
      </w:r>
      <w:r w:rsidR="00054D94">
        <w:t xml:space="preserve"> 1970). </w:t>
      </w:r>
    </w:p>
    <w:p w:rsidR="008E2E4B" w:rsidRPr="00054D94" w:rsidRDefault="00054D94" w:rsidP="00E858A0">
      <w:pPr>
        <w:rPr>
          <w:rFonts w:eastAsia="Times New Roman" w:cstheme="minorHAnsi"/>
          <w:lang w:eastAsia="en-GB"/>
        </w:rPr>
      </w:pPr>
      <w:r>
        <w:t>Here he insists that you cannot have ritual without symbol, as it is itself a symbol, and that you cannot have symbol without ritual, as symbol is itself a constituent of ritual, being '</w:t>
      </w:r>
      <w:r w:rsidRPr="00054D94">
        <w:rPr>
          <w:rFonts w:eastAsia="Times New Roman" w:cstheme="minorHAnsi"/>
          <w:lang w:eastAsia="en-GB"/>
        </w:rPr>
        <w:t xml:space="preserve"> </w:t>
      </w:r>
      <w:r w:rsidRPr="00F47936">
        <w:rPr>
          <w:rFonts w:eastAsia="Times New Roman" w:cstheme="minorHAnsi"/>
          <w:lang w:eastAsia="en-GB"/>
        </w:rPr>
        <w:t>the smallest unit of ritual</w:t>
      </w:r>
      <w:r>
        <w:rPr>
          <w:rFonts w:eastAsia="Times New Roman" w:cstheme="minorHAnsi"/>
          <w:lang w:eastAsia="en-GB"/>
        </w:rPr>
        <w:t>' (Turner 1970). Turners focus on symbolism</w:t>
      </w:r>
      <w:r w:rsidR="00A2491B">
        <w:rPr>
          <w:rFonts w:eastAsia="Times New Roman" w:cstheme="minorHAnsi"/>
          <w:lang w:eastAsia="en-GB"/>
        </w:rPr>
        <w:t xml:space="preserve"> is an interesting route to take when t comes to ritual practice, as although it may seem limiting it also appears to begin to search for frequent factors to ritual rather than attempting to apply some universal theory. Anthropologist Christine Bell has discussed moving in this direction with our approach. </w:t>
      </w:r>
    </w:p>
    <w:p w:rsidR="006727F1" w:rsidRDefault="006A61D3" w:rsidP="006727F1">
      <w:r>
        <w:lastRenderedPageBreak/>
        <w:t>B</w:t>
      </w:r>
      <w:r w:rsidR="006727F1">
        <w:t xml:space="preserve">ell </w:t>
      </w:r>
      <w:r>
        <w:t>has attempted to examine and re-</w:t>
      </w:r>
      <w:r w:rsidR="006727F1">
        <w:t>model traditional approaches to the study of ritual by anthropologists. She makes a point to highlight the disparity between the description of ritual in ethnography and the limited theory and definitions which force it into categories</w:t>
      </w:r>
      <w:r>
        <w:t xml:space="preserve"> (Bell 1992)</w:t>
      </w:r>
      <w:r w:rsidR="006727F1">
        <w:t>. When writing on this subject she states, '</w:t>
      </w:r>
      <w:r w:rsidR="006727F1" w:rsidRPr="00703AA2">
        <w:t>Ritual is then described as particularly thoughtless action—routinized, habitual, obsessive, or mimetic— and therefore the purely formal</w:t>
      </w:r>
      <w:r>
        <w:t>' (B</w:t>
      </w:r>
      <w:r w:rsidR="006727F1">
        <w:t>ell 1992:19)</w:t>
      </w:r>
      <w:r w:rsidR="008E34E0">
        <w:t>.</w:t>
      </w:r>
      <w:r w:rsidR="006727F1">
        <w:t xml:space="preserve"> </w:t>
      </w:r>
      <w:r w:rsidR="008E34E0">
        <w:t>S</w:t>
      </w:r>
      <w:r w:rsidR="006727F1">
        <w:t>he discusses how scholars u</w:t>
      </w:r>
      <w:r w:rsidR="008E34E0">
        <w:t>nderstand</w:t>
      </w:r>
      <w:r w:rsidR="006727F1">
        <w:t xml:space="preserve"> ritual merely as a tool, to symbolise religious belief, or to rei</w:t>
      </w:r>
      <w:r w:rsidR="008E34E0">
        <w:t>nforce social integration</w:t>
      </w:r>
      <w:r w:rsidR="00B750BE">
        <w:t>(Bell 1992)</w:t>
      </w:r>
      <w:r w:rsidR="008E34E0">
        <w:t xml:space="preserve">. Van </w:t>
      </w:r>
      <w:proofErr w:type="spellStart"/>
      <w:r w:rsidR="008E34E0">
        <w:t>G</w:t>
      </w:r>
      <w:r w:rsidR="006727F1">
        <w:t>ennep</w:t>
      </w:r>
      <w:proofErr w:type="spellEnd"/>
      <w:r w:rsidR="006727F1">
        <w:t xml:space="preserve">, </w:t>
      </w:r>
      <w:r w:rsidR="00365A79">
        <w:t xml:space="preserve">despite being </w:t>
      </w:r>
      <w:r w:rsidR="006727F1">
        <w:t xml:space="preserve">one of the biggest names in the discussion of ritual theory, limits his study to just </w:t>
      </w:r>
      <w:r w:rsidR="008E34E0">
        <w:t>rites</w:t>
      </w:r>
      <w:r w:rsidR="006727F1">
        <w:t xml:space="preserve"> of passage, therefore</w:t>
      </w:r>
      <w:r w:rsidR="00365A79">
        <w:t xml:space="preserve"> appears to place</w:t>
      </w:r>
      <w:r w:rsidR="006727F1">
        <w:t xml:space="preserve"> his theory of ritual into</w:t>
      </w:r>
      <w:r w:rsidR="00365A79">
        <w:t xml:space="preserve"> solely</w:t>
      </w:r>
      <w:r w:rsidR="006727F1">
        <w:t xml:space="preserve"> the category of ritual as a social role </w:t>
      </w:r>
      <w:proofErr w:type="spellStart"/>
      <w:r w:rsidR="008E34E0">
        <w:t>reinforce</w:t>
      </w:r>
      <w:r w:rsidR="00365A79">
        <w:t>r</w:t>
      </w:r>
      <w:proofErr w:type="spellEnd"/>
      <w:r w:rsidR="00365A79">
        <w:t xml:space="preserve">. </w:t>
      </w:r>
      <w:r w:rsidR="008E34E0">
        <w:t>B</w:t>
      </w:r>
      <w:r w:rsidR="006727F1">
        <w:t>y no means is it wrong to state that ritual can take</w:t>
      </w:r>
      <w:r w:rsidR="008E34E0">
        <w:t xml:space="preserve"> on that role, but as </w:t>
      </w:r>
      <w:r w:rsidR="006727F1">
        <w:t xml:space="preserve">mentioned previously, </w:t>
      </w:r>
      <w:r w:rsidR="008E34E0">
        <w:t>B</w:t>
      </w:r>
      <w:r w:rsidR="006727F1">
        <w:t>ell argues that this limits the scope of what theory is and directs other scholars to t</w:t>
      </w:r>
      <w:r w:rsidR="008E34E0">
        <w:t>ake this same limiting approach (Bell 1992).</w:t>
      </w:r>
      <w:r w:rsidR="006727F1">
        <w:t xml:space="preserve"> Bell frequently talks of the </w:t>
      </w:r>
      <w:r w:rsidR="006727F1" w:rsidRPr="001A726C">
        <w:t>'dichotomy between thought and action'</w:t>
      </w:r>
      <w:r w:rsidR="001A726C">
        <w:t xml:space="preserve"> (Bell 1992:21)</w:t>
      </w:r>
      <w:r w:rsidR="006727F1">
        <w:t xml:space="preserve">, expressing how important it is to stop separating the two. Ritual gets pushed into the category of 'expressing thought' or </w:t>
      </w:r>
      <w:r w:rsidR="00DE06A5">
        <w:t>of 'reinforcing desired actions (Bell 1992)</w:t>
      </w:r>
    </w:p>
    <w:p w:rsidR="006208F3" w:rsidRDefault="006727F1" w:rsidP="006727F1">
      <w:r>
        <w:t xml:space="preserve">Bell proposes an inclusive definition of </w:t>
      </w:r>
      <w:r w:rsidR="00DE06A5">
        <w:t xml:space="preserve">ritual in which she identifies a </w:t>
      </w:r>
      <w:r>
        <w:t>number</w:t>
      </w:r>
      <w:r w:rsidR="00DE06A5">
        <w:t xml:space="preserve"> of</w:t>
      </w:r>
      <w:r>
        <w:t xml:space="preserve"> universal features.</w:t>
      </w:r>
      <w:r w:rsidR="00DE06A5">
        <w:t xml:space="preserve"> she works specifically to look at the framework of ritualization, finding common factors without giving them a specific direction. For an example, an area of focus is tradition; ritual can reinforce, create, or modify tradition, but it is always a factor (Bell 1992). </w:t>
      </w:r>
      <w:r w:rsidR="006208F3">
        <w:t>In proposing such an inclusive definition of ritual, Bell provides anthropologists with a useful starting point for further study of ritual across different cultural contexts.</w:t>
      </w:r>
    </w:p>
    <w:p w:rsidR="000E1C66" w:rsidRDefault="00DE06A5" w:rsidP="000E1C66">
      <w:r>
        <w:t>With this more recent development in the study of ritual, anthropologists can conduct ethnography in an educated, inclusive way. However even if a special effort is made to</w:t>
      </w:r>
      <w:r w:rsidR="00CD322C">
        <w:t xml:space="preserve"> bear theory in mind, ritual can still be misrepresented or misunderstood if ethnographic writing is done poorly. </w:t>
      </w:r>
      <w:r w:rsidR="008E34E0">
        <w:t>Anthropologists in the field</w:t>
      </w:r>
      <w:r w:rsidR="004B472C">
        <w:t xml:space="preserve"> strive to authentically represent the ritual practices of the cultures they s</w:t>
      </w:r>
      <w:r w:rsidR="00CD322C">
        <w:t>tudy. In doing this a c</w:t>
      </w:r>
      <w:r w:rsidR="004B472C">
        <w:t>onscious effort must be made to avoid ethnocentrism, exoticism, and to make clear their own cultural bias through expressing their su</w:t>
      </w:r>
      <w:r w:rsidR="00872DA2">
        <w:t xml:space="preserve">bject position reflexively </w:t>
      </w:r>
      <w:r w:rsidR="00872DA2">
        <w:fldChar w:fldCharType="begin"/>
      </w:r>
      <w:r w:rsidR="00872DA2">
        <w:instrText xml:space="preserve"> ADDIN ZOTERO_ITEM CSL_CITATION {"citationID":"avi4jtqfnj","properties":{"formattedCitation":"(Van Maanen 1995)","plainCitation":"(Van Maanen 1995)","noteIndex":0},"citationItems":[{"id":26,"uris":["http://zotero.org/users/local/59moWT1F/items/MTHRKEDM"],"uri":["http://zotero.org/users/local/59moWT1F/items/MTHRKEDM"],"itemData":{"id":26,"type":"book","title":"Representation in ethnography.","publisher":"Sage Publications","source":"librarycatalogue.uwtsd.ac.uk","ISBN":"978-0-8039-7163-9","call-number":"305.8 REP","language":"und","author":[{"literal":"Van Maanen"}],"issued":{"date-parts":[["1995"]]}}}],"schema":"https://github.com/citation-style-language/schema/raw/master/csl-citation.json"} </w:instrText>
      </w:r>
      <w:r w:rsidR="00872DA2">
        <w:fldChar w:fldCharType="separate"/>
      </w:r>
      <w:r w:rsidR="00872DA2" w:rsidRPr="00872DA2">
        <w:rPr>
          <w:rFonts w:ascii="Calibri" w:hAnsi="Calibri" w:cs="Calibri"/>
        </w:rPr>
        <w:t xml:space="preserve">(Van </w:t>
      </w:r>
      <w:proofErr w:type="spellStart"/>
      <w:r w:rsidR="00872DA2" w:rsidRPr="00872DA2">
        <w:rPr>
          <w:rFonts w:ascii="Calibri" w:hAnsi="Calibri" w:cs="Calibri"/>
        </w:rPr>
        <w:t>Maanen</w:t>
      </w:r>
      <w:proofErr w:type="spellEnd"/>
      <w:r w:rsidR="00872DA2" w:rsidRPr="00872DA2">
        <w:rPr>
          <w:rFonts w:ascii="Calibri" w:hAnsi="Calibri" w:cs="Calibri"/>
        </w:rPr>
        <w:t xml:space="preserve"> 1995)</w:t>
      </w:r>
      <w:r w:rsidR="00872DA2">
        <w:fldChar w:fldCharType="end"/>
      </w:r>
      <w:r w:rsidR="004B472C">
        <w:t xml:space="preserve">. </w:t>
      </w:r>
      <w:r w:rsidR="000E1C66">
        <w:t>Geertz offers a methodology for anthropologists that promotes a combination of careful observation with ongoing analysis and interpretation</w:t>
      </w:r>
      <w:r w:rsidR="00872DA2">
        <w:t xml:space="preserve"> (</w:t>
      </w:r>
      <w:proofErr w:type="spellStart"/>
      <w:r w:rsidR="00872DA2">
        <w:t>Geertz</w:t>
      </w:r>
      <w:proofErr w:type="spellEnd"/>
      <w:r w:rsidR="00872DA2">
        <w:t xml:space="preserve"> 1973</w:t>
      </w:r>
      <w:r w:rsidR="008E34E0">
        <w:t>)</w:t>
      </w:r>
      <w:r w:rsidR="000E1C66">
        <w:t>.</w:t>
      </w:r>
      <w:r w:rsidR="008E2E4B">
        <w:t xml:space="preserve"> He stresses how important it is to be constantly aware of what is being observed, the minute details being the most significant in order to get a 't</w:t>
      </w:r>
      <w:r w:rsidR="004B472C">
        <w:t>hick description'(</w:t>
      </w:r>
      <w:proofErr w:type="spellStart"/>
      <w:r w:rsidR="00872DA2">
        <w:t>Geertz</w:t>
      </w:r>
      <w:proofErr w:type="spellEnd"/>
      <w:r w:rsidR="00872DA2">
        <w:t xml:space="preserve"> 1973</w:t>
      </w:r>
      <w:r w:rsidR="004B472C">
        <w:t>).</w:t>
      </w:r>
      <w:r w:rsidR="008E34E0">
        <w:t xml:space="preserve"> T</w:t>
      </w:r>
      <w:r w:rsidR="008E2E4B">
        <w:t xml:space="preserve">he better we practice observational participation as a method for ethnographic research </w:t>
      </w:r>
      <w:r w:rsidR="00872DA2">
        <w:t xml:space="preserve">of ritual practice, </w:t>
      </w:r>
      <w:r w:rsidR="008E2E4B">
        <w:t>the richer, deeper data we can acquire. Some issues that arise from this revolve around how we then go on to present this rich data that we have gained, as our writing must avoid coming across as either a creative writing piece or a travel journalism article. The anthropologist's goal is to present the data as unbiased and as authentically as possible so as to not misrepresent a society</w:t>
      </w:r>
      <w:r w:rsidR="004B472C">
        <w:t xml:space="preserve"> and their practice</w:t>
      </w:r>
      <w:r w:rsidR="008E2E4B">
        <w:t>.</w:t>
      </w:r>
    </w:p>
    <w:p w:rsidR="006727F1" w:rsidRDefault="00AB3B3D" w:rsidP="006727F1">
      <w:r>
        <w:t>An anthropologist called Miner did an exercise in which he highlighted the importance of avoiding exoticism in ethnographic writing. He</w:t>
      </w:r>
      <w:r w:rsidR="00872DA2">
        <w:t xml:space="preserve"> he</w:t>
      </w:r>
      <w:r>
        <w:t xml:space="preserve">avily used ritual practice as an example, writing the article 'Body Ritual Amongst the </w:t>
      </w:r>
      <w:proofErr w:type="spellStart"/>
      <w:r>
        <w:t>Nacirema</w:t>
      </w:r>
      <w:proofErr w:type="spellEnd"/>
      <w:r>
        <w:t>'.</w:t>
      </w:r>
      <w:r w:rsidR="00246259">
        <w:t xml:space="preserve"> An interesting read about a culture with some unusual rituals, that is until you recognise tha</w:t>
      </w:r>
      <w:r w:rsidR="00365A79">
        <w:t xml:space="preserve">t it is about American society </w:t>
      </w:r>
      <w:r w:rsidR="00246259">
        <w:t>in the 50s</w:t>
      </w:r>
      <w:r w:rsidR="00365A79">
        <w:t xml:space="preserve"> (Miner 1956)</w:t>
      </w:r>
      <w:r w:rsidR="00246259">
        <w:t>.  Although now looking back one realises that some of the ritual practice we partake in is rather unusual, Miner</w:t>
      </w:r>
      <w:r w:rsidR="004B472C">
        <w:t>’</w:t>
      </w:r>
      <w:r w:rsidR="00246259">
        <w:t xml:space="preserve">s use of </w:t>
      </w:r>
      <w:r w:rsidR="00E51AB9">
        <w:t>descriptive</w:t>
      </w:r>
      <w:r w:rsidR="00246259">
        <w:t xml:space="preserve"> language makes the culture seem utterly unfamiliar, despite being very close to that which we (in the UK) live in today</w:t>
      </w:r>
      <w:r w:rsidR="00E51AB9">
        <w:t>. He still stays true to what actually happens during these rituals, changing our perception with the use of language alone</w:t>
      </w:r>
      <w:r w:rsidR="00365A79">
        <w:t xml:space="preserve"> (Miner 1956)</w:t>
      </w:r>
      <w:r w:rsidR="00E51AB9">
        <w:t xml:space="preserve">. This highlights how important </w:t>
      </w:r>
      <w:r w:rsidR="00E51AB9">
        <w:lastRenderedPageBreak/>
        <w:t xml:space="preserve">avoiding exoticism in ethnographic writing truly is, especially when it comes to ritual practice. Anthropologists must strive to frame events in the cultural and practical context of which they occur, in order to portray ritual as accurately as possible. Misrepresenting a culture is, </w:t>
      </w:r>
      <w:r w:rsidR="00365A79">
        <w:t>it seems, one of the biggest issues</w:t>
      </w:r>
      <w:r w:rsidR="00E51AB9">
        <w:t>, and hardest challenges, that an anthropologist must face, as we strive to be as accurate as possible. An anthropologist must always keep authenticity in mind and actively, consciously avoid exoticism in their writin</w:t>
      </w:r>
      <w:r w:rsidR="001A726C">
        <w:t>g</w:t>
      </w:r>
      <w:r w:rsidR="00B750BE">
        <w:t>.</w:t>
      </w:r>
    </w:p>
    <w:p w:rsidR="00365A79" w:rsidRDefault="00365A79" w:rsidP="006727F1">
      <w:r>
        <w:t xml:space="preserve">As a whole, the key issues discussed with relation to approaching the study of ritual practice are largely different to what they were when the </w:t>
      </w:r>
      <w:r w:rsidR="004C3E06">
        <w:t>field first shifted focus to ritual. There are still issues with conflicting or restricting theories, but following bells work in tackling these problems we have a much more solid foundation to explore ritual from. It is understood that universal theories are not the way to go but that they do have some basis in the truth, that truth may just be more niche than all of ritual practice.</w:t>
      </w:r>
      <w:r>
        <w:t xml:space="preserve"> </w:t>
      </w:r>
      <w:r w:rsidR="004C3E06">
        <w:t xml:space="preserve">Thanks to </w:t>
      </w:r>
      <w:proofErr w:type="spellStart"/>
      <w:r w:rsidR="004C3E06">
        <w:t>Geertz</w:t>
      </w:r>
      <w:proofErr w:type="spellEnd"/>
      <w:r w:rsidR="004C3E06">
        <w:t xml:space="preserve"> and Miner the issues around wring ethnography have been thrown in to the spotlight, and we now have method and regulation that ensures we avoid problems like exoticism that could impair an otherwise representative study of ritual. the way to progress now may be to collect more ethnographic data and work towards further categorising theory, so we can be sure our study is more reliable, and our writing as authentic as possible.</w:t>
      </w:r>
    </w:p>
    <w:p w:rsidR="00E858A0" w:rsidRDefault="004C3E06" w:rsidP="00E858A0">
      <w:r>
        <w:t>Word Count: 1981</w:t>
      </w:r>
    </w:p>
    <w:p w:rsidR="00872DA2" w:rsidRDefault="00872DA2" w:rsidP="00E858A0"/>
    <w:p w:rsidR="00872DA2" w:rsidRDefault="00872DA2" w:rsidP="00E858A0">
      <w:r>
        <w:t>References</w:t>
      </w:r>
    </w:p>
    <w:p w:rsidR="00872DA2" w:rsidRPr="00872DA2" w:rsidRDefault="00872DA2" w:rsidP="00872DA2">
      <w:pPr>
        <w:spacing w:line="240" w:lineRule="auto"/>
        <w:rPr>
          <w:rFonts w:eastAsia="Times New Roman" w:cstheme="minorHAnsi"/>
          <w:lang w:eastAsia="en-GB"/>
        </w:rPr>
      </w:pPr>
      <w:r w:rsidRPr="00872DA2">
        <w:rPr>
          <w:rFonts w:eastAsia="Times New Roman" w:cstheme="minorHAnsi"/>
          <w:lang w:eastAsia="en-GB"/>
        </w:rPr>
        <w:t xml:space="preserve">Bell, C.M. 1992. </w:t>
      </w:r>
      <w:r w:rsidRPr="00872DA2">
        <w:rPr>
          <w:rFonts w:eastAsia="Times New Roman" w:cstheme="minorHAnsi"/>
          <w:i/>
          <w:iCs/>
          <w:lang w:eastAsia="en-GB"/>
        </w:rPr>
        <w:t>Ritual theory, ritual practice</w:t>
      </w:r>
      <w:r w:rsidRPr="00872DA2">
        <w:rPr>
          <w:rFonts w:eastAsia="Times New Roman" w:cstheme="minorHAnsi"/>
          <w:lang w:eastAsia="en-GB"/>
        </w:rPr>
        <w:t>. New York ; Oxford: Oxford University Press.</w:t>
      </w:r>
    </w:p>
    <w:p w:rsidR="00074C55" w:rsidRPr="00872DA2" w:rsidRDefault="00074C55" w:rsidP="00074C55">
      <w:pPr>
        <w:spacing w:line="240" w:lineRule="auto"/>
        <w:rPr>
          <w:rFonts w:eastAsia="Times New Roman" w:cstheme="minorHAnsi"/>
          <w:lang w:eastAsia="en-GB"/>
        </w:rPr>
      </w:pPr>
      <w:proofErr w:type="spellStart"/>
      <w:r w:rsidRPr="00872DA2">
        <w:rPr>
          <w:rFonts w:eastAsia="Times New Roman" w:cstheme="minorHAnsi"/>
          <w:lang w:eastAsia="en-GB"/>
        </w:rPr>
        <w:t>Eriksen</w:t>
      </w:r>
      <w:proofErr w:type="spellEnd"/>
      <w:r>
        <w:rPr>
          <w:rFonts w:eastAsia="Times New Roman" w:cstheme="minorHAnsi"/>
          <w:lang w:eastAsia="en-GB"/>
        </w:rPr>
        <w:t>, T.H.</w:t>
      </w:r>
      <w:r w:rsidRPr="00872DA2">
        <w:rPr>
          <w:rFonts w:eastAsia="Times New Roman" w:cstheme="minorHAnsi"/>
          <w:lang w:eastAsia="en-GB"/>
        </w:rPr>
        <w:t xml:space="preserve"> 2001. </w:t>
      </w:r>
      <w:r w:rsidRPr="00872DA2">
        <w:rPr>
          <w:rFonts w:eastAsia="Times New Roman" w:cstheme="minorHAnsi"/>
          <w:i/>
          <w:iCs/>
          <w:lang w:eastAsia="en-GB"/>
        </w:rPr>
        <w:t>Small places, large issues: an introduction to social and cultural anthropology</w:t>
      </w:r>
      <w:r w:rsidRPr="00872DA2">
        <w:rPr>
          <w:rFonts w:eastAsia="Times New Roman" w:cstheme="minorHAnsi"/>
          <w:lang w:eastAsia="en-GB"/>
        </w:rPr>
        <w:t>. 2nd ed. London: Pluto Press.</w:t>
      </w:r>
    </w:p>
    <w:p w:rsidR="00711D23" w:rsidRDefault="00711D23" w:rsidP="00711D23">
      <w:proofErr w:type="spellStart"/>
      <w:r>
        <w:t>Geertz</w:t>
      </w:r>
      <w:proofErr w:type="spellEnd"/>
      <w:r>
        <w:t xml:space="preserve">, C. 1973. </w:t>
      </w:r>
      <w:r>
        <w:rPr>
          <w:i/>
          <w:iCs/>
        </w:rPr>
        <w:t>The Interpretation Of Cultures</w:t>
      </w:r>
      <w:r>
        <w:t>. Basic Books.</w:t>
      </w:r>
    </w:p>
    <w:p w:rsidR="00872DA2" w:rsidRPr="00872DA2" w:rsidRDefault="00711D23" w:rsidP="00711D23">
      <w:pPr>
        <w:spacing w:line="240" w:lineRule="auto"/>
        <w:rPr>
          <w:rFonts w:eastAsia="Times New Roman" w:cstheme="minorHAnsi"/>
          <w:lang w:eastAsia="en-GB"/>
        </w:rPr>
      </w:pPr>
      <w:r w:rsidRPr="00872DA2">
        <w:rPr>
          <w:rFonts w:eastAsia="Times New Roman" w:cstheme="minorHAnsi"/>
          <w:lang w:eastAsia="en-GB"/>
        </w:rPr>
        <w:t xml:space="preserve"> </w:t>
      </w:r>
      <w:r w:rsidR="00872DA2" w:rsidRPr="00872DA2">
        <w:rPr>
          <w:rFonts w:eastAsia="Times New Roman" w:cstheme="minorHAnsi"/>
          <w:lang w:eastAsia="en-GB"/>
        </w:rPr>
        <w:t xml:space="preserve">Graham-White, A. and Turner, V.W. 1975. The Ritual Process: Structure and Anti-Structure. </w:t>
      </w:r>
      <w:r w:rsidR="00872DA2" w:rsidRPr="00872DA2">
        <w:rPr>
          <w:rFonts w:eastAsia="Times New Roman" w:cstheme="minorHAnsi"/>
          <w:i/>
          <w:iCs/>
          <w:lang w:eastAsia="en-GB"/>
        </w:rPr>
        <w:t>Educational Theatre Journal</w:t>
      </w:r>
      <w:r w:rsidR="00872DA2" w:rsidRPr="00872DA2">
        <w:rPr>
          <w:rFonts w:eastAsia="Times New Roman" w:cstheme="minorHAnsi"/>
          <w:lang w:eastAsia="en-GB"/>
        </w:rPr>
        <w:t xml:space="preserve"> 27(4), p. 565. </w:t>
      </w:r>
      <w:proofErr w:type="spellStart"/>
      <w:r w:rsidR="00872DA2" w:rsidRPr="00872DA2">
        <w:rPr>
          <w:rFonts w:eastAsia="Times New Roman" w:cstheme="minorHAnsi"/>
          <w:lang w:eastAsia="en-GB"/>
        </w:rPr>
        <w:t>doi</w:t>
      </w:r>
      <w:proofErr w:type="spellEnd"/>
      <w:r w:rsidR="00872DA2" w:rsidRPr="00872DA2">
        <w:rPr>
          <w:rFonts w:eastAsia="Times New Roman" w:cstheme="minorHAnsi"/>
          <w:lang w:eastAsia="en-GB"/>
        </w:rPr>
        <w:t xml:space="preserve">: </w:t>
      </w:r>
      <w:hyperlink r:id="rId5" w:history="1">
        <w:r w:rsidR="00872DA2" w:rsidRPr="00872DA2">
          <w:rPr>
            <w:rFonts w:eastAsia="Times New Roman" w:cstheme="minorHAnsi"/>
            <w:color w:val="0000FF"/>
            <w:u w:val="single"/>
            <w:lang w:eastAsia="en-GB"/>
          </w:rPr>
          <w:t>10.2307/3206410</w:t>
        </w:r>
      </w:hyperlink>
      <w:r w:rsidR="00872DA2" w:rsidRPr="00872DA2">
        <w:rPr>
          <w:rFonts w:eastAsia="Times New Roman" w:cstheme="minorHAnsi"/>
          <w:lang w:eastAsia="en-GB"/>
        </w:rPr>
        <w:t>.</w:t>
      </w:r>
    </w:p>
    <w:p w:rsidR="00F35707" w:rsidRDefault="00F35707" w:rsidP="00F35707">
      <w:proofErr w:type="spellStart"/>
      <w:r>
        <w:t>Herdt</w:t>
      </w:r>
      <w:proofErr w:type="spellEnd"/>
      <w:r>
        <w:t xml:space="preserve">, G.H. 1987. </w:t>
      </w:r>
      <w:r>
        <w:rPr>
          <w:i/>
          <w:iCs/>
        </w:rPr>
        <w:t xml:space="preserve">The </w:t>
      </w:r>
      <w:proofErr w:type="spellStart"/>
      <w:r>
        <w:rPr>
          <w:i/>
          <w:iCs/>
        </w:rPr>
        <w:t>Sambia</w:t>
      </w:r>
      <w:proofErr w:type="spellEnd"/>
      <w:r>
        <w:rPr>
          <w:i/>
          <w:iCs/>
        </w:rPr>
        <w:t>: ritual and gender in New Guinea</w:t>
      </w:r>
      <w:r>
        <w:t>. Holt, Rinehart and Winston.</w:t>
      </w:r>
    </w:p>
    <w:p w:rsidR="00872DA2" w:rsidRPr="00872DA2" w:rsidRDefault="00F35707" w:rsidP="00F35707">
      <w:pPr>
        <w:spacing w:line="240" w:lineRule="auto"/>
        <w:rPr>
          <w:rFonts w:eastAsia="Times New Roman" w:cstheme="minorHAnsi"/>
          <w:lang w:eastAsia="en-GB"/>
        </w:rPr>
      </w:pPr>
      <w:r>
        <w:rPr>
          <w:rFonts w:eastAsia="Times New Roman" w:cstheme="minorHAnsi"/>
          <w:lang w:eastAsia="en-GB"/>
        </w:rPr>
        <w:t xml:space="preserve"> </w:t>
      </w:r>
      <w:r w:rsidR="00711D23">
        <w:rPr>
          <w:rFonts w:eastAsia="Times New Roman" w:cstheme="minorHAnsi"/>
          <w:lang w:eastAsia="en-GB"/>
        </w:rPr>
        <w:t xml:space="preserve">Miner, H. 1956. </w:t>
      </w:r>
      <w:r w:rsidR="00711D23" w:rsidRPr="00872DA2">
        <w:rPr>
          <w:rFonts w:eastAsia="Times New Roman" w:cstheme="minorHAnsi"/>
          <w:lang w:eastAsia="en-GB"/>
        </w:rPr>
        <w:t xml:space="preserve"> </w:t>
      </w:r>
      <w:r w:rsidR="00711D23" w:rsidRPr="00711D23">
        <w:rPr>
          <w:rFonts w:eastAsia="Times New Roman" w:cstheme="minorHAnsi"/>
          <w:i/>
          <w:lang w:eastAsia="en-GB"/>
        </w:rPr>
        <w:t xml:space="preserve">Body Ritual Among The </w:t>
      </w:r>
      <w:proofErr w:type="spellStart"/>
      <w:r w:rsidR="00711D23" w:rsidRPr="00711D23">
        <w:rPr>
          <w:rFonts w:eastAsia="Times New Roman" w:cstheme="minorHAnsi"/>
          <w:i/>
          <w:lang w:eastAsia="en-GB"/>
        </w:rPr>
        <w:t>Nacirema</w:t>
      </w:r>
      <w:proofErr w:type="spellEnd"/>
      <w:r w:rsidR="00872DA2" w:rsidRPr="00872DA2">
        <w:rPr>
          <w:rFonts w:eastAsia="Times New Roman" w:cstheme="minorHAnsi"/>
          <w:lang w:eastAsia="en-GB"/>
        </w:rPr>
        <w:t xml:space="preserve">. Available at: </w:t>
      </w:r>
      <w:hyperlink r:id="rId6" w:history="1">
        <w:r w:rsidR="00872DA2" w:rsidRPr="00872DA2">
          <w:rPr>
            <w:rFonts w:eastAsia="Times New Roman" w:cstheme="minorHAnsi"/>
            <w:color w:val="0000FF"/>
            <w:u w:val="single"/>
            <w:lang w:eastAsia="en-GB"/>
          </w:rPr>
          <w:t>https://www.sfu.ca/~palys/Miner-1956-BodyRitualAmongTheNacirema.pdf</w:t>
        </w:r>
      </w:hyperlink>
      <w:r w:rsidR="00872DA2" w:rsidRPr="00872DA2">
        <w:rPr>
          <w:rFonts w:eastAsia="Times New Roman" w:cstheme="minorHAnsi"/>
          <w:lang w:eastAsia="en-GB"/>
        </w:rPr>
        <w:t xml:space="preserve"> [Accessed: 20 February 2018].</w:t>
      </w:r>
    </w:p>
    <w:p w:rsidR="00711D23" w:rsidRDefault="00711D23" w:rsidP="00711D23">
      <w:r>
        <w:t xml:space="preserve">Marshall, D.A. 2002. </w:t>
      </w:r>
      <w:proofErr w:type="spellStart"/>
      <w:r>
        <w:t>Behavior</w:t>
      </w:r>
      <w:proofErr w:type="spellEnd"/>
      <w:r>
        <w:t xml:space="preserve">, Belonging, and Belief: A Theory of Ritual Practice. </w:t>
      </w:r>
      <w:r>
        <w:rPr>
          <w:i/>
          <w:iCs/>
        </w:rPr>
        <w:t>Sociological Theory</w:t>
      </w:r>
      <w:r>
        <w:t xml:space="preserve"> 20(3), pp. 360–380.</w:t>
      </w:r>
    </w:p>
    <w:p w:rsidR="00093DD4" w:rsidRDefault="00093DD4" w:rsidP="00093DD4">
      <w:r>
        <w:t xml:space="preserve">Turnbull, C.M. 1962. </w:t>
      </w:r>
      <w:r>
        <w:rPr>
          <w:i/>
          <w:iCs/>
        </w:rPr>
        <w:t>The forest people</w:t>
      </w:r>
      <w:r>
        <w:t xml:space="preserve">. New York : Simon and Schuster. Available at: </w:t>
      </w:r>
      <w:hyperlink r:id="rId7" w:history="1">
        <w:r>
          <w:rPr>
            <w:rStyle w:val="Hyperlink"/>
          </w:rPr>
          <w:t>http://archive.org/details/forestpeople00turn</w:t>
        </w:r>
      </w:hyperlink>
      <w:r>
        <w:t xml:space="preserve"> [Accessed: 25 March 2018].</w:t>
      </w:r>
    </w:p>
    <w:p w:rsidR="00054D94" w:rsidRPr="00054D94" w:rsidRDefault="00093DD4" w:rsidP="00093DD4">
      <w:pPr>
        <w:spacing w:after="0" w:line="240" w:lineRule="auto"/>
        <w:rPr>
          <w:rFonts w:eastAsia="Times New Roman" w:cstheme="minorHAnsi"/>
          <w:szCs w:val="24"/>
          <w:lang w:eastAsia="en-GB"/>
        </w:rPr>
      </w:pPr>
      <w:r w:rsidRPr="00054D94">
        <w:rPr>
          <w:rFonts w:eastAsia="Times New Roman" w:cstheme="minorHAnsi"/>
          <w:szCs w:val="24"/>
          <w:lang w:eastAsia="en-GB"/>
        </w:rPr>
        <w:t xml:space="preserve"> </w:t>
      </w:r>
      <w:r w:rsidR="00054D94" w:rsidRPr="00054D94">
        <w:rPr>
          <w:rFonts w:eastAsia="Times New Roman" w:cstheme="minorHAnsi"/>
          <w:szCs w:val="24"/>
          <w:lang w:eastAsia="en-GB"/>
        </w:rPr>
        <w:t xml:space="preserve">Turner, V. 1970. Symbols in </w:t>
      </w:r>
      <w:proofErr w:type="spellStart"/>
      <w:r w:rsidR="00054D94" w:rsidRPr="00054D94">
        <w:rPr>
          <w:rFonts w:eastAsia="Times New Roman" w:cstheme="minorHAnsi"/>
          <w:szCs w:val="24"/>
          <w:lang w:eastAsia="en-GB"/>
        </w:rPr>
        <w:t>Ndembu</w:t>
      </w:r>
      <w:proofErr w:type="spellEnd"/>
      <w:r w:rsidR="00054D94" w:rsidRPr="00054D94">
        <w:rPr>
          <w:rFonts w:eastAsia="Times New Roman" w:cstheme="minorHAnsi"/>
          <w:szCs w:val="24"/>
          <w:lang w:eastAsia="en-GB"/>
        </w:rPr>
        <w:t xml:space="preserve"> Ritual. In: </w:t>
      </w:r>
      <w:r w:rsidR="00054D94" w:rsidRPr="00054D94">
        <w:rPr>
          <w:rFonts w:eastAsia="Times New Roman" w:cstheme="minorHAnsi"/>
          <w:i/>
          <w:iCs/>
          <w:szCs w:val="24"/>
          <w:lang w:eastAsia="en-GB"/>
        </w:rPr>
        <w:t>Sociological Theory and Philosophical Analysis</w:t>
      </w:r>
      <w:r w:rsidR="00054D94" w:rsidRPr="00054D94">
        <w:rPr>
          <w:rFonts w:eastAsia="Times New Roman" w:cstheme="minorHAnsi"/>
          <w:szCs w:val="24"/>
          <w:lang w:eastAsia="en-GB"/>
        </w:rPr>
        <w:t xml:space="preserve">. Palgrave Macmillan, London, pp. 150–182. Available at: </w:t>
      </w:r>
      <w:hyperlink r:id="rId8" w:history="1">
        <w:r w:rsidR="00054D94" w:rsidRPr="00054D94">
          <w:rPr>
            <w:rFonts w:eastAsia="Times New Roman" w:cstheme="minorHAnsi"/>
            <w:color w:val="0000FF"/>
            <w:szCs w:val="24"/>
            <w:u w:val="single"/>
            <w:lang w:eastAsia="en-GB"/>
          </w:rPr>
          <w:t>https://link.springer.com/chapter/10.1007/978-1-349-15388-6_8</w:t>
        </w:r>
      </w:hyperlink>
      <w:r w:rsidR="00054D94" w:rsidRPr="00054D94">
        <w:rPr>
          <w:rFonts w:eastAsia="Times New Roman" w:cstheme="minorHAnsi"/>
          <w:szCs w:val="24"/>
          <w:lang w:eastAsia="en-GB"/>
        </w:rPr>
        <w:t xml:space="preserve"> [Accessed: 25 March 2018].</w:t>
      </w:r>
    </w:p>
    <w:p w:rsidR="00054D94" w:rsidRDefault="00054D94" w:rsidP="00711D23"/>
    <w:p w:rsidR="00711D23" w:rsidRPr="00872DA2" w:rsidRDefault="00711D23" w:rsidP="004C3E06">
      <w:pPr>
        <w:spacing w:after="0" w:line="240" w:lineRule="auto"/>
        <w:rPr>
          <w:rFonts w:eastAsia="Times New Roman" w:cstheme="minorHAnsi"/>
          <w:szCs w:val="24"/>
          <w:lang w:eastAsia="en-GB"/>
        </w:rPr>
      </w:pPr>
      <w:r w:rsidRPr="00711D23">
        <w:rPr>
          <w:rFonts w:eastAsia="Times New Roman" w:cstheme="minorHAnsi"/>
          <w:szCs w:val="24"/>
          <w:lang w:eastAsia="en-GB"/>
        </w:rPr>
        <w:t xml:space="preserve">Van </w:t>
      </w:r>
      <w:proofErr w:type="spellStart"/>
      <w:r w:rsidRPr="00711D23">
        <w:rPr>
          <w:rFonts w:eastAsia="Times New Roman" w:cstheme="minorHAnsi"/>
          <w:szCs w:val="24"/>
          <w:lang w:eastAsia="en-GB"/>
        </w:rPr>
        <w:t>Maanen</w:t>
      </w:r>
      <w:proofErr w:type="spellEnd"/>
      <w:r>
        <w:rPr>
          <w:rFonts w:eastAsia="Times New Roman" w:cstheme="minorHAnsi"/>
          <w:szCs w:val="24"/>
          <w:lang w:eastAsia="en-GB"/>
        </w:rPr>
        <w:t>, J.</w:t>
      </w:r>
      <w:r w:rsidRPr="00711D23">
        <w:rPr>
          <w:rFonts w:eastAsia="Times New Roman" w:cstheme="minorHAnsi"/>
          <w:szCs w:val="24"/>
          <w:lang w:eastAsia="en-GB"/>
        </w:rPr>
        <w:t xml:space="preserve"> 1995. </w:t>
      </w:r>
      <w:r w:rsidRPr="00711D23">
        <w:rPr>
          <w:rFonts w:eastAsia="Times New Roman" w:cstheme="minorHAnsi"/>
          <w:i/>
          <w:iCs/>
          <w:szCs w:val="24"/>
          <w:lang w:eastAsia="en-GB"/>
        </w:rPr>
        <w:t>Representation in ethnography.</w:t>
      </w:r>
      <w:r w:rsidRPr="00711D23">
        <w:rPr>
          <w:rFonts w:eastAsia="Times New Roman" w:cstheme="minorHAnsi"/>
          <w:szCs w:val="24"/>
          <w:lang w:eastAsia="en-GB"/>
        </w:rPr>
        <w:t xml:space="preserve"> Sage Publications.</w:t>
      </w:r>
    </w:p>
    <w:sectPr w:rsidR="00711D23" w:rsidRPr="00872DA2" w:rsidSect="009B036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5"/>
  <w:proofState w:spelling="clean"/>
  <w:defaultTabStop w:val="720"/>
  <w:characterSpacingControl w:val="doNotCompress"/>
  <w:compat/>
  <w:rsids>
    <w:rsidRoot w:val="00F94F4C"/>
    <w:rsid w:val="00036DFF"/>
    <w:rsid w:val="00054D94"/>
    <w:rsid w:val="00056F0E"/>
    <w:rsid w:val="00074C55"/>
    <w:rsid w:val="00093B0A"/>
    <w:rsid w:val="00093DD4"/>
    <w:rsid w:val="000B32AE"/>
    <w:rsid w:val="000C27F4"/>
    <w:rsid w:val="000E1C66"/>
    <w:rsid w:val="00160E4C"/>
    <w:rsid w:val="00167C47"/>
    <w:rsid w:val="001A726C"/>
    <w:rsid w:val="001B7D01"/>
    <w:rsid w:val="001D1E16"/>
    <w:rsid w:val="001E6D39"/>
    <w:rsid w:val="002303A4"/>
    <w:rsid w:val="00246259"/>
    <w:rsid w:val="00285FA2"/>
    <w:rsid w:val="002905A6"/>
    <w:rsid w:val="00340060"/>
    <w:rsid w:val="00355D70"/>
    <w:rsid w:val="00357409"/>
    <w:rsid w:val="00361A1E"/>
    <w:rsid w:val="00365A79"/>
    <w:rsid w:val="0037560E"/>
    <w:rsid w:val="003806BA"/>
    <w:rsid w:val="003952F1"/>
    <w:rsid w:val="003A3BF5"/>
    <w:rsid w:val="003E3861"/>
    <w:rsid w:val="003F79C3"/>
    <w:rsid w:val="004576B1"/>
    <w:rsid w:val="004B472C"/>
    <w:rsid w:val="004C3E06"/>
    <w:rsid w:val="004D77DD"/>
    <w:rsid w:val="004F4D4D"/>
    <w:rsid w:val="00501ABA"/>
    <w:rsid w:val="00511924"/>
    <w:rsid w:val="005225F2"/>
    <w:rsid w:val="005360D6"/>
    <w:rsid w:val="005703F7"/>
    <w:rsid w:val="005877BA"/>
    <w:rsid w:val="00597289"/>
    <w:rsid w:val="005A098A"/>
    <w:rsid w:val="005D30EA"/>
    <w:rsid w:val="006208F3"/>
    <w:rsid w:val="006727F1"/>
    <w:rsid w:val="006A61D3"/>
    <w:rsid w:val="006C2AC0"/>
    <w:rsid w:val="007064BC"/>
    <w:rsid w:val="00711D23"/>
    <w:rsid w:val="0076227A"/>
    <w:rsid w:val="007B7DE7"/>
    <w:rsid w:val="007F64D8"/>
    <w:rsid w:val="00872DA2"/>
    <w:rsid w:val="008D6B8C"/>
    <w:rsid w:val="008E046D"/>
    <w:rsid w:val="008E2D59"/>
    <w:rsid w:val="008E2E4B"/>
    <w:rsid w:val="008E34E0"/>
    <w:rsid w:val="009411C9"/>
    <w:rsid w:val="00994A57"/>
    <w:rsid w:val="009B0369"/>
    <w:rsid w:val="009E358A"/>
    <w:rsid w:val="00A0608F"/>
    <w:rsid w:val="00A06FF9"/>
    <w:rsid w:val="00A2491B"/>
    <w:rsid w:val="00AA6FCE"/>
    <w:rsid w:val="00AB3B3D"/>
    <w:rsid w:val="00AC73FA"/>
    <w:rsid w:val="00AD3418"/>
    <w:rsid w:val="00AD4F34"/>
    <w:rsid w:val="00AD53F3"/>
    <w:rsid w:val="00AD58E5"/>
    <w:rsid w:val="00AF047B"/>
    <w:rsid w:val="00B500C1"/>
    <w:rsid w:val="00B750BE"/>
    <w:rsid w:val="00BD440E"/>
    <w:rsid w:val="00C40B53"/>
    <w:rsid w:val="00C71129"/>
    <w:rsid w:val="00CD322C"/>
    <w:rsid w:val="00CE7FA2"/>
    <w:rsid w:val="00D0362C"/>
    <w:rsid w:val="00D37EB3"/>
    <w:rsid w:val="00D43903"/>
    <w:rsid w:val="00D64FA0"/>
    <w:rsid w:val="00D93A38"/>
    <w:rsid w:val="00DD648D"/>
    <w:rsid w:val="00DE06A5"/>
    <w:rsid w:val="00DF3762"/>
    <w:rsid w:val="00DF77D9"/>
    <w:rsid w:val="00E3168B"/>
    <w:rsid w:val="00E5097D"/>
    <w:rsid w:val="00E51AB9"/>
    <w:rsid w:val="00E73299"/>
    <w:rsid w:val="00E858A0"/>
    <w:rsid w:val="00EB23C0"/>
    <w:rsid w:val="00EC611F"/>
    <w:rsid w:val="00F052BF"/>
    <w:rsid w:val="00F10AB1"/>
    <w:rsid w:val="00F25118"/>
    <w:rsid w:val="00F35707"/>
    <w:rsid w:val="00F47936"/>
    <w:rsid w:val="00F545E8"/>
    <w:rsid w:val="00F81BBA"/>
    <w:rsid w:val="00F94F4C"/>
    <w:rsid w:val="00FA252A"/>
    <w:rsid w:val="00FA2BB5"/>
    <w:rsid w:val="00FD12B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0369"/>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58A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858A0"/>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semiHidden/>
    <w:unhideWhenUsed/>
    <w:rsid w:val="00872DA2"/>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262226959">
      <w:bodyDiv w:val="1"/>
      <w:marLeft w:val="0"/>
      <w:marRight w:val="0"/>
      <w:marTop w:val="0"/>
      <w:marBottom w:val="0"/>
      <w:divBdr>
        <w:top w:val="none" w:sz="0" w:space="0" w:color="auto"/>
        <w:left w:val="none" w:sz="0" w:space="0" w:color="auto"/>
        <w:bottom w:val="none" w:sz="0" w:space="0" w:color="auto"/>
        <w:right w:val="none" w:sz="0" w:space="0" w:color="auto"/>
      </w:divBdr>
      <w:divsChild>
        <w:div w:id="1189176924">
          <w:marLeft w:val="0"/>
          <w:marRight w:val="0"/>
          <w:marTop w:val="0"/>
          <w:marBottom w:val="0"/>
          <w:divBdr>
            <w:top w:val="none" w:sz="0" w:space="0" w:color="auto"/>
            <w:left w:val="none" w:sz="0" w:space="0" w:color="auto"/>
            <w:bottom w:val="none" w:sz="0" w:space="0" w:color="auto"/>
            <w:right w:val="none" w:sz="0" w:space="0" w:color="auto"/>
          </w:divBdr>
        </w:div>
        <w:div w:id="265961394">
          <w:marLeft w:val="0"/>
          <w:marRight w:val="0"/>
          <w:marTop w:val="0"/>
          <w:marBottom w:val="0"/>
          <w:divBdr>
            <w:top w:val="none" w:sz="0" w:space="0" w:color="auto"/>
            <w:left w:val="none" w:sz="0" w:space="0" w:color="auto"/>
            <w:bottom w:val="none" w:sz="0" w:space="0" w:color="auto"/>
            <w:right w:val="none" w:sz="0" w:space="0" w:color="auto"/>
          </w:divBdr>
        </w:div>
        <w:div w:id="869104277">
          <w:marLeft w:val="0"/>
          <w:marRight w:val="0"/>
          <w:marTop w:val="0"/>
          <w:marBottom w:val="0"/>
          <w:divBdr>
            <w:top w:val="none" w:sz="0" w:space="0" w:color="auto"/>
            <w:left w:val="none" w:sz="0" w:space="0" w:color="auto"/>
            <w:bottom w:val="none" w:sz="0" w:space="0" w:color="auto"/>
            <w:right w:val="none" w:sz="0" w:space="0" w:color="auto"/>
          </w:divBdr>
        </w:div>
        <w:div w:id="1338339062">
          <w:marLeft w:val="0"/>
          <w:marRight w:val="0"/>
          <w:marTop w:val="0"/>
          <w:marBottom w:val="0"/>
          <w:divBdr>
            <w:top w:val="none" w:sz="0" w:space="0" w:color="auto"/>
            <w:left w:val="none" w:sz="0" w:space="0" w:color="auto"/>
            <w:bottom w:val="none" w:sz="0" w:space="0" w:color="auto"/>
            <w:right w:val="none" w:sz="0" w:space="0" w:color="auto"/>
          </w:divBdr>
        </w:div>
        <w:div w:id="2119983427">
          <w:marLeft w:val="0"/>
          <w:marRight w:val="0"/>
          <w:marTop w:val="0"/>
          <w:marBottom w:val="0"/>
          <w:divBdr>
            <w:top w:val="none" w:sz="0" w:space="0" w:color="auto"/>
            <w:left w:val="none" w:sz="0" w:space="0" w:color="auto"/>
            <w:bottom w:val="none" w:sz="0" w:space="0" w:color="auto"/>
            <w:right w:val="none" w:sz="0" w:space="0" w:color="auto"/>
          </w:divBdr>
        </w:div>
        <w:div w:id="1963799481">
          <w:marLeft w:val="0"/>
          <w:marRight w:val="0"/>
          <w:marTop w:val="0"/>
          <w:marBottom w:val="0"/>
          <w:divBdr>
            <w:top w:val="none" w:sz="0" w:space="0" w:color="auto"/>
            <w:left w:val="none" w:sz="0" w:space="0" w:color="auto"/>
            <w:bottom w:val="none" w:sz="0" w:space="0" w:color="auto"/>
            <w:right w:val="none" w:sz="0" w:space="0" w:color="auto"/>
          </w:divBdr>
        </w:div>
        <w:div w:id="1769689497">
          <w:marLeft w:val="0"/>
          <w:marRight w:val="0"/>
          <w:marTop w:val="0"/>
          <w:marBottom w:val="0"/>
          <w:divBdr>
            <w:top w:val="none" w:sz="0" w:space="0" w:color="auto"/>
            <w:left w:val="none" w:sz="0" w:space="0" w:color="auto"/>
            <w:bottom w:val="none" w:sz="0" w:space="0" w:color="auto"/>
            <w:right w:val="none" w:sz="0" w:space="0" w:color="auto"/>
          </w:divBdr>
        </w:div>
        <w:div w:id="1777480735">
          <w:marLeft w:val="0"/>
          <w:marRight w:val="0"/>
          <w:marTop w:val="0"/>
          <w:marBottom w:val="0"/>
          <w:divBdr>
            <w:top w:val="none" w:sz="0" w:space="0" w:color="auto"/>
            <w:left w:val="none" w:sz="0" w:space="0" w:color="auto"/>
            <w:bottom w:val="none" w:sz="0" w:space="0" w:color="auto"/>
            <w:right w:val="none" w:sz="0" w:space="0" w:color="auto"/>
          </w:divBdr>
        </w:div>
        <w:div w:id="850030488">
          <w:marLeft w:val="0"/>
          <w:marRight w:val="0"/>
          <w:marTop w:val="0"/>
          <w:marBottom w:val="0"/>
          <w:divBdr>
            <w:top w:val="none" w:sz="0" w:space="0" w:color="auto"/>
            <w:left w:val="none" w:sz="0" w:space="0" w:color="auto"/>
            <w:bottom w:val="none" w:sz="0" w:space="0" w:color="auto"/>
            <w:right w:val="none" w:sz="0" w:space="0" w:color="auto"/>
          </w:divBdr>
        </w:div>
        <w:div w:id="1287002389">
          <w:marLeft w:val="0"/>
          <w:marRight w:val="0"/>
          <w:marTop w:val="0"/>
          <w:marBottom w:val="0"/>
          <w:divBdr>
            <w:top w:val="none" w:sz="0" w:space="0" w:color="auto"/>
            <w:left w:val="none" w:sz="0" w:space="0" w:color="auto"/>
            <w:bottom w:val="none" w:sz="0" w:space="0" w:color="auto"/>
            <w:right w:val="none" w:sz="0" w:space="0" w:color="auto"/>
          </w:divBdr>
        </w:div>
        <w:div w:id="1379091788">
          <w:marLeft w:val="0"/>
          <w:marRight w:val="0"/>
          <w:marTop w:val="0"/>
          <w:marBottom w:val="0"/>
          <w:divBdr>
            <w:top w:val="none" w:sz="0" w:space="0" w:color="auto"/>
            <w:left w:val="none" w:sz="0" w:space="0" w:color="auto"/>
            <w:bottom w:val="none" w:sz="0" w:space="0" w:color="auto"/>
            <w:right w:val="none" w:sz="0" w:space="0" w:color="auto"/>
          </w:divBdr>
        </w:div>
        <w:div w:id="367533981">
          <w:marLeft w:val="0"/>
          <w:marRight w:val="0"/>
          <w:marTop w:val="0"/>
          <w:marBottom w:val="0"/>
          <w:divBdr>
            <w:top w:val="none" w:sz="0" w:space="0" w:color="auto"/>
            <w:left w:val="none" w:sz="0" w:space="0" w:color="auto"/>
            <w:bottom w:val="none" w:sz="0" w:space="0" w:color="auto"/>
            <w:right w:val="none" w:sz="0" w:space="0" w:color="auto"/>
          </w:divBdr>
        </w:div>
        <w:div w:id="1350985410">
          <w:marLeft w:val="0"/>
          <w:marRight w:val="0"/>
          <w:marTop w:val="0"/>
          <w:marBottom w:val="0"/>
          <w:divBdr>
            <w:top w:val="none" w:sz="0" w:space="0" w:color="auto"/>
            <w:left w:val="none" w:sz="0" w:space="0" w:color="auto"/>
            <w:bottom w:val="none" w:sz="0" w:space="0" w:color="auto"/>
            <w:right w:val="none" w:sz="0" w:space="0" w:color="auto"/>
          </w:divBdr>
        </w:div>
        <w:div w:id="1237596883">
          <w:marLeft w:val="0"/>
          <w:marRight w:val="0"/>
          <w:marTop w:val="0"/>
          <w:marBottom w:val="0"/>
          <w:divBdr>
            <w:top w:val="none" w:sz="0" w:space="0" w:color="auto"/>
            <w:left w:val="none" w:sz="0" w:space="0" w:color="auto"/>
            <w:bottom w:val="none" w:sz="0" w:space="0" w:color="auto"/>
            <w:right w:val="none" w:sz="0" w:space="0" w:color="auto"/>
          </w:divBdr>
        </w:div>
        <w:div w:id="1466198119">
          <w:marLeft w:val="0"/>
          <w:marRight w:val="0"/>
          <w:marTop w:val="0"/>
          <w:marBottom w:val="0"/>
          <w:divBdr>
            <w:top w:val="none" w:sz="0" w:space="0" w:color="auto"/>
            <w:left w:val="none" w:sz="0" w:space="0" w:color="auto"/>
            <w:bottom w:val="none" w:sz="0" w:space="0" w:color="auto"/>
            <w:right w:val="none" w:sz="0" w:space="0" w:color="auto"/>
          </w:divBdr>
        </w:div>
        <w:div w:id="1627657647">
          <w:marLeft w:val="0"/>
          <w:marRight w:val="0"/>
          <w:marTop w:val="0"/>
          <w:marBottom w:val="0"/>
          <w:divBdr>
            <w:top w:val="none" w:sz="0" w:space="0" w:color="auto"/>
            <w:left w:val="none" w:sz="0" w:space="0" w:color="auto"/>
            <w:bottom w:val="none" w:sz="0" w:space="0" w:color="auto"/>
            <w:right w:val="none" w:sz="0" w:space="0" w:color="auto"/>
          </w:divBdr>
        </w:div>
        <w:div w:id="1653874257">
          <w:marLeft w:val="0"/>
          <w:marRight w:val="0"/>
          <w:marTop w:val="0"/>
          <w:marBottom w:val="0"/>
          <w:divBdr>
            <w:top w:val="none" w:sz="0" w:space="0" w:color="auto"/>
            <w:left w:val="none" w:sz="0" w:space="0" w:color="auto"/>
            <w:bottom w:val="none" w:sz="0" w:space="0" w:color="auto"/>
            <w:right w:val="none" w:sz="0" w:space="0" w:color="auto"/>
          </w:divBdr>
        </w:div>
        <w:div w:id="460151025">
          <w:marLeft w:val="0"/>
          <w:marRight w:val="0"/>
          <w:marTop w:val="0"/>
          <w:marBottom w:val="0"/>
          <w:divBdr>
            <w:top w:val="none" w:sz="0" w:space="0" w:color="auto"/>
            <w:left w:val="none" w:sz="0" w:space="0" w:color="auto"/>
            <w:bottom w:val="none" w:sz="0" w:space="0" w:color="auto"/>
            <w:right w:val="none" w:sz="0" w:space="0" w:color="auto"/>
          </w:divBdr>
        </w:div>
        <w:div w:id="964045523">
          <w:marLeft w:val="0"/>
          <w:marRight w:val="0"/>
          <w:marTop w:val="0"/>
          <w:marBottom w:val="0"/>
          <w:divBdr>
            <w:top w:val="none" w:sz="0" w:space="0" w:color="auto"/>
            <w:left w:val="none" w:sz="0" w:space="0" w:color="auto"/>
            <w:bottom w:val="none" w:sz="0" w:space="0" w:color="auto"/>
            <w:right w:val="none" w:sz="0" w:space="0" w:color="auto"/>
          </w:divBdr>
        </w:div>
        <w:div w:id="1724711614">
          <w:marLeft w:val="0"/>
          <w:marRight w:val="0"/>
          <w:marTop w:val="0"/>
          <w:marBottom w:val="0"/>
          <w:divBdr>
            <w:top w:val="none" w:sz="0" w:space="0" w:color="auto"/>
            <w:left w:val="none" w:sz="0" w:space="0" w:color="auto"/>
            <w:bottom w:val="none" w:sz="0" w:space="0" w:color="auto"/>
            <w:right w:val="none" w:sz="0" w:space="0" w:color="auto"/>
          </w:divBdr>
        </w:div>
        <w:div w:id="694844266">
          <w:marLeft w:val="0"/>
          <w:marRight w:val="0"/>
          <w:marTop w:val="0"/>
          <w:marBottom w:val="0"/>
          <w:divBdr>
            <w:top w:val="none" w:sz="0" w:space="0" w:color="auto"/>
            <w:left w:val="none" w:sz="0" w:space="0" w:color="auto"/>
            <w:bottom w:val="none" w:sz="0" w:space="0" w:color="auto"/>
            <w:right w:val="none" w:sz="0" w:space="0" w:color="auto"/>
          </w:divBdr>
        </w:div>
        <w:div w:id="1285305495">
          <w:marLeft w:val="0"/>
          <w:marRight w:val="0"/>
          <w:marTop w:val="0"/>
          <w:marBottom w:val="0"/>
          <w:divBdr>
            <w:top w:val="none" w:sz="0" w:space="0" w:color="auto"/>
            <w:left w:val="none" w:sz="0" w:space="0" w:color="auto"/>
            <w:bottom w:val="none" w:sz="0" w:space="0" w:color="auto"/>
            <w:right w:val="none" w:sz="0" w:space="0" w:color="auto"/>
          </w:divBdr>
        </w:div>
        <w:div w:id="389113540">
          <w:marLeft w:val="0"/>
          <w:marRight w:val="0"/>
          <w:marTop w:val="0"/>
          <w:marBottom w:val="0"/>
          <w:divBdr>
            <w:top w:val="none" w:sz="0" w:space="0" w:color="auto"/>
            <w:left w:val="none" w:sz="0" w:space="0" w:color="auto"/>
            <w:bottom w:val="none" w:sz="0" w:space="0" w:color="auto"/>
            <w:right w:val="none" w:sz="0" w:space="0" w:color="auto"/>
          </w:divBdr>
        </w:div>
        <w:div w:id="500434332">
          <w:marLeft w:val="0"/>
          <w:marRight w:val="0"/>
          <w:marTop w:val="0"/>
          <w:marBottom w:val="0"/>
          <w:divBdr>
            <w:top w:val="none" w:sz="0" w:space="0" w:color="auto"/>
            <w:left w:val="none" w:sz="0" w:space="0" w:color="auto"/>
            <w:bottom w:val="none" w:sz="0" w:space="0" w:color="auto"/>
            <w:right w:val="none" w:sz="0" w:space="0" w:color="auto"/>
          </w:divBdr>
        </w:div>
        <w:div w:id="1146555919">
          <w:marLeft w:val="0"/>
          <w:marRight w:val="0"/>
          <w:marTop w:val="0"/>
          <w:marBottom w:val="0"/>
          <w:divBdr>
            <w:top w:val="none" w:sz="0" w:space="0" w:color="auto"/>
            <w:left w:val="none" w:sz="0" w:space="0" w:color="auto"/>
            <w:bottom w:val="none" w:sz="0" w:space="0" w:color="auto"/>
            <w:right w:val="none" w:sz="0" w:space="0" w:color="auto"/>
          </w:divBdr>
        </w:div>
        <w:div w:id="1933199651">
          <w:marLeft w:val="0"/>
          <w:marRight w:val="0"/>
          <w:marTop w:val="0"/>
          <w:marBottom w:val="0"/>
          <w:divBdr>
            <w:top w:val="none" w:sz="0" w:space="0" w:color="auto"/>
            <w:left w:val="none" w:sz="0" w:space="0" w:color="auto"/>
            <w:bottom w:val="none" w:sz="0" w:space="0" w:color="auto"/>
            <w:right w:val="none" w:sz="0" w:space="0" w:color="auto"/>
          </w:divBdr>
        </w:div>
        <w:div w:id="1630356506">
          <w:marLeft w:val="0"/>
          <w:marRight w:val="0"/>
          <w:marTop w:val="0"/>
          <w:marBottom w:val="0"/>
          <w:divBdr>
            <w:top w:val="none" w:sz="0" w:space="0" w:color="auto"/>
            <w:left w:val="none" w:sz="0" w:space="0" w:color="auto"/>
            <w:bottom w:val="none" w:sz="0" w:space="0" w:color="auto"/>
            <w:right w:val="none" w:sz="0" w:space="0" w:color="auto"/>
          </w:divBdr>
        </w:div>
        <w:div w:id="795485817">
          <w:marLeft w:val="0"/>
          <w:marRight w:val="0"/>
          <w:marTop w:val="0"/>
          <w:marBottom w:val="0"/>
          <w:divBdr>
            <w:top w:val="none" w:sz="0" w:space="0" w:color="auto"/>
            <w:left w:val="none" w:sz="0" w:space="0" w:color="auto"/>
            <w:bottom w:val="none" w:sz="0" w:space="0" w:color="auto"/>
            <w:right w:val="none" w:sz="0" w:space="0" w:color="auto"/>
          </w:divBdr>
        </w:div>
        <w:div w:id="279184490">
          <w:marLeft w:val="0"/>
          <w:marRight w:val="0"/>
          <w:marTop w:val="0"/>
          <w:marBottom w:val="0"/>
          <w:divBdr>
            <w:top w:val="none" w:sz="0" w:space="0" w:color="auto"/>
            <w:left w:val="none" w:sz="0" w:space="0" w:color="auto"/>
            <w:bottom w:val="none" w:sz="0" w:space="0" w:color="auto"/>
            <w:right w:val="none" w:sz="0" w:space="0" w:color="auto"/>
          </w:divBdr>
        </w:div>
        <w:div w:id="1401517448">
          <w:marLeft w:val="0"/>
          <w:marRight w:val="0"/>
          <w:marTop w:val="0"/>
          <w:marBottom w:val="0"/>
          <w:divBdr>
            <w:top w:val="none" w:sz="0" w:space="0" w:color="auto"/>
            <w:left w:val="none" w:sz="0" w:space="0" w:color="auto"/>
            <w:bottom w:val="none" w:sz="0" w:space="0" w:color="auto"/>
            <w:right w:val="none" w:sz="0" w:space="0" w:color="auto"/>
          </w:divBdr>
        </w:div>
        <w:div w:id="51467561">
          <w:marLeft w:val="0"/>
          <w:marRight w:val="0"/>
          <w:marTop w:val="0"/>
          <w:marBottom w:val="0"/>
          <w:divBdr>
            <w:top w:val="none" w:sz="0" w:space="0" w:color="auto"/>
            <w:left w:val="none" w:sz="0" w:space="0" w:color="auto"/>
            <w:bottom w:val="none" w:sz="0" w:space="0" w:color="auto"/>
            <w:right w:val="none" w:sz="0" w:space="0" w:color="auto"/>
          </w:divBdr>
        </w:div>
        <w:div w:id="747113606">
          <w:marLeft w:val="0"/>
          <w:marRight w:val="0"/>
          <w:marTop w:val="0"/>
          <w:marBottom w:val="0"/>
          <w:divBdr>
            <w:top w:val="none" w:sz="0" w:space="0" w:color="auto"/>
            <w:left w:val="none" w:sz="0" w:space="0" w:color="auto"/>
            <w:bottom w:val="none" w:sz="0" w:space="0" w:color="auto"/>
            <w:right w:val="none" w:sz="0" w:space="0" w:color="auto"/>
          </w:divBdr>
        </w:div>
        <w:div w:id="114952236">
          <w:marLeft w:val="0"/>
          <w:marRight w:val="0"/>
          <w:marTop w:val="0"/>
          <w:marBottom w:val="0"/>
          <w:divBdr>
            <w:top w:val="none" w:sz="0" w:space="0" w:color="auto"/>
            <w:left w:val="none" w:sz="0" w:space="0" w:color="auto"/>
            <w:bottom w:val="none" w:sz="0" w:space="0" w:color="auto"/>
            <w:right w:val="none" w:sz="0" w:space="0" w:color="auto"/>
          </w:divBdr>
        </w:div>
        <w:div w:id="282734322">
          <w:marLeft w:val="0"/>
          <w:marRight w:val="0"/>
          <w:marTop w:val="0"/>
          <w:marBottom w:val="0"/>
          <w:divBdr>
            <w:top w:val="none" w:sz="0" w:space="0" w:color="auto"/>
            <w:left w:val="none" w:sz="0" w:space="0" w:color="auto"/>
            <w:bottom w:val="none" w:sz="0" w:space="0" w:color="auto"/>
            <w:right w:val="none" w:sz="0" w:space="0" w:color="auto"/>
          </w:divBdr>
        </w:div>
        <w:div w:id="462039643">
          <w:marLeft w:val="0"/>
          <w:marRight w:val="0"/>
          <w:marTop w:val="0"/>
          <w:marBottom w:val="0"/>
          <w:divBdr>
            <w:top w:val="none" w:sz="0" w:space="0" w:color="auto"/>
            <w:left w:val="none" w:sz="0" w:space="0" w:color="auto"/>
            <w:bottom w:val="none" w:sz="0" w:space="0" w:color="auto"/>
            <w:right w:val="none" w:sz="0" w:space="0" w:color="auto"/>
          </w:divBdr>
        </w:div>
        <w:div w:id="1953124088">
          <w:marLeft w:val="0"/>
          <w:marRight w:val="0"/>
          <w:marTop w:val="0"/>
          <w:marBottom w:val="0"/>
          <w:divBdr>
            <w:top w:val="none" w:sz="0" w:space="0" w:color="auto"/>
            <w:left w:val="none" w:sz="0" w:space="0" w:color="auto"/>
            <w:bottom w:val="none" w:sz="0" w:space="0" w:color="auto"/>
            <w:right w:val="none" w:sz="0" w:space="0" w:color="auto"/>
          </w:divBdr>
        </w:div>
      </w:divsChild>
    </w:div>
    <w:div w:id="676231348">
      <w:bodyDiv w:val="1"/>
      <w:marLeft w:val="0"/>
      <w:marRight w:val="0"/>
      <w:marTop w:val="0"/>
      <w:marBottom w:val="0"/>
      <w:divBdr>
        <w:top w:val="none" w:sz="0" w:space="0" w:color="auto"/>
        <w:left w:val="none" w:sz="0" w:space="0" w:color="auto"/>
        <w:bottom w:val="none" w:sz="0" w:space="0" w:color="auto"/>
        <w:right w:val="none" w:sz="0" w:space="0" w:color="auto"/>
      </w:divBdr>
      <w:divsChild>
        <w:div w:id="1723019225">
          <w:marLeft w:val="0"/>
          <w:marRight w:val="0"/>
          <w:marTop w:val="0"/>
          <w:marBottom w:val="0"/>
          <w:divBdr>
            <w:top w:val="none" w:sz="0" w:space="0" w:color="auto"/>
            <w:left w:val="none" w:sz="0" w:space="0" w:color="auto"/>
            <w:bottom w:val="none" w:sz="0" w:space="0" w:color="auto"/>
            <w:right w:val="none" w:sz="0" w:space="0" w:color="auto"/>
          </w:divBdr>
          <w:divsChild>
            <w:div w:id="585461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493965">
      <w:bodyDiv w:val="1"/>
      <w:marLeft w:val="0"/>
      <w:marRight w:val="0"/>
      <w:marTop w:val="0"/>
      <w:marBottom w:val="0"/>
      <w:divBdr>
        <w:top w:val="none" w:sz="0" w:space="0" w:color="auto"/>
        <w:left w:val="none" w:sz="0" w:space="0" w:color="auto"/>
        <w:bottom w:val="none" w:sz="0" w:space="0" w:color="auto"/>
        <w:right w:val="none" w:sz="0" w:space="0" w:color="auto"/>
      </w:divBdr>
      <w:divsChild>
        <w:div w:id="539980088">
          <w:marLeft w:val="0"/>
          <w:marRight w:val="0"/>
          <w:marTop w:val="0"/>
          <w:marBottom w:val="0"/>
          <w:divBdr>
            <w:top w:val="none" w:sz="0" w:space="0" w:color="auto"/>
            <w:left w:val="none" w:sz="0" w:space="0" w:color="auto"/>
            <w:bottom w:val="none" w:sz="0" w:space="0" w:color="auto"/>
            <w:right w:val="none" w:sz="0" w:space="0" w:color="auto"/>
          </w:divBdr>
          <w:divsChild>
            <w:div w:id="1292514121">
              <w:marLeft w:val="0"/>
              <w:marRight w:val="0"/>
              <w:marTop w:val="0"/>
              <w:marBottom w:val="240"/>
              <w:divBdr>
                <w:top w:val="none" w:sz="0" w:space="0" w:color="auto"/>
                <w:left w:val="none" w:sz="0" w:space="0" w:color="auto"/>
                <w:bottom w:val="none" w:sz="0" w:space="0" w:color="auto"/>
                <w:right w:val="none" w:sz="0" w:space="0" w:color="auto"/>
              </w:divBdr>
            </w:div>
            <w:div w:id="305666744">
              <w:marLeft w:val="0"/>
              <w:marRight w:val="0"/>
              <w:marTop w:val="0"/>
              <w:marBottom w:val="240"/>
              <w:divBdr>
                <w:top w:val="none" w:sz="0" w:space="0" w:color="auto"/>
                <w:left w:val="none" w:sz="0" w:space="0" w:color="auto"/>
                <w:bottom w:val="none" w:sz="0" w:space="0" w:color="auto"/>
                <w:right w:val="none" w:sz="0" w:space="0" w:color="auto"/>
              </w:divBdr>
            </w:div>
            <w:div w:id="163787655">
              <w:marLeft w:val="0"/>
              <w:marRight w:val="0"/>
              <w:marTop w:val="0"/>
              <w:marBottom w:val="240"/>
              <w:divBdr>
                <w:top w:val="none" w:sz="0" w:space="0" w:color="auto"/>
                <w:left w:val="none" w:sz="0" w:space="0" w:color="auto"/>
                <w:bottom w:val="none" w:sz="0" w:space="0" w:color="auto"/>
                <w:right w:val="none" w:sz="0" w:space="0" w:color="auto"/>
              </w:divBdr>
            </w:div>
            <w:div w:id="1499997726">
              <w:marLeft w:val="0"/>
              <w:marRight w:val="0"/>
              <w:marTop w:val="0"/>
              <w:marBottom w:val="240"/>
              <w:divBdr>
                <w:top w:val="none" w:sz="0" w:space="0" w:color="auto"/>
                <w:left w:val="none" w:sz="0" w:space="0" w:color="auto"/>
                <w:bottom w:val="none" w:sz="0" w:space="0" w:color="auto"/>
                <w:right w:val="none" w:sz="0" w:space="0" w:color="auto"/>
              </w:divBdr>
            </w:div>
            <w:div w:id="1904752562">
              <w:marLeft w:val="0"/>
              <w:marRight w:val="0"/>
              <w:marTop w:val="0"/>
              <w:marBottom w:val="240"/>
              <w:divBdr>
                <w:top w:val="none" w:sz="0" w:space="0" w:color="auto"/>
                <w:left w:val="none" w:sz="0" w:space="0" w:color="auto"/>
                <w:bottom w:val="none" w:sz="0" w:space="0" w:color="auto"/>
                <w:right w:val="none" w:sz="0" w:space="0" w:color="auto"/>
              </w:divBdr>
            </w:div>
            <w:div w:id="1226139163">
              <w:marLeft w:val="0"/>
              <w:marRight w:val="0"/>
              <w:marTop w:val="0"/>
              <w:marBottom w:val="240"/>
              <w:divBdr>
                <w:top w:val="none" w:sz="0" w:space="0" w:color="auto"/>
                <w:left w:val="none" w:sz="0" w:space="0" w:color="auto"/>
                <w:bottom w:val="none" w:sz="0" w:space="0" w:color="auto"/>
                <w:right w:val="none" w:sz="0" w:space="0" w:color="auto"/>
              </w:divBdr>
            </w:div>
            <w:div w:id="1389767827">
              <w:marLeft w:val="0"/>
              <w:marRight w:val="0"/>
              <w:marTop w:val="0"/>
              <w:marBottom w:val="240"/>
              <w:divBdr>
                <w:top w:val="none" w:sz="0" w:space="0" w:color="auto"/>
                <w:left w:val="none" w:sz="0" w:space="0" w:color="auto"/>
                <w:bottom w:val="none" w:sz="0" w:space="0" w:color="auto"/>
                <w:right w:val="none" w:sz="0" w:space="0" w:color="auto"/>
              </w:divBdr>
            </w:div>
            <w:div w:id="28898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090595">
      <w:bodyDiv w:val="1"/>
      <w:marLeft w:val="0"/>
      <w:marRight w:val="0"/>
      <w:marTop w:val="0"/>
      <w:marBottom w:val="0"/>
      <w:divBdr>
        <w:top w:val="none" w:sz="0" w:space="0" w:color="auto"/>
        <w:left w:val="none" w:sz="0" w:space="0" w:color="auto"/>
        <w:bottom w:val="none" w:sz="0" w:space="0" w:color="auto"/>
        <w:right w:val="none" w:sz="0" w:space="0" w:color="auto"/>
      </w:divBdr>
      <w:divsChild>
        <w:div w:id="1941139819">
          <w:marLeft w:val="0"/>
          <w:marRight w:val="0"/>
          <w:marTop w:val="0"/>
          <w:marBottom w:val="0"/>
          <w:divBdr>
            <w:top w:val="none" w:sz="0" w:space="0" w:color="auto"/>
            <w:left w:val="none" w:sz="0" w:space="0" w:color="auto"/>
            <w:bottom w:val="none" w:sz="0" w:space="0" w:color="auto"/>
            <w:right w:val="none" w:sz="0" w:space="0" w:color="auto"/>
          </w:divBdr>
          <w:divsChild>
            <w:div w:id="214226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172392">
      <w:bodyDiv w:val="1"/>
      <w:marLeft w:val="0"/>
      <w:marRight w:val="0"/>
      <w:marTop w:val="0"/>
      <w:marBottom w:val="0"/>
      <w:divBdr>
        <w:top w:val="none" w:sz="0" w:space="0" w:color="auto"/>
        <w:left w:val="none" w:sz="0" w:space="0" w:color="auto"/>
        <w:bottom w:val="none" w:sz="0" w:space="0" w:color="auto"/>
        <w:right w:val="none" w:sz="0" w:space="0" w:color="auto"/>
      </w:divBdr>
      <w:divsChild>
        <w:div w:id="752582373">
          <w:marLeft w:val="0"/>
          <w:marRight w:val="0"/>
          <w:marTop w:val="0"/>
          <w:marBottom w:val="0"/>
          <w:divBdr>
            <w:top w:val="none" w:sz="0" w:space="0" w:color="auto"/>
            <w:left w:val="none" w:sz="0" w:space="0" w:color="auto"/>
            <w:bottom w:val="none" w:sz="0" w:space="0" w:color="auto"/>
            <w:right w:val="none" w:sz="0" w:space="0" w:color="auto"/>
          </w:divBdr>
          <w:divsChild>
            <w:div w:id="157030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295779">
      <w:bodyDiv w:val="1"/>
      <w:marLeft w:val="0"/>
      <w:marRight w:val="0"/>
      <w:marTop w:val="0"/>
      <w:marBottom w:val="0"/>
      <w:divBdr>
        <w:top w:val="none" w:sz="0" w:space="0" w:color="auto"/>
        <w:left w:val="none" w:sz="0" w:space="0" w:color="auto"/>
        <w:bottom w:val="none" w:sz="0" w:space="0" w:color="auto"/>
        <w:right w:val="none" w:sz="0" w:space="0" w:color="auto"/>
      </w:divBdr>
      <w:divsChild>
        <w:div w:id="1777940826">
          <w:marLeft w:val="0"/>
          <w:marRight w:val="0"/>
          <w:marTop w:val="0"/>
          <w:marBottom w:val="0"/>
          <w:divBdr>
            <w:top w:val="none" w:sz="0" w:space="0" w:color="auto"/>
            <w:left w:val="none" w:sz="0" w:space="0" w:color="auto"/>
            <w:bottom w:val="none" w:sz="0" w:space="0" w:color="auto"/>
            <w:right w:val="none" w:sz="0" w:space="0" w:color="auto"/>
          </w:divBdr>
          <w:divsChild>
            <w:div w:id="72911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578571">
      <w:bodyDiv w:val="1"/>
      <w:marLeft w:val="0"/>
      <w:marRight w:val="0"/>
      <w:marTop w:val="0"/>
      <w:marBottom w:val="0"/>
      <w:divBdr>
        <w:top w:val="none" w:sz="0" w:space="0" w:color="auto"/>
        <w:left w:val="none" w:sz="0" w:space="0" w:color="auto"/>
        <w:bottom w:val="none" w:sz="0" w:space="0" w:color="auto"/>
        <w:right w:val="none" w:sz="0" w:space="0" w:color="auto"/>
      </w:divBdr>
      <w:divsChild>
        <w:div w:id="1004357426">
          <w:marLeft w:val="0"/>
          <w:marRight w:val="0"/>
          <w:marTop w:val="0"/>
          <w:marBottom w:val="0"/>
          <w:divBdr>
            <w:top w:val="none" w:sz="0" w:space="0" w:color="auto"/>
            <w:left w:val="none" w:sz="0" w:space="0" w:color="auto"/>
            <w:bottom w:val="none" w:sz="0" w:space="0" w:color="auto"/>
            <w:right w:val="none" w:sz="0" w:space="0" w:color="auto"/>
          </w:divBdr>
          <w:divsChild>
            <w:div w:id="774448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461058">
      <w:bodyDiv w:val="1"/>
      <w:marLeft w:val="0"/>
      <w:marRight w:val="0"/>
      <w:marTop w:val="0"/>
      <w:marBottom w:val="0"/>
      <w:divBdr>
        <w:top w:val="none" w:sz="0" w:space="0" w:color="auto"/>
        <w:left w:val="none" w:sz="0" w:space="0" w:color="auto"/>
        <w:bottom w:val="none" w:sz="0" w:space="0" w:color="auto"/>
        <w:right w:val="none" w:sz="0" w:space="0" w:color="auto"/>
      </w:divBdr>
      <w:divsChild>
        <w:div w:id="1462382422">
          <w:marLeft w:val="0"/>
          <w:marRight w:val="0"/>
          <w:marTop w:val="0"/>
          <w:marBottom w:val="0"/>
          <w:divBdr>
            <w:top w:val="none" w:sz="0" w:space="0" w:color="auto"/>
            <w:left w:val="none" w:sz="0" w:space="0" w:color="auto"/>
            <w:bottom w:val="none" w:sz="0" w:space="0" w:color="auto"/>
            <w:right w:val="none" w:sz="0" w:space="0" w:color="auto"/>
          </w:divBdr>
          <w:divsChild>
            <w:div w:id="71820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1-349-15388-6_8" TargetMode="External"/><Relationship Id="rId3" Type="http://schemas.openxmlformats.org/officeDocument/2006/relationships/settings" Target="settings.xml"/><Relationship Id="rId7" Type="http://schemas.openxmlformats.org/officeDocument/2006/relationships/hyperlink" Target="http://archive.org/details/forestpeople00tur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fu.ca/~palys/Miner-1956-BodyRitualAmongTheNacirema.pdf" TargetMode="External"/><Relationship Id="rId11" Type="http://schemas.microsoft.com/office/2007/relationships/stylesWithEffects" Target="stylesWithEffects.xml"/><Relationship Id="rId5" Type="http://schemas.openxmlformats.org/officeDocument/2006/relationships/hyperlink" Target="https://doi.org/10.2307/3206410"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5FAA711-B184-427B-B985-1ACF1C8CE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2332</Words>
  <Characters>12246</Characters>
  <Application>Microsoft Office Word</Application>
  <DocSecurity>0</DocSecurity>
  <Lines>170</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dc:creator>
  <cp:lastModifiedBy>Emma</cp:lastModifiedBy>
  <cp:revision>2</cp:revision>
  <dcterms:created xsi:type="dcterms:W3CDTF">2018-03-25T22:54:00Z</dcterms:created>
  <dcterms:modified xsi:type="dcterms:W3CDTF">2018-03-25T22:54:00Z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zotero-version="5.0.38"&gt;&lt;session id="oP0pE1bY"/&gt;&lt;style id="http://www.zotero.org/styles/harvard-cardiff-university" hasBibliography="1" bibliographyStyleHasBeenSet="0"/&gt;&lt;prefs&gt;&lt;pref name="fieldType" value="Field"/&gt;&lt;pref name="automa</vt:lpwstr>
  </property>
  <property fmtid="{D5CDD505-2E9C-101B-9397-08002B2CF9AE}" pid="3" name="ZOTERO_PREF_2">
    <vt:lpwstr>ticJournalAbbreviations" value="true"/&gt;&lt;/prefs&gt;&lt;/data&gt;</vt:lpwstr>
  </property>
</Properties>
</file>