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0B1BD" w14:textId="6AFE1E9B" w:rsidR="00645C5B" w:rsidRDefault="00C611B2">
      <w:r>
        <w:t>ACADEMIC ASSIGNMENT – DHEP YEAR 2</w:t>
      </w:r>
    </w:p>
    <w:p w14:paraId="5588CAD2" w14:textId="77777777" w:rsidR="00C611B2" w:rsidRDefault="00C611B2"/>
    <w:p w14:paraId="7C64DAF5" w14:textId="77777777" w:rsidR="00C611B2" w:rsidRPr="00C611B2" w:rsidRDefault="00C611B2" w:rsidP="00C611B2">
      <w:r w:rsidRPr="00C611B2">
        <w:rPr>
          <w:b/>
          <w:bCs/>
        </w:rPr>
        <w:t>Essay five:</w:t>
      </w:r>
      <w:r w:rsidRPr="00C611B2">
        <w:t xml:space="preserve"> Critically assess the effectiveness of options available to reduce re-offending. You may choose a specific type of offence for this answer e.g. domestic violence, anti-social behaviour, knife crime. -sexual offences?</w:t>
      </w:r>
    </w:p>
    <w:p w14:paraId="4430F233" w14:textId="77777777" w:rsidR="00C611B2" w:rsidRDefault="00C611B2" w:rsidP="00C611B2"/>
    <w:p w14:paraId="24C8587C" w14:textId="77777777" w:rsidR="00C611B2" w:rsidRPr="00104F6A" w:rsidRDefault="00C611B2" w:rsidP="00C611B2">
      <w:r>
        <w:t>Reports of sexual offences are estimated to be rising in the past decade (Office for National Statistics, 2023). The impact of such offences can cause significant psychological and physical harm to victims (</w:t>
      </w:r>
      <w:r w:rsidRPr="004764D1">
        <w:t>Moscarello</w:t>
      </w:r>
      <w:r>
        <w:t xml:space="preserve">, 1990). The rise of sexual offending behaviour may be interpreted as simply a rise in reports to the police, however the </w:t>
      </w:r>
      <w:r w:rsidRPr="00EB3820">
        <w:t>Crime Survey for England and Wales</w:t>
      </w:r>
      <w:r>
        <w:t xml:space="preserve"> (CSEW) found through self-report studies that the number of victims of sexual offences are rising overall (Office for National Statistics, 2023).  The </w:t>
      </w:r>
      <w:r w:rsidRPr="004373AE">
        <w:t>Criminal Justice Act 2003</w:t>
      </w:r>
      <w:r>
        <w:t xml:space="preserve"> sets out Multi-Agency Public Protection Arrangements (MAPPA) for assessing and managing the risk such offenders pose to the public, with the hope of limiting re-offending. MAPPA provides a structure for the police, probation, and prison service (</w:t>
      </w:r>
      <w:r w:rsidRPr="00192C05">
        <w:t>Ministry of Justice</w:t>
      </w:r>
      <w:r>
        <w:t xml:space="preserve">, 2022). Nevertheless, while a rise in sexual offences can be observed it is debatable as to whether the options available to limit re-offending are operating effectively. </w:t>
      </w:r>
    </w:p>
    <w:p w14:paraId="34F74B3D" w14:textId="77777777" w:rsidR="00C611B2" w:rsidRDefault="00C611B2" w:rsidP="00C611B2">
      <w:r>
        <w:t xml:space="preserve">There is no clear answer as to the cause of sexual offending behaviour. The roots driving the motivation behind the offending is complex and multifaceted, proving a naturally problematic issue to solve and prevent. Unlike some crimes, the offenders may not be aware of their own motivations (Mann &amp; Hollin, 2007). It is argued that to manage re-offending there is a need to be aware of the factors that contribute to the behaviour (Smook, </w:t>
      </w:r>
      <w:proofErr w:type="spellStart"/>
      <w:r>
        <w:t>Ubbink</w:t>
      </w:r>
      <w:proofErr w:type="spellEnd"/>
      <w:r>
        <w:t xml:space="preserve">, Ryke, and Strydom, 2014). </w:t>
      </w:r>
    </w:p>
    <w:p w14:paraId="0E0E33DC" w14:textId="77777777" w:rsidR="00C611B2" w:rsidRDefault="00C611B2" w:rsidP="00C611B2">
      <w:proofErr w:type="gramStart"/>
      <w:r>
        <w:t>Hollin &amp; Mann (2007),</w:t>
      </w:r>
      <w:proofErr w:type="gramEnd"/>
      <w:r>
        <w:t xml:space="preserve"> found that different types of sexual offences are sometimes driven by different emotions, although a need for sexual gratification was identified as a factor, complexities such as a need for control and respect, impulsivity and a desire to alleviate negative emotions were also identified. Such research indicates that the management of sexual offenders may also need to involve providing treatment to solve the underlying psychological motives for the offending behaviour. Cognitive Behavioural Therapy (CBT) programs are often used as treatment for such offenders and a reduction in re-offending behaviour can be observed since its implementation in the 1990s (Harrison et. al, 2020). A systematic review conducted by Rocha and Valença (2023) found CBT to be a good asset in reducing re-offending and assisting with emotional regulation and self-control. The systematic review provides a reliable insight into the effectiveness of this option in reducing re-offending as it evaluates several recent studies conducted, providing quantifiable patterns in the data available. </w:t>
      </w:r>
    </w:p>
    <w:p w14:paraId="51E84A73" w14:textId="77777777" w:rsidR="00C611B2" w:rsidRDefault="00C611B2" w:rsidP="00C611B2">
      <w:r>
        <w:t>Nevertheless, though this treatment has proven to have some success in reducing re-offending it likely relies on the cooperation and character of the offender, rendering it effective to those who are willing to engage with the therapy. Indeed, Sander (2017) evaluates how the effectiveness of such therapies depend on the nature of the sexual offending itself. Despite CBTs success in reducing overall re-offending</w:t>
      </w:r>
      <w:r w:rsidRPr="00E55712">
        <w:t xml:space="preserve">, </w:t>
      </w:r>
      <w:r>
        <w:t>it cannot be relied upon as a primary tool to reduce re-offending as there is no guarantee that offenders released into the community will continue to engage with services without further restrictions.</w:t>
      </w:r>
    </w:p>
    <w:p w14:paraId="577CFB36" w14:textId="77777777" w:rsidR="00C611B2" w:rsidRDefault="00C611B2" w:rsidP="00C611B2">
      <w:r>
        <w:lastRenderedPageBreak/>
        <w:t>Safeguarding measures are in place to actively restrict and predict offenders’ ability to re-offend. MAAPA ensures that a multi-agency approach is implemented, and offenders are categorised and managed from one to three levels (from lower to higher management needs) which reflect the intensity of the multi-agency coordination needed. Re-offending rates among MAPPA eligible offenders are seemingly lower than seen in other offender populations, and data suggests that it is particularly effective at managing violent and sexual offenders (Bryant &amp; Peck, 2015). From the current research available there appears to be few disadvantages to implementing MAPPA as a tool to reduce re-offending.</w:t>
      </w:r>
    </w:p>
    <w:p w14:paraId="70BE33DC" w14:textId="77777777" w:rsidR="00C611B2" w:rsidRDefault="00C611B2" w:rsidP="00C611B2">
      <w:r>
        <w:t xml:space="preserve">Nonetheless, there are challenges in evaluating the effectiveness of MAPPA as there is a lack of research involving control groups to assist with determining the validity of the data presented. Limitations to its effectiveness were found in managing youth sexual offenders (18 years and under) and category three offenders, who perhaps pose the greatest risk to the public (Lundrigan, Mann and Specht, 2023). Research conducted by Mann and Lundrigan (2023), suggested recommendations such as improved training and better communication between partner agencies. This suggest that although MAPPA is an effective option available to reduce re-offending, there is scope for improvement and further research is needed to assist with identifying areas of development. </w:t>
      </w:r>
    </w:p>
    <w:p w14:paraId="4BD878AE" w14:textId="77777777" w:rsidR="00C611B2" w:rsidRDefault="00C611B2" w:rsidP="00C611B2">
      <w:r w:rsidRPr="008C6674">
        <w:t>MAAPA is however beneficial in assisting agencies in communicating with the Management of Sexual or Violent Offenders (MOSOVO) teams who ensure offenders are observing conditions placed by Sexual Risk Orders (SRO).</w:t>
      </w:r>
      <w:r>
        <w:t xml:space="preserve"> SRO were introduced by the Anti-Social Behaviour, Crime and Policing Act 2014, replacing previous similar legislation. An SRO can be imposed on an individual posing risk through sexual harm if proven they have delivered an “act of a sexual nature”, even if they have not been convicted, making it an invaluable resource of prevention where the individual’s behaviour has not yet escalated to committing a crime, or where evidence is lacking to achieve a conviction, e.g. restrictions can be placed on how mobile devices are used, where an offender may live, limiting contact with minors, etc.. If such conditions are breached the individual may be sentenced up to five years imprisonment. </w:t>
      </w:r>
    </w:p>
    <w:p w14:paraId="4A9A8B7E" w14:textId="77777777" w:rsidR="00C611B2" w:rsidRDefault="00C611B2" w:rsidP="00C611B2">
      <w:r>
        <w:t xml:space="preserve">Such conditions sound promising in their aim to mitigate the risk of re-offending by limiting the opportunities to offend. Nonetheless, the logistical realities of implementing such conditions prove difficult without adequate funding and staffing resources (Horseman, 2023; HMICFRS, 2005). Additionally, there are criticisms that the definition of sexual harm through an “act of sexual nature” is too subjective and may prejudice the rights of innocent people (CK, 2023). Though this is a valid consideration, caution should be applied to sources discussing this argument as there are likely biased agendas due to arguments presented by defence barristers, rather than independent research. Generally, there is severely limited research evaluating SRO’s role in reducing re-offending, including data representing how often breaches of these orders occur. </w:t>
      </w:r>
    </w:p>
    <w:p w14:paraId="25E64A46" w14:textId="77777777" w:rsidR="00C611B2" w:rsidRDefault="00C611B2" w:rsidP="00C611B2">
      <w:r>
        <w:t xml:space="preserve">The longer a sexual offender goes without offending, the less likely they are to re-offend (Hanson, Harris, Letourneau, Helmus, and Thornton, 2018), implying that early effective measures are more likely to reduce re-offending. A multitude of tactics are needed </w:t>
      </w:r>
      <w:proofErr w:type="gramStart"/>
      <w:r>
        <w:t>in order to</w:t>
      </w:r>
      <w:proofErr w:type="gramEnd"/>
      <w:r>
        <w:t xml:space="preserve"> reduce re-offending in sex offenders. The options available are effective if used in conjunction with one another, however there is room for improvement and scope for further research. Research indicates that modern tools used to reduce re-offending are more effective than in previous decades, this however does not address the rising number of victims of sexual offences. Further exploration is needed to establish whether this is due to the failure of options used to re-offend or perhaps to investigate whether there has been a rise in first time offenders. </w:t>
      </w:r>
    </w:p>
    <w:p w14:paraId="0EBC2FAE" w14:textId="77777777" w:rsidR="00C611B2" w:rsidRPr="00530A68" w:rsidRDefault="00C611B2" w:rsidP="00C611B2"/>
    <w:p w14:paraId="647DEE4A" w14:textId="77777777" w:rsidR="00C611B2" w:rsidRDefault="00C611B2" w:rsidP="00C611B2">
      <w:r>
        <w:t>Word count: 1095</w:t>
      </w:r>
    </w:p>
    <w:p w14:paraId="4E2B830B" w14:textId="77777777" w:rsidR="00C611B2" w:rsidRDefault="00C611B2" w:rsidP="00C611B2"/>
    <w:p w14:paraId="764F27FE" w14:textId="77777777" w:rsidR="00C611B2" w:rsidRDefault="00C611B2" w:rsidP="00C611B2"/>
    <w:p w14:paraId="55BE23CC" w14:textId="77777777" w:rsidR="00C611B2" w:rsidRDefault="00C611B2" w:rsidP="00C611B2"/>
    <w:p w14:paraId="7A7031EE" w14:textId="77777777" w:rsidR="00C611B2" w:rsidRDefault="00C611B2" w:rsidP="00C611B2"/>
    <w:p w14:paraId="3D387C16" w14:textId="77777777" w:rsidR="00C611B2" w:rsidRDefault="00C611B2" w:rsidP="00C611B2"/>
    <w:p w14:paraId="0ED26A58" w14:textId="77777777" w:rsidR="00C611B2" w:rsidRDefault="00C611B2" w:rsidP="00C611B2">
      <w:pPr>
        <w:rPr>
          <w:b/>
          <w:bCs/>
        </w:rPr>
      </w:pPr>
    </w:p>
    <w:p w14:paraId="5DD98AA2" w14:textId="77777777" w:rsidR="00C611B2" w:rsidRDefault="00C611B2" w:rsidP="00C611B2">
      <w:pPr>
        <w:rPr>
          <w:b/>
          <w:bCs/>
        </w:rPr>
      </w:pPr>
    </w:p>
    <w:p w14:paraId="3FC4DBEA" w14:textId="77777777" w:rsidR="00C611B2" w:rsidRDefault="00C611B2" w:rsidP="00C611B2">
      <w:pPr>
        <w:rPr>
          <w:b/>
          <w:bCs/>
        </w:rPr>
      </w:pPr>
    </w:p>
    <w:p w14:paraId="650EC5D0" w14:textId="77777777" w:rsidR="00C611B2" w:rsidRDefault="00C611B2" w:rsidP="00C611B2">
      <w:pPr>
        <w:rPr>
          <w:b/>
          <w:bCs/>
        </w:rPr>
      </w:pPr>
    </w:p>
    <w:p w14:paraId="3F68AD80" w14:textId="77777777" w:rsidR="00C611B2" w:rsidRDefault="00C611B2" w:rsidP="00C611B2">
      <w:pPr>
        <w:rPr>
          <w:b/>
          <w:bCs/>
        </w:rPr>
      </w:pPr>
    </w:p>
    <w:p w14:paraId="5D035631" w14:textId="77777777" w:rsidR="00C611B2" w:rsidRDefault="00C611B2" w:rsidP="00C611B2">
      <w:pPr>
        <w:rPr>
          <w:b/>
          <w:bCs/>
        </w:rPr>
      </w:pPr>
    </w:p>
    <w:p w14:paraId="185C5E13" w14:textId="77777777" w:rsidR="00C611B2" w:rsidRDefault="00C611B2" w:rsidP="00C611B2">
      <w:pPr>
        <w:rPr>
          <w:b/>
          <w:bCs/>
        </w:rPr>
      </w:pPr>
    </w:p>
    <w:p w14:paraId="316F70AE" w14:textId="77777777" w:rsidR="00C611B2" w:rsidRDefault="00C611B2" w:rsidP="00C611B2">
      <w:pPr>
        <w:rPr>
          <w:b/>
          <w:bCs/>
        </w:rPr>
      </w:pPr>
    </w:p>
    <w:p w14:paraId="6433FD0B" w14:textId="77777777" w:rsidR="00C611B2" w:rsidRDefault="00C611B2" w:rsidP="00C611B2">
      <w:pPr>
        <w:rPr>
          <w:b/>
          <w:bCs/>
        </w:rPr>
      </w:pPr>
    </w:p>
    <w:p w14:paraId="67D18C51" w14:textId="77777777" w:rsidR="00C611B2" w:rsidRDefault="00C611B2" w:rsidP="00C611B2">
      <w:pPr>
        <w:rPr>
          <w:b/>
          <w:bCs/>
        </w:rPr>
      </w:pPr>
    </w:p>
    <w:p w14:paraId="58DD465C" w14:textId="77777777" w:rsidR="00C611B2" w:rsidRDefault="00C611B2" w:rsidP="00C611B2">
      <w:pPr>
        <w:rPr>
          <w:b/>
          <w:bCs/>
        </w:rPr>
      </w:pPr>
    </w:p>
    <w:p w14:paraId="45F836A6" w14:textId="77777777" w:rsidR="00C611B2" w:rsidRDefault="00C611B2" w:rsidP="00C611B2">
      <w:pPr>
        <w:rPr>
          <w:b/>
          <w:bCs/>
        </w:rPr>
      </w:pPr>
    </w:p>
    <w:p w14:paraId="099C66B5" w14:textId="77777777" w:rsidR="00C611B2" w:rsidRDefault="00C611B2" w:rsidP="00C611B2">
      <w:pPr>
        <w:rPr>
          <w:b/>
          <w:bCs/>
        </w:rPr>
      </w:pPr>
    </w:p>
    <w:p w14:paraId="7CA940BE" w14:textId="77777777" w:rsidR="00C611B2" w:rsidRDefault="00C611B2" w:rsidP="00C611B2">
      <w:pPr>
        <w:rPr>
          <w:b/>
          <w:bCs/>
        </w:rPr>
      </w:pPr>
    </w:p>
    <w:p w14:paraId="36EC300F" w14:textId="77777777" w:rsidR="00C611B2" w:rsidRDefault="00C611B2" w:rsidP="00C611B2">
      <w:pPr>
        <w:rPr>
          <w:b/>
          <w:bCs/>
        </w:rPr>
      </w:pPr>
    </w:p>
    <w:p w14:paraId="7A965FC9" w14:textId="77777777" w:rsidR="00C611B2" w:rsidRDefault="00C611B2" w:rsidP="00C611B2">
      <w:pPr>
        <w:rPr>
          <w:b/>
          <w:bCs/>
        </w:rPr>
      </w:pPr>
    </w:p>
    <w:p w14:paraId="06538D76" w14:textId="77777777" w:rsidR="00C611B2" w:rsidRDefault="00C611B2" w:rsidP="00C611B2">
      <w:pPr>
        <w:rPr>
          <w:b/>
          <w:bCs/>
        </w:rPr>
      </w:pPr>
    </w:p>
    <w:p w14:paraId="4EF56C93" w14:textId="77777777" w:rsidR="00C611B2" w:rsidRDefault="00C611B2" w:rsidP="00C611B2">
      <w:pPr>
        <w:rPr>
          <w:b/>
          <w:bCs/>
        </w:rPr>
      </w:pPr>
    </w:p>
    <w:p w14:paraId="68AF5885" w14:textId="77777777" w:rsidR="00C611B2" w:rsidRDefault="00C611B2" w:rsidP="00C611B2">
      <w:pPr>
        <w:rPr>
          <w:b/>
          <w:bCs/>
        </w:rPr>
      </w:pPr>
    </w:p>
    <w:p w14:paraId="23F5F1AF" w14:textId="77777777" w:rsidR="00C611B2" w:rsidRDefault="00C611B2" w:rsidP="00C611B2">
      <w:pPr>
        <w:rPr>
          <w:b/>
          <w:bCs/>
        </w:rPr>
      </w:pPr>
    </w:p>
    <w:p w14:paraId="61112C3C" w14:textId="77777777" w:rsidR="00C611B2" w:rsidRDefault="00C611B2" w:rsidP="00C611B2">
      <w:pPr>
        <w:rPr>
          <w:b/>
          <w:bCs/>
        </w:rPr>
      </w:pPr>
    </w:p>
    <w:p w14:paraId="67C7E7F4" w14:textId="77777777" w:rsidR="00C611B2" w:rsidRDefault="00C611B2" w:rsidP="00C611B2">
      <w:pPr>
        <w:rPr>
          <w:b/>
          <w:bCs/>
        </w:rPr>
      </w:pPr>
    </w:p>
    <w:p w14:paraId="40647248" w14:textId="77777777" w:rsidR="00C611B2" w:rsidRDefault="00C611B2" w:rsidP="00C611B2">
      <w:pPr>
        <w:rPr>
          <w:b/>
          <w:bCs/>
        </w:rPr>
      </w:pPr>
    </w:p>
    <w:p w14:paraId="3961C88D" w14:textId="77777777" w:rsidR="00C611B2" w:rsidRDefault="00C611B2" w:rsidP="00C611B2">
      <w:pPr>
        <w:rPr>
          <w:b/>
          <w:bCs/>
        </w:rPr>
      </w:pPr>
    </w:p>
    <w:p w14:paraId="3AFD1EF3" w14:textId="7757A335" w:rsidR="00C611B2" w:rsidRDefault="00C611B2" w:rsidP="00C611B2">
      <w:pPr>
        <w:rPr>
          <w:b/>
          <w:bCs/>
        </w:rPr>
      </w:pPr>
      <w:r w:rsidRPr="00FD2595">
        <w:rPr>
          <w:b/>
          <w:bCs/>
        </w:rPr>
        <w:lastRenderedPageBreak/>
        <w:t>Essay five bibliography:</w:t>
      </w:r>
    </w:p>
    <w:p w14:paraId="1B992AA5" w14:textId="77777777" w:rsidR="00C611B2" w:rsidRPr="00FD2595" w:rsidRDefault="00C611B2" w:rsidP="00C611B2">
      <w:pPr>
        <w:rPr>
          <w:b/>
          <w:bCs/>
        </w:rPr>
      </w:pPr>
      <w:r>
        <w:t>Anti-Social Behaviour, Crime and Policing Act 2014</w:t>
      </w:r>
    </w:p>
    <w:p w14:paraId="5E05B1AA" w14:textId="77777777" w:rsidR="00C611B2" w:rsidRDefault="00C611B2" w:rsidP="00C611B2">
      <w:r w:rsidRPr="00192C05">
        <w:t>Criminal Justice Act 2003</w:t>
      </w:r>
    </w:p>
    <w:p w14:paraId="1B7DA9AA" w14:textId="77777777" w:rsidR="00C611B2" w:rsidRDefault="00C611B2" w:rsidP="00C611B2"/>
    <w:p w14:paraId="3EE2AF9B" w14:textId="77777777" w:rsidR="00C611B2" w:rsidRDefault="00C611B2" w:rsidP="00C611B2">
      <w:r>
        <w:t xml:space="preserve">Bryant, S., Peck, M. and Ministry </w:t>
      </w:r>
      <w:proofErr w:type="gramStart"/>
      <w:r>
        <w:t>Of</w:t>
      </w:r>
      <w:proofErr w:type="gramEnd"/>
      <w:r>
        <w:t xml:space="preserve"> Justice, J. (2015). Reoffending Analysis of MAPPA Eligible Offenders. [online] Available at: </w:t>
      </w:r>
      <w:hyperlink r:id="rId4" w:history="1">
        <w:r w:rsidRPr="005D7F5E">
          <w:rPr>
            <w:rStyle w:val="Hyperlink"/>
          </w:rPr>
          <w:t>https://assets.publishing.service.gov.uk/media/5a7ff796ed915d74e33f7a8b/reoffending-analysis-of-mappa-eligible-offenders.pdf</w:t>
        </w:r>
      </w:hyperlink>
      <w:r>
        <w:t>.</w:t>
      </w:r>
    </w:p>
    <w:p w14:paraId="1977A6C7" w14:textId="77777777" w:rsidR="00C611B2" w:rsidRDefault="00C611B2" w:rsidP="00C611B2"/>
    <w:p w14:paraId="1E45CF20" w14:textId="77777777" w:rsidR="00C611B2" w:rsidRDefault="00C611B2" w:rsidP="00C611B2">
      <w:r>
        <w:t xml:space="preserve">Harrison, J.L., O’Toole, S.K., Ammen, S., </w:t>
      </w:r>
      <w:proofErr w:type="spellStart"/>
      <w:r>
        <w:t>Ahlmeyer</w:t>
      </w:r>
      <w:proofErr w:type="spellEnd"/>
      <w:r>
        <w:t>, S., Harrell, S.N. and Hernandez, J.L. (2020). Sexual Offender Treatment Effectiveness Within Cognitive-</w:t>
      </w:r>
      <w:proofErr w:type="spellStart"/>
      <w:r>
        <w:t>Behavioral</w:t>
      </w:r>
      <w:proofErr w:type="spellEnd"/>
      <w:r>
        <w:t xml:space="preserve"> Programs: A Meta-Analytic Investigation of General, Sexual, and Violent Recidivism. Psychiatry, Psychology and Law, [online] 27(1), pp.1–25. </w:t>
      </w:r>
      <w:proofErr w:type="spellStart"/>
      <w:proofErr w:type="gramStart"/>
      <w:r>
        <w:t>doi:https</w:t>
      </w:r>
      <w:proofErr w:type="spellEnd"/>
      <w:r>
        <w:t>://doi.org/10.1080/13218719.2018.1485526</w:t>
      </w:r>
      <w:proofErr w:type="gramEnd"/>
      <w:r>
        <w:t>.</w:t>
      </w:r>
    </w:p>
    <w:p w14:paraId="7727C641" w14:textId="77777777" w:rsidR="00C611B2" w:rsidRDefault="00C611B2" w:rsidP="00C611B2"/>
    <w:p w14:paraId="4BED9E54" w14:textId="77777777" w:rsidR="00C611B2" w:rsidRDefault="00C611B2" w:rsidP="00C611B2">
      <w:r>
        <w:t xml:space="preserve">Hanson, R.K., Harris, A.J.R., Letourneau, E., Helmus, L.M. and Thornton, D. (2018). Reductions in risk based on time offense-free in the community: Once a sexual offender, not always a sexual offender. Psychology, Public Policy, and Law, 24(1), pp.48–63. </w:t>
      </w:r>
      <w:proofErr w:type="spellStart"/>
      <w:proofErr w:type="gramStart"/>
      <w:r>
        <w:t>doi:https</w:t>
      </w:r>
      <w:proofErr w:type="spellEnd"/>
      <w:r>
        <w:t>://doi.org/10.1037/law0000135</w:t>
      </w:r>
      <w:proofErr w:type="gramEnd"/>
      <w:r>
        <w:t>.</w:t>
      </w:r>
    </w:p>
    <w:p w14:paraId="75DFD9F3" w14:textId="77777777" w:rsidR="00C611B2" w:rsidRDefault="00C611B2" w:rsidP="00C611B2"/>
    <w:p w14:paraId="27B92C86" w14:textId="77777777" w:rsidR="00C611B2" w:rsidRDefault="00C611B2" w:rsidP="00C611B2">
      <w:r w:rsidRPr="005E1E70">
        <w:t xml:space="preserve">Horsman, G. (2023). Reviewing the devices of those subject to Sexual Harm Prevention Orders (SHPOs): iOS opportunities, </w:t>
      </w:r>
      <w:proofErr w:type="gramStart"/>
      <w:r w:rsidRPr="005E1E70">
        <w:t>limitations</w:t>
      </w:r>
      <w:proofErr w:type="gramEnd"/>
      <w:r w:rsidRPr="005E1E70">
        <w:t xml:space="preserve"> and strategies. Australian Journal of Forensic Sciences, pp.1–23. </w:t>
      </w:r>
      <w:proofErr w:type="spellStart"/>
      <w:proofErr w:type="gramStart"/>
      <w:r w:rsidRPr="005E1E70">
        <w:t>doi:https</w:t>
      </w:r>
      <w:proofErr w:type="spellEnd"/>
      <w:r w:rsidRPr="005E1E70">
        <w:t>://doi.org/10.1080/00450618.2023.2252472</w:t>
      </w:r>
      <w:proofErr w:type="gramEnd"/>
      <w:r w:rsidRPr="005E1E70">
        <w:t>.</w:t>
      </w:r>
    </w:p>
    <w:p w14:paraId="05EDE43B" w14:textId="77777777" w:rsidR="00C611B2" w:rsidRDefault="00C611B2" w:rsidP="00C611B2"/>
    <w:p w14:paraId="12594CDB" w14:textId="77777777" w:rsidR="00C611B2" w:rsidRDefault="00C611B2" w:rsidP="00C611B2">
      <w:r>
        <w:t>His Majesty’s Inspectorate of Constabulary and Fire &amp; Rescue Services. (2005). Managing sex offenders in the community - inspection findings. [online] Available at: https://hmicfrs.justiceinspectorates.gov.uk/publications/managing-sex-offenders-in-the-community-inspection-findings/ [Accessed 24 May 2024].</w:t>
      </w:r>
    </w:p>
    <w:p w14:paraId="06E6217D" w14:textId="77777777" w:rsidR="00C611B2" w:rsidRDefault="00C611B2" w:rsidP="00C611B2"/>
    <w:p w14:paraId="459F672A" w14:textId="77777777" w:rsidR="00C611B2" w:rsidRDefault="00C611B2" w:rsidP="00C611B2">
      <w:r>
        <w:t xml:space="preserve">KC, R.B. (2023). Sexual Risk Orders: Lowering the Standard (via </w:t>
      </w:r>
      <w:proofErr w:type="spellStart"/>
      <w:r>
        <w:t>Passle</w:t>
      </w:r>
      <w:proofErr w:type="spellEnd"/>
      <w:r>
        <w:t xml:space="preserve">). [online] </w:t>
      </w:r>
      <w:proofErr w:type="spellStart"/>
      <w:r>
        <w:t>Passle</w:t>
      </w:r>
      <w:proofErr w:type="spellEnd"/>
      <w:r>
        <w:t>. Available at: https://insights.doughtystreet.co.uk/post/102ia7e/sexual-risk-orders-lowering-the-standard [Accessed 24 May 2024].</w:t>
      </w:r>
    </w:p>
    <w:p w14:paraId="0F459D4A" w14:textId="77777777" w:rsidR="00C611B2" w:rsidRDefault="00C611B2" w:rsidP="00C611B2"/>
    <w:p w14:paraId="7CAFC9FD" w14:textId="77777777" w:rsidR="00C611B2" w:rsidRDefault="00C611B2" w:rsidP="00C611B2">
      <w:r>
        <w:t>Lundrigan, S., Mann, N. and Specht, D. (2023). The National MAPPA Research: Proven Reoffending Report. A.R.U.</w:t>
      </w:r>
    </w:p>
    <w:p w14:paraId="7EE4F242" w14:textId="77777777" w:rsidR="00C611B2" w:rsidRDefault="00C611B2" w:rsidP="00C611B2"/>
    <w:p w14:paraId="302EB7DA" w14:textId="77777777" w:rsidR="00C611B2" w:rsidRDefault="00C611B2" w:rsidP="00C611B2">
      <w:r>
        <w:t xml:space="preserve">Mann, R.E. and Hollin, C.R. (2007). Sexual offenders’ explanations for their offending. Journal of Sexual Aggression, 13(1), pp.3–9. </w:t>
      </w:r>
      <w:proofErr w:type="spellStart"/>
      <w:proofErr w:type="gramStart"/>
      <w:r>
        <w:t>doi:https</w:t>
      </w:r>
      <w:proofErr w:type="spellEnd"/>
      <w:r>
        <w:t>://doi.org/10.1080/13552600701365621</w:t>
      </w:r>
      <w:proofErr w:type="gramEnd"/>
      <w:r>
        <w:t>.</w:t>
      </w:r>
    </w:p>
    <w:p w14:paraId="0B4FF300" w14:textId="77777777" w:rsidR="00C611B2" w:rsidRDefault="00C611B2" w:rsidP="00C611B2"/>
    <w:p w14:paraId="152A0172" w14:textId="77777777" w:rsidR="00C611B2" w:rsidRDefault="00C611B2" w:rsidP="00C611B2">
      <w:r>
        <w:t>Mann, N. and Lundrigan</w:t>
      </w:r>
      <w:proofErr w:type="gramStart"/>
      <w:r>
        <w:t>, .S</w:t>
      </w:r>
      <w:proofErr w:type="gramEnd"/>
      <w:r>
        <w:t xml:space="preserve"> (2023). The National MAPPA Research: Process Effectiveness Report. The Policing Institute for the Eastern Region, Anglia Ruskin University.</w:t>
      </w:r>
    </w:p>
    <w:p w14:paraId="07863FF8" w14:textId="77777777" w:rsidR="00C611B2" w:rsidRDefault="00C611B2" w:rsidP="00C611B2"/>
    <w:p w14:paraId="4450C07F" w14:textId="77777777" w:rsidR="00C611B2" w:rsidRDefault="00C611B2" w:rsidP="00C611B2">
      <w:r>
        <w:t>‌</w:t>
      </w:r>
    </w:p>
    <w:p w14:paraId="68F592D7" w14:textId="77777777" w:rsidR="00C611B2" w:rsidRDefault="00C611B2" w:rsidP="00C611B2">
      <w:pPr>
        <w:rPr>
          <w:rFonts w:ascii="Calibri" w:hAnsi="Calibri" w:cs="Calibri"/>
          <w:color w:val="000000"/>
        </w:rPr>
      </w:pPr>
      <w:r>
        <w:t>‌</w:t>
      </w:r>
      <w:bookmarkStart w:id="0" w:name="_Hlk167192607"/>
      <w:r w:rsidRPr="00F91FC6">
        <w:rPr>
          <w:rFonts w:ascii="Calibri" w:hAnsi="Calibri" w:cs="Calibri"/>
          <w:color w:val="000000"/>
        </w:rPr>
        <w:t xml:space="preserve">Ministry of Justice </w:t>
      </w:r>
      <w:bookmarkEnd w:id="0"/>
      <w:r w:rsidRPr="00F91FC6">
        <w:rPr>
          <w:rFonts w:ascii="Calibri" w:hAnsi="Calibri" w:cs="Calibri"/>
          <w:color w:val="000000"/>
        </w:rPr>
        <w:t>(2022). </w:t>
      </w:r>
      <w:r w:rsidRPr="00F91FC6">
        <w:rPr>
          <w:rFonts w:ascii="Calibri" w:hAnsi="Calibri" w:cs="Calibri"/>
          <w:i/>
          <w:iCs/>
          <w:color w:val="000000"/>
        </w:rPr>
        <w:t>MAPPA Notes and Definitions Ministry of Justice Guidance Documentation</w:t>
      </w:r>
      <w:r w:rsidRPr="00F91FC6">
        <w:rPr>
          <w:rFonts w:ascii="Calibri" w:hAnsi="Calibri" w:cs="Calibri"/>
          <w:color w:val="000000"/>
        </w:rPr>
        <w:t xml:space="preserve">. [online] Available at: </w:t>
      </w:r>
      <w:hyperlink r:id="rId5" w:history="1">
        <w:r w:rsidRPr="00333DD8">
          <w:rPr>
            <w:rStyle w:val="Hyperlink"/>
            <w:rFonts w:ascii="Calibri" w:hAnsi="Calibri" w:cs="Calibri"/>
          </w:rPr>
          <w:t>https://assets.publishing.service.gov.uk/media/635974cde90e0777a7af42ee/MAPPA_Notes_and_Definitions.pdf</w:t>
        </w:r>
      </w:hyperlink>
      <w:r w:rsidRPr="00F91FC6">
        <w:rPr>
          <w:rFonts w:ascii="Calibri" w:hAnsi="Calibri" w:cs="Calibri"/>
          <w:color w:val="000000"/>
        </w:rPr>
        <w:t>.</w:t>
      </w:r>
    </w:p>
    <w:p w14:paraId="300F1F9E" w14:textId="77777777" w:rsidR="00C611B2" w:rsidRDefault="00C611B2" w:rsidP="00C611B2">
      <w:pPr>
        <w:rPr>
          <w:rFonts w:ascii="Calibri" w:hAnsi="Calibri" w:cs="Calibri"/>
          <w:color w:val="000000"/>
        </w:rPr>
      </w:pPr>
    </w:p>
    <w:p w14:paraId="4F3CBE40" w14:textId="77777777" w:rsidR="00C611B2" w:rsidRDefault="00C611B2" w:rsidP="00C611B2">
      <w:pPr>
        <w:rPr>
          <w:rFonts w:ascii="Calibri" w:hAnsi="Calibri" w:cs="Calibri"/>
          <w:color w:val="000000"/>
        </w:rPr>
      </w:pPr>
      <w:r w:rsidRPr="00F91FC6">
        <w:rPr>
          <w:rFonts w:ascii="Calibri" w:hAnsi="Calibri" w:cs="Calibri"/>
          <w:color w:val="000000"/>
        </w:rPr>
        <w:t>Moscarello, R. (1990). Psychological Management of Victims of Sexual Assault. </w:t>
      </w:r>
      <w:r w:rsidRPr="00F91FC6">
        <w:rPr>
          <w:rFonts w:ascii="Calibri" w:hAnsi="Calibri" w:cs="Calibri"/>
          <w:i/>
          <w:iCs/>
          <w:color w:val="000000"/>
        </w:rPr>
        <w:t>The Canadian Journal of Psychiatry</w:t>
      </w:r>
      <w:r w:rsidRPr="00F91FC6">
        <w:rPr>
          <w:rFonts w:ascii="Calibri" w:hAnsi="Calibri" w:cs="Calibri"/>
          <w:color w:val="000000"/>
        </w:rPr>
        <w:t xml:space="preserve">, 35(1), pp.25–30. </w:t>
      </w:r>
      <w:proofErr w:type="spellStart"/>
      <w:proofErr w:type="gramStart"/>
      <w:r w:rsidRPr="00F91FC6">
        <w:rPr>
          <w:rFonts w:ascii="Calibri" w:hAnsi="Calibri" w:cs="Calibri"/>
          <w:color w:val="000000"/>
        </w:rPr>
        <w:t>doi:https</w:t>
      </w:r>
      <w:proofErr w:type="spellEnd"/>
      <w:r w:rsidRPr="00F91FC6">
        <w:rPr>
          <w:rFonts w:ascii="Calibri" w:hAnsi="Calibri" w:cs="Calibri"/>
          <w:color w:val="000000"/>
        </w:rPr>
        <w:t>://doi.org/10.1177/070674379003500104</w:t>
      </w:r>
      <w:proofErr w:type="gramEnd"/>
      <w:r w:rsidRPr="00F91FC6">
        <w:rPr>
          <w:rFonts w:ascii="Calibri" w:hAnsi="Calibri" w:cs="Calibri"/>
          <w:color w:val="000000"/>
        </w:rPr>
        <w:t>.</w:t>
      </w:r>
    </w:p>
    <w:p w14:paraId="685B6C86" w14:textId="77777777" w:rsidR="00C611B2" w:rsidRDefault="00C611B2" w:rsidP="00C611B2">
      <w:pPr>
        <w:rPr>
          <w:rFonts w:ascii="Calibri" w:hAnsi="Calibri" w:cs="Calibri"/>
          <w:color w:val="000000"/>
        </w:rPr>
      </w:pPr>
    </w:p>
    <w:p w14:paraId="165F3144" w14:textId="77777777" w:rsidR="00C611B2" w:rsidRDefault="00C611B2" w:rsidP="00C611B2">
      <w:pPr>
        <w:rPr>
          <w:rFonts w:ascii="Calibri" w:hAnsi="Calibri" w:cs="Calibri"/>
          <w:color w:val="000000"/>
        </w:rPr>
      </w:pPr>
      <w:r w:rsidRPr="00F91FC6">
        <w:rPr>
          <w:rFonts w:ascii="Calibri" w:hAnsi="Calibri" w:cs="Calibri"/>
          <w:color w:val="000000"/>
        </w:rPr>
        <w:t>Office for National Statistics (2023). </w:t>
      </w:r>
      <w:r w:rsidRPr="00F91FC6">
        <w:rPr>
          <w:rFonts w:ascii="Calibri" w:hAnsi="Calibri" w:cs="Calibri"/>
          <w:i/>
          <w:iCs/>
          <w:color w:val="000000"/>
        </w:rPr>
        <w:t>Sexual offences in England and Wales overview - Office for National Statistics</w:t>
      </w:r>
      <w:r w:rsidRPr="00F91FC6">
        <w:rPr>
          <w:rFonts w:ascii="Calibri" w:hAnsi="Calibri" w:cs="Calibri"/>
          <w:color w:val="000000"/>
        </w:rPr>
        <w:t xml:space="preserve">. [online] www.ons.gov.uk. Available at: </w:t>
      </w:r>
      <w:hyperlink r:id="rId6" w:anchor=":~:text=March%202022%20article.-" w:history="1">
        <w:r w:rsidRPr="00333DD8">
          <w:rPr>
            <w:rStyle w:val="Hyperlink"/>
            <w:rFonts w:ascii="Calibri" w:hAnsi="Calibri" w:cs="Calibri"/>
          </w:rPr>
          <w:t>https://www.ons.gov.uk/peoplepopulationandcommunity/crimeandjustice/bulletins/sexualoffencesinenglandandwalesoverview/march2022#:~:text=March%202022%20article.-</w:t>
        </w:r>
      </w:hyperlink>
      <w:r w:rsidRPr="00F91FC6">
        <w:rPr>
          <w:rFonts w:ascii="Calibri" w:hAnsi="Calibri" w:cs="Calibri"/>
          <w:color w:val="000000"/>
        </w:rPr>
        <w:t>.</w:t>
      </w:r>
    </w:p>
    <w:p w14:paraId="5CF1B659" w14:textId="77777777" w:rsidR="00C611B2" w:rsidRDefault="00C611B2" w:rsidP="00C611B2"/>
    <w:p w14:paraId="3FED5A76" w14:textId="77777777" w:rsidR="00C611B2" w:rsidRDefault="00C611B2" w:rsidP="00C611B2">
      <w:r>
        <w:t xml:space="preserve">Rocha, I.C.O. and Valença, A.M. (2023). The efficacy of CBT based interventions to sexual offenders: A systematic review of the last decade literature. International Journal of Law and Psychiatry, [online] 87(87), p.101856. </w:t>
      </w:r>
      <w:proofErr w:type="spellStart"/>
      <w:proofErr w:type="gramStart"/>
      <w:r>
        <w:t>doi:https</w:t>
      </w:r>
      <w:proofErr w:type="spellEnd"/>
      <w:r>
        <w:t>://doi.org/10.1016/j.ijlp.2022.101856</w:t>
      </w:r>
      <w:proofErr w:type="gramEnd"/>
      <w:r>
        <w:t>.</w:t>
      </w:r>
    </w:p>
    <w:p w14:paraId="0FB42A73" w14:textId="77777777" w:rsidR="00C611B2" w:rsidRDefault="00C611B2" w:rsidP="00C611B2"/>
    <w:p w14:paraId="0DCD3F7E" w14:textId="77777777" w:rsidR="00C611B2" w:rsidRDefault="00C611B2" w:rsidP="00C611B2">
      <w:r>
        <w:t>Sanders, T. (2017). The Oxford Handbook of Sex Offences and Sex Offenders. [online] Google Books. Oxford University Press. Available at: https://books.google.co.uk/books?hl=en&amp;lr=&amp;id=rb5LDQAAQBAJ&amp;oi=fnd&amp;pg=PA392&amp;ots=fCaXjAXOyc&amp;sig=Ldxsuq5Re8hBqbqK6C8BW6IvB6I#v=onepage&amp;q&amp;f=false [Accessed 23 May 2024].</w:t>
      </w:r>
    </w:p>
    <w:p w14:paraId="160983B7" w14:textId="77777777" w:rsidR="00C611B2" w:rsidRDefault="00C611B2" w:rsidP="00C611B2">
      <w:r>
        <w:t>(page 405)</w:t>
      </w:r>
    </w:p>
    <w:p w14:paraId="060ECD24" w14:textId="77777777" w:rsidR="00C611B2" w:rsidRDefault="00C611B2" w:rsidP="00C611B2">
      <w:r>
        <w:t>‌</w:t>
      </w:r>
    </w:p>
    <w:p w14:paraId="00E08066" w14:textId="77777777" w:rsidR="00C611B2" w:rsidRDefault="00C611B2" w:rsidP="00C611B2">
      <w:r>
        <w:t xml:space="preserve">Smook, B., </w:t>
      </w:r>
      <w:proofErr w:type="spellStart"/>
      <w:r>
        <w:t>Ubbink</w:t>
      </w:r>
      <w:proofErr w:type="spellEnd"/>
      <w:r>
        <w:t xml:space="preserve">, M., Ryke, E. and Strydom, H. (2014). Substance abuse, </w:t>
      </w:r>
      <w:proofErr w:type="gramStart"/>
      <w:r>
        <w:t>dependence</w:t>
      </w:r>
      <w:proofErr w:type="gramEnd"/>
      <w:r>
        <w:t xml:space="preserve"> and the workplace: A literature overview. Social Work, [online] 50(1), pp.59–83. </w:t>
      </w:r>
      <w:proofErr w:type="spellStart"/>
      <w:proofErr w:type="gramStart"/>
      <w:r>
        <w:t>doi:https</w:t>
      </w:r>
      <w:proofErr w:type="spellEnd"/>
      <w:r>
        <w:t>://doi.org/10.15270/50-1-16</w:t>
      </w:r>
      <w:proofErr w:type="gramEnd"/>
      <w:r>
        <w:t>.</w:t>
      </w:r>
    </w:p>
    <w:p w14:paraId="68B2553D" w14:textId="77777777" w:rsidR="00C611B2" w:rsidRDefault="00C611B2"/>
    <w:p w14:paraId="4F108B64" w14:textId="77777777" w:rsidR="00C611B2" w:rsidRDefault="00C611B2"/>
    <w:p w14:paraId="19309A86" w14:textId="77777777" w:rsidR="00C611B2" w:rsidRDefault="00C611B2"/>
    <w:p w14:paraId="6432AEEF" w14:textId="77777777" w:rsidR="00C611B2" w:rsidRDefault="00C611B2"/>
    <w:p w14:paraId="1D39AC77" w14:textId="77777777" w:rsidR="00C611B2" w:rsidRDefault="00C611B2"/>
    <w:p w14:paraId="627FAB00" w14:textId="77777777" w:rsidR="00C611B2" w:rsidRPr="00C611B2" w:rsidRDefault="00C611B2" w:rsidP="00C611B2">
      <w:r w:rsidRPr="00C611B2">
        <w:rPr>
          <w:b/>
          <w:bCs/>
        </w:rPr>
        <w:lastRenderedPageBreak/>
        <w:t>Essay four:</w:t>
      </w:r>
      <w:r w:rsidRPr="00C611B2">
        <w:t xml:space="preserve"> Examine the various socio-economic and psychological characteristics which can make people vulnerable to exploitation by criminal gangs.</w:t>
      </w:r>
    </w:p>
    <w:p w14:paraId="56CFFD7C" w14:textId="77777777" w:rsidR="00C611B2" w:rsidRDefault="00C611B2" w:rsidP="00C611B2"/>
    <w:p w14:paraId="043C59C3" w14:textId="77777777" w:rsidR="00C611B2" w:rsidRDefault="00C611B2" w:rsidP="00C611B2">
      <w:r>
        <w:t xml:space="preserve">Criminal gangs rely on the exploitation of others </w:t>
      </w:r>
      <w:proofErr w:type="gramStart"/>
      <w:r>
        <w:t>in order to</w:t>
      </w:r>
      <w:proofErr w:type="gramEnd"/>
      <w:r>
        <w:t xml:space="preserve"> achieve their goals. Children and vulnerable people are often the target of such gangs as they are easier to recruit and manipulate (Home office, 2003). HM Inspectorate of Probate estimates that around thirty to fifty thousand children were being criminally exploited by gangs in 2019. It is estimated that forty-five percent of victims were boys aged under the age of 19 years old (The Centre for Social Justice, 2024). The impact of such exploitation causes significant consequences to the victims and their families (Dando, Ormerod, and Atkinson-Sheppard, 2022). </w:t>
      </w:r>
    </w:p>
    <w:p w14:paraId="1A4C4DE8" w14:textId="77777777" w:rsidR="00C611B2" w:rsidRDefault="00C611B2" w:rsidP="00C611B2">
      <w:r>
        <w:t xml:space="preserve">Socio-economic factors, specifically lower socio-economic status, have been associated with </w:t>
      </w:r>
      <w:proofErr w:type="gramStart"/>
      <w:r>
        <w:t>a number of</w:t>
      </w:r>
      <w:proofErr w:type="gramEnd"/>
      <w:r>
        <w:t xml:space="preserve"> negative outcomes among youth populations (</w:t>
      </w:r>
      <w:r w:rsidRPr="004B62EA">
        <w:t>American Psychological Association</w:t>
      </w:r>
      <w:r>
        <w:t xml:space="preserve">, </w:t>
      </w:r>
      <w:r w:rsidRPr="004B62EA">
        <w:t>2010).</w:t>
      </w:r>
      <w:r>
        <w:t xml:space="preserve"> Factors such as poverty, dysfunctional family dynamics and a lack of opportunities in extra-curricular opportunities are correlated with escalating deviant behaviour, such as drug and alcohol abuse (Mudau, Chauke, and Malatji, 2019). Youth populations seeking risk-taking behaviour may find themselves easily influenced by gangs who operate county lines as it provides a seemingly exciting opportunity to engage with illicit drugs and provide them with economic advantages which they feel they cannot achieve elsewhere. Consequently, poverty is a particular factor in driving the influence criminal gangs have on individuals (United Against Violence, 2024). Criminal exploitation is suspected to be ten percent higher in impoverished communities as opposed to in affluent areas (The Centre for Social Justice, 2024). Impoverished neighbourhoods have higher unemployment rates with limited resources to aid with personal development, career prospects and social opportunities, making those living in such circumstances vulnerable to the proposed promise of social and economic stability provided by criminal gangs (Spergel, 1990).</w:t>
      </w:r>
    </w:p>
    <w:p w14:paraId="7C557C5E" w14:textId="77777777" w:rsidR="00C611B2" w:rsidRDefault="00C611B2" w:rsidP="00C611B2">
      <w:r>
        <w:t>Children with poorer socio-economic stability who become involved with criminal gangs are particularly vulnerable to the power-imbalance at play. Teenagers who struggle with social-exclusion and educational issues suffer great impacts on their overall wellbeing (</w:t>
      </w:r>
      <w:proofErr w:type="spellStart"/>
      <w:r>
        <w:t>Pelenc</w:t>
      </w:r>
      <w:proofErr w:type="spellEnd"/>
      <w:r>
        <w:t xml:space="preserve">, 2016).  Furthermore, </w:t>
      </w:r>
      <w:proofErr w:type="spellStart"/>
      <w:r>
        <w:t>Baidawi</w:t>
      </w:r>
      <w:proofErr w:type="spellEnd"/>
      <w:r>
        <w:t xml:space="preserve">, Sheehan, and Flynn (2020) found that children living in residential care and those with neurodiverse conditions were particularly vulnerable to child criminal exploitation (CCE) by both strangers and family members, enabled by sexual exploitation and substance abuse. Gangs involved in county lines target minors (those under 18 years of age) to assist with the trade of illegal substances, often promising reward in the form of money, </w:t>
      </w:r>
      <w:proofErr w:type="gramStart"/>
      <w:r>
        <w:t>drugs</w:t>
      </w:r>
      <w:proofErr w:type="gramEnd"/>
      <w:r>
        <w:t xml:space="preserve"> or clothes, and even in non-material ways such as through protection or status, indicating that children with unmet emotional or economic needs are particularly vulnerable. Moreover, Strand (2014) examined both the risks and protecting factors behind individual vulnerabilities towards criminal gang exploitation and found that the risk can be mitigated with social and community support, alongside better educational and extra-curricular opportunities. </w:t>
      </w:r>
    </w:p>
    <w:p w14:paraId="7691201A" w14:textId="77777777" w:rsidR="00C611B2" w:rsidRDefault="00C611B2" w:rsidP="00C611B2">
      <w:r>
        <w:t xml:space="preserve">Research indicates that the more socially unsupported an individual is, the more likely they are to seek the support elsewhere, perhaps in the form of criminal gangs. Cuckooing refers to the practice of infiltrating and exploiting an individual’s home to operate criminal activity. Those with psychological or physical disability, who are vulnerable due to their social-isolation and loneliness are often targets (Macdonald, Donovan, Clayton, and Husband, 2022). Inferences can be drawn that emotional and psychological individual differences may increase vulnerability to exploitation in certain people. Socio-economic factors may attribute to such </w:t>
      </w:r>
      <w:r>
        <w:lastRenderedPageBreak/>
        <w:t xml:space="preserve">differences; however, the appeal of gang kinship may be more enticing to those harbouring certain psychological characteristics than others. Gang culture provides a group identity, and criminal gangs exploit this by taking advantage of an individual’s need to feel accepted (Knox, 1999). </w:t>
      </w:r>
    </w:p>
    <w:p w14:paraId="38896C53" w14:textId="77777777" w:rsidR="00C611B2" w:rsidRDefault="00C611B2" w:rsidP="00C611B2">
      <w:r>
        <w:t>A study conducted on Danish people involved in organised crime found individuals to be less emotionally stable, confident, and agreeable with a higher need for security and financial and material success when compared with non-criminal groups (</w:t>
      </w:r>
      <w:r w:rsidRPr="0026758D">
        <w:t>Gøtzsche</w:t>
      </w:r>
      <w:r w:rsidRPr="0026758D">
        <w:rPr>
          <w:rFonts w:ascii="Cambria Math" w:hAnsi="Cambria Math" w:cs="Cambria Math"/>
        </w:rPr>
        <w:t>‐</w:t>
      </w:r>
      <w:r w:rsidRPr="0026758D">
        <w:t>Astrup, Overgaard</w:t>
      </w:r>
      <w:r>
        <w:t xml:space="preserve"> </w:t>
      </w:r>
      <w:r w:rsidRPr="0026758D">
        <w:t>and Lindekilde</w:t>
      </w:r>
      <w:r>
        <w:t xml:space="preserve">, 2022). Furthermore, Macfarlane (2018) found that poor mental health is a considerable factor among youths who elect to join criminal gangs and such vulnerabilities can also be observed in victims of cuckooing (Moyle, 2019). Those aware of their own exploitation may be able to successfully develop strategies to free themselves from such circumstances (Ashton and </w:t>
      </w:r>
      <w:proofErr w:type="spellStart"/>
      <w:r>
        <w:t>Bussu</w:t>
      </w:r>
      <w:proofErr w:type="spellEnd"/>
      <w:r>
        <w:t xml:space="preserve">, 2020). The development of such strategies </w:t>
      </w:r>
      <w:proofErr w:type="gramStart"/>
      <w:r>
        <w:t>are</w:t>
      </w:r>
      <w:proofErr w:type="gramEnd"/>
      <w:r>
        <w:t xml:space="preserve"> likely hindered by poor psychological well-being and emotional dysregulation, making such vulnerable characteristics a desirable trait to those attempting to criminally exploit. In cases of cuckooing, gangs may further exploit the social isolation and mental health vulnerabilities by restricting the individuals contact with family and friends, centring themselves as the main source of social interaction. Indeed, it is seen that some victims of cuckooing are aware of their own exploitation but allow the dynamic to continue </w:t>
      </w:r>
      <w:proofErr w:type="gramStart"/>
      <w:r>
        <w:t>in order to</w:t>
      </w:r>
      <w:proofErr w:type="gramEnd"/>
      <w:r>
        <w:t xml:space="preserve"> fulfil a perceived friendship with the offender/s (Macdonald, Donovan, Clayton and Husband, 2022). </w:t>
      </w:r>
    </w:p>
    <w:p w14:paraId="0B0D6EC4" w14:textId="77777777" w:rsidR="00C611B2" w:rsidRDefault="00C611B2" w:rsidP="00C611B2">
      <w:r>
        <w:t>In cases of both cuckooing and CCE drug dependence combined with poor mental health is also considered a primary vulnerability towards exploitation. Coomber and Moyle (2018) discovered that those with pre-existing drug addictions were more vulnerable to cuckooing. Additionally, Plimmer (2020) found that the characteristic profile of CCE included the use of cannabis and suicidal ideation in teens. Criminal gangs involved in county lines drug trading can easily use such addictions to manipulate the behaviour of those they are attempting to exploit, offering drugs in exchange for service and forcing victims to work for them due to resulting drug debts. An individual with co-morbid mental health and drug addiction may easily find themselves in a position where they cannot defend themselves against such manipulation.</w:t>
      </w:r>
    </w:p>
    <w:p w14:paraId="1D5F1B0A" w14:textId="77777777" w:rsidR="00C611B2" w:rsidRDefault="00C611B2" w:rsidP="00C611B2">
      <w:r>
        <w:t xml:space="preserve">To conclude, the factors that make people vulnerable to exploitation by criminal gangs are complicated and are often the outcome of poor social-economic status and particular psychological characteristics which makes them vulnerable to the manipulation tactics used by criminal gangs. There is no one individual factor in particular which increases a person’s vulnerability. A range of vulnerabilities combined likely increase a person’s risk to being exploited, including age, mental </w:t>
      </w:r>
      <w:proofErr w:type="gramStart"/>
      <w:r>
        <w:t>health</w:t>
      </w:r>
      <w:proofErr w:type="gramEnd"/>
      <w:r>
        <w:t xml:space="preserve"> and social isolation. </w:t>
      </w:r>
    </w:p>
    <w:p w14:paraId="649D0D32" w14:textId="77777777" w:rsidR="00C611B2" w:rsidRDefault="00C611B2" w:rsidP="00C611B2"/>
    <w:p w14:paraId="78102AB3" w14:textId="77777777" w:rsidR="00C611B2" w:rsidRDefault="00C611B2" w:rsidP="00C611B2">
      <w:r>
        <w:t>Word count: 968</w:t>
      </w:r>
    </w:p>
    <w:p w14:paraId="1F4318AE" w14:textId="77777777" w:rsidR="00C611B2" w:rsidRDefault="00C611B2" w:rsidP="00C611B2"/>
    <w:p w14:paraId="6C16843B" w14:textId="77777777" w:rsidR="00C611B2" w:rsidRDefault="00C611B2" w:rsidP="00C611B2"/>
    <w:p w14:paraId="36DBAE0A" w14:textId="77777777" w:rsidR="00C611B2" w:rsidRDefault="00C611B2" w:rsidP="00C611B2"/>
    <w:p w14:paraId="24B090F9" w14:textId="77777777" w:rsidR="00C611B2" w:rsidRDefault="00C611B2" w:rsidP="00C611B2"/>
    <w:p w14:paraId="24B6640B" w14:textId="77777777" w:rsidR="00C611B2" w:rsidRDefault="00C611B2" w:rsidP="00C611B2"/>
    <w:p w14:paraId="0428CDB2" w14:textId="77777777" w:rsidR="00C611B2" w:rsidRDefault="00C611B2" w:rsidP="00C611B2"/>
    <w:p w14:paraId="2C67D505" w14:textId="1F83FF3F" w:rsidR="00C611B2" w:rsidRDefault="00C611B2" w:rsidP="00C611B2">
      <w:r w:rsidRPr="00C611B2">
        <w:rPr>
          <w:b/>
          <w:bCs/>
        </w:rPr>
        <w:lastRenderedPageBreak/>
        <w:t>Essay four</w:t>
      </w:r>
      <w:r>
        <w:t xml:space="preserve"> -</w:t>
      </w:r>
      <w:r>
        <w:t xml:space="preserve">Bibliography: </w:t>
      </w:r>
    </w:p>
    <w:p w14:paraId="2663F2DD" w14:textId="77777777" w:rsidR="00C611B2" w:rsidRDefault="00C611B2" w:rsidP="00C611B2"/>
    <w:p w14:paraId="491F5E27" w14:textId="77777777" w:rsidR="00C611B2" w:rsidRDefault="00C611B2" w:rsidP="00C611B2">
      <w:r>
        <w:t>American Psychological Association (2010). Children, Youth, Families and Socioeconomic Status. American Psychological Association. [online] Available at: https://www.apa.org/pi/ses/resources/publications/children-families.</w:t>
      </w:r>
    </w:p>
    <w:p w14:paraId="536BCBCB" w14:textId="77777777" w:rsidR="00C611B2" w:rsidRDefault="00C611B2" w:rsidP="00C611B2"/>
    <w:p w14:paraId="69760B7A" w14:textId="77777777" w:rsidR="00C611B2" w:rsidRDefault="00C611B2" w:rsidP="00C611B2">
      <w:r>
        <w:t>Anon, (n.d.). Social and Economic Factors Contributing to Gang Culture – United Against Violence. [online] Available at: https://unitedagainstviolence.co.uk/social-and-economic-factors-contributing-to-gang-culture/#:~:text=Poverty%20plays%20a%20significant%20role [Accessed 27 May 2024].</w:t>
      </w:r>
    </w:p>
    <w:p w14:paraId="70A33443" w14:textId="77777777" w:rsidR="00C611B2" w:rsidRDefault="00C611B2" w:rsidP="00C611B2"/>
    <w:p w14:paraId="4018F297" w14:textId="77777777" w:rsidR="00C611B2" w:rsidRDefault="00C611B2" w:rsidP="00C611B2">
      <w:r w:rsidRPr="00423369">
        <w:t xml:space="preserve">Ashton, S.-A. and </w:t>
      </w:r>
      <w:proofErr w:type="spellStart"/>
      <w:r w:rsidRPr="00423369">
        <w:t>Bussu</w:t>
      </w:r>
      <w:proofErr w:type="spellEnd"/>
      <w:r w:rsidRPr="00423369">
        <w:t xml:space="preserve">, A. (2020). Peer groups, street gangs and organised crime in the narratives of adolescent male offenders. Journal of Criminal Psychology, ahead-of-print(ahead-of-print). </w:t>
      </w:r>
      <w:proofErr w:type="spellStart"/>
      <w:proofErr w:type="gramStart"/>
      <w:r w:rsidRPr="00423369">
        <w:t>doi:https</w:t>
      </w:r>
      <w:proofErr w:type="spellEnd"/>
      <w:r w:rsidRPr="00423369">
        <w:t>://doi.org/10.1108/jcp-06-2020-0020</w:t>
      </w:r>
      <w:proofErr w:type="gramEnd"/>
      <w:r w:rsidRPr="00423369">
        <w:t>.</w:t>
      </w:r>
    </w:p>
    <w:p w14:paraId="181F5543" w14:textId="77777777" w:rsidR="00C611B2" w:rsidRDefault="00C611B2" w:rsidP="00C611B2"/>
    <w:p w14:paraId="0516ACFB" w14:textId="77777777" w:rsidR="00C611B2" w:rsidRDefault="00C611B2" w:rsidP="00C611B2">
      <w:proofErr w:type="spellStart"/>
      <w:r>
        <w:t>Baidawi</w:t>
      </w:r>
      <w:proofErr w:type="spellEnd"/>
      <w:r>
        <w:t xml:space="preserve">, S., Sheehan, R. and Flynn, C. (2020). Criminal Exploitation of Child protection-involved Youth. Children and Youth Services Review, [online] 118(118), p.105396. </w:t>
      </w:r>
      <w:proofErr w:type="spellStart"/>
      <w:proofErr w:type="gramStart"/>
      <w:r>
        <w:t>doi:https</w:t>
      </w:r>
      <w:proofErr w:type="spellEnd"/>
      <w:r>
        <w:t>://doi.org/10.1016/j.childyouth.2020.105396</w:t>
      </w:r>
      <w:proofErr w:type="gramEnd"/>
      <w:r>
        <w:t>.</w:t>
      </w:r>
    </w:p>
    <w:p w14:paraId="51F6D127" w14:textId="77777777" w:rsidR="00C611B2" w:rsidRDefault="00C611B2" w:rsidP="00C611B2"/>
    <w:p w14:paraId="04C2B950" w14:textId="77777777" w:rsidR="00C611B2" w:rsidRDefault="00C611B2" w:rsidP="00C611B2">
      <w:r>
        <w:t xml:space="preserve">Coomber, R. and Moyle, L. (2018). The Changing Shape of Street-Level Heroin and Crack Supply in England: Commuting, Holidaying and Cuckooing Drug Dealers across ‘County Lines’. The British Journal of Criminology, 58(6), pp.1323–1342. </w:t>
      </w:r>
      <w:proofErr w:type="spellStart"/>
      <w:proofErr w:type="gramStart"/>
      <w:r>
        <w:t>doi:https</w:t>
      </w:r>
      <w:proofErr w:type="spellEnd"/>
      <w:r>
        <w:t>://doi.org/10.1093/</w:t>
      </w:r>
      <w:proofErr w:type="spellStart"/>
      <w:r>
        <w:t>bjc</w:t>
      </w:r>
      <w:proofErr w:type="spellEnd"/>
      <w:r>
        <w:t>/azx068</w:t>
      </w:r>
      <w:proofErr w:type="gramEnd"/>
      <w:r>
        <w:t>.</w:t>
      </w:r>
    </w:p>
    <w:p w14:paraId="3D4BD401" w14:textId="77777777" w:rsidR="00C611B2" w:rsidRDefault="00C611B2" w:rsidP="00C611B2"/>
    <w:p w14:paraId="21110F12" w14:textId="77777777" w:rsidR="00C611B2" w:rsidRDefault="00C611B2" w:rsidP="00C611B2">
      <w:r>
        <w:rPr>
          <w:rFonts w:hint="cs"/>
        </w:rPr>
        <w:t>‌</w:t>
      </w:r>
    </w:p>
    <w:p w14:paraId="267BDDD0" w14:textId="77777777" w:rsidR="00C611B2" w:rsidRDefault="00C611B2" w:rsidP="00C611B2">
      <w:r>
        <w:t xml:space="preserve">Dando, C.J., Ormerod, T.C. and Atkinson-Sheppard, S. (2022). Parental experiences of the impact of grooming and criminal exploitation of children for county lines drug trafficking. Journal of Public Health, 45(2). </w:t>
      </w:r>
      <w:proofErr w:type="spellStart"/>
      <w:proofErr w:type="gramStart"/>
      <w:r>
        <w:t>doi:https</w:t>
      </w:r>
      <w:proofErr w:type="spellEnd"/>
      <w:r>
        <w:t>://doi.org/10.1093/</w:t>
      </w:r>
      <w:proofErr w:type="spellStart"/>
      <w:r>
        <w:t>pubmed</w:t>
      </w:r>
      <w:proofErr w:type="spellEnd"/>
      <w:r>
        <w:t>/fdac112</w:t>
      </w:r>
      <w:proofErr w:type="gramEnd"/>
      <w:r>
        <w:t>.</w:t>
      </w:r>
    </w:p>
    <w:p w14:paraId="78F937D8" w14:textId="77777777" w:rsidR="00C611B2" w:rsidRDefault="00C611B2" w:rsidP="00C611B2"/>
    <w:p w14:paraId="0BE05E05" w14:textId="77777777" w:rsidR="00C611B2" w:rsidRDefault="00C611B2" w:rsidP="00C611B2">
      <w:r w:rsidRPr="0026758D">
        <w:t>Gøtzsche</w:t>
      </w:r>
      <w:r w:rsidRPr="0026758D">
        <w:rPr>
          <w:rFonts w:ascii="Cambria Math" w:hAnsi="Cambria Math" w:cs="Cambria Math"/>
        </w:rPr>
        <w:t>‐</w:t>
      </w:r>
      <w:r w:rsidRPr="0026758D">
        <w:t>Astrup, O., Overgaard, B. and Lindekilde, L. (2022). Vulnerable and dominant: Bright and dark side personality traits and values of individuals in organized crime in Denmark. Scandinavian Journal of Psychology, 63(5), pp.536</w:t>
      </w:r>
      <w:r w:rsidRPr="0026758D">
        <w:rPr>
          <w:rFonts w:ascii="Aptos" w:hAnsi="Aptos" w:cs="Aptos"/>
        </w:rPr>
        <w:t>–</w:t>
      </w:r>
      <w:r w:rsidRPr="0026758D">
        <w:t xml:space="preserve">544. </w:t>
      </w:r>
      <w:proofErr w:type="spellStart"/>
      <w:proofErr w:type="gramStart"/>
      <w:r w:rsidRPr="0026758D">
        <w:t>doi:https</w:t>
      </w:r>
      <w:proofErr w:type="spellEnd"/>
      <w:r w:rsidRPr="0026758D">
        <w:t>://doi.org/10.1111/sjop.12831</w:t>
      </w:r>
      <w:proofErr w:type="gramEnd"/>
      <w:r w:rsidRPr="0026758D">
        <w:t>.</w:t>
      </w:r>
    </w:p>
    <w:p w14:paraId="3983A5BB" w14:textId="77777777" w:rsidR="00C611B2" w:rsidRDefault="00C611B2" w:rsidP="00C611B2"/>
    <w:p w14:paraId="0A79CE74" w14:textId="77777777" w:rsidR="00C611B2" w:rsidRDefault="00C611B2" w:rsidP="00C611B2">
      <w:r>
        <w:t>Home Office (2023). Criminal exploitation of children and vulnerable adults: county lines. [online] Gov.uk. Available at: https://www.gov.uk/government/publications/criminal-exploitation-of-children-and-vulnerable-adults-county-lines/criminal-exploitation-of-children-and-vulnerable-adults-county-lines.</w:t>
      </w:r>
    </w:p>
    <w:p w14:paraId="7DF1F19B" w14:textId="77777777" w:rsidR="00C611B2" w:rsidRDefault="00C611B2" w:rsidP="00C611B2"/>
    <w:p w14:paraId="45CED3B9" w14:textId="77777777" w:rsidR="00C611B2" w:rsidRDefault="00C611B2" w:rsidP="00C611B2">
      <w:r>
        <w:lastRenderedPageBreak/>
        <w:t xml:space="preserve">Macdonald, S.J., Donovan, C., Clayton, J. and Husband, M. (2022). Becoming cuckooed: conceptualising the relationship between disability, home takeovers and criminal exploitation. Disability &amp; Society, 39(2), pp.1–21. </w:t>
      </w:r>
      <w:proofErr w:type="spellStart"/>
      <w:proofErr w:type="gramStart"/>
      <w:r>
        <w:t>doi:https</w:t>
      </w:r>
      <w:proofErr w:type="spellEnd"/>
      <w:r>
        <w:t>://doi.org/10.1080/09687599.2022.2071680</w:t>
      </w:r>
      <w:proofErr w:type="gramEnd"/>
      <w:r>
        <w:t>.</w:t>
      </w:r>
    </w:p>
    <w:p w14:paraId="2A9D4955" w14:textId="77777777" w:rsidR="00C611B2" w:rsidRDefault="00C611B2" w:rsidP="00C611B2"/>
    <w:p w14:paraId="6F1315A5" w14:textId="77777777" w:rsidR="00C611B2" w:rsidRDefault="00C611B2" w:rsidP="00C611B2">
      <w:r>
        <w:t xml:space="preserve">Macfarlane, A. (2018). Gangs and Adolescent Mental Health: </w:t>
      </w:r>
      <w:proofErr w:type="gramStart"/>
      <w:r>
        <w:t>a</w:t>
      </w:r>
      <w:proofErr w:type="gramEnd"/>
      <w:r>
        <w:t xml:space="preserve"> Narrative Review. Journal of Child &amp; Adolescent Trauma, [online] 12(3). </w:t>
      </w:r>
      <w:proofErr w:type="spellStart"/>
      <w:proofErr w:type="gramStart"/>
      <w:r>
        <w:t>doi:https</w:t>
      </w:r>
      <w:proofErr w:type="spellEnd"/>
      <w:r>
        <w:t>://doi.org/10.1007/s40653-018-0231-y</w:t>
      </w:r>
      <w:proofErr w:type="gramEnd"/>
      <w:r>
        <w:t>.</w:t>
      </w:r>
    </w:p>
    <w:p w14:paraId="4A325DFE" w14:textId="77777777" w:rsidR="00C611B2" w:rsidRDefault="00C611B2" w:rsidP="00C611B2"/>
    <w:p w14:paraId="094CA747" w14:textId="77777777" w:rsidR="00C611B2" w:rsidRDefault="00C611B2" w:rsidP="00C611B2">
      <w:r w:rsidRPr="00915026">
        <w:t>Moyle, L. (2019). Situating Vulnerability and Exploitation in Street-Level Drug Markets: Cuckooing, Commuting, and the ‘County Lines’ Drug Supply Model. Journal of Drug Issues, 49(4), pp.739–755.</w:t>
      </w:r>
    </w:p>
    <w:p w14:paraId="5CBA05A4" w14:textId="77777777" w:rsidR="00C611B2" w:rsidRDefault="00C611B2" w:rsidP="00C611B2"/>
    <w:p w14:paraId="67773CEB" w14:textId="77777777" w:rsidR="00C611B2" w:rsidRDefault="00C611B2" w:rsidP="00C611B2">
      <w:proofErr w:type="gramStart"/>
      <w:r>
        <w:t>Mudau,  J.T</w:t>
      </w:r>
      <w:proofErr w:type="gramEnd"/>
      <w:r>
        <w:t xml:space="preserve">, Chauke, A.T and Malatji, S.K (2019). Investigation of the Socio-Economic Factors that Influences Deviant Behaviour Among the Youth: A Case Study of </w:t>
      </w:r>
      <w:proofErr w:type="spellStart"/>
      <w:r>
        <w:t>Madonsi</w:t>
      </w:r>
      <w:proofErr w:type="spellEnd"/>
      <w:r>
        <w:t xml:space="preserve"> Village, South Africa - ProQuest. [online] Available at: https://www.proquest.com/openview/b6ad5fe84a780a35731c1d0204cb4725/1?pq-origsite=gscholar&amp;cbl=39577 [Accessed 12 Oct. 2022].</w:t>
      </w:r>
    </w:p>
    <w:p w14:paraId="6468E321" w14:textId="77777777" w:rsidR="00C611B2" w:rsidRDefault="00C611B2" w:rsidP="00C611B2"/>
    <w:p w14:paraId="26DE4813" w14:textId="77777777" w:rsidR="00C611B2" w:rsidRDefault="00C611B2" w:rsidP="00C611B2">
      <w:proofErr w:type="spellStart"/>
      <w:r>
        <w:t>Pelenc</w:t>
      </w:r>
      <w:proofErr w:type="spellEnd"/>
      <w:r>
        <w:t xml:space="preserve">, J. (2016). Combining Capabilities and Fundamental Human Needs: A Case Study with Vulnerable Teenagers in France. Social Indicators Research, [online] 133(3), pp.879–906. </w:t>
      </w:r>
      <w:proofErr w:type="spellStart"/>
      <w:proofErr w:type="gramStart"/>
      <w:r>
        <w:t>doi:https</w:t>
      </w:r>
      <w:proofErr w:type="spellEnd"/>
      <w:r>
        <w:t>://doi.org/10.1007/s11205-016-1399-x</w:t>
      </w:r>
      <w:proofErr w:type="gramEnd"/>
      <w:r>
        <w:t>.</w:t>
      </w:r>
    </w:p>
    <w:p w14:paraId="387FC7A3" w14:textId="77777777" w:rsidR="00C611B2" w:rsidRDefault="00C611B2" w:rsidP="00C611B2"/>
    <w:p w14:paraId="191A7DAD" w14:textId="77777777" w:rsidR="00C611B2" w:rsidRDefault="00C611B2" w:rsidP="00C611B2">
      <w:r w:rsidRPr="001D7E12">
        <w:t>Plimmer, R. (2020). Exploring the Characteristic Profile and Parental Experiences of Child Criminal Exploitation Within Shropshire. (n.d.). Available at: https://www.wearewithyou.org.uk/media/s3xe12nn/cce-reportwe-are-with-you.pdf [Accessed 01 May 2024]</w:t>
      </w:r>
    </w:p>
    <w:p w14:paraId="285417F0" w14:textId="77777777" w:rsidR="00C611B2" w:rsidRDefault="00C611B2" w:rsidP="00C611B2"/>
    <w:p w14:paraId="3D270D9B" w14:textId="77777777" w:rsidR="00C611B2" w:rsidRDefault="00C611B2" w:rsidP="00C611B2">
      <w:r>
        <w:t xml:space="preserve">Spergel, I.A. (1990). Youth Gangs: Continuity and Change. Crime and Justice, 12, pp.171–275. </w:t>
      </w:r>
      <w:proofErr w:type="spellStart"/>
      <w:proofErr w:type="gramStart"/>
      <w:r>
        <w:t>doi:https</w:t>
      </w:r>
      <w:proofErr w:type="spellEnd"/>
      <w:r>
        <w:t>://doi.org/10.1086/449166</w:t>
      </w:r>
      <w:proofErr w:type="gramEnd"/>
      <w:r>
        <w:t>.</w:t>
      </w:r>
    </w:p>
    <w:p w14:paraId="1E41CEB9" w14:textId="77777777" w:rsidR="00C611B2" w:rsidRDefault="00C611B2" w:rsidP="00C611B2"/>
    <w:p w14:paraId="5DA459C2" w14:textId="77777777" w:rsidR="00C611B2" w:rsidRDefault="00C611B2" w:rsidP="00C611B2">
      <w:r w:rsidRPr="00E67939">
        <w:t>Strand, S. (2014). THE STREETS ARE COLD, THE GANGS ARE WARM: AN INTERROGATION OF WHY PEOPLE JOIN GANGS. Independent Study Project (ISP) Collection. [online] Available at: https://digitalcollections.sit.edu/isp_collection/2029/.</w:t>
      </w:r>
    </w:p>
    <w:p w14:paraId="05145D6B" w14:textId="77777777" w:rsidR="00C611B2" w:rsidRDefault="00C611B2" w:rsidP="00C611B2">
      <w:r>
        <w:t>The Centre for Social Justice. (2024). Criminal exploitation: Modern slavery by another name. [online] Available at: https://www.centreforsocialjustice.org.uk/library/criminal-exploitation#:~:text=The%20majority%20of%20the%20victims [Accessed 27 May 2024].</w:t>
      </w:r>
    </w:p>
    <w:p w14:paraId="79508199" w14:textId="77777777" w:rsidR="00C611B2" w:rsidRDefault="00C611B2" w:rsidP="00C611B2"/>
    <w:p w14:paraId="2088BF79" w14:textId="77777777" w:rsidR="00C611B2" w:rsidRDefault="00C611B2" w:rsidP="00C611B2">
      <w:r>
        <w:t xml:space="preserve">Knox, G. (1999). Comparison of Cults and Gangs: Dimensions of Coercive Power and Malevolent Authority | Office of Justice Programs. [online] Available at: </w:t>
      </w:r>
      <w:r>
        <w:lastRenderedPageBreak/>
        <w:t>https://www.ojp.gov/ncjrs/virtual-library/abstracts/comparison-cults-and-gangs-dimensions-coercive-power-and-malevolent.</w:t>
      </w:r>
    </w:p>
    <w:p w14:paraId="39264638" w14:textId="77777777" w:rsidR="00C611B2" w:rsidRDefault="00C611B2" w:rsidP="00C611B2"/>
    <w:p w14:paraId="5C92ED4C" w14:textId="77777777" w:rsidR="00C611B2" w:rsidRDefault="00C611B2"/>
    <w:p w14:paraId="32777D83" w14:textId="77777777" w:rsidR="00C611B2" w:rsidRDefault="00C611B2"/>
    <w:p w14:paraId="623D8205" w14:textId="77777777" w:rsidR="00C611B2" w:rsidRDefault="00C611B2"/>
    <w:p w14:paraId="7EDAB123" w14:textId="77777777" w:rsidR="00C611B2" w:rsidRDefault="00C611B2"/>
    <w:p w14:paraId="42E24E11" w14:textId="77777777" w:rsidR="00C611B2" w:rsidRDefault="00C611B2"/>
    <w:p w14:paraId="02B28FC2" w14:textId="77777777" w:rsidR="00C611B2" w:rsidRDefault="00C611B2"/>
    <w:p w14:paraId="4E9DC31C" w14:textId="77777777" w:rsidR="00C611B2" w:rsidRDefault="00C611B2"/>
    <w:p w14:paraId="273DA2E0" w14:textId="77777777" w:rsidR="00C611B2" w:rsidRDefault="00C611B2"/>
    <w:p w14:paraId="0C39C783" w14:textId="77777777" w:rsidR="00C611B2" w:rsidRDefault="00C611B2"/>
    <w:p w14:paraId="7AE009EB" w14:textId="77777777" w:rsidR="00C611B2" w:rsidRDefault="00C611B2"/>
    <w:p w14:paraId="3A951E1A" w14:textId="77777777" w:rsidR="00C611B2" w:rsidRDefault="00C611B2"/>
    <w:p w14:paraId="6226D131" w14:textId="77777777" w:rsidR="00C611B2" w:rsidRDefault="00C611B2"/>
    <w:p w14:paraId="1DC3CEFD" w14:textId="77777777" w:rsidR="00C611B2" w:rsidRDefault="00C611B2"/>
    <w:p w14:paraId="1F37F34B" w14:textId="77777777" w:rsidR="00C611B2" w:rsidRDefault="00C611B2"/>
    <w:p w14:paraId="23C04CFA" w14:textId="77777777" w:rsidR="00C611B2" w:rsidRDefault="00C611B2"/>
    <w:p w14:paraId="30CCB36F" w14:textId="77777777" w:rsidR="00C611B2" w:rsidRDefault="00C611B2"/>
    <w:p w14:paraId="4EB5661C" w14:textId="77777777" w:rsidR="00C611B2" w:rsidRDefault="00C611B2"/>
    <w:p w14:paraId="48D90CBF" w14:textId="77777777" w:rsidR="00C611B2" w:rsidRDefault="00C611B2"/>
    <w:p w14:paraId="06D2D331" w14:textId="77777777" w:rsidR="00C611B2" w:rsidRDefault="00C611B2"/>
    <w:p w14:paraId="5AAECFB0" w14:textId="77777777" w:rsidR="00C611B2" w:rsidRDefault="00C611B2"/>
    <w:p w14:paraId="7D4767B9" w14:textId="77777777" w:rsidR="00C611B2" w:rsidRDefault="00C611B2"/>
    <w:p w14:paraId="6E3CC722" w14:textId="77777777" w:rsidR="00C611B2" w:rsidRDefault="00C611B2"/>
    <w:p w14:paraId="0686294C" w14:textId="77777777" w:rsidR="00C611B2" w:rsidRDefault="00C611B2"/>
    <w:p w14:paraId="4B622C4F" w14:textId="77777777" w:rsidR="00C611B2" w:rsidRDefault="00C611B2"/>
    <w:p w14:paraId="1982760F" w14:textId="77777777" w:rsidR="00C611B2" w:rsidRDefault="00C611B2"/>
    <w:p w14:paraId="0EA8D123" w14:textId="77777777" w:rsidR="00C611B2" w:rsidRDefault="00C611B2"/>
    <w:p w14:paraId="2FE7FAC2" w14:textId="77777777" w:rsidR="00C611B2" w:rsidRDefault="00C611B2"/>
    <w:p w14:paraId="5991C8F1" w14:textId="77777777" w:rsidR="00C611B2" w:rsidRDefault="00C611B2"/>
    <w:p w14:paraId="519AE3A1" w14:textId="77777777" w:rsidR="00C611B2" w:rsidRPr="00C611B2" w:rsidRDefault="00C611B2" w:rsidP="00C611B2">
      <w:r w:rsidRPr="00C611B2">
        <w:rPr>
          <w:b/>
          <w:bCs/>
        </w:rPr>
        <w:lastRenderedPageBreak/>
        <w:t>Essay three:</w:t>
      </w:r>
      <w:r w:rsidRPr="00C611B2">
        <w:t xml:space="preserve"> How effective are cognitive interviews as a means of obtaining initial accounts from victims and witnesses?</w:t>
      </w:r>
    </w:p>
    <w:p w14:paraId="3E1B72C1" w14:textId="77777777" w:rsidR="00C611B2" w:rsidRDefault="00C611B2" w:rsidP="00C611B2"/>
    <w:p w14:paraId="3E0E29BC" w14:textId="77777777" w:rsidR="00C611B2" w:rsidRDefault="00C611B2" w:rsidP="00C611B2">
      <w:r>
        <w:t xml:space="preserve">Cognitive interviews are used to ensure that a victim or witness account provides the most reliable evidence possible when relying on the retrieval of information from the memory of the individual. In 1985 a study was conducted by </w:t>
      </w:r>
      <w:r w:rsidRPr="001B58E3">
        <w:t>Geiselman, Fishe</w:t>
      </w:r>
      <w:r>
        <w:t>r</w:t>
      </w:r>
      <w:r w:rsidRPr="001B58E3">
        <w:t>, MacKinnon, &amp; Holland</w:t>
      </w:r>
      <w:r>
        <w:t xml:space="preserve"> investigating the effectiveness of interview techniques for gathering the best accounts from eyewitnesses. The study found that cognitive interviews provided the best results relying on eyewitness testimony than previous interview techniques and as such cognitive interviews have become the standard way for police to obtain initial accounts. </w:t>
      </w:r>
    </w:p>
    <w:p w14:paraId="4063E00C" w14:textId="77777777" w:rsidR="00C611B2" w:rsidRDefault="00C611B2" w:rsidP="00C611B2">
      <w:r>
        <w:t xml:space="preserve">Cognitive interviewing (CI) involves four stages. Firstly, to inform the individual of the context surrounding the event. Secondly, the interviewee is to recall all events that took place. Thirdly, to recall events in different orders from different stages. Fourthly, to recall events from a different perspective. The aim of such techniques is to use open-ended questions that provide detailed responses. During the interview, there is no need for the interviewee to provide an account in chronological order, meaning that they may be more likely to focus on each event that comes to memory with additional narrative while the interviewer focuses on mentally reinstating the individual in the moment. </w:t>
      </w:r>
    </w:p>
    <w:p w14:paraId="52970287" w14:textId="77777777" w:rsidR="00C611B2" w:rsidRDefault="00C611B2" w:rsidP="00C611B2">
      <w:r>
        <w:t xml:space="preserve">One of the greatest challenges posed to those obtaining initial accounts is the vulnerabilities of human memory, particularly to new information. Loftus and Plamer (1974) found that memory </w:t>
      </w:r>
      <w:proofErr w:type="gramStart"/>
      <w:r>
        <w:t>can be simply be</w:t>
      </w:r>
      <w:proofErr w:type="gramEnd"/>
      <w:r>
        <w:t xml:space="preserve"> influenced by the use of words when obtaining eyewitness testimony, causing the individual to recall things differently based on new information they are provided with, this is known as ‘misinformation’ effect. One of the ways a CI and limit this affect is by having the interviewer take the individual back to the moment they are trying to recall by providing context.</w:t>
      </w:r>
      <w:r w:rsidRPr="00122B55">
        <w:t xml:space="preserve"> </w:t>
      </w:r>
      <w:r>
        <w:t xml:space="preserve">The interviewer’s direction of context in the interview has been found to produce more detailed accounts from witnesses and victims through playing on their emotional responses. It has been found that those who experience higher emotional arousal during such interviews yield more comprehensive and accurate answers (Ginet and </w:t>
      </w:r>
      <w:proofErr w:type="spellStart"/>
      <w:r>
        <w:t>Verkampt</w:t>
      </w:r>
      <w:proofErr w:type="spellEnd"/>
      <w:r>
        <w:t xml:space="preserve">, 2007). </w:t>
      </w:r>
    </w:p>
    <w:p w14:paraId="0648CA8A" w14:textId="77777777" w:rsidR="00C611B2" w:rsidRDefault="00C611B2" w:rsidP="00C611B2">
      <w:r>
        <w:t xml:space="preserve">A meta-analytic review conducted by Memon et, al (2010) highlights promising data into the effectiveness of CI. The research looked at previous studies analysing 25 years of results into the effectiveness of CI in obtaining accurate accounts. It found a sizable increase in correct details provided in accounts, which was replicated and verified by numerous studies. Due to the scale of the results observed and its validity, this is a reliable indicator as to the effectiveness of CI in obtaining good initial accounts. </w:t>
      </w:r>
    </w:p>
    <w:p w14:paraId="318ECD47" w14:textId="77777777" w:rsidR="00C611B2" w:rsidRDefault="00C611B2" w:rsidP="00C611B2">
      <w:r>
        <w:t xml:space="preserve">In practice, some techniques derived from the CI prove to be of more use than others when used by officers obtaining witness and victim accounts. Officers trained in CI report that the most effective elements are the </w:t>
      </w:r>
      <w:r w:rsidRPr="00753D0D">
        <w:t>mental reinstatement of context</w:t>
      </w:r>
      <w:r>
        <w:t xml:space="preserve">, witness focused questioning, the encouragement of concentration and the building of rapport, whilst recalling events in different orders, the use of imagery and changing the perspective of the interviewee were viewed as less useful (Kebbell, Milne and Wagstaff, 1999). Nevertheless, officers tend to view CI as an effective way to obtain accounts (Kebbell, Milne and Wagstaff, 1999). This is also a good indication of the effectiveness of CI as such techniques need to demonstrate they work in practice in everyday policing. </w:t>
      </w:r>
    </w:p>
    <w:p w14:paraId="4E65D8A9" w14:textId="77777777" w:rsidR="00C611B2" w:rsidRDefault="00C611B2" w:rsidP="00C611B2"/>
    <w:p w14:paraId="3435AA41" w14:textId="77777777" w:rsidR="00C611B2" w:rsidRDefault="00C611B2" w:rsidP="00C611B2">
      <w:r>
        <w:lastRenderedPageBreak/>
        <w:t>Research also indicates that CI may work well for a wide range of individuals and has shown to be particularly effective at maintaining accuracy compared with standard interviews. Children with intellectual disabilities have been found to respond well to CI and provide more correct details in their account when compared with standard interviews (</w:t>
      </w:r>
      <w:r w:rsidRPr="00E94958">
        <w:t xml:space="preserve">Milne, Sharman, </w:t>
      </w:r>
      <w:proofErr w:type="gramStart"/>
      <w:r w:rsidRPr="00E94958">
        <w:t>Powell</w:t>
      </w:r>
      <w:proofErr w:type="gramEnd"/>
      <w:r w:rsidRPr="00E94958">
        <w:t xml:space="preserve"> and Mead,</w:t>
      </w:r>
      <w:r>
        <w:t xml:space="preserve"> </w:t>
      </w:r>
      <w:r w:rsidRPr="00E94958">
        <w:t>2013</w:t>
      </w:r>
      <w:r>
        <w:t xml:space="preserve">). Children in general have been found to provide more accurate information with reduced suggestibility when providing accounts through CI compared to standard interviews (Memon, Holley, Wark, Bull, and </w:t>
      </w:r>
      <w:proofErr w:type="spellStart"/>
      <w:r>
        <w:t>Köhnken</w:t>
      </w:r>
      <w:proofErr w:type="spellEnd"/>
      <w:r>
        <w:t xml:space="preserve">, 1996). Additionally, CI seemingly yields better accuracy in elderly adults with cognitive impairments than in standard interviews (Wright and Holliday, 2007). Furthermore, CI was found to increase recall in adults with intellectual disabilities without increasing inaccurate facts, although there are limitations to its effectiveness as those with intellectual disabilities still reported less correct information than the control group without such disabilities (Clarke, </w:t>
      </w:r>
      <w:proofErr w:type="gramStart"/>
      <w:r>
        <w:t>Prescott</w:t>
      </w:r>
      <w:proofErr w:type="gramEnd"/>
      <w:r>
        <w:t xml:space="preserve"> and Milne, 2013).</w:t>
      </w:r>
    </w:p>
    <w:p w14:paraId="09D157CF" w14:textId="77777777" w:rsidR="00C611B2" w:rsidRDefault="00C611B2" w:rsidP="00C611B2">
      <w:r>
        <w:t xml:space="preserve">Nevertheless, there are some limitations to the ability of CI to limit the effects of age on providing an accurate and complete account with older participants generally struggling more with memory recall than younger (Wright &amp; Holliday, 2007). There are some conflicting results regarding this finding as Memon et. al (2010) found that CI benefited older adult witnesses more than younger ones. Given the scope of research analysed by Memon et al (2010), it is arguable that their results more reliable. Furthermore, research indicates that CI is not as effective as standard interviews at maintaining the integrity of initial accounts from those who have </w:t>
      </w:r>
      <w:proofErr w:type="gramStart"/>
      <w:r>
        <w:t>Autism Spectrum Disorder</w:t>
      </w:r>
      <w:proofErr w:type="gramEnd"/>
      <w:r>
        <w:t xml:space="preserve"> (ASD), suggesting caution should be applied when interviewing those with neuro-diverse conditions (Maras &amp; Bowler, 2010). </w:t>
      </w:r>
    </w:p>
    <w:p w14:paraId="3F224BA8" w14:textId="77777777" w:rsidR="00C611B2" w:rsidRDefault="00C611B2" w:rsidP="00C611B2">
      <w:r>
        <w:t xml:space="preserve">Despite the CI proving in numerous studies to be more effective generally than standard interviewing there are some concerns as to whether it is always being correctly applied to achieve the best results. As previously discussed, officers may use elements of CI and disregard elements that they personally find to be less useful. Officers have reported that the training surrounding implementing the CI to be inadequate and they find the process stressful, particularly if they are young in service (Dando, </w:t>
      </w:r>
      <w:proofErr w:type="gramStart"/>
      <w:r>
        <w:t>Wilcock</w:t>
      </w:r>
      <w:proofErr w:type="gramEnd"/>
      <w:r>
        <w:t xml:space="preserve"> and Milne, 2010). Dando, Wilcock, Milne, and Henry (2009) suggest that CI is sometimes considered too complicated and time consuming when used to obtain initial accounts, the researchers however found that a modified model of CI that removed elements that seemingly over-complicated the process yielded the same success as typical CI methods, suggesting that improvements to CI could further enhance its effectiveness at obtaining initial accounts. </w:t>
      </w:r>
    </w:p>
    <w:p w14:paraId="21BD535C" w14:textId="77777777" w:rsidR="00C611B2" w:rsidRDefault="00C611B2" w:rsidP="00C611B2">
      <w:r>
        <w:t>In conclusion, CI has been widely proven to be effective at obtaining initial accounts from victims and witnesses. Though it is seemingly effective at gaining accurate accounts from a wide population when compared with standard interviews, including those with intellectual disabilities, further research is needed to determine its applicability to all, particularly those with neuro-diverse conditions. Improvements can be made to enhance CI’s effectiveness at obtaining initial accounts, though it remains the most effective option when compared to standard interviews.</w:t>
      </w:r>
    </w:p>
    <w:p w14:paraId="7733B667" w14:textId="77777777" w:rsidR="00C611B2" w:rsidRDefault="00C611B2" w:rsidP="00C611B2">
      <w:r>
        <w:t>Word count: 1050</w:t>
      </w:r>
    </w:p>
    <w:p w14:paraId="15E98049" w14:textId="77777777" w:rsidR="00C611B2" w:rsidRDefault="00C611B2" w:rsidP="00C611B2"/>
    <w:p w14:paraId="505816E9" w14:textId="77777777" w:rsidR="00C611B2" w:rsidRDefault="00C611B2" w:rsidP="00C611B2"/>
    <w:p w14:paraId="19ED613D" w14:textId="77777777" w:rsidR="00C611B2" w:rsidRDefault="00C611B2" w:rsidP="00C611B2"/>
    <w:p w14:paraId="39EB3587" w14:textId="705ADAB9" w:rsidR="00C611B2" w:rsidRDefault="00C611B2" w:rsidP="00C611B2">
      <w:r w:rsidRPr="00C611B2">
        <w:rPr>
          <w:b/>
          <w:bCs/>
        </w:rPr>
        <w:lastRenderedPageBreak/>
        <w:t>Essay three</w:t>
      </w:r>
      <w:r>
        <w:t xml:space="preserve"> - </w:t>
      </w:r>
      <w:r>
        <w:t>Bibliography:</w:t>
      </w:r>
    </w:p>
    <w:p w14:paraId="0F71610D" w14:textId="77777777" w:rsidR="00C611B2" w:rsidRDefault="00C611B2" w:rsidP="00C611B2"/>
    <w:p w14:paraId="0BA4DD82" w14:textId="77777777" w:rsidR="00C611B2" w:rsidRDefault="00C611B2" w:rsidP="00C611B2">
      <w:r>
        <w:t xml:space="preserve">Clarke, J., Prescott, K. and Milne, R. (2013). How Effective is the Cognitive Interview When Used with Adults with Intellectual Disabilities Specifically with Conversation Recall? Journal of </w:t>
      </w:r>
    </w:p>
    <w:p w14:paraId="4ED27707" w14:textId="77777777" w:rsidR="00C611B2" w:rsidRDefault="00C611B2" w:rsidP="00C611B2">
      <w:r>
        <w:t xml:space="preserve">Dando, C., Wilcock, R., Milne, R. and Henry, L. (2009). A modified cognitive interview procedure for frontline police investigators. Applied Cognitive Psychology, 23(5), pp.698–716. </w:t>
      </w:r>
      <w:proofErr w:type="spellStart"/>
      <w:proofErr w:type="gramStart"/>
      <w:r>
        <w:t>doi:https</w:t>
      </w:r>
      <w:proofErr w:type="spellEnd"/>
      <w:r>
        <w:t>://doi.org/10.1002/acp.1501</w:t>
      </w:r>
      <w:proofErr w:type="gramEnd"/>
      <w:r>
        <w:t>.</w:t>
      </w:r>
    </w:p>
    <w:p w14:paraId="7B2D2739" w14:textId="77777777" w:rsidR="00C611B2" w:rsidRDefault="00C611B2" w:rsidP="00C611B2"/>
    <w:p w14:paraId="0E46B430" w14:textId="77777777" w:rsidR="00C611B2" w:rsidRDefault="00C611B2" w:rsidP="00C611B2">
      <w:r>
        <w:t xml:space="preserve">Dando, C., Wilcock, R. and Milne, R. (2008). The cognitive interview: Inexperienced police officers’ perceptions of their witness/victim interviewing practices. Legal and Criminological Psychology, 13(1), pp.59–70. </w:t>
      </w:r>
      <w:proofErr w:type="spellStart"/>
      <w:proofErr w:type="gramStart"/>
      <w:r>
        <w:t>doi:https</w:t>
      </w:r>
      <w:proofErr w:type="spellEnd"/>
      <w:r>
        <w:t>://doi.org/10.1348/135532506x162498</w:t>
      </w:r>
      <w:proofErr w:type="gramEnd"/>
      <w:r>
        <w:t>.</w:t>
      </w:r>
    </w:p>
    <w:p w14:paraId="497B604A" w14:textId="77777777" w:rsidR="00C611B2" w:rsidRDefault="00C611B2" w:rsidP="00C611B2"/>
    <w:p w14:paraId="1D29E255" w14:textId="77777777" w:rsidR="00C611B2" w:rsidRDefault="00C611B2" w:rsidP="00C611B2">
      <w:r>
        <w:t>Geiselman, R.E., Fisher, R.P., MacKinnon, D.P. and Holland, H.L. (1985). Eyewitness memory enhancement in the police interview: Cognitive retrieval mnemonics versus hypnosis. Journal of Applied Psychology, 70(2), pp.401–412.</w:t>
      </w:r>
    </w:p>
    <w:p w14:paraId="6ADC9C7C" w14:textId="77777777" w:rsidR="00C611B2" w:rsidRDefault="00C611B2" w:rsidP="00C611B2"/>
    <w:p w14:paraId="2C6C376F" w14:textId="77777777" w:rsidR="00C611B2" w:rsidRDefault="00C611B2" w:rsidP="00C611B2">
      <w:r>
        <w:t xml:space="preserve">Ginet, M. and </w:t>
      </w:r>
      <w:proofErr w:type="spellStart"/>
      <w:r>
        <w:t>Verkampt</w:t>
      </w:r>
      <w:proofErr w:type="spellEnd"/>
      <w:r>
        <w:t xml:space="preserve">, F. (2007). The cognitive interview: Is its benefit affected by the level of witness emotion? Memory, 15(4), pp.450–464. </w:t>
      </w:r>
      <w:proofErr w:type="spellStart"/>
      <w:proofErr w:type="gramStart"/>
      <w:r>
        <w:t>doi:https</w:t>
      </w:r>
      <w:proofErr w:type="spellEnd"/>
      <w:r>
        <w:t>://doi.org/10.1080/09658210601092670</w:t>
      </w:r>
      <w:proofErr w:type="gramEnd"/>
      <w:r>
        <w:t>.</w:t>
      </w:r>
    </w:p>
    <w:p w14:paraId="4E9776DD" w14:textId="77777777" w:rsidR="00C611B2" w:rsidRDefault="00C611B2" w:rsidP="00C611B2"/>
    <w:p w14:paraId="23B7D873" w14:textId="77777777" w:rsidR="00C611B2" w:rsidRDefault="00C611B2" w:rsidP="00C611B2">
      <w:r>
        <w:t xml:space="preserve">Kebbell, M.R., Milne, R. and Wagstaff, G.F. (1999). The cognitive interview: A survey of its forensic effectiveness. Psychology, Crime &amp; Law, 5(1-2), pp.101–115. </w:t>
      </w:r>
      <w:proofErr w:type="spellStart"/>
      <w:proofErr w:type="gramStart"/>
      <w:r>
        <w:t>doi:https</w:t>
      </w:r>
      <w:proofErr w:type="spellEnd"/>
      <w:r>
        <w:t>://doi.org/10.1080/10683169908414996</w:t>
      </w:r>
      <w:proofErr w:type="gramEnd"/>
      <w:r>
        <w:t>.</w:t>
      </w:r>
    </w:p>
    <w:p w14:paraId="5EF77749" w14:textId="77777777" w:rsidR="00C611B2" w:rsidRDefault="00C611B2" w:rsidP="00C611B2"/>
    <w:p w14:paraId="56A81E9C" w14:textId="77777777" w:rsidR="00C611B2" w:rsidRDefault="00C611B2" w:rsidP="00C611B2">
      <w:r>
        <w:t xml:space="preserve">Maras, K.L. and Bowler, D.M. (2010). The Cognitive Interview for Eyewitnesses with Autism Spectrum Disorder. Journal of Autism and Developmental Disorders, [online] 40(11), pp.1350–1360. </w:t>
      </w:r>
      <w:proofErr w:type="spellStart"/>
      <w:proofErr w:type="gramStart"/>
      <w:r>
        <w:t>doi:https</w:t>
      </w:r>
      <w:proofErr w:type="spellEnd"/>
      <w:r>
        <w:t>://doi.org/10.1007/s10803-010-0997-8</w:t>
      </w:r>
      <w:proofErr w:type="gramEnd"/>
      <w:r>
        <w:t>.</w:t>
      </w:r>
    </w:p>
    <w:p w14:paraId="0AAB2084" w14:textId="77777777" w:rsidR="00C611B2" w:rsidRDefault="00C611B2" w:rsidP="00C611B2">
      <w:r>
        <w:rPr>
          <w:rFonts w:hint="cs"/>
        </w:rPr>
        <w:t>‌</w:t>
      </w:r>
    </w:p>
    <w:p w14:paraId="620B1343" w14:textId="77777777" w:rsidR="00C611B2" w:rsidRDefault="00C611B2" w:rsidP="00C611B2">
      <w:r>
        <w:t xml:space="preserve">Memon, A., Holley, A., Wark, L., Bull, R. And </w:t>
      </w:r>
      <w:proofErr w:type="spellStart"/>
      <w:r>
        <w:t>Köhnken</w:t>
      </w:r>
      <w:proofErr w:type="spellEnd"/>
      <w:r>
        <w:t xml:space="preserve">, G. (1996). Reducing Suggestibility in Child Witness Interviews. Applied Cognitive Psychology, 10(6), pp.503–518. </w:t>
      </w:r>
      <w:proofErr w:type="gramStart"/>
      <w:r>
        <w:t>doi:https://doi.org/10.1002/(sici)1099-0720(199612)10:6%3C503::aid-acp416%3E3.0.co;2-r</w:t>
      </w:r>
      <w:proofErr w:type="gramEnd"/>
      <w:r>
        <w:t>.</w:t>
      </w:r>
    </w:p>
    <w:p w14:paraId="5DEECABA" w14:textId="77777777" w:rsidR="00C611B2" w:rsidRDefault="00C611B2" w:rsidP="00C611B2"/>
    <w:p w14:paraId="2CE43629" w14:textId="77777777" w:rsidR="00C611B2" w:rsidRDefault="00C611B2" w:rsidP="00C611B2">
      <w:r>
        <w:rPr>
          <w:rFonts w:hint="cs"/>
        </w:rPr>
        <w:t>‌</w:t>
      </w:r>
    </w:p>
    <w:p w14:paraId="49FE8EA6" w14:textId="77777777" w:rsidR="00C611B2" w:rsidRDefault="00C611B2" w:rsidP="00C611B2"/>
    <w:p w14:paraId="45B34248" w14:textId="77777777" w:rsidR="00C611B2" w:rsidRDefault="00C611B2" w:rsidP="00C611B2">
      <w:r>
        <w:rPr>
          <w:rFonts w:hint="cs"/>
        </w:rPr>
        <w:t>‌</w:t>
      </w:r>
      <w:r>
        <w:t xml:space="preserve">Memon, A., Meissner, C.A. and Fraser, J. (2010). The Cognitive Interview: A meta-analytic review and study space analysis of the past 25 years. Psychology, Public Policy, and Law, 16(4), pp.340–372. </w:t>
      </w:r>
      <w:proofErr w:type="spellStart"/>
      <w:proofErr w:type="gramStart"/>
      <w:r>
        <w:t>doi:https</w:t>
      </w:r>
      <w:proofErr w:type="spellEnd"/>
      <w:r>
        <w:t>://doi.org/10.1037/a0020518</w:t>
      </w:r>
      <w:proofErr w:type="gramEnd"/>
      <w:r>
        <w:t>.</w:t>
      </w:r>
    </w:p>
    <w:p w14:paraId="0902A50B" w14:textId="77777777" w:rsidR="00C611B2" w:rsidRDefault="00C611B2" w:rsidP="00C611B2"/>
    <w:p w14:paraId="45824527" w14:textId="77777777" w:rsidR="00C611B2" w:rsidRDefault="00C611B2" w:rsidP="00C611B2">
      <w:r w:rsidRPr="00E94958">
        <w:t xml:space="preserve">Milne, R., Sharman, S.J., Powell, M.B. and Mead, S. (2013). Assessing the Effectiveness of the Cognitive Interview for Children with Severe Intellectual Disabilities. International Journal of Disability, Development and Education, [online] 60(1), pp.18–29. </w:t>
      </w:r>
      <w:proofErr w:type="spellStart"/>
      <w:proofErr w:type="gramStart"/>
      <w:r w:rsidRPr="00E94958">
        <w:t>doi:https</w:t>
      </w:r>
      <w:proofErr w:type="spellEnd"/>
      <w:r w:rsidRPr="00E94958">
        <w:t>://doi.org/10.1080/1034912x.2013.757137</w:t>
      </w:r>
      <w:proofErr w:type="gramEnd"/>
      <w:r w:rsidRPr="00E94958">
        <w:t>.</w:t>
      </w:r>
    </w:p>
    <w:p w14:paraId="31A3BED0" w14:textId="77777777" w:rsidR="00C611B2" w:rsidRDefault="00C611B2" w:rsidP="00C611B2"/>
    <w:p w14:paraId="71DBFCA3" w14:textId="77777777" w:rsidR="00C611B2" w:rsidRDefault="00C611B2" w:rsidP="00C611B2">
      <w:r>
        <w:rPr>
          <w:rFonts w:hint="cs"/>
        </w:rPr>
        <w:t>‌</w:t>
      </w:r>
      <w:r>
        <w:t xml:space="preserve">Loftus, E.F. and Palmer, J.C. (1974). Reconstruction of Automobile Destruction: </w:t>
      </w:r>
      <w:proofErr w:type="gramStart"/>
      <w:r>
        <w:t>an</w:t>
      </w:r>
      <w:proofErr w:type="gramEnd"/>
      <w:r>
        <w:t xml:space="preserve"> Example of the Interaction between Language and Memory. Journal of Verbal Learning and Verbal </w:t>
      </w:r>
      <w:proofErr w:type="spellStart"/>
      <w:r>
        <w:t>Behavior</w:t>
      </w:r>
      <w:proofErr w:type="spellEnd"/>
      <w:r>
        <w:t>, [online] 13(5), pp.585–589. Available at: https://www.sciencedirect.com/science/article/abs/pii/S0022537174800113.</w:t>
      </w:r>
    </w:p>
    <w:p w14:paraId="1F77F992" w14:textId="77777777" w:rsidR="00C611B2" w:rsidRDefault="00C611B2" w:rsidP="00C611B2"/>
    <w:p w14:paraId="58AE0F5C" w14:textId="77777777" w:rsidR="00C611B2" w:rsidRDefault="00C611B2" w:rsidP="00C611B2">
      <w:r>
        <w:rPr>
          <w:rFonts w:hint="cs"/>
        </w:rPr>
        <w:t>‌</w:t>
      </w:r>
      <w:r w:rsidRPr="003D7065">
        <w:t xml:space="preserve"> </w:t>
      </w:r>
      <w:r>
        <w:t xml:space="preserve">Wright, </w:t>
      </w:r>
      <w:proofErr w:type="gramStart"/>
      <w:r>
        <w:t>A.M.</w:t>
      </w:r>
      <w:proofErr w:type="gramEnd"/>
      <w:r>
        <w:t xml:space="preserve"> and Holliday, R.E. (2007). Interviewing cognitively impaired older adults: How useful is a Cognitive Interview? Memory, 15(1), pp.17–33. </w:t>
      </w:r>
      <w:proofErr w:type="spellStart"/>
      <w:proofErr w:type="gramStart"/>
      <w:r>
        <w:t>doi:https</w:t>
      </w:r>
      <w:proofErr w:type="spellEnd"/>
      <w:r>
        <w:t>://doi.org/10.1080/09658210601047351</w:t>
      </w:r>
      <w:proofErr w:type="gramEnd"/>
      <w:r>
        <w:t>.</w:t>
      </w:r>
    </w:p>
    <w:p w14:paraId="2890148A" w14:textId="77777777" w:rsidR="00C611B2" w:rsidRDefault="00C611B2" w:rsidP="00C611B2"/>
    <w:p w14:paraId="3A70BCFD" w14:textId="77777777" w:rsidR="00C611B2" w:rsidRDefault="00C611B2" w:rsidP="00C611B2">
      <w:r>
        <w:rPr>
          <w:rFonts w:hint="cs"/>
        </w:rPr>
        <w:t>‌</w:t>
      </w:r>
    </w:p>
    <w:p w14:paraId="120EFAFF" w14:textId="77777777" w:rsidR="00C611B2" w:rsidRDefault="00C611B2" w:rsidP="00C611B2">
      <w:r>
        <w:rPr>
          <w:rFonts w:hint="cs"/>
        </w:rPr>
        <w:t>‌</w:t>
      </w:r>
    </w:p>
    <w:p w14:paraId="7223E9A7" w14:textId="77777777" w:rsidR="00C611B2" w:rsidRDefault="00C611B2" w:rsidP="00C611B2"/>
    <w:p w14:paraId="14C5FF96" w14:textId="77777777" w:rsidR="00C611B2" w:rsidRDefault="00C611B2" w:rsidP="00C611B2"/>
    <w:p w14:paraId="700E8CDB" w14:textId="77777777" w:rsidR="00C611B2" w:rsidRDefault="00C611B2" w:rsidP="00C611B2"/>
    <w:p w14:paraId="70ABF0E7" w14:textId="77777777" w:rsidR="00C611B2" w:rsidRDefault="00C611B2" w:rsidP="00C611B2"/>
    <w:p w14:paraId="0240E130" w14:textId="77777777" w:rsidR="00C611B2" w:rsidRDefault="00C611B2" w:rsidP="00C611B2"/>
    <w:p w14:paraId="6EE50477" w14:textId="77777777" w:rsidR="00C611B2" w:rsidRDefault="00C611B2" w:rsidP="00C611B2"/>
    <w:p w14:paraId="282F160B" w14:textId="77777777" w:rsidR="00C611B2" w:rsidRDefault="00C611B2" w:rsidP="00C611B2"/>
    <w:p w14:paraId="4C179F3D" w14:textId="77777777" w:rsidR="00C611B2" w:rsidRDefault="00C611B2" w:rsidP="00C611B2"/>
    <w:p w14:paraId="06DAC119" w14:textId="77777777" w:rsidR="00C611B2" w:rsidRDefault="00C611B2" w:rsidP="00C611B2"/>
    <w:p w14:paraId="4099E5E4" w14:textId="77777777" w:rsidR="00C611B2" w:rsidRDefault="00C611B2" w:rsidP="00C611B2"/>
    <w:p w14:paraId="27B0132F" w14:textId="77777777" w:rsidR="00C611B2" w:rsidRDefault="00C611B2" w:rsidP="00C611B2"/>
    <w:p w14:paraId="3593CF34" w14:textId="77777777" w:rsidR="00C611B2" w:rsidRDefault="00C611B2" w:rsidP="00C611B2"/>
    <w:p w14:paraId="22BBBFCC" w14:textId="77777777" w:rsidR="00C611B2" w:rsidRDefault="00C611B2" w:rsidP="00C611B2"/>
    <w:p w14:paraId="4DF4AC93" w14:textId="77777777" w:rsidR="00C611B2" w:rsidRDefault="00C611B2" w:rsidP="00C611B2"/>
    <w:p w14:paraId="4EDD551A" w14:textId="77777777" w:rsidR="00C611B2" w:rsidRDefault="00C611B2" w:rsidP="00C611B2"/>
    <w:p w14:paraId="2C37F4DF" w14:textId="77777777" w:rsidR="00C611B2" w:rsidRDefault="00C611B2" w:rsidP="00C611B2"/>
    <w:p w14:paraId="6BB6A9E9" w14:textId="77777777" w:rsidR="00C611B2" w:rsidRDefault="00C611B2" w:rsidP="00C611B2"/>
    <w:p w14:paraId="7D6B439F" w14:textId="77777777" w:rsidR="00C611B2" w:rsidRPr="00C611B2" w:rsidRDefault="00C611B2" w:rsidP="00C611B2">
      <w:r w:rsidRPr="00C611B2">
        <w:lastRenderedPageBreak/>
        <w:t>Community policing – Why is partnership the most effective strategy for improving community engagement?</w:t>
      </w:r>
    </w:p>
    <w:p w14:paraId="170E2965" w14:textId="77777777" w:rsidR="00C611B2" w:rsidRDefault="00C611B2" w:rsidP="00C611B2"/>
    <w:p w14:paraId="1556BA45" w14:textId="77777777" w:rsidR="00C611B2" w:rsidRDefault="00C611B2" w:rsidP="00C611B2">
      <w:r>
        <w:t>Partnership in policing provides an effective strategy for improving community engagement. Morash and Ford (2002), discuss how partnership fosters the ability of police forces to better utilise resources and assist with problem-solving to reduce crime and improve the quality of life of those living within the community. It is a core part of Sir Robert Peel’s 9 policing principles to place the community at the heart of policing by preventing crime and earning public support (Law Enforcement Action Partnership, 2023). Part of preventing crime is to ensure that officers have a presence within the community structure and directly interact with its members to by confirming that focus is maintained on community engagement.</w:t>
      </w:r>
    </w:p>
    <w:p w14:paraId="3B34B3D8" w14:textId="77777777" w:rsidR="00C611B2" w:rsidRDefault="00C611B2" w:rsidP="00C611B2">
      <w:pPr>
        <w:rPr>
          <w:rFonts w:ascii="Times" w:hAnsi="Times" w:cs="Times"/>
          <w:color w:val="313131"/>
          <w:sz w:val="24"/>
          <w:szCs w:val="24"/>
          <w:lang w:eastAsia="en-GB"/>
        </w:rPr>
      </w:pPr>
      <w:r w:rsidRPr="00C9621F">
        <w:rPr>
          <w:rFonts w:cs="Times"/>
        </w:rPr>
        <w:t xml:space="preserve">The National Policing Improvement Agency (NPIA) defines community engagement as “The process of enabling the participation of citizens and communities in policing at their chosen level”, stating that it is the responsibility of the police and partner agencies to react to community issues. The ‘Broken Windows Theory’ fist examined by Wilson and Kelling (1982) in criminology studies stipulates that smaller level petty crime and community issues are reflective of wider and more severe criminal activity (McKee, 2018). </w:t>
      </w:r>
      <w:r>
        <w:rPr>
          <w:rFonts w:cs="Times"/>
        </w:rPr>
        <w:t>Such theories indicate that it is important to understand the implications of such criminal activity on the community and for concerns to be effectively raised with police and partner agencies.</w:t>
      </w:r>
      <w:r w:rsidRPr="00C9621F">
        <w:rPr>
          <w:rFonts w:ascii="Times" w:hAnsi="Times" w:cs="Times"/>
          <w:color w:val="313131"/>
          <w:sz w:val="24"/>
          <w:szCs w:val="24"/>
          <w:lang w:eastAsia="en-GB"/>
        </w:rPr>
        <w:t xml:space="preserve"> </w:t>
      </w:r>
    </w:p>
    <w:p w14:paraId="6FE449F2" w14:textId="77777777" w:rsidR="00C611B2" w:rsidRDefault="00C611B2" w:rsidP="00C611B2">
      <w:pPr>
        <w:rPr>
          <w:rFonts w:cs="Times"/>
        </w:rPr>
      </w:pPr>
      <w:r w:rsidRPr="00C9621F">
        <w:rPr>
          <w:rFonts w:cs="Times"/>
        </w:rPr>
        <w:t xml:space="preserve">The Crime and Disorder Act </w:t>
      </w:r>
      <w:proofErr w:type="gramStart"/>
      <w:r w:rsidRPr="00C9621F">
        <w:rPr>
          <w:rFonts w:cs="Times"/>
        </w:rPr>
        <w:t xml:space="preserve">1998 </w:t>
      </w:r>
      <w:r>
        <w:rPr>
          <w:rFonts w:cs="Times"/>
        </w:rPr>
        <w:t xml:space="preserve"> places</w:t>
      </w:r>
      <w:proofErr w:type="gramEnd"/>
      <w:r>
        <w:rPr>
          <w:rFonts w:cs="Times"/>
        </w:rPr>
        <w:t xml:space="preserve"> responsibilities on partner-agencies to observe their role in reducing and tackling crime. Such agencies may include, Probation services, Fire and Rescue, local </w:t>
      </w:r>
      <w:proofErr w:type="gramStart"/>
      <w:r>
        <w:rPr>
          <w:rFonts w:cs="Times"/>
        </w:rPr>
        <w:t>authorities</w:t>
      </w:r>
      <w:proofErr w:type="gramEnd"/>
      <w:r>
        <w:rPr>
          <w:rFonts w:cs="Times"/>
        </w:rPr>
        <w:t xml:space="preserve"> and local health boards. Community engagement appears to be at its lowest in higher crime areas (</w:t>
      </w:r>
      <w:r w:rsidRPr="0018238D">
        <w:rPr>
          <w:rFonts w:cs="Times"/>
        </w:rPr>
        <w:t>Lloyd and Foster</w:t>
      </w:r>
      <w:r>
        <w:rPr>
          <w:rFonts w:cs="Times"/>
        </w:rPr>
        <w:t xml:space="preserve">, 2018). Open public meetings have been found to be effective in increasing community engagement where trust is at its lowest. Lister and Fowler (2013) discuss how community events involving police and partners can open doors to community engagement through events that provide refreshments and family-friendly facilities that support the community in sharing their views and experiences in a more informal setting. Nevertheless, such engagement is much lower in younger populations of the community. </w:t>
      </w:r>
    </w:p>
    <w:p w14:paraId="23F5B902" w14:textId="77777777" w:rsidR="00C611B2" w:rsidRPr="00C9621F" w:rsidRDefault="00C611B2" w:rsidP="00C611B2">
      <w:pPr>
        <w:rPr>
          <w:rFonts w:cs="Times"/>
        </w:rPr>
      </w:pPr>
      <w:r>
        <w:t xml:space="preserve">Turley, Ranns, Callanan and Blackwell (2010), suggest that those who had a sense of direct involvement in correcting the issues within the community while working with partner agencies benefitted from a sense of empowerment, and those who were regularly consulted by partner agencies regarding community issues also experienced this. It was found that such collaboration resulted in the perceived reduction of anti-social behaviour issues within the community and an improved sense of safety when individuals felt they had visibility and accessibility to the involvement of partner and policing decisions, such as neighbourhood patrols. </w:t>
      </w:r>
    </w:p>
    <w:p w14:paraId="24C75161" w14:textId="77777777" w:rsidR="00C611B2" w:rsidRDefault="00C611B2" w:rsidP="00C611B2">
      <w:r>
        <w:t xml:space="preserve">Partner agencies which complement community engagement by fostering the collaboration between the police community can be highlighted by schemes such as Neighbourhood Watch. The College of Policing (2015) estimates that 26 crimes per 100 can be prevented with the implementation of Neighbourhood Watch, with no increase in crime to be observed by its implementation. It is supposed that such engagement supports ‘community cohesion’ and increased intelligence shared with the police. Furthermore, providing the public with a means to effectively communicate and share information supports continued engagement. </w:t>
      </w:r>
    </w:p>
    <w:p w14:paraId="0D89ACF0" w14:textId="77777777" w:rsidR="00C611B2" w:rsidRDefault="00C611B2" w:rsidP="00C611B2"/>
    <w:p w14:paraId="75BC3D97" w14:textId="77777777" w:rsidR="00C611B2" w:rsidRDefault="00C611B2" w:rsidP="00C611B2">
      <w:r>
        <w:lastRenderedPageBreak/>
        <w:t xml:space="preserve">When the public have oversight on tackling local issues and being able to visibly see the impact of proposed policies though working with partner agencies this supports continued engagement and benefits neighbourhood policing strategies. Partnerships between agencies facilitate the improvement of local issues and help with problem solving within communities. Shared objectives should be held by all agencies with good communication. Partnership can be viewed as an effective means to challenge community issues as many of the crime-related problems that arise can be attributed as symptoms of other issues at play that are the typically overseen by other agencies (Innes, 2005). </w:t>
      </w:r>
    </w:p>
    <w:p w14:paraId="5193B1DB" w14:textId="77777777" w:rsidR="00C611B2" w:rsidRDefault="00C611B2" w:rsidP="00C611B2">
      <w:r>
        <w:t xml:space="preserve">Such insights present partnership </w:t>
      </w:r>
      <w:proofErr w:type="gramStart"/>
      <w:r>
        <w:t>as a way to</w:t>
      </w:r>
      <w:proofErr w:type="gramEnd"/>
      <w:r>
        <w:t xml:space="preserve"> fully represent the community and its needs by redirecting issues to the correct authority to tackle it and make use of differing expertise. Such practices are seen being delivered through safeguarding arrangements such as </w:t>
      </w:r>
      <w:proofErr w:type="gramStart"/>
      <w:r w:rsidRPr="00880E0D">
        <w:t>Multi-agency</w:t>
      </w:r>
      <w:proofErr w:type="gramEnd"/>
      <w:r w:rsidRPr="00880E0D">
        <w:t xml:space="preserve"> safeguarding hubs (MASH</w:t>
      </w:r>
      <w:r>
        <w:t xml:space="preserve">), with a view that not one agency alone can adequately cater to the needs of certain vulnerable individuals and that each may provide an invaluable insight (College of Policing, 2015). MASH may utilise </w:t>
      </w:r>
      <w:proofErr w:type="gramStart"/>
      <w:r>
        <w:t>a number of</w:t>
      </w:r>
      <w:proofErr w:type="gramEnd"/>
      <w:r>
        <w:t xml:space="preserve"> core agencies to assist with this, including, but not limited to, the police, housing, children’s services, adult social care, probation services, mental health services and substance misuse services. In some cases, specialist agencies can be utilised to assist with supporting those in Black and ethnic minority communities and those who are in the LGBTQ+ communities. Such cooperation fosters the delivery of a more effective and supportive service to individuals in need, with all presents being able to share and receive information to progress effective decision-making, thus increasing public confidence in the police and partner ability to provide the expected service. An increased confidence in the delivery of such services is likely to reduce public apathy towards the issues they may personally experience and foster further engagement. </w:t>
      </w:r>
    </w:p>
    <w:p w14:paraId="2A1AFCE5" w14:textId="77777777" w:rsidR="00C611B2" w:rsidRDefault="00C611B2" w:rsidP="00C611B2">
      <w:r>
        <w:t xml:space="preserve">To conclude, partnership can be an effective strategy to improve community engagement for a multitude of reasons. Namely, enhancing community confidence in the operation of policies and plans in place to tackle community issues by providing better services aided by the effective collaboration of partner agencies. Through such collaboration, communities feel that their issues are being prioritised and are more willing to engage with services. Addressing issues in the community relies on effective communication between partner agencies and the public, this fosters ‘social cohesion’ which can be supported via avenues that encourage communication between all agencies and in turn encourages better overall community engagement.  </w:t>
      </w:r>
    </w:p>
    <w:p w14:paraId="6864AAF7" w14:textId="77777777" w:rsidR="00C611B2" w:rsidRDefault="00C611B2" w:rsidP="00C611B2">
      <w:r>
        <w:t>Word count: 932</w:t>
      </w:r>
    </w:p>
    <w:p w14:paraId="78FFB465" w14:textId="77777777" w:rsidR="00C611B2" w:rsidRDefault="00C611B2" w:rsidP="00C611B2"/>
    <w:p w14:paraId="04B891C3" w14:textId="77777777" w:rsidR="00C611B2" w:rsidRDefault="00C611B2" w:rsidP="00C611B2"/>
    <w:p w14:paraId="31BE02CD" w14:textId="77777777" w:rsidR="00C611B2" w:rsidRDefault="00C611B2" w:rsidP="00C611B2"/>
    <w:p w14:paraId="45312B83" w14:textId="77777777" w:rsidR="00C611B2" w:rsidRDefault="00C611B2" w:rsidP="00C611B2"/>
    <w:p w14:paraId="7B6957F1" w14:textId="77777777" w:rsidR="00C611B2" w:rsidRDefault="00C611B2" w:rsidP="00C611B2"/>
    <w:p w14:paraId="5B4DC9B4" w14:textId="77777777" w:rsidR="00C611B2" w:rsidRDefault="00C611B2" w:rsidP="00C611B2"/>
    <w:p w14:paraId="76C17C51" w14:textId="77777777" w:rsidR="00C611B2" w:rsidRDefault="00C611B2" w:rsidP="00C611B2"/>
    <w:p w14:paraId="47391C57" w14:textId="77777777" w:rsidR="00C611B2" w:rsidRDefault="00C611B2" w:rsidP="00C611B2"/>
    <w:p w14:paraId="37BC9E1D" w14:textId="11128ED7" w:rsidR="00C611B2" w:rsidRDefault="00C611B2" w:rsidP="00C611B2">
      <w:r w:rsidRPr="00C611B2">
        <w:rPr>
          <w:b/>
          <w:bCs/>
        </w:rPr>
        <w:lastRenderedPageBreak/>
        <w:t>Essay two – community policing</w:t>
      </w:r>
      <w:r>
        <w:t xml:space="preserve"> - </w:t>
      </w:r>
      <w:r>
        <w:t>Bibliography:</w:t>
      </w:r>
    </w:p>
    <w:p w14:paraId="5A0A81D2" w14:textId="77777777" w:rsidR="00C611B2" w:rsidRDefault="00C611B2" w:rsidP="00C611B2"/>
    <w:p w14:paraId="60233379" w14:textId="77777777" w:rsidR="00C611B2" w:rsidRDefault="00C611B2" w:rsidP="00C611B2">
      <w:r>
        <w:t xml:space="preserve">Barnes, I. and Eagle, T. (2007). The Role of Community Engagement in Neighbourhood Policing. Policing, 1(2), pp.161–172. </w:t>
      </w:r>
      <w:proofErr w:type="spellStart"/>
      <w:proofErr w:type="gramStart"/>
      <w:r>
        <w:t>doi:https</w:t>
      </w:r>
      <w:proofErr w:type="spellEnd"/>
      <w:r>
        <w:t>://doi.org/10.1093/police/pam033</w:t>
      </w:r>
      <w:proofErr w:type="gramEnd"/>
      <w:r>
        <w:t>.</w:t>
      </w:r>
    </w:p>
    <w:p w14:paraId="417A8F29" w14:textId="77777777" w:rsidR="00C611B2" w:rsidRDefault="00C611B2" w:rsidP="00C611B2"/>
    <w:p w14:paraId="15D2E872" w14:textId="77777777" w:rsidR="00C611B2" w:rsidRDefault="00C611B2" w:rsidP="00C611B2">
      <w:r>
        <w:t>College Of Policing (2015). Neighbourhood Watch. [online] College of Policing. Available at: https://www.college.police.uk/research/crime-reduction-toolkit/neighbourhood-watch.</w:t>
      </w:r>
    </w:p>
    <w:p w14:paraId="572C1B01" w14:textId="77777777" w:rsidR="00C611B2" w:rsidRDefault="00C611B2" w:rsidP="00C611B2">
      <w:r>
        <w:rPr>
          <w:rFonts w:hint="cs"/>
        </w:rPr>
        <w:t>‌</w:t>
      </w:r>
    </w:p>
    <w:p w14:paraId="5214DB0A" w14:textId="77777777" w:rsidR="00C611B2" w:rsidRDefault="00C611B2" w:rsidP="00C611B2">
      <w:r>
        <w:t>College of Policing (2015). Partnership working and multi-agency responses/mechanisms. [online] College of Policing. Available at: https://www.college.police.uk/app/major-investigation-and-public-protection/domestic-abuse/partnership-working-and-multi-agency-responsesmechanisms.</w:t>
      </w:r>
    </w:p>
    <w:p w14:paraId="0523FB22" w14:textId="77777777" w:rsidR="00C611B2" w:rsidRDefault="00C611B2" w:rsidP="00C611B2"/>
    <w:p w14:paraId="5065FB6D" w14:textId="77777777" w:rsidR="00C611B2" w:rsidRDefault="00C611B2" w:rsidP="00C611B2">
      <w:r>
        <w:rPr>
          <w:rFonts w:hint="cs"/>
        </w:rPr>
        <w:t>‌</w:t>
      </w:r>
    </w:p>
    <w:p w14:paraId="736B67A6" w14:textId="77777777" w:rsidR="00C611B2" w:rsidRDefault="00C611B2" w:rsidP="00C611B2"/>
    <w:p w14:paraId="7A745073" w14:textId="77777777" w:rsidR="00C611B2" w:rsidRDefault="00C611B2" w:rsidP="00C611B2">
      <w:r w:rsidRPr="00CE7EFD">
        <w:t xml:space="preserve">Innes, M. (2005). Why ‘soft’ policing is hard: on the curious development of reassurance policing, how it became neighbourhood policing and what this signifies about the politics of police reform. Journal of Community &amp; Applied Social Psychology, 15(3), pp.156–169. </w:t>
      </w:r>
      <w:proofErr w:type="spellStart"/>
      <w:proofErr w:type="gramStart"/>
      <w:r w:rsidRPr="00CE7EFD">
        <w:t>doi:https</w:t>
      </w:r>
      <w:proofErr w:type="spellEnd"/>
      <w:r w:rsidRPr="00CE7EFD">
        <w:t>://doi.org/10.1002/casp.818</w:t>
      </w:r>
      <w:proofErr w:type="gramEnd"/>
      <w:r w:rsidRPr="00CE7EFD">
        <w:t>.</w:t>
      </w:r>
    </w:p>
    <w:p w14:paraId="5B3F4370" w14:textId="77777777" w:rsidR="00C611B2" w:rsidRDefault="00C611B2" w:rsidP="00C611B2"/>
    <w:p w14:paraId="250AFCAD" w14:textId="77777777" w:rsidR="00C611B2" w:rsidRDefault="00C611B2" w:rsidP="00C611B2">
      <w:r>
        <w:t xml:space="preserve">McKee, A.J. (2018). broken windows theory. In: </w:t>
      </w:r>
      <w:proofErr w:type="spellStart"/>
      <w:r>
        <w:t>Encyclopædia</w:t>
      </w:r>
      <w:proofErr w:type="spellEnd"/>
      <w:r>
        <w:t xml:space="preserve"> Britannica. [online] Britannica. Available at: https://www.britannica.com/topic/broken-windows-theory.</w:t>
      </w:r>
    </w:p>
    <w:p w14:paraId="318C3C49" w14:textId="77777777" w:rsidR="00C611B2" w:rsidRDefault="00C611B2" w:rsidP="00C611B2">
      <w:r>
        <w:rPr>
          <w:rFonts w:hint="cs"/>
        </w:rPr>
        <w:t>‌</w:t>
      </w:r>
    </w:p>
    <w:p w14:paraId="6BF18247" w14:textId="77777777" w:rsidR="00C611B2" w:rsidRDefault="00C611B2" w:rsidP="00C611B2">
      <w:r w:rsidRPr="00DB0CD6">
        <w:t xml:space="preserve">Morash, M. &amp; Ford, J. K. </w:t>
      </w:r>
      <w:r>
        <w:t xml:space="preserve">(2002) The Move to Community Policing: Making Change Happen. 2455 Teller </w:t>
      </w:r>
      <w:proofErr w:type="gramStart"/>
      <w:r>
        <w:t>Road,  Thousand</w:t>
      </w:r>
      <w:proofErr w:type="gramEnd"/>
      <w:r>
        <w:t xml:space="preserve"> Oaks  California  91320  United States : SAGE Publications, Inc. </w:t>
      </w:r>
      <w:proofErr w:type="spellStart"/>
      <w:r>
        <w:t>doi:https</w:t>
      </w:r>
      <w:proofErr w:type="spellEnd"/>
      <w:r>
        <w:t>://doi.org/10.4135/9781452229478.</w:t>
      </w:r>
    </w:p>
    <w:p w14:paraId="2B1FBBC1" w14:textId="77777777" w:rsidR="00C611B2" w:rsidRDefault="00C611B2" w:rsidP="00C611B2"/>
    <w:p w14:paraId="7B72AC8F" w14:textId="77777777" w:rsidR="00C611B2" w:rsidRDefault="00C611B2" w:rsidP="00C611B2">
      <w:r>
        <w:t>Law Enforcement Action Partnership (2023). Sir Robert Peel’s Policing Principles. [online] Law Enforcement Action Partnership. Available at: https://lawenforcementactionpartnership.org/peel-policing-principles/.</w:t>
      </w:r>
    </w:p>
    <w:p w14:paraId="7952D4CB" w14:textId="77777777" w:rsidR="00C611B2" w:rsidRDefault="00C611B2" w:rsidP="00C611B2"/>
    <w:p w14:paraId="79BA70D8" w14:textId="77777777" w:rsidR="00C611B2" w:rsidRDefault="00C611B2" w:rsidP="00C611B2">
      <w:r>
        <w:t>Lister, S. and Platts-Fowler, D. (2013). N8 Policing Research Partnership Community Engagement: Evidence Review. [online] Available at: https://documents.manchester.ac.uk/display.aspx?DocID=56499 [Accessed 28 Apr. 2023].</w:t>
      </w:r>
    </w:p>
    <w:p w14:paraId="00880D7A" w14:textId="77777777" w:rsidR="00C611B2" w:rsidRDefault="00C611B2" w:rsidP="00C611B2"/>
    <w:p w14:paraId="7E79B04C" w14:textId="77777777" w:rsidR="00C611B2" w:rsidRDefault="00C611B2" w:rsidP="00C611B2">
      <w:r>
        <w:lastRenderedPageBreak/>
        <w:t xml:space="preserve">Lloyd, K. and Foster, J. (2018). Citizen Science and Community Engagement in Tick Surveillance—A Canadian Case Study. Healthcare, 6(1), p.22. </w:t>
      </w:r>
      <w:proofErr w:type="spellStart"/>
      <w:proofErr w:type="gramStart"/>
      <w:r>
        <w:t>doi:https</w:t>
      </w:r>
      <w:proofErr w:type="spellEnd"/>
      <w:r>
        <w:t>://doi.org/10.3390/healthcare6010022</w:t>
      </w:r>
      <w:proofErr w:type="gramEnd"/>
      <w:r>
        <w:t>.</w:t>
      </w:r>
    </w:p>
    <w:p w14:paraId="1D6D4F8B" w14:textId="77777777" w:rsidR="00C611B2" w:rsidRDefault="00C611B2" w:rsidP="00C611B2"/>
    <w:p w14:paraId="05915726" w14:textId="77777777" w:rsidR="00C611B2" w:rsidRDefault="00C611B2" w:rsidP="00C611B2">
      <w:r w:rsidRPr="00C9621F">
        <w:t>The Crime and Disorder Act 1998</w:t>
      </w:r>
    </w:p>
    <w:p w14:paraId="33C90381" w14:textId="77777777" w:rsidR="00C611B2" w:rsidRDefault="00C611B2" w:rsidP="00C611B2"/>
    <w:p w14:paraId="41983644" w14:textId="77777777" w:rsidR="00C611B2" w:rsidRDefault="00C611B2" w:rsidP="00C611B2">
      <w:r>
        <w:t>Turley, C., Ranns, H., Callanan, M. and Blackwell, A. (2010). Summary Delivering neighbourhood policing in partnership. [online] Available at: https://assets.publishing.service.gov.uk/media/5a7a52d8e5274a34770e5d9e/horr61.pdf [Accessed 16 Nov. 2023].</w:t>
      </w:r>
    </w:p>
    <w:p w14:paraId="0766B6B5" w14:textId="77777777" w:rsidR="00C611B2" w:rsidRDefault="00C611B2" w:rsidP="00C611B2"/>
    <w:p w14:paraId="0A7BF5BB" w14:textId="77777777" w:rsidR="00C611B2" w:rsidRDefault="00C611B2" w:rsidP="00C611B2">
      <w:r>
        <w:rPr>
          <w:rFonts w:hint="cs"/>
        </w:rPr>
        <w:t>‌</w:t>
      </w:r>
    </w:p>
    <w:p w14:paraId="508EAE58" w14:textId="77777777" w:rsidR="00C611B2" w:rsidRPr="0018238D" w:rsidRDefault="00C611B2" w:rsidP="00C611B2">
      <w:pPr>
        <w:pStyle w:val="NormalWeb"/>
        <w:rPr>
          <w:rFonts w:ascii="Calibri" w:hAnsi="Calibri" w:cs="Calibri"/>
          <w:color w:val="000000"/>
          <w:sz w:val="27"/>
          <w:szCs w:val="27"/>
        </w:rPr>
      </w:pPr>
      <w:r>
        <w:rPr>
          <w:rFonts w:ascii="Calibri" w:hAnsi="Calibri" w:cs="Calibri"/>
          <w:color w:val="000000"/>
          <w:sz w:val="27"/>
          <w:szCs w:val="27"/>
        </w:rPr>
        <w:t>‌</w:t>
      </w:r>
      <w:r w:rsidRPr="0018238D">
        <w:t xml:space="preserve"> </w:t>
      </w:r>
    </w:p>
    <w:p w14:paraId="0CC354A4" w14:textId="77777777" w:rsidR="00C611B2" w:rsidRPr="0018238D" w:rsidRDefault="00C611B2" w:rsidP="00C611B2">
      <w:pPr>
        <w:pStyle w:val="NormalWeb"/>
        <w:rPr>
          <w:rFonts w:ascii="Calibri" w:hAnsi="Calibri" w:cs="Calibri"/>
          <w:color w:val="000000"/>
          <w:sz w:val="27"/>
          <w:szCs w:val="27"/>
        </w:rPr>
      </w:pPr>
    </w:p>
    <w:p w14:paraId="3C92D5EB" w14:textId="77777777" w:rsidR="00C611B2" w:rsidRDefault="00C611B2" w:rsidP="00C611B2">
      <w:pPr>
        <w:pStyle w:val="NormalWeb"/>
        <w:rPr>
          <w:rFonts w:ascii="Calibri" w:hAnsi="Calibri" w:cs="Calibri"/>
          <w:color w:val="000000"/>
          <w:sz w:val="27"/>
          <w:szCs w:val="27"/>
        </w:rPr>
      </w:pPr>
      <w:r w:rsidRPr="0018238D">
        <w:rPr>
          <w:rFonts w:ascii="Calibri" w:hAnsi="Calibri" w:cs="Calibri" w:hint="cs"/>
          <w:color w:val="000000"/>
          <w:sz w:val="27"/>
          <w:szCs w:val="27"/>
        </w:rPr>
        <w:t>‌</w:t>
      </w:r>
    </w:p>
    <w:p w14:paraId="68257701" w14:textId="77777777" w:rsidR="00C611B2" w:rsidRDefault="00C611B2" w:rsidP="00C611B2"/>
    <w:p w14:paraId="17C9BFE6" w14:textId="77777777" w:rsidR="00C611B2" w:rsidRDefault="00C611B2" w:rsidP="00C611B2"/>
    <w:p w14:paraId="703FA7DF" w14:textId="77777777" w:rsidR="00C611B2" w:rsidRDefault="00C611B2"/>
    <w:sectPr w:rsidR="00C61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1B2"/>
    <w:rsid w:val="005F7E63"/>
    <w:rsid w:val="00645C5B"/>
    <w:rsid w:val="00C61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ED1BB"/>
  <w15:chartTrackingRefBased/>
  <w15:docId w15:val="{D167FD18-4A7D-483E-A48F-509BC7677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1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1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1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1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1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1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1B2"/>
    <w:rPr>
      <w:rFonts w:eastAsiaTheme="majorEastAsia" w:cstheme="majorBidi"/>
      <w:color w:val="272727" w:themeColor="text1" w:themeTint="D8"/>
    </w:rPr>
  </w:style>
  <w:style w:type="paragraph" w:styleId="Title">
    <w:name w:val="Title"/>
    <w:basedOn w:val="Normal"/>
    <w:next w:val="Normal"/>
    <w:link w:val="TitleChar"/>
    <w:uiPriority w:val="10"/>
    <w:qFormat/>
    <w:rsid w:val="00C61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1B2"/>
    <w:pPr>
      <w:spacing w:before="160"/>
      <w:jc w:val="center"/>
    </w:pPr>
    <w:rPr>
      <w:i/>
      <w:iCs/>
      <w:color w:val="404040" w:themeColor="text1" w:themeTint="BF"/>
    </w:rPr>
  </w:style>
  <w:style w:type="character" w:customStyle="1" w:styleId="QuoteChar">
    <w:name w:val="Quote Char"/>
    <w:basedOn w:val="DefaultParagraphFont"/>
    <w:link w:val="Quote"/>
    <w:uiPriority w:val="29"/>
    <w:rsid w:val="00C611B2"/>
    <w:rPr>
      <w:i/>
      <w:iCs/>
      <w:color w:val="404040" w:themeColor="text1" w:themeTint="BF"/>
    </w:rPr>
  </w:style>
  <w:style w:type="paragraph" w:styleId="ListParagraph">
    <w:name w:val="List Paragraph"/>
    <w:basedOn w:val="Normal"/>
    <w:uiPriority w:val="34"/>
    <w:qFormat/>
    <w:rsid w:val="00C611B2"/>
    <w:pPr>
      <w:ind w:left="720"/>
      <w:contextualSpacing/>
    </w:pPr>
  </w:style>
  <w:style w:type="character" w:styleId="IntenseEmphasis">
    <w:name w:val="Intense Emphasis"/>
    <w:basedOn w:val="DefaultParagraphFont"/>
    <w:uiPriority w:val="21"/>
    <w:qFormat/>
    <w:rsid w:val="00C611B2"/>
    <w:rPr>
      <w:i/>
      <w:iCs/>
      <w:color w:val="0F4761" w:themeColor="accent1" w:themeShade="BF"/>
    </w:rPr>
  </w:style>
  <w:style w:type="paragraph" w:styleId="IntenseQuote">
    <w:name w:val="Intense Quote"/>
    <w:basedOn w:val="Normal"/>
    <w:next w:val="Normal"/>
    <w:link w:val="IntenseQuoteChar"/>
    <w:uiPriority w:val="30"/>
    <w:qFormat/>
    <w:rsid w:val="00C61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1B2"/>
    <w:rPr>
      <w:i/>
      <w:iCs/>
      <w:color w:val="0F4761" w:themeColor="accent1" w:themeShade="BF"/>
    </w:rPr>
  </w:style>
  <w:style w:type="character" w:styleId="IntenseReference">
    <w:name w:val="Intense Reference"/>
    <w:basedOn w:val="DefaultParagraphFont"/>
    <w:uiPriority w:val="32"/>
    <w:qFormat/>
    <w:rsid w:val="00C611B2"/>
    <w:rPr>
      <w:b/>
      <w:bCs/>
      <w:smallCaps/>
      <w:color w:val="0F4761" w:themeColor="accent1" w:themeShade="BF"/>
      <w:spacing w:val="5"/>
    </w:rPr>
  </w:style>
  <w:style w:type="character" w:styleId="Hyperlink">
    <w:name w:val="Hyperlink"/>
    <w:basedOn w:val="DefaultParagraphFont"/>
    <w:uiPriority w:val="99"/>
    <w:unhideWhenUsed/>
    <w:rsid w:val="00C611B2"/>
    <w:rPr>
      <w:color w:val="467886" w:themeColor="hyperlink"/>
      <w:u w:val="single"/>
    </w:rPr>
  </w:style>
  <w:style w:type="paragraph" w:styleId="NormalWeb">
    <w:name w:val="Normal (Web)"/>
    <w:basedOn w:val="Normal"/>
    <w:uiPriority w:val="99"/>
    <w:semiHidden/>
    <w:unhideWhenUsed/>
    <w:rsid w:val="00C611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crimeandjustice/bulletins/sexualoffencesinenglandandwalesoverview/march2022" TargetMode="External"/><Relationship Id="rId5" Type="http://schemas.openxmlformats.org/officeDocument/2006/relationships/hyperlink" Target="https://assets.publishing.service.gov.uk/media/635974cde90e0777a7af42ee/MAPPA_Notes_and_Definitions.pdf" TargetMode="External"/><Relationship Id="rId4" Type="http://schemas.openxmlformats.org/officeDocument/2006/relationships/hyperlink" Target="https://assets.publishing.service.gov.uk/media/5a7ff796ed915d74e33f7a8b/reoffending-analysis-of-mappa-eligible-offen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6266</Words>
  <Characters>35718</Characters>
  <Application>Microsoft Office Word</Application>
  <DocSecurity>0</DocSecurity>
  <Lines>297</Lines>
  <Paragraphs>83</Paragraphs>
  <ScaleCrop>false</ScaleCrop>
  <Company>South Wales Police</Company>
  <LinksUpToDate>false</LinksUpToDate>
  <CharactersWithSpaces>41901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Pendlington-Bowen,Elin swp8481</dc:creator>
  <cp:keywords/>
  <dc:description/>
  <cp:lastModifiedBy>Pendlington-Bowen,Elin swp8481</cp:lastModifiedBy>
  <cp:revision>1</cp:revision>
  <dcterms:created xsi:type="dcterms:W3CDTF">2024-05-27T22:18:00Z</dcterms:created>
  <dcterms:modified xsi:type="dcterms:W3CDTF">2024-05-27T22:23:00Z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2024-05-27T22:23:55Z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95182e69-ba1c-45ab-ba03-4e0e23a29d39</vt:lpwstr>
  </property>
  <property fmtid="{D5CDD505-2E9C-101B-9397-08002B2CF9AE}" pid="8" name="MSIP_Label_66cf8fe5-b7b7-4df7-b38d-1c61ac2f6639_ContentBits">
    <vt:lpwstr>0</vt:lpwstr>
  </property>
</Properties>
</file>