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A2CF2FD" w14:textId="0C073EF7" w:rsidR="00022B70" w:rsidRDefault="00022B70">
      <w:pPr>
        <w:spacing w:line="360" w:lineRule="auto"/>
        <w:jc w:val="center"/>
        <w:rPr>
          <w:rFonts w:ascii="Times New Roman" w:eastAsia="Times New Roman" w:hAnsi="Times New Roman" w:cs="Times New Roman"/>
          <w:b/>
          <w:sz w:val="32"/>
          <w:szCs w:val="32"/>
        </w:rPr>
      </w:pPr>
    </w:p>
    <w:p w14:paraId="2972D29E" w14:textId="77777777" w:rsidR="00022B70" w:rsidRDefault="00022B70">
      <w:pPr>
        <w:spacing w:line="360" w:lineRule="auto"/>
        <w:jc w:val="center"/>
        <w:rPr>
          <w:rFonts w:ascii="Times New Roman" w:eastAsia="Times New Roman" w:hAnsi="Times New Roman" w:cs="Times New Roman"/>
          <w:b/>
          <w:sz w:val="32"/>
          <w:szCs w:val="32"/>
        </w:rPr>
      </w:pPr>
    </w:p>
    <w:p w14:paraId="3506B0DF" w14:textId="77777777" w:rsidR="00022B70" w:rsidRDefault="00022B70">
      <w:pPr>
        <w:spacing w:line="360" w:lineRule="auto"/>
        <w:jc w:val="center"/>
        <w:rPr>
          <w:rFonts w:ascii="Times New Roman" w:eastAsia="Times New Roman" w:hAnsi="Times New Roman" w:cs="Times New Roman"/>
          <w:b/>
          <w:sz w:val="32"/>
          <w:szCs w:val="32"/>
        </w:rPr>
      </w:pPr>
    </w:p>
    <w:p w14:paraId="5CBC1AB3" w14:textId="77777777" w:rsidR="00022B70" w:rsidRDefault="00022B70">
      <w:pPr>
        <w:spacing w:line="360" w:lineRule="auto"/>
        <w:jc w:val="center"/>
        <w:rPr>
          <w:rFonts w:ascii="Times New Roman" w:eastAsia="Times New Roman" w:hAnsi="Times New Roman" w:cs="Times New Roman"/>
          <w:b/>
          <w:sz w:val="32"/>
          <w:szCs w:val="32"/>
        </w:rPr>
      </w:pPr>
    </w:p>
    <w:p w14:paraId="37592E01" w14:textId="77777777" w:rsidR="00022B70" w:rsidRDefault="00022B70">
      <w:pPr>
        <w:spacing w:line="360" w:lineRule="auto"/>
        <w:jc w:val="center"/>
        <w:rPr>
          <w:rFonts w:ascii="Times New Roman" w:eastAsia="Times New Roman" w:hAnsi="Times New Roman" w:cs="Times New Roman"/>
          <w:b/>
          <w:sz w:val="32"/>
          <w:szCs w:val="32"/>
        </w:rPr>
      </w:pPr>
    </w:p>
    <w:p w14:paraId="7346A232" w14:textId="77777777" w:rsidR="00022B70" w:rsidRDefault="00022B70">
      <w:pPr>
        <w:spacing w:line="360" w:lineRule="auto"/>
        <w:jc w:val="center"/>
        <w:rPr>
          <w:rFonts w:ascii="Times New Roman" w:eastAsia="Times New Roman" w:hAnsi="Times New Roman" w:cs="Times New Roman"/>
          <w:b/>
          <w:sz w:val="32"/>
          <w:szCs w:val="32"/>
        </w:rPr>
      </w:pPr>
    </w:p>
    <w:p w14:paraId="77C93D17" w14:textId="77777777" w:rsidR="00022B70" w:rsidRDefault="00022B70">
      <w:pPr>
        <w:spacing w:line="360" w:lineRule="auto"/>
        <w:jc w:val="center"/>
        <w:rPr>
          <w:rFonts w:ascii="Times New Roman" w:eastAsia="Times New Roman" w:hAnsi="Times New Roman" w:cs="Times New Roman"/>
          <w:b/>
          <w:sz w:val="32"/>
          <w:szCs w:val="32"/>
        </w:rPr>
      </w:pPr>
    </w:p>
    <w:p w14:paraId="7E398EF7" w14:textId="77777777" w:rsidR="00022B70" w:rsidRDefault="00022B70">
      <w:pPr>
        <w:spacing w:line="360" w:lineRule="auto"/>
        <w:jc w:val="center"/>
        <w:rPr>
          <w:rFonts w:ascii="Times New Roman" w:eastAsia="Times New Roman" w:hAnsi="Times New Roman" w:cs="Times New Roman"/>
          <w:b/>
          <w:sz w:val="32"/>
          <w:szCs w:val="32"/>
        </w:rPr>
      </w:pPr>
    </w:p>
    <w:p w14:paraId="012EA46D" w14:textId="77777777" w:rsidR="00022B70" w:rsidRDefault="00022B70">
      <w:pPr>
        <w:spacing w:line="360" w:lineRule="auto"/>
        <w:jc w:val="center"/>
        <w:rPr>
          <w:rFonts w:ascii="Times New Roman" w:eastAsia="Times New Roman" w:hAnsi="Times New Roman" w:cs="Times New Roman"/>
          <w:b/>
          <w:sz w:val="32"/>
          <w:szCs w:val="32"/>
        </w:rPr>
      </w:pPr>
    </w:p>
    <w:p w14:paraId="7566A576" w14:textId="77777777" w:rsidR="00022B70" w:rsidRDefault="00022B70">
      <w:pPr>
        <w:spacing w:line="360" w:lineRule="auto"/>
        <w:jc w:val="center"/>
        <w:rPr>
          <w:rFonts w:ascii="Times New Roman" w:eastAsia="Times New Roman" w:hAnsi="Times New Roman" w:cs="Times New Roman"/>
          <w:b/>
          <w:sz w:val="32"/>
          <w:szCs w:val="32"/>
        </w:rPr>
      </w:pPr>
    </w:p>
    <w:p w14:paraId="7DE6A516" w14:textId="77777777" w:rsidR="00022B70" w:rsidRDefault="00000000">
      <w:pPr>
        <w:spacing w:line="360" w:lineRule="auto"/>
        <w:jc w:val="center"/>
        <w:rPr>
          <w:rFonts w:ascii="Times New Roman" w:eastAsia="Times New Roman" w:hAnsi="Times New Roman" w:cs="Times New Roman"/>
          <w:b/>
          <w:sz w:val="32"/>
          <w:szCs w:val="32"/>
          <w:highlight w:val="white"/>
        </w:rPr>
      </w:pPr>
      <w:r>
        <w:rPr>
          <w:rFonts w:ascii="Times New Roman" w:eastAsia="Times New Roman" w:hAnsi="Times New Roman" w:cs="Times New Roman"/>
          <w:b/>
          <w:sz w:val="32"/>
          <w:szCs w:val="32"/>
        </w:rPr>
        <w:t xml:space="preserve"> </w:t>
      </w:r>
      <w:r>
        <w:rPr>
          <w:rFonts w:ascii="Times New Roman" w:eastAsia="Times New Roman" w:hAnsi="Times New Roman" w:cs="Times New Roman"/>
          <w:b/>
          <w:sz w:val="32"/>
          <w:szCs w:val="32"/>
          <w:highlight w:val="white"/>
        </w:rPr>
        <w:t>FINANCIAL MANAGEMENT FOR THE HOTEL INDUSTRY</w:t>
      </w:r>
    </w:p>
    <w:p w14:paraId="14584717" w14:textId="77777777" w:rsidR="00022B70" w:rsidRDefault="00000000">
      <w:pPr>
        <w:spacing w:line="360" w:lineRule="auto"/>
        <w:jc w:val="center"/>
        <w:rPr>
          <w:rFonts w:ascii="Times New Roman" w:eastAsia="Times New Roman" w:hAnsi="Times New Roman" w:cs="Times New Roman"/>
          <w:b/>
          <w:sz w:val="32"/>
          <w:szCs w:val="32"/>
          <w:highlight w:val="white"/>
        </w:rPr>
      </w:pPr>
      <w:r>
        <w:rPr>
          <w:rFonts w:ascii="Times New Roman" w:eastAsia="Times New Roman" w:hAnsi="Times New Roman" w:cs="Times New Roman"/>
          <w:b/>
          <w:sz w:val="32"/>
          <w:szCs w:val="32"/>
          <w:highlight w:val="white"/>
        </w:rPr>
        <w:t>Student name: Alexandra Chiran</w:t>
      </w:r>
    </w:p>
    <w:p w14:paraId="19ABE7D8" w14:textId="77777777" w:rsidR="00022B70" w:rsidRDefault="00000000">
      <w:pPr>
        <w:spacing w:line="360" w:lineRule="auto"/>
        <w:jc w:val="center"/>
        <w:rPr>
          <w:rFonts w:ascii="Times New Roman" w:eastAsia="Times New Roman" w:hAnsi="Times New Roman" w:cs="Times New Roman"/>
          <w:b/>
          <w:sz w:val="32"/>
          <w:szCs w:val="32"/>
          <w:highlight w:val="white"/>
        </w:rPr>
      </w:pPr>
      <w:r>
        <w:rPr>
          <w:rFonts w:ascii="Times New Roman" w:eastAsia="Times New Roman" w:hAnsi="Times New Roman" w:cs="Times New Roman"/>
          <w:b/>
          <w:sz w:val="32"/>
          <w:szCs w:val="32"/>
          <w:highlight w:val="white"/>
        </w:rPr>
        <w:t>Student ID: 2025111</w:t>
      </w:r>
    </w:p>
    <w:p w14:paraId="72E9FC91" w14:textId="77777777" w:rsidR="00022B70" w:rsidRDefault="00000000">
      <w:pPr>
        <w:spacing w:line="360" w:lineRule="auto"/>
        <w:jc w:val="center"/>
        <w:rPr>
          <w:rFonts w:ascii="Times New Roman" w:eastAsia="Times New Roman" w:hAnsi="Times New Roman" w:cs="Times New Roman"/>
          <w:b/>
          <w:sz w:val="32"/>
          <w:szCs w:val="32"/>
          <w:highlight w:val="white"/>
        </w:rPr>
      </w:pPr>
      <w:r>
        <w:rPr>
          <w:rFonts w:ascii="Times New Roman" w:eastAsia="Times New Roman" w:hAnsi="Times New Roman" w:cs="Times New Roman"/>
          <w:b/>
          <w:sz w:val="32"/>
          <w:szCs w:val="32"/>
          <w:highlight w:val="white"/>
        </w:rPr>
        <w:t xml:space="preserve">Module name: Financial Management </w:t>
      </w:r>
    </w:p>
    <w:p w14:paraId="158B423C" w14:textId="77777777" w:rsidR="00022B70" w:rsidRDefault="00000000">
      <w:pPr>
        <w:spacing w:line="360" w:lineRule="auto"/>
        <w:jc w:val="center"/>
        <w:rPr>
          <w:rFonts w:ascii="Times New Roman" w:eastAsia="Times New Roman" w:hAnsi="Times New Roman" w:cs="Times New Roman"/>
          <w:b/>
          <w:sz w:val="32"/>
          <w:szCs w:val="32"/>
          <w:highlight w:val="white"/>
        </w:rPr>
      </w:pPr>
      <w:r>
        <w:rPr>
          <w:rFonts w:ascii="Times New Roman" w:eastAsia="Times New Roman" w:hAnsi="Times New Roman" w:cs="Times New Roman"/>
          <w:b/>
          <w:sz w:val="32"/>
          <w:szCs w:val="32"/>
          <w:highlight w:val="white"/>
        </w:rPr>
        <w:t>Module code: BMIH5007</w:t>
      </w:r>
    </w:p>
    <w:p w14:paraId="1A78BF82" w14:textId="77777777" w:rsidR="00022B70" w:rsidRDefault="00000000">
      <w:pPr>
        <w:spacing w:line="360" w:lineRule="auto"/>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highlight w:val="white"/>
        </w:rPr>
        <w:t>Lecture Name: Dale Clark</w:t>
      </w:r>
      <w:r>
        <w:br w:type="page"/>
      </w:r>
    </w:p>
    <w:p w14:paraId="25578B2F" w14:textId="77777777" w:rsidR="00022B70" w:rsidRDefault="00000000">
      <w:pPr>
        <w:pStyle w:val="Heading1"/>
        <w:spacing w:line="360" w:lineRule="auto"/>
      </w:pPr>
      <w:bookmarkStart w:id="0" w:name="_heading=h.gjdgxs" w:colFirst="0" w:colLast="0"/>
      <w:bookmarkEnd w:id="0"/>
      <w:r>
        <w:lastRenderedPageBreak/>
        <w:t xml:space="preserve">Executive summary </w:t>
      </w:r>
    </w:p>
    <w:p w14:paraId="2A836351" w14:textId="77777777" w:rsidR="00022B70"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This project is going to explore the financial position of Marriott for the financial years 2020 and 2021. The “ratio analysis method” helps to determine the ratio difference between these two financial year’s trends. The key knowledge obtained from the ratio analysis method was evaluated in the second phase of the project. This is one of the most important discussion points of the project and the last discussion element on the advantages and limitations of ratio analysis. These are all discussion points of this knowledgeable </w:t>
      </w:r>
      <w:proofErr w:type="gramStart"/>
      <w:r>
        <w:rPr>
          <w:rFonts w:ascii="Times New Roman" w:eastAsia="Times New Roman" w:hAnsi="Times New Roman" w:cs="Times New Roman"/>
          <w:sz w:val="24"/>
          <w:szCs w:val="24"/>
        </w:rPr>
        <w:t>project</w:t>
      </w:r>
      <w:proofErr w:type="gramEnd"/>
      <w:r>
        <w:rPr>
          <w:rFonts w:ascii="Times New Roman" w:eastAsia="Times New Roman" w:hAnsi="Times New Roman" w:cs="Times New Roman"/>
          <w:sz w:val="24"/>
          <w:szCs w:val="24"/>
        </w:rPr>
        <w:t xml:space="preserve"> and some recommendations are provided in the last phase of the project. </w:t>
      </w:r>
    </w:p>
    <w:p w14:paraId="0D85DAB8" w14:textId="77777777" w:rsidR="00022B70" w:rsidRDefault="00000000">
      <w:pPr>
        <w:rPr>
          <w:rFonts w:ascii="Times New Roman" w:eastAsia="Times New Roman" w:hAnsi="Times New Roman" w:cs="Times New Roman"/>
          <w:sz w:val="24"/>
          <w:szCs w:val="24"/>
        </w:rPr>
      </w:pPr>
      <w:r>
        <w:br w:type="page"/>
      </w:r>
    </w:p>
    <w:p w14:paraId="63247279" w14:textId="77777777" w:rsidR="00022B70" w:rsidRDefault="00000000">
      <w:pPr>
        <w:keepNext/>
        <w:keepLines/>
        <w:pBdr>
          <w:top w:val="nil"/>
          <w:left w:val="nil"/>
          <w:bottom w:val="nil"/>
          <w:right w:val="nil"/>
          <w:between w:val="nil"/>
        </w:pBdr>
        <w:spacing w:before="240" w:line="360" w:lineRule="auto"/>
        <w:jc w:val="center"/>
        <w:rPr>
          <w:rFonts w:ascii="Times New Roman" w:eastAsia="Times New Roman" w:hAnsi="Times New Roman" w:cs="Times New Roman"/>
          <w:b/>
          <w:color w:val="000000"/>
          <w:sz w:val="28"/>
          <w:szCs w:val="28"/>
        </w:rPr>
      </w:pPr>
      <w:r>
        <w:rPr>
          <w:rFonts w:ascii="Times New Roman" w:eastAsia="Times New Roman" w:hAnsi="Times New Roman" w:cs="Times New Roman"/>
          <w:b/>
          <w:color w:val="000000"/>
          <w:sz w:val="28"/>
          <w:szCs w:val="28"/>
        </w:rPr>
        <w:lastRenderedPageBreak/>
        <w:t>Table of Contents</w:t>
      </w:r>
    </w:p>
    <w:sdt>
      <w:sdtPr>
        <w:id w:val="982894250"/>
        <w:docPartObj>
          <w:docPartGallery w:val="Table of Contents"/>
          <w:docPartUnique/>
        </w:docPartObj>
      </w:sdtPr>
      <w:sdtContent>
        <w:p w14:paraId="08487D8D" w14:textId="77777777" w:rsidR="00022B70" w:rsidRDefault="00000000">
          <w:pPr>
            <w:pBdr>
              <w:top w:val="nil"/>
              <w:left w:val="nil"/>
              <w:bottom w:val="nil"/>
              <w:right w:val="nil"/>
              <w:between w:val="nil"/>
            </w:pBdr>
            <w:tabs>
              <w:tab w:val="right" w:pos="9350"/>
            </w:tabs>
            <w:spacing w:after="100" w:line="360" w:lineRule="auto"/>
            <w:jc w:val="both"/>
            <w:rPr>
              <w:rFonts w:ascii="Times New Roman" w:eastAsia="Times New Roman" w:hAnsi="Times New Roman" w:cs="Times New Roman"/>
              <w:color w:val="000000"/>
              <w:sz w:val="24"/>
              <w:szCs w:val="24"/>
            </w:rPr>
          </w:pPr>
          <w:r>
            <w:fldChar w:fldCharType="begin"/>
          </w:r>
          <w:r>
            <w:instrText xml:space="preserve"> TOC \h \u \z </w:instrText>
          </w:r>
          <w:r>
            <w:fldChar w:fldCharType="separate"/>
          </w:r>
          <w:hyperlink w:anchor="_heading=h.gjdgxs">
            <w:r>
              <w:rPr>
                <w:rFonts w:ascii="Times New Roman" w:eastAsia="Times New Roman" w:hAnsi="Times New Roman" w:cs="Times New Roman"/>
                <w:color w:val="000000"/>
                <w:sz w:val="24"/>
                <w:szCs w:val="24"/>
              </w:rPr>
              <w:t>Executive summary</w:t>
            </w:r>
            <w:r>
              <w:rPr>
                <w:rFonts w:ascii="Times New Roman" w:eastAsia="Times New Roman" w:hAnsi="Times New Roman" w:cs="Times New Roman"/>
                <w:color w:val="000000"/>
                <w:sz w:val="24"/>
                <w:szCs w:val="24"/>
              </w:rPr>
              <w:tab/>
              <w:t>2</w:t>
            </w:r>
          </w:hyperlink>
        </w:p>
        <w:p w14:paraId="60054BC9" w14:textId="77777777" w:rsidR="00022B70" w:rsidRDefault="00000000">
          <w:pPr>
            <w:pBdr>
              <w:top w:val="nil"/>
              <w:left w:val="nil"/>
              <w:bottom w:val="nil"/>
              <w:right w:val="nil"/>
              <w:between w:val="nil"/>
            </w:pBdr>
            <w:tabs>
              <w:tab w:val="right" w:pos="9350"/>
            </w:tabs>
            <w:spacing w:after="100" w:line="360" w:lineRule="auto"/>
            <w:jc w:val="both"/>
            <w:rPr>
              <w:rFonts w:ascii="Times New Roman" w:eastAsia="Times New Roman" w:hAnsi="Times New Roman" w:cs="Times New Roman"/>
              <w:color w:val="000000"/>
              <w:sz w:val="24"/>
              <w:szCs w:val="24"/>
            </w:rPr>
          </w:pPr>
          <w:hyperlink w:anchor="_heading=h.30j0zll">
            <w:r>
              <w:rPr>
                <w:rFonts w:ascii="Times New Roman" w:eastAsia="Times New Roman" w:hAnsi="Times New Roman" w:cs="Times New Roman"/>
                <w:color w:val="000000"/>
                <w:sz w:val="24"/>
                <w:szCs w:val="24"/>
              </w:rPr>
              <w:t>Introduction</w:t>
            </w:r>
            <w:r>
              <w:rPr>
                <w:rFonts w:ascii="Times New Roman" w:eastAsia="Times New Roman" w:hAnsi="Times New Roman" w:cs="Times New Roman"/>
                <w:color w:val="000000"/>
                <w:sz w:val="24"/>
                <w:szCs w:val="24"/>
              </w:rPr>
              <w:tab/>
              <w:t>3</w:t>
            </w:r>
          </w:hyperlink>
        </w:p>
        <w:p w14:paraId="46393563" w14:textId="77777777" w:rsidR="00022B70" w:rsidRDefault="00000000">
          <w:pPr>
            <w:pBdr>
              <w:top w:val="nil"/>
              <w:left w:val="nil"/>
              <w:bottom w:val="nil"/>
              <w:right w:val="nil"/>
              <w:between w:val="nil"/>
            </w:pBdr>
            <w:tabs>
              <w:tab w:val="right" w:pos="9350"/>
            </w:tabs>
            <w:spacing w:after="100" w:line="360" w:lineRule="auto"/>
            <w:jc w:val="both"/>
            <w:rPr>
              <w:rFonts w:ascii="Times New Roman" w:eastAsia="Times New Roman" w:hAnsi="Times New Roman" w:cs="Times New Roman"/>
              <w:color w:val="000000"/>
              <w:sz w:val="24"/>
              <w:szCs w:val="24"/>
            </w:rPr>
          </w:pPr>
          <w:hyperlink w:anchor="_heading=h.1fob9te">
            <w:r>
              <w:rPr>
                <w:rFonts w:ascii="Times New Roman" w:eastAsia="Times New Roman" w:hAnsi="Times New Roman" w:cs="Times New Roman"/>
                <w:color w:val="000000"/>
                <w:sz w:val="24"/>
                <w:szCs w:val="24"/>
              </w:rPr>
              <w:t>Discussion</w:t>
            </w:r>
            <w:r>
              <w:rPr>
                <w:rFonts w:ascii="Times New Roman" w:eastAsia="Times New Roman" w:hAnsi="Times New Roman" w:cs="Times New Roman"/>
                <w:color w:val="000000"/>
                <w:sz w:val="24"/>
                <w:szCs w:val="24"/>
              </w:rPr>
              <w:tab/>
              <w:t>3</w:t>
            </w:r>
          </w:hyperlink>
        </w:p>
        <w:p w14:paraId="1BC1E8DD" w14:textId="77777777" w:rsidR="00022B70" w:rsidRDefault="00000000">
          <w:pPr>
            <w:pBdr>
              <w:top w:val="nil"/>
              <w:left w:val="nil"/>
              <w:bottom w:val="nil"/>
              <w:right w:val="nil"/>
              <w:between w:val="nil"/>
            </w:pBdr>
            <w:tabs>
              <w:tab w:val="right" w:pos="9350"/>
            </w:tabs>
            <w:spacing w:after="100" w:line="360" w:lineRule="auto"/>
            <w:ind w:left="220"/>
            <w:jc w:val="both"/>
            <w:rPr>
              <w:rFonts w:ascii="Times New Roman" w:eastAsia="Times New Roman" w:hAnsi="Times New Roman" w:cs="Times New Roman"/>
              <w:color w:val="000000"/>
              <w:sz w:val="24"/>
              <w:szCs w:val="24"/>
            </w:rPr>
          </w:pPr>
          <w:hyperlink w:anchor="_heading=h.3znysh7">
            <w:r>
              <w:rPr>
                <w:rFonts w:ascii="Times New Roman" w:eastAsia="Times New Roman" w:hAnsi="Times New Roman" w:cs="Times New Roman"/>
                <w:color w:val="000000"/>
                <w:sz w:val="24"/>
                <w:szCs w:val="24"/>
              </w:rPr>
              <w:t>Financial Analysis Trends</w:t>
            </w:r>
            <w:r>
              <w:rPr>
                <w:rFonts w:ascii="Times New Roman" w:eastAsia="Times New Roman" w:hAnsi="Times New Roman" w:cs="Times New Roman"/>
                <w:color w:val="000000"/>
                <w:sz w:val="24"/>
                <w:szCs w:val="24"/>
              </w:rPr>
              <w:tab/>
              <w:t>3</w:t>
            </w:r>
          </w:hyperlink>
        </w:p>
        <w:p w14:paraId="790F2E37" w14:textId="77777777" w:rsidR="00022B70" w:rsidRDefault="00000000">
          <w:pPr>
            <w:pBdr>
              <w:top w:val="nil"/>
              <w:left w:val="nil"/>
              <w:bottom w:val="nil"/>
              <w:right w:val="nil"/>
              <w:between w:val="nil"/>
            </w:pBdr>
            <w:tabs>
              <w:tab w:val="right" w:pos="9350"/>
            </w:tabs>
            <w:spacing w:after="100" w:line="360" w:lineRule="auto"/>
            <w:ind w:left="220"/>
            <w:jc w:val="both"/>
            <w:rPr>
              <w:rFonts w:ascii="Times New Roman" w:eastAsia="Times New Roman" w:hAnsi="Times New Roman" w:cs="Times New Roman"/>
              <w:color w:val="000000"/>
              <w:sz w:val="24"/>
              <w:szCs w:val="24"/>
            </w:rPr>
          </w:pPr>
          <w:hyperlink w:anchor="_heading=h.2et92p0">
            <w:r>
              <w:rPr>
                <w:rFonts w:ascii="Times New Roman" w:eastAsia="Times New Roman" w:hAnsi="Times New Roman" w:cs="Times New Roman"/>
                <w:color w:val="000000"/>
                <w:sz w:val="24"/>
                <w:szCs w:val="24"/>
              </w:rPr>
              <w:t>Knowledge from ratio analysis</w:t>
            </w:r>
            <w:r>
              <w:rPr>
                <w:rFonts w:ascii="Times New Roman" w:eastAsia="Times New Roman" w:hAnsi="Times New Roman" w:cs="Times New Roman"/>
                <w:color w:val="000000"/>
                <w:sz w:val="24"/>
                <w:szCs w:val="24"/>
              </w:rPr>
              <w:tab/>
              <w:t>10</w:t>
            </w:r>
          </w:hyperlink>
        </w:p>
        <w:p w14:paraId="566CDC34" w14:textId="77777777" w:rsidR="00022B70" w:rsidRDefault="00000000">
          <w:pPr>
            <w:pBdr>
              <w:top w:val="nil"/>
              <w:left w:val="nil"/>
              <w:bottom w:val="nil"/>
              <w:right w:val="nil"/>
              <w:between w:val="nil"/>
            </w:pBdr>
            <w:tabs>
              <w:tab w:val="right" w:pos="9350"/>
            </w:tabs>
            <w:spacing w:after="100" w:line="360" w:lineRule="auto"/>
            <w:ind w:left="220"/>
            <w:jc w:val="both"/>
            <w:rPr>
              <w:rFonts w:ascii="Times New Roman" w:eastAsia="Times New Roman" w:hAnsi="Times New Roman" w:cs="Times New Roman"/>
              <w:color w:val="000000"/>
              <w:sz w:val="24"/>
              <w:szCs w:val="24"/>
            </w:rPr>
          </w:pPr>
          <w:hyperlink w:anchor="_heading=h.tyjcwt">
            <w:r>
              <w:rPr>
                <w:rFonts w:ascii="Times New Roman" w:eastAsia="Times New Roman" w:hAnsi="Times New Roman" w:cs="Times New Roman"/>
                <w:color w:val="000000"/>
                <w:sz w:val="24"/>
                <w:szCs w:val="24"/>
              </w:rPr>
              <w:t>Benefits and limitations of ratio analysis</w:t>
            </w:r>
            <w:r>
              <w:rPr>
                <w:rFonts w:ascii="Times New Roman" w:eastAsia="Times New Roman" w:hAnsi="Times New Roman" w:cs="Times New Roman"/>
                <w:color w:val="000000"/>
                <w:sz w:val="24"/>
                <w:szCs w:val="24"/>
              </w:rPr>
              <w:tab/>
              <w:t>10</w:t>
            </w:r>
          </w:hyperlink>
        </w:p>
        <w:p w14:paraId="2948AA35" w14:textId="77777777" w:rsidR="00022B70" w:rsidRDefault="00000000">
          <w:pPr>
            <w:pBdr>
              <w:top w:val="nil"/>
              <w:left w:val="nil"/>
              <w:bottom w:val="nil"/>
              <w:right w:val="nil"/>
              <w:between w:val="nil"/>
            </w:pBdr>
            <w:tabs>
              <w:tab w:val="right" w:pos="9350"/>
            </w:tabs>
            <w:spacing w:after="100" w:line="360" w:lineRule="auto"/>
            <w:jc w:val="both"/>
            <w:rPr>
              <w:rFonts w:ascii="Times New Roman" w:eastAsia="Times New Roman" w:hAnsi="Times New Roman" w:cs="Times New Roman"/>
              <w:color w:val="000000"/>
              <w:sz w:val="24"/>
              <w:szCs w:val="24"/>
            </w:rPr>
          </w:pPr>
          <w:hyperlink w:anchor="_heading=h.3dy6vkm">
            <w:r>
              <w:rPr>
                <w:rFonts w:ascii="Times New Roman" w:eastAsia="Times New Roman" w:hAnsi="Times New Roman" w:cs="Times New Roman"/>
                <w:color w:val="000000"/>
                <w:sz w:val="24"/>
                <w:szCs w:val="24"/>
              </w:rPr>
              <w:t>Conclusion</w:t>
            </w:r>
            <w:r>
              <w:rPr>
                <w:rFonts w:ascii="Times New Roman" w:eastAsia="Times New Roman" w:hAnsi="Times New Roman" w:cs="Times New Roman"/>
                <w:color w:val="000000"/>
                <w:sz w:val="24"/>
                <w:szCs w:val="24"/>
              </w:rPr>
              <w:tab/>
              <w:t>10</w:t>
            </w:r>
          </w:hyperlink>
        </w:p>
        <w:p w14:paraId="63B67BA2" w14:textId="77777777" w:rsidR="00022B70" w:rsidRDefault="00000000">
          <w:pPr>
            <w:pBdr>
              <w:top w:val="nil"/>
              <w:left w:val="nil"/>
              <w:bottom w:val="nil"/>
              <w:right w:val="nil"/>
              <w:between w:val="nil"/>
            </w:pBdr>
            <w:tabs>
              <w:tab w:val="right" w:pos="9350"/>
            </w:tabs>
            <w:spacing w:after="100" w:line="360" w:lineRule="auto"/>
            <w:jc w:val="both"/>
            <w:rPr>
              <w:rFonts w:ascii="Times New Roman" w:eastAsia="Times New Roman" w:hAnsi="Times New Roman" w:cs="Times New Roman"/>
              <w:color w:val="000000"/>
              <w:sz w:val="24"/>
              <w:szCs w:val="24"/>
            </w:rPr>
          </w:pPr>
          <w:hyperlink w:anchor="_heading=h.1t3h5sf">
            <w:r>
              <w:rPr>
                <w:rFonts w:ascii="Times New Roman" w:eastAsia="Times New Roman" w:hAnsi="Times New Roman" w:cs="Times New Roman"/>
                <w:color w:val="000000"/>
                <w:sz w:val="24"/>
                <w:szCs w:val="24"/>
              </w:rPr>
              <w:t>Reference List</w:t>
            </w:r>
            <w:r>
              <w:rPr>
                <w:rFonts w:ascii="Times New Roman" w:eastAsia="Times New Roman" w:hAnsi="Times New Roman" w:cs="Times New Roman"/>
                <w:color w:val="000000"/>
                <w:sz w:val="24"/>
                <w:szCs w:val="24"/>
              </w:rPr>
              <w:tab/>
              <w:t>12</w:t>
            </w:r>
          </w:hyperlink>
        </w:p>
        <w:p w14:paraId="6AB1E185" w14:textId="77777777" w:rsidR="00022B70" w:rsidRDefault="00000000">
          <w:r>
            <w:fldChar w:fldCharType="end"/>
          </w:r>
        </w:p>
      </w:sdtContent>
    </w:sdt>
    <w:p w14:paraId="4525AC31" w14:textId="77777777" w:rsidR="00022B70" w:rsidRDefault="00000000">
      <w:pPr>
        <w:rPr>
          <w:rFonts w:ascii="Times New Roman" w:eastAsia="Times New Roman" w:hAnsi="Times New Roman" w:cs="Times New Roman"/>
          <w:b/>
          <w:sz w:val="28"/>
          <w:szCs w:val="28"/>
        </w:rPr>
      </w:pPr>
      <w:r>
        <w:br w:type="page"/>
      </w:r>
    </w:p>
    <w:p w14:paraId="514BBDD3" w14:textId="77777777" w:rsidR="00022B70" w:rsidRDefault="00000000">
      <w:pPr>
        <w:pStyle w:val="Heading1"/>
        <w:spacing w:line="360" w:lineRule="auto"/>
      </w:pPr>
      <w:bookmarkStart w:id="1" w:name="_heading=h.30j0zll" w:colFirst="0" w:colLast="0"/>
      <w:bookmarkEnd w:id="1"/>
      <w:r>
        <w:lastRenderedPageBreak/>
        <w:t xml:space="preserve">Introduction </w:t>
      </w:r>
    </w:p>
    <w:p w14:paraId="61BE2250" w14:textId="77777777" w:rsidR="00022B70"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Marriott is one of the most famous and popular Multinational companies based in America. Marriott operates licensed lodging and franchises including residential, timeshares properties, and hotels. They are regulating big businesses all over the world. The management of the company maintains its business in a very organized way. Through these good management processes, they </w:t>
      </w:r>
      <w:proofErr w:type="gramStart"/>
      <w:r>
        <w:rPr>
          <w:rFonts w:ascii="Times New Roman" w:eastAsia="Times New Roman" w:hAnsi="Times New Roman" w:cs="Times New Roman"/>
          <w:sz w:val="24"/>
          <w:szCs w:val="24"/>
        </w:rPr>
        <w:t>are able to</w:t>
      </w:r>
      <w:proofErr w:type="gramEnd"/>
      <w:r>
        <w:rPr>
          <w:rFonts w:ascii="Times New Roman" w:eastAsia="Times New Roman" w:hAnsi="Times New Roman" w:cs="Times New Roman"/>
          <w:sz w:val="24"/>
          <w:szCs w:val="24"/>
        </w:rPr>
        <w:t xml:space="preserve"> identify crucial issues and they are also allowed to solve the problems of their business to chase the success goals. This project is going to discuss the financial position of the company for 2020 and 2021. The difference between the 2020 and 2021 ratios is discussed and analyzed in the analysis phase of the project. The project also reflects the calculation of the profitability ratio, liquidity ratio, and gearing ratio of Marriot for the financial years 2020 and 2021. This calculation ratio helps to identify the financial position of each year </w:t>
      </w:r>
      <w:proofErr w:type="gramStart"/>
      <w:r>
        <w:rPr>
          <w:rFonts w:ascii="Times New Roman" w:eastAsia="Times New Roman" w:hAnsi="Times New Roman" w:cs="Times New Roman"/>
          <w:sz w:val="24"/>
          <w:szCs w:val="24"/>
        </w:rPr>
        <w:t>and also</w:t>
      </w:r>
      <w:proofErr w:type="gramEnd"/>
      <w:r>
        <w:rPr>
          <w:rFonts w:ascii="Times New Roman" w:eastAsia="Times New Roman" w:hAnsi="Times New Roman" w:cs="Times New Roman"/>
          <w:sz w:val="24"/>
          <w:szCs w:val="24"/>
        </w:rPr>
        <w:t xml:space="preserve"> helps to understand the financial difference between 2020 and 2021. The benefits and berries of ratio analysis are also discussed in this project. This is the main objective to execute the </w:t>
      </w:r>
      <w:proofErr w:type="gramStart"/>
      <w:r>
        <w:rPr>
          <w:rFonts w:ascii="Times New Roman" w:eastAsia="Times New Roman" w:hAnsi="Times New Roman" w:cs="Times New Roman"/>
          <w:sz w:val="24"/>
          <w:szCs w:val="24"/>
        </w:rPr>
        <w:t>project</w:t>
      </w:r>
      <w:proofErr w:type="gramEnd"/>
      <w:r>
        <w:rPr>
          <w:rFonts w:ascii="Times New Roman" w:eastAsia="Times New Roman" w:hAnsi="Times New Roman" w:cs="Times New Roman"/>
          <w:sz w:val="24"/>
          <w:szCs w:val="24"/>
        </w:rPr>
        <w:t xml:space="preserve"> and this is one of the most crucial and knowledgeable projects on the “financial ratio analysis” of Marriott. </w:t>
      </w:r>
    </w:p>
    <w:p w14:paraId="56374F06" w14:textId="77777777" w:rsidR="00022B70" w:rsidRDefault="00000000">
      <w:pPr>
        <w:pStyle w:val="Heading1"/>
        <w:spacing w:line="360" w:lineRule="auto"/>
      </w:pPr>
      <w:bookmarkStart w:id="2" w:name="_heading=h.1fob9te" w:colFirst="0" w:colLast="0"/>
      <w:bookmarkEnd w:id="2"/>
      <w:r>
        <w:t>Discussion</w:t>
      </w:r>
    </w:p>
    <w:p w14:paraId="22DF6B9A" w14:textId="77777777" w:rsidR="00022B70" w:rsidRDefault="00000000">
      <w:pPr>
        <w:pStyle w:val="Heading2"/>
        <w:spacing w:line="360" w:lineRule="auto"/>
      </w:pPr>
      <w:bookmarkStart w:id="3" w:name="_heading=h.3znysh7" w:colFirst="0" w:colLast="0"/>
      <w:bookmarkEnd w:id="3"/>
      <w:r>
        <w:t xml:space="preserve">Financial Analysis Trends </w:t>
      </w:r>
    </w:p>
    <w:p w14:paraId="702FC54A" w14:textId="77777777" w:rsidR="00022B70"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This phase of the project reflects the financial position difference between the financial year 2020 and 2021. The ratio analysis is a method to identify the profitability position, liquidity position, and gearing position for each financial year. Through this “ratio analysis method”, the higher authority of the organization </w:t>
      </w:r>
      <w:proofErr w:type="gramStart"/>
      <w:r>
        <w:rPr>
          <w:rFonts w:ascii="Times New Roman" w:eastAsia="Times New Roman" w:hAnsi="Times New Roman" w:cs="Times New Roman"/>
          <w:sz w:val="24"/>
          <w:szCs w:val="24"/>
        </w:rPr>
        <w:t>is able to</w:t>
      </w:r>
      <w:proofErr w:type="gramEnd"/>
      <w:r>
        <w:rPr>
          <w:rFonts w:ascii="Times New Roman" w:eastAsia="Times New Roman" w:hAnsi="Times New Roman" w:cs="Times New Roman"/>
          <w:sz w:val="24"/>
          <w:szCs w:val="24"/>
        </w:rPr>
        <w:t xml:space="preserve"> comprehend the financial issues of the organization and they are also allowed to make the proper strategies to chase the success goals and generate more profits from the business (</w:t>
      </w:r>
      <w:proofErr w:type="spellStart"/>
      <w:r>
        <w:rPr>
          <w:rFonts w:ascii="Times New Roman" w:eastAsia="Times New Roman" w:hAnsi="Times New Roman" w:cs="Times New Roman"/>
          <w:sz w:val="24"/>
          <w:szCs w:val="24"/>
          <w:highlight w:val="white"/>
        </w:rPr>
        <w:t>Siripipat</w:t>
      </w:r>
      <w:proofErr w:type="spellEnd"/>
      <w:r>
        <w:rPr>
          <w:rFonts w:ascii="Times New Roman" w:eastAsia="Times New Roman" w:hAnsi="Times New Roman" w:cs="Times New Roman"/>
          <w:sz w:val="24"/>
          <w:szCs w:val="24"/>
          <w:highlight w:val="white"/>
        </w:rPr>
        <w:t xml:space="preserve"> </w:t>
      </w:r>
      <w:proofErr w:type="spellStart"/>
      <w:r>
        <w:rPr>
          <w:rFonts w:ascii="Times New Roman" w:eastAsia="Times New Roman" w:hAnsi="Times New Roman" w:cs="Times New Roman"/>
          <w:sz w:val="24"/>
          <w:szCs w:val="24"/>
          <w:highlight w:val="white"/>
        </w:rPr>
        <w:t>Thanakul</w:t>
      </w:r>
      <w:proofErr w:type="spellEnd"/>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sz w:val="24"/>
          <w:szCs w:val="24"/>
          <w:highlight w:val="white"/>
        </w:rPr>
        <w:t xml:space="preserve">et al, </w:t>
      </w:r>
      <w:r>
        <w:rPr>
          <w:rFonts w:ascii="Times New Roman" w:eastAsia="Times New Roman" w:hAnsi="Times New Roman" w:cs="Times New Roman"/>
          <w:sz w:val="24"/>
          <w:szCs w:val="24"/>
          <w:highlight w:val="white"/>
        </w:rPr>
        <w:t>2021</w:t>
      </w:r>
      <w:r>
        <w:rPr>
          <w:rFonts w:ascii="Times New Roman" w:eastAsia="Times New Roman" w:hAnsi="Times New Roman" w:cs="Times New Roman"/>
          <w:sz w:val="24"/>
          <w:szCs w:val="24"/>
        </w:rPr>
        <w:t xml:space="preserve">). The profitability ratio, Liquidity ratio, and gearing ratio of Marriott for the years 2020 and 2021 are reflected in the below tables. </w:t>
      </w:r>
    </w:p>
    <w:p w14:paraId="73B0999F" w14:textId="77777777" w:rsidR="00022B70" w:rsidRDefault="00000000">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Profitability Ratio</w:t>
      </w:r>
    </w:p>
    <w:tbl>
      <w:tblPr>
        <w:tblStyle w:val="a2"/>
        <w:tblW w:w="7515" w:type="dxa"/>
        <w:jc w:val="cente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600" w:firstRow="0" w:lastRow="0" w:firstColumn="0" w:lastColumn="0" w:noHBand="1" w:noVBand="1"/>
      </w:tblPr>
      <w:tblGrid>
        <w:gridCol w:w="4805"/>
        <w:gridCol w:w="1355"/>
        <w:gridCol w:w="1355"/>
      </w:tblGrid>
      <w:tr w:rsidR="00022B70" w14:paraId="3A8B0EBD" w14:textId="77777777">
        <w:trPr>
          <w:trHeight w:val="500"/>
          <w:jc w:val="center"/>
        </w:trPr>
        <w:tc>
          <w:tcPr>
            <w:tcW w:w="4805" w:type="dxa"/>
            <w:tcMar>
              <w:top w:w="100" w:type="dxa"/>
              <w:left w:w="100" w:type="dxa"/>
              <w:bottom w:w="100" w:type="dxa"/>
              <w:right w:w="100" w:type="dxa"/>
            </w:tcMar>
          </w:tcPr>
          <w:p w14:paraId="59025EC6" w14:textId="77777777" w:rsidR="00022B70" w:rsidRDefault="00000000">
            <w:pPr>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PROFITABILITY RATIOS:</w:t>
            </w:r>
          </w:p>
        </w:tc>
        <w:tc>
          <w:tcPr>
            <w:tcW w:w="1355" w:type="dxa"/>
            <w:tcMar>
              <w:top w:w="100" w:type="dxa"/>
              <w:left w:w="100" w:type="dxa"/>
              <w:bottom w:w="100" w:type="dxa"/>
              <w:right w:w="100" w:type="dxa"/>
            </w:tcMar>
          </w:tcPr>
          <w:p w14:paraId="4AFAAF11" w14:textId="77777777" w:rsidR="00022B70" w:rsidRDefault="00000000">
            <w:pPr>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2021</w:t>
            </w:r>
          </w:p>
        </w:tc>
        <w:tc>
          <w:tcPr>
            <w:tcW w:w="1355" w:type="dxa"/>
            <w:tcMar>
              <w:top w:w="100" w:type="dxa"/>
              <w:left w:w="100" w:type="dxa"/>
              <w:bottom w:w="100" w:type="dxa"/>
              <w:right w:w="100" w:type="dxa"/>
            </w:tcMar>
          </w:tcPr>
          <w:p w14:paraId="0E1AF08D" w14:textId="77777777" w:rsidR="00022B70" w:rsidRDefault="00000000">
            <w:pPr>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2020</w:t>
            </w:r>
          </w:p>
        </w:tc>
      </w:tr>
      <w:tr w:rsidR="00022B70" w14:paraId="0AC7E549" w14:textId="77777777">
        <w:trPr>
          <w:trHeight w:val="500"/>
          <w:jc w:val="center"/>
        </w:trPr>
        <w:tc>
          <w:tcPr>
            <w:tcW w:w="4805" w:type="dxa"/>
            <w:tcMar>
              <w:top w:w="100" w:type="dxa"/>
              <w:left w:w="100" w:type="dxa"/>
              <w:bottom w:w="100" w:type="dxa"/>
              <w:right w:w="100" w:type="dxa"/>
            </w:tcMar>
          </w:tcPr>
          <w:p w14:paraId="03C14760" w14:textId="77777777" w:rsidR="00022B70" w:rsidRDefault="00000000">
            <w:pPr>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Gross Margin</w:t>
            </w:r>
          </w:p>
        </w:tc>
        <w:tc>
          <w:tcPr>
            <w:tcW w:w="1355" w:type="dxa"/>
            <w:tcMar>
              <w:top w:w="100" w:type="dxa"/>
              <w:left w:w="100" w:type="dxa"/>
              <w:bottom w:w="100" w:type="dxa"/>
              <w:right w:w="100" w:type="dxa"/>
            </w:tcMar>
          </w:tcPr>
          <w:p w14:paraId="28DBD1C4" w14:textId="77777777" w:rsidR="00022B70" w:rsidRDefault="00000000">
            <w:pPr>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20.21</w:t>
            </w:r>
          </w:p>
        </w:tc>
        <w:tc>
          <w:tcPr>
            <w:tcW w:w="1355" w:type="dxa"/>
            <w:tcMar>
              <w:top w:w="100" w:type="dxa"/>
              <w:left w:w="100" w:type="dxa"/>
              <w:bottom w:w="100" w:type="dxa"/>
              <w:right w:w="100" w:type="dxa"/>
            </w:tcMar>
          </w:tcPr>
          <w:p w14:paraId="140B2645" w14:textId="77777777" w:rsidR="00022B70" w:rsidRDefault="00000000">
            <w:pPr>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13.80</w:t>
            </w:r>
          </w:p>
        </w:tc>
      </w:tr>
      <w:tr w:rsidR="00022B70" w14:paraId="1B4B09E9" w14:textId="77777777">
        <w:trPr>
          <w:trHeight w:val="500"/>
          <w:jc w:val="center"/>
        </w:trPr>
        <w:tc>
          <w:tcPr>
            <w:tcW w:w="4805" w:type="dxa"/>
            <w:tcMar>
              <w:top w:w="100" w:type="dxa"/>
              <w:left w:w="100" w:type="dxa"/>
              <w:bottom w:w="100" w:type="dxa"/>
              <w:right w:w="100" w:type="dxa"/>
            </w:tcMar>
          </w:tcPr>
          <w:p w14:paraId="31B3C82F" w14:textId="77777777" w:rsidR="00022B70" w:rsidRDefault="00000000">
            <w:pPr>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Gross Profit/Sales*100</w:t>
            </w:r>
          </w:p>
        </w:tc>
        <w:tc>
          <w:tcPr>
            <w:tcW w:w="1355" w:type="dxa"/>
            <w:tcMar>
              <w:top w:w="100" w:type="dxa"/>
              <w:left w:w="100" w:type="dxa"/>
              <w:bottom w:w="100" w:type="dxa"/>
              <w:right w:w="100" w:type="dxa"/>
            </w:tcMar>
          </w:tcPr>
          <w:p w14:paraId="5913826C" w14:textId="77777777" w:rsidR="00022B70" w:rsidRDefault="00000000">
            <w:pPr>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p>
        </w:tc>
        <w:tc>
          <w:tcPr>
            <w:tcW w:w="1355" w:type="dxa"/>
            <w:tcMar>
              <w:top w:w="100" w:type="dxa"/>
              <w:left w:w="100" w:type="dxa"/>
              <w:bottom w:w="100" w:type="dxa"/>
              <w:right w:w="100" w:type="dxa"/>
            </w:tcMar>
          </w:tcPr>
          <w:p w14:paraId="5C7F50C9" w14:textId="77777777" w:rsidR="00022B70" w:rsidRDefault="00000000">
            <w:pPr>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p>
        </w:tc>
      </w:tr>
      <w:tr w:rsidR="00022B70" w14:paraId="1F72D57A" w14:textId="77777777">
        <w:trPr>
          <w:trHeight w:val="500"/>
          <w:jc w:val="center"/>
        </w:trPr>
        <w:tc>
          <w:tcPr>
            <w:tcW w:w="4805" w:type="dxa"/>
            <w:tcMar>
              <w:top w:w="100" w:type="dxa"/>
              <w:left w:w="100" w:type="dxa"/>
              <w:bottom w:w="100" w:type="dxa"/>
              <w:right w:w="100" w:type="dxa"/>
            </w:tcMar>
          </w:tcPr>
          <w:p w14:paraId="28C7EFC9" w14:textId="77777777" w:rsidR="00022B70" w:rsidRDefault="00000000">
            <w:pPr>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Operating Margin</w:t>
            </w:r>
          </w:p>
        </w:tc>
        <w:tc>
          <w:tcPr>
            <w:tcW w:w="1355" w:type="dxa"/>
            <w:tcMar>
              <w:top w:w="100" w:type="dxa"/>
              <w:left w:w="100" w:type="dxa"/>
              <w:bottom w:w="100" w:type="dxa"/>
              <w:right w:w="100" w:type="dxa"/>
            </w:tcMar>
          </w:tcPr>
          <w:p w14:paraId="1946B815" w14:textId="77777777" w:rsidR="00022B70" w:rsidRDefault="00000000">
            <w:pPr>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12.63</w:t>
            </w:r>
          </w:p>
        </w:tc>
        <w:tc>
          <w:tcPr>
            <w:tcW w:w="1355" w:type="dxa"/>
            <w:tcMar>
              <w:top w:w="100" w:type="dxa"/>
              <w:left w:w="100" w:type="dxa"/>
              <w:bottom w:w="100" w:type="dxa"/>
              <w:right w:w="100" w:type="dxa"/>
            </w:tcMar>
          </w:tcPr>
          <w:p w14:paraId="4910AABC" w14:textId="77777777" w:rsidR="00022B70" w:rsidRDefault="00000000">
            <w:pPr>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0.79</w:t>
            </w:r>
          </w:p>
        </w:tc>
      </w:tr>
      <w:tr w:rsidR="00022B70" w14:paraId="7545881A" w14:textId="77777777">
        <w:trPr>
          <w:trHeight w:val="500"/>
          <w:jc w:val="center"/>
        </w:trPr>
        <w:tc>
          <w:tcPr>
            <w:tcW w:w="4805" w:type="dxa"/>
            <w:tcMar>
              <w:top w:w="100" w:type="dxa"/>
              <w:left w:w="100" w:type="dxa"/>
              <w:bottom w:w="100" w:type="dxa"/>
              <w:right w:w="100" w:type="dxa"/>
            </w:tcMar>
          </w:tcPr>
          <w:p w14:paraId="1374615F" w14:textId="77777777" w:rsidR="00022B70" w:rsidRDefault="00000000">
            <w:pPr>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Operating Income/Sales*100</w:t>
            </w:r>
          </w:p>
        </w:tc>
        <w:tc>
          <w:tcPr>
            <w:tcW w:w="1355" w:type="dxa"/>
            <w:tcMar>
              <w:top w:w="100" w:type="dxa"/>
              <w:left w:w="100" w:type="dxa"/>
              <w:bottom w:w="100" w:type="dxa"/>
              <w:right w:w="100" w:type="dxa"/>
            </w:tcMar>
          </w:tcPr>
          <w:p w14:paraId="72C827E4" w14:textId="77777777" w:rsidR="00022B70" w:rsidRDefault="00000000">
            <w:pPr>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p>
        </w:tc>
        <w:tc>
          <w:tcPr>
            <w:tcW w:w="1355" w:type="dxa"/>
            <w:tcMar>
              <w:top w:w="100" w:type="dxa"/>
              <w:left w:w="100" w:type="dxa"/>
              <w:bottom w:w="100" w:type="dxa"/>
              <w:right w:w="100" w:type="dxa"/>
            </w:tcMar>
          </w:tcPr>
          <w:p w14:paraId="03AF4061" w14:textId="77777777" w:rsidR="00022B70" w:rsidRDefault="00000000">
            <w:pPr>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p>
        </w:tc>
      </w:tr>
      <w:tr w:rsidR="00022B70" w14:paraId="39A974F8" w14:textId="77777777">
        <w:trPr>
          <w:trHeight w:val="500"/>
          <w:jc w:val="center"/>
        </w:trPr>
        <w:tc>
          <w:tcPr>
            <w:tcW w:w="4805" w:type="dxa"/>
            <w:tcMar>
              <w:top w:w="100" w:type="dxa"/>
              <w:left w:w="100" w:type="dxa"/>
              <w:bottom w:w="100" w:type="dxa"/>
              <w:right w:w="100" w:type="dxa"/>
            </w:tcMar>
          </w:tcPr>
          <w:p w14:paraId="07833680" w14:textId="77777777" w:rsidR="00022B70" w:rsidRDefault="00000000">
            <w:pPr>
              <w:widowControl w:val="0"/>
              <w:pBdr>
                <w:top w:val="nil"/>
                <w:left w:val="nil"/>
                <w:bottom w:val="nil"/>
                <w:right w:val="nil"/>
                <w:between w:val="nil"/>
              </w:pBdr>
              <w:spacing w:line="360" w:lineRule="auto"/>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PreTax</w:t>
            </w:r>
            <w:proofErr w:type="spellEnd"/>
            <w:r>
              <w:rPr>
                <w:rFonts w:ascii="Times New Roman" w:eastAsia="Times New Roman" w:hAnsi="Times New Roman" w:cs="Times New Roman"/>
                <w:sz w:val="24"/>
                <w:szCs w:val="24"/>
              </w:rPr>
              <w:t xml:space="preserve"> Margin</w:t>
            </w:r>
          </w:p>
        </w:tc>
        <w:tc>
          <w:tcPr>
            <w:tcW w:w="1355" w:type="dxa"/>
            <w:tcMar>
              <w:top w:w="100" w:type="dxa"/>
              <w:left w:w="100" w:type="dxa"/>
              <w:bottom w:w="100" w:type="dxa"/>
              <w:right w:w="100" w:type="dxa"/>
            </w:tcMar>
          </w:tcPr>
          <w:p w14:paraId="4FCE7316" w14:textId="77777777" w:rsidR="00022B70" w:rsidRDefault="00000000">
            <w:pPr>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8.52</w:t>
            </w:r>
          </w:p>
        </w:tc>
        <w:tc>
          <w:tcPr>
            <w:tcW w:w="1355" w:type="dxa"/>
            <w:tcMar>
              <w:top w:w="100" w:type="dxa"/>
              <w:left w:w="100" w:type="dxa"/>
              <w:bottom w:w="100" w:type="dxa"/>
              <w:right w:w="100" w:type="dxa"/>
            </w:tcMar>
          </w:tcPr>
          <w:p w14:paraId="3E2201BD" w14:textId="77777777" w:rsidR="00022B70" w:rsidRDefault="00000000">
            <w:pPr>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-4.41</w:t>
            </w:r>
          </w:p>
        </w:tc>
      </w:tr>
      <w:tr w:rsidR="00022B70" w14:paraId="41E98D18" w14:textId="77777777">
        <w:trPr>
          <w:trHeight w:val="500"/>
          <w:jc w:val="center"/>
        </w:trPr>
        <w:tc>
          <w:tcPr>
            <w:tcW w:w="4805" w:type="dxa"/>
            <w:tcMar>
              <w:top w:w="100" w:type="dxa"/>
              <w:left w:w="100" w:type="dxa"/>
              <w:bottom w:w="100" w:type="dxa"/>
              <w:right w:w="100" w:type="dxa"/>
            </w:tcMar>
          </w:tcPr>
          <w:p w14:paraId="34F9289C" w14:textId="77777777" w:rsidR="00022B70" w:rsidRDefault="00000000">
            <w:pPr>
              <w:widowControl w:val="0"/>
              <w:pBdr>
                <w:top w:val="nil"/>
                <w:left w:val="nil"/>
                <w:bottom w:val="nil"/>
                <w:right w:val="nil"/>
                <w:between w:val="nil"/>
              </w:pBdr>
              <w:spacing w:line="360" w:lineRule="auto"/>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PreTax</w:t>
            </w:r>
            <w:proofErr w:type="spellEnd"/>
            <w:r>
              <w:rPr>
                <w:rFonts w:ascii="Times New Roman" w:eastAsia="Times New Roman" w:hAnsi="Times New Roman" w:cs="Times New Roman"/>
                <w:sz w:val="24"/>
                <w:szCs w:val="24"/>
              </w:rPr>
              <w:t xml:space="preserve"> Income/Sales*100</w:t>
            </w:r>
          </w:p>
        </w:tc>
        <w:tc>
          <w:tcPr>
            <w:tcW w:w="1355" w:type="dxa"/>
            <w:tcMar>
              <w:top w:w="100" w:type="dxa"/>
              <w:left w:w="100" w:type="dxa"/>
              <w:bottom w:w="100" w:type="dxa"/>
              <w:right w:w="100" w:type="dxa"/>
            </w:tcMar>
          </w:tcPr>
          <w:p w14:paraId="5597AC55" w14:textId="77777777" w:rsidR="00022B70" w:rsidRDefault="00000000">
            <w:pPr>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p>
        </w:tc>
        <w:tc>
          <w:tcPr>
            <w:tcW w:w="1355" w:type="dxa"/>
            <w:tcMar>
              <w:top w:w="100" w:type="dxa"/>
              <w:left w:w="100" w:type="dxa"/>
              <w:bottom w:w="100" w:type="dxa"/>
              <w:right w:w="100" w:type="dxa"/>
            </w:tcMar>
          </w:tcPr>
          <w:p w14:paraId="36BB138B" w14:textId="77777777" w:rsidR="00022B70" w:rsidRDefault="00000000">
            <w:pPr>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p>
        </w:tc>
      </w:tr>
      <w:tr w:rsidR="00022B70" w14:paraId="77C04951" w14:textId="77777777">
        <w:trPr>
          <w:trHeight w:val="500"/>
          <w:jc w:val="center"/>
        </w:trPr>
        <w:tc>
          <w:tcPr>
            <w:tcW w:w="4805" w:type="dxa"/>
            <w:tcMar>
              <w:top w:w="100" w:type="dxa"/>
              <w:left w:w="100" w:type="dxa"/>
              <w:bottom w:w="100" w:type="dxa"/>
              <w:right w:w="100" w:type="dxa"/>
            </w:tcMar>
          </w:tcPr>
          <w:p w14:paraId="37D6A424" w14:textId="77777777" w:rsidR="00022B70" w:rsidRDefault="00000000">
            <w:pPr>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Net Profit Margin</w:t>
            </w:r>
          </w:p>
        </w:tc>
        <w:tc>
          <w:tcPr>
            <w:tcW w:w="1355" w:type="dxa"/>
            <w:tcMar>
              <w:top w:w="100" w:type="dxa"/>
              <w:left w:w="100" w:type="dxa"/>
              <w:bottom w:w="100" w:type="dxa"/>
              <w:right w:w="100" w:type="dxa"/>
            </w:tcMar>
          </w:tcPr>
          <w:p w14:paraId="4063CB6D" w14:textId="77777777" w:rsidR="00022B70" w:rsidRDefault="00000000">
            <w:pPr>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7.93</w:t>
            </w:r>
          </w:p>
        </w:tc>
        <w:tc>
          <w:tcPr>
            <w:tcW w:w="1355" w:type="dxa"/>
            <w:tcMar>
              <w:top w:w="100" w:type="dxa"/>
              <w:left w:w="100" w:type="dxa"/>
              <w:bottom w:w="100" w:type="dxa"/>
              <w:right w:w="100" w:type="dxa"/>
            </w:tcMar>
          </w:tcPr>
          <w:p w14:paraId="4F7FDFFA" w14:textId="77777777" w:rsidR="00022B70" w:rsidRDefault="00000000">
            <w:pPr>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-2.53</w:t>
            </w:r>
          </w:p>
        </w:tc>
      </w:tr>
      <w:tr w:rsidR="00022B70" w14:paraId="54ED81C0" w14:textId="77777777">
        <w:trPr>
          <w:trHeight w:val="500"/>
          <w:jc w:val="center"/>
        </w:trPr>
        <w:tc>
          <w:tcPr>
            <w:tcW w:w="4805" w:type="dxa"/>
            <w:tcMar>
              <w:top w:w="100" w:type="dxa"/>
              <w:left w:w="100" w:type="dxa"/>
              <w:bottom w:w="100" w:type="dxa"/>
              <w:right w:w="100" w:type="dxa"/>
            </w:tcMar>
          </w:tcPr>
          <w:p w14:paraId="26C99DEA" w14:textId="77777777" w:rsidR="00022B70" w:rsidRDefault="00000000">
            <w:pPr>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Net Income/Sales*100</w:t>
            </w:r>
          </w:p>
        </w:tc>
        <w:tc>
          <w:tcPr>
            <w:tcW w:w="1355" w:type="dxa"/>
            <w:tcMar>
              <w:top w:w="100" w:type="dxa"/>
              <w:left w:w="100" w:type="dxa"/>
              <w:bottom w:w="100" w:type="dxa"/>
              <w:right w:w="100" w:type="dxa"/>
            </w:tcMar>
          </w:tcPr>
          <w:p w14:paraId="1FBBECA8" w14:textId="77777777" w:rsidR="00022B70" w:rsidRDefault="00000000">
            <w:pPr>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p>
        </w:tc>
        <w:tc>
          <w:tcPr>
            <w:tcW w:w="1355" w:type="dxa"/>
            <w:tcMar>
              <w:top w:w="100" w:type="dxa"/>
              <w:left w:w="100" w:type="dxa"/>
              <w:bottom w:w="100" w:type="dxa"/>
              <w:right w:w="100" w:type="dxa"/>
            </w:tcMar>
          </w:tcPr>
          <w:p w14:paraId="0772A9EC" w14:textId="77777777" w:rsidR="00022B70" w:rsidRDefault="00000000">
            <w:pPr>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p>
        </w:tc>
      </w:tr>
      <w:tr w:rsidR="00022B70" w14:paraId="6F4319C2" w14:textId="77777777">
        <w:trPr>
          <w:trHeight w:val="500"/>
          <w:jc w:val="center"/>
        </w:trPr>
        <w:tc>
          <w:tcPr>
            <w:tcW w:w="4805" w:type="dxa"/>
            <w:tcMar>
              <w:top w:w="100" w:type="dxa"/>
              <w:left w:w="100" w:type="dxa"/>
              <w:bottom w:w="100" w:type="dxa"/>
              <w:right w:w="100" w:type="dxa"/>
            </w:tcMar>
          </w:tcPr>
          <w:p w14:paraId="36977360" w14:textId="77777777" w:rsidR="00022B70" w:rsidRDefault="00000000">
            <w:pPr>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Return on Equity (ROE)</w:t>
            </w:r>
          </w:p>
        </w:tc>
        <w:tc>
          <w:tcPr>
            <w:tcW w:w="1355" w:type="dxa"/>
            <w:tcMar>
              <w:top w:w="100" w:type="dxa"/>
              <w:left w:w="100" w:type="dxa"/>
              <w:bottom w:w="100" w:type="dxa"/>
              <w:right w:w="100" w:type="dxa"/>
            </w:tcMar>
          </w:tcPr>
          <w:p w14:paraId="6B31EE6F" w14:textId="77777777" w:rsidR="00022B70" w:rsidRDefault="00000000">
            <w:pPr>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77.72</w:t>
            </w:r>
          </w:p>
        </w:tc>
        <w:tc>
          <w:tcPr>
            <w:tcW w:w="1355" w:type="dxa"/>
            <w:tcMar>
              <w:top w:w="100" w:type="dxa"/>
              <w:left w:w="100" w:type="dxa"/>
              <w:bottom w:w="100" w:type="dxa"/>
              <w:right w:w="100" w:type="dxa"/>
            </w:tcMar>
          </w:tcPr>
          <w:p w14:paraId="7594F9E1" w14:textId="77777777" w:rsidR="00022B70" w:rsidRDefault="00000000">
            <w:pPr>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-62.09</w:t>
            </w:r>
          </w:p>
        </w:tc>
      </w:tr>
      <w:tr w:rsidR="00022B70" w14:paraId="7C9F31F3" w14:textId="77777777">
        <w:trPr>
          <w:trHeight w:val="500"/>
          <w:jc w:val="center"/>
        </w:trPr>
        <w:tc>
          <w:tcPr>
            <w:tcW w:w="4805" w:type="dxa"/>
            <w:tcMar>
              <w:top w:w="100" w:type="dxa"/>
              <w:left w:w="100" w:type="dxa"/>
              <w:bottom w:w="100" w:type="dxa"/>
              <w:right w:w="100" w:type="dxa"/>
            </w:tcMar>
          </w:tcPr>
          <w:p w14:paraId="7C400C67" w14:textId="77777777" w:rsidR="00022B70" w:rsidRDefault="00000000">
            <w:pPr>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Net Income/</w:t>
            </w:r>
            <w:proofErr w:type="spellStart"/>
            <w:r>
              <w:rPr>
                <w:rFonts w:ascii="Times New Roman" w:eastAsia="Times New Roman" w:hAnsi="Times New Roman" w:cs="Times New Roman"/>
                <w:sz w:val="24"/>
                <w:szCs w:val="24"/>
              </w:rPr>
              <w:t>Tot.Equity</w:t>
            </w:r>
            <w:proofErr w:type="spellEnd"/>
          </w:p>
        </w:tc>
        <w:tc>
          <w:tcPr>
            <w:tcW w:w="1355" w:type="dxa"/>
            <w:tcMar>
              <w:top w:w="100" w:type="dxa"/>
              <w:left w:w="100" w:type="dxa"/>
              <w:bottom w:w="100" w:type="dxa"/>
              <w:right w:w="100" w:type="dxa"/>
            </w:tcMar>
          </w:tcPr>
          <w:p w14:paraId="4028BF08" w14:textId="77777777" w:rsidR="00022B70" w:rsidRDefault="00000000">
            <w:pPr>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p>
        </w:tc>
        <w:tc>
          <w:tcPr>
            <w:tcW w:w="1355" w:type="dxa"/>
            <w:tcMar>
              <w:top w:w="100" w:type="dxa"/>
              <w:left w:w="100" w:type="dxa"/>
              <w:bottom w:w="100" w:type="dxa"/>
              <w:right w:w="100" w:type="dxa"/>
            </w:tcMar>
          </w:tcPr>
          <w:p w14:paraId="76357A3B" w14:textId="77777777" w:rsidR="00022B70" w:rsidRDefault="00000000">
            <w:pPr>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p>
        </w:tc>
      </w:tr>
      <w:tr w:rsidR="00022B70" w14:paraId="0A826509" w14:textId="77777777">
        <w:trPr>
          <w:trHeight w:val="500"/>
          <w:jc w:val="center"/>
        </w:trPr>
        <w:tc>
          <w:tcPr>
            <w:tcW w:w="4805" w:type="dxa"/>
            <w:tcMar>
              <w:top w:w="100" w:type="dxa"/>
              <w:left w:w="100" w:type="dxa"/>
              <w:bottom w:w="100" w:type="dxa"/>
              <w:right w:w="100" w:type="dxa"/>
            </w:tcMar>
          </w:tcPr>
          <w:p w14:paraId="024C35AF" w14:textId="77777777" w:rsidR="00022B70" w:rsidRDefault="00000000">
            <w:pPr>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Return on Assets (ROA)</w:t>
            </w:r>
          </w:p>
        </w:tc>
        <w:tc>
          <w:tcPr>
            <w:tcW w:w="1355" w:type="dxa"/>
            <w:tcMar>
              <w:top w:w="100" w:type="dxa"/>
              <w:left w:w="100" w:type="dxa"/>
              <w:bottom w:w="100" w:type="dxa"/>
              <w:right w:w="100" w:type="dxa"/>
            </w:tcMar>
          </w:tcPr>
          <w:p w14:paraId="40B43E89" w14:textId="77777777" w:rsidR="00022B70" w:rsidRDefault="00000000">
            <w:pPr>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4.30</w:t>
            </w:r>
          </w:p>
        </w:tc>
        <w:tc>
          <w:tcPr>
            <w:tcW w:w="1355" w:type="dxa"/>
            <w:tcMar>
              <w:top w:w="100" w:type="dxa"/>
              <w:left w:w="100" w:type="dxa"/>
              <w:bottom w:w="100" w:type="dxa"/>
              <w:right w:w="100" w:type="dxa"/>
            </w:tcMar>
          </w:tcPr>
          <w:p w14:paraId="5DCFDDF2" w14:textId="77777777" w:rsidR="00022B70" w:rsidRDefault="00000000">
            <w:pPr>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-1.08</w:t>
            </w:r>
          </w:p>
        </w:tc>
      </w:tr>
      <w:tr w:rsidR="00022B70" w14:paraId="644E7FC7" w14:textId="77777777">
        <w:trPr>
          <w:trHeight w:val="500"/>
          <w:jc w:val="center"/>
        </w:trPr>
        <w:tc>
          <w:tcPr>
            <w:tcW w:w="4805" w:type="dxa"/>
            <w:tcMar>
              <w:top w:w="100" w:type="dxa"/>
              <w:left w:w="100" w:type="dxa"/>
              <w:bottom w:w="100" w:type="dxa"/>
              <w:right w:w="100" w:type="dxa"/>
            </w:tcMar>
          </w:tcPr>
          <w:p w14:paraId="476AAEC2" w14:textId="77777777" w:rsidR="00022B70" w:rsidRDefault="00000000">
            <w:pPr>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Net Income/</w:t>
            </w:r>
            <w:proofErr w:type="spellStart"/>
            <w:r>
              <w:rPr>
                <w:rFonts w:ascii="Times New Roman" w:eastAsia="Times New Roman" w:hAnsi="Times New Roman" w:cs="Times New Roman"/>
                <w:sz w:val="24"/>
                <w:szCs w:val="24"/>
              </w:rPr>
              <w:t>Tot.Assets</w:t>
            </w:r>
            <w:proofErr w:type="spellEnd"/>
          </w:p>
        </w:tc>
        <w:tc>
          <w:tcPr>
            <w:tcW w:w="1355" w:type="dxa"/>
            <w:tcMar>
              <w:top w:w="100" w:type="dxa"/>
              <w:left w:w="100" w:type="dxa"/>
              <w:bottom w:w="100" w:type="dxa"/>
              <w:right w:w="100" w:type="dxa"/>
            </w:tcMar>
          </w:tcPr>
          <w:p w14:paraId="62BF33EC" w14:textId="77777777" w:rsidR="00022B70" w:rsidRDefault="00000000">
            <w:pPr>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p>
        </w:tc>
        <w:tc>
          <w:tcPr>
            <w:tcW w:w="1355" w:type="dxa"/>
            <w:tcMar>
              <w:top w:w="100" w:type="dxa"/>
              <w:left w:w="100" w:type="dxa"/>
              <w:bottom w:w="100" w:type="dxa"/>
              <w:right w:w="100" w:type="dxa"/>
            </w:tcMar>
          </w:tcPr>
          <w:p w14:paraId="5C37D0B4" w14:textId="77777777" w:rsidR="00022B70" w:rsidRDefault="00000000">
            <w:pPr>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p>
        </w:tc>
      </w:tr>
    </w:tbl>
    <w:p w14:paraId="3288CED5" w14:textId="77777777" w:rsidR="00022B70" w:rsidRDefault="00000000">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Table 1: Profitability ratio </w:t>
      </w:r>
    </w:p>
    <w:p w14:paraId="45739D8A" w14:textId="77777777" w:rsidR="00022B70"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(Source: </w:t>
      </w:r>
      <w:proofErr w:type="spellStart"/>
      <w:r>
        <w:rPr>
          <w:rFonts w:ascii="Times New Roman" w:eastAsia="Times New Roman" w:hAnsi="Times New Roman" w:cs="Times New Roman"/>
          <w:sz w:val="24"/>
          <w:szCs w:val="24"/>
        </w:rPr>
        <w:t>Self created</w:t>
      </w:r>
      <w:proofErr w:type="spellEnd"/>
      <w:r>
        <w:rPr>
          <w:rFonts w:ascii="Times New Roman" w:eastAsia="Times New Roman" w:hAnsi="Times New Roman" w:cs="Times New Roman"/>
          <w:sz w:val="24"/>
          <w:szCs w:val="24"/>
        </w:rPr>
        <w:t xml:space="preserve"> in MS Excel)</w:t>
      </w:r>
    </w:p>
    <w:p w14:paraId="7F6FA101" w14:textId="77777777" w:rsidR="00022B70"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above table reflects the profitability ratio of Marriott for the financial years 2021 and 2020. The profitability ratio is a financial metric that is used to understand the ability to generate profits for the business. The gross margin ratio is one of the most important ratios of profitability ratio. The gross profit ratio of Marriott for the year 2020 was 13.80 and in 2021 their gross margin ratio was 20.21. A 20% gross margin ratio is considered good and an over 10% ratio is considered average. This means the gross margin ratio for the year 2021 was healthy and the gross margin ratio for the year 2020 was average (</w:t>
      </w:r>
      <w:proofErr w:type="spellStart"/>
      <w:r>
        <w:rPr>
          <w:rFonts w:ascii="Times New Roman" w:eastAsia="Times New Roman" w:hAnsi="Times New Roman" w:cs="Times New Roman"/>
          <w:sz w:val="24"/>
          <w:szCs w:val="24"/>
          <w:highlight w:val="white"/>
        </w:rPr>
        <w:t>Sheel</w:t>
      </w:r>
      <w:proofErr w:type="spellEnd"/>
      <w:r>
        <w:rPr>
          <w:rFonts w:ascii="Times New Roman" w:eastAsia="Times New Roman" w:hAnsi="Times New Roman" w:cs="Times New Roman"/>
          <w:sz w:val="24"/>
          <w:szCs w:val="24"/>
          <w:highlight w:val="white"/>
        </w:rPr>
        <w:t>, 2019</w:t>
      </w:r>
      <w:r>
        <w:rPr>
          <w:rFonts w:ascii="Times New Roman" w:eastAsia="Times New Roman" w:hAnsi="Times New Roman" w:cs="Times New Roman"/>
          <w:sz w:val="24"/>
          <w:szCs w:val="24"/>
        </w:rPr>
        <w:t xml:space="preserve">). Marriott’s gross margin ratio for 2021 was better than the previous year. They increased their ability to earn more profits from the business. The operating margin is another important ratio of profitability. The operating margin of Marriott for the year 2021 was 12.63 and in 2020 their operating profit margin was 0.79. A 15% and over </w:t>
      </w:r>
      <w:r>
        <w:rPr>
          <w:rFonts w:ascii="Times New Roman" w:eastAsia="Times New Roman" w:hAnsi="Times New Roman" w:cs="Times New Roman"/>
          <w:sz w:val="24"/>
          <w:szCs w:val="24"/>
        </w:rPr>
        <w:lastRenderedPageBreak/>
        <w:t>operating margin ratio is considered high and under 10% is considered low. That means their operating margin for 2021 was average and for 2020 operating margin ratio was very low. The 2021 operating margin ratio is better than in 2020 (</w:t>
      </w:r>
      <w:r>
        <w:rPr>
          <w:rFonts w:ascii="Times New Roman" w:eastAsia="Times New Roman" w:hAnsi="Times New Roman" w:cs="Times New Roman"/>
          <w:sz w:val="24"/>
          <w:szCs w:val="24"/>
          <w:highlight w:val="white"/>
        </w:rPr>
        <w:t>Reardon, 2022</w:t>
      </w:r>
      <w:r>
        <w:rPr>
          <w:rFonts w:ascii="Times New Roman" w:eastAsia="Times New Roman" w:hAnsi="Times New Roman" w:cs="Times New Roman"/>
          <w:sz w:val="24"/>
          <w:szCs w:val="24"/>
        </w:rPr>
        <w:t xml:space="preserve">). The below figure reflects the “gross margin ratio” and “operating profit margin” ratio position for each financial year. </w:t>
      </w:r>
    </w:p>
    <w:p w14:paraId="78809673" w14:textId="77777777" w:rsidR="00022B70"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114300" distB="114300" distL="114300" distR="114300" wp14:anchorId="632FFD76" wp14:editId="431B7890">
            <wp:extent cx="4929188" cy="3143250"/>
            <wp:effectExtent l="0" t="0" r="0" b="0"/>
            <wp:docPr id="5"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8"/>
                    <a:srcRect/>
                    <a:stretch>
                      <a:fillRect/>
                    </a:stretch>
                  </pic:blipFill>
                  <pic:spPr>
                    <a:xfrm>
                      <a:off x="0" y="0"/>
                      <a:ext cx="4929188" cy="3143250"/>
                    </a:xfrm>
                    <a:prstGeom prst="rect">
                      <a:avLst/>
                    </a:prstGeom>
                    <a:ln/>
                  </pic:spPr>
                </pic:pic>
              </a:graphicData>
            </a:graphic>
          </wp:inline>
        </w:drawing>
      </w:r>
    </w:p>
    <w:p w14:paraId="7818B9FA" w14:textId="77777777" w:rsidR="00022B70" w:rsidRDefault="00000000">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Figure 1: Gross margin and operating margin ratio for 2021 and 2020</w:t>
      </w:r>
    </w:p>
    <w:p w14:paraId="67A3A3EE" w14:textId="77777777" w:rsidR="00022B70"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Self-created in MS excel)</w:t>
      </w:r>
    </w:p>
    <w:p w14:paraId="0BD4C1E6" w14:textId="77777777" w:rsidR="00022B70"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pre-tax margin ratio for the years 2021 and 2020 was 8.52 and -4.41. The business earning ability before paying the tax is understood through this pre-tax margin ratio analysis method. A good pre-tax margin ratio is required, 8% pre-tax margin ratio. This is considered a good pre-tax margin ratio. That means their </w:t>
      </w:r>
      <w:proofErr w:type="spellStart"/>
      <w:proofErr w:type="gramStart"/>
      <w:r>
        <w:rPr>
          <w:rFonts w:ascii="Times New Roman" w:eastAsia="Times New Roman" w:hAnsi="Times New Roman" w:cs="Times New Roman"/>
          <w:sz w:val="24"/>
          <w:szCs w:val="24"/>
        </w:rPr>
        <w:t>pre tax</w:t>
      </w:r>
      <w:proofErr w:type="spellEnd"/>
      <w:proofErr w:type="gramEnd"/>
      <w:r>
        <w:rPr>
          <w:rFonts w:ascii="Times New Roman" w:eastAsia="Times New Roman" w:hAnsi="Times New Roman" w:cs="Times New Roman"/>
          <w:sz w:val="24"/>
          <w:szCs w:val="24"/>
        </w:rPr>
        <w:t xml:space="preserve"> margin ratio for the year 2021 was good and for 2020 their </w:t>
      </w:r>
      <w:proofErr w:type="spellStart"/>
      <w:r>
        <w:rPr>
          <w:rFonts w:ascii="Times New Roman" w:eastAsia="Times New Roman" w:hAnsi="Times New Roman" w:cs="Times New Roman"/>
          <w:sz w:val="24"/>
          <w:szCs w:val="24"/>
        </w:rPr>
        <w:t>pre tax</w:t>
      </w:r>
      <w:proofErr w:type="spellEnd"/>
      <w:r>
        <w:rPr>
          <w:rFonts w:ascii="Times New Roman" w:eastAsia="Times New Roman" w:hAnsi="Times New Roman" w:cs="Times New Roman"/>
          <w:sz w:val="24"/>
          <w:szCs w:val="24"/>
        </w:rPr>
        <w:t xml:space="preserve"> margin ratio was very low (</w:t>
      </w:r>
      <w:r>
        <w:rPr>
          <w:rFonts w:ascii="Times New Roman" w:eastAsia="Times New Roman" w:hAnsi="Times New Roman" w:cs="Times New Roman"/>
          <w:sz w:val="24"/>
          <w:szCs w:val="24"/>
          <w:highlight w:val="white"/>
        </w:rPr>
        <w:t xml:space="preserve">Alvarez, </w:t>
      </w:r>
      <w:r>
        <w:rPr>
          <w:rFonts w:ascii="Times New Roman" w:eastAsia="Times New Roman" w:hAnsi="Times New Roman" w:cs="Times New Roman"/>
          <w:i/>
          <w:sz w:val="24"/>
          <w:szCs w:val="24"/>
          <w:highlight w:val="white"/>
        </w:rPr>
        <w:t>et al,</w:t>
      </w:r>
      <w:r>
        <w:rPr>
          <w:rFonts w:ascii="Times New Roman" w:eastAsia="Times New Roman" w:hAnsi="Times New Roman" w:cs="Times New Roman"/>
          <w:sz w:val="24"/>
          <w:szCs w:val="24"/>
          <w:highlight w:val="white"/>
        </w:rPr>
        <w:t xml:space="preserve"> 2021</w:t>
      </w:r>
      <w:r>
        <w:rPr>
          <w:rFonts w:ascii="Times New Roman" w:eastAsia="Times New Roman" w:hAnsi="Times New Roman" w:cs="Times New Roman"/>
          <w:sz w:val="24"/>
          <w:szCs w:val="24"/>
        </w:rPr>
        <w:t xml:space="preserve">). The net profit margin ratio played a crucial role in the profitability ratio. Over 20% net profit margin ratio is considered a healthy and strong net profit ratio and under 5% conceded a low net profit margin ratio. Their “net profit margin” ratio for 2021 was 7.93 and for 2020 their “net profit margin” ratio was -2.53. That means their “net profit margin ratio” for the year 2021 was average and for the year 2020 their net profit margin ratio was low. In 2021 their earning ability was higher than the 2020 financial year. The return on equity of Marriott’s business for the year 2020 was -62.09 and for the year 2021, their ROE was 77.2. Between 15 to 20% ROE ratio is considered good. </w:t>
      </w:r>
      <w:proofErr w:type="gramStart"/>
      <w:r>
        <w:rPr>
          <w:rFonts w:ascii="Times New Roman" w:eastAsia="Times New Roman" w:hAnsi="Times New Roman" w:cs="Times New Roman"/>
          <w:sz w:val="24"/>
          <w:szCs w:val="24"/>
        </w:rPr>
        <w:t>So</w:t>
      </w:r>
      <w:proofErr w:type="gramEnd"/>
      <w:r>
        <w:rPr>
          <w:rFonts w:ascii="Times New Roman" w:eastAsia="Times New Roman" w:hAnsi="Times New Roman" w:cs="Times New Roman"/>
          <w:sz w:val="24"/>
          <w:szCs w:val="24"/>
        </w:rPr>
        <w:t xml:space="preserve"> the ROE ratio of 2021 was healthy but 2020’s ROE ratio was too low (</w:t>
      </w:r>
      <w:r>
        <w:rPr>
          <w:rFonts w:ascii="Times New Roman" w:eastAsia="Times New Roman" w:hAnsi="Times New Roman" w:cs="Times New Roman"/>
          <w:sz w:val="24"/>
          <w:szCs w:val="24"/>
          <w:highlight w:val="white"/>
        </w:rPr>
        <w:t xml:space="preserve">Bello and </w:t>
      </w:r>
      <w:proofErr w:type="spellStart"/>
      <w:r>
        <w:rPr>
          <w:rFonts w:ascii="Times New Roman" w:eastAsia="Times New Roman" w:hAnsi="Times New Roman" w:cs="Times New Roman"/>
          <w:sz w:val="24"/>
          <w:szCs w:val="24"/>
          <w:highlight w:val="white"/>
        </w:rPr>
        <w:t>Sensini</w:t>
      </w:r>
      <w:proofErr w:type="spellEnd"/>
      <w:r>
        <w:rPr>
          <w:rFonts w:ascii="Times New Roman" w:eastAsia="Times New Roman" w:hAnsi="Times New Roman" w:cs="Times New Roman"/>
          <w:sz w:val="24"/>
          <w:szCs w:val="24"/>
          <w:highlight w:val="white"/>
        </w:rPr>
        <w:t>, 2020</w:t>
      </w:r>
      <w:r>
        <w:rPr>
          <w:rFonts w:ascii="Times New Roman" w:eastAsia="Times New Roman" w:hAnsi="Times New Roman" w:cs="Times New Roman"/>
          <w:sz w:val="24"/>
          <w:szCs w:val="24"/>
        </w:rPr>
        <w:t xml:space="preserve">). </w:t>
      </w:r>
      <w:proofErr w:type="gramStart"/>
      <w:r>
        <w:rPr>
          <w:rFonts w:ascii="Times New Roman" w:eastAsia="Times New Roman" w:hAnsi="Times New Roman" w:cs="Times New Roman"/>
          <w:sz w:val="24"/>
          <w:szCs w:val="24"/>
        </w:rPr>
        <w:t>So</w:t>
      </w:r>
      <w:proofErr w:type="gramEnd"/>
      <w:r>
        <w:rPr>
          <w:rFonts w:ascii="Times New Roman" w:eastAsia="Times New Roman" w:hAnsi="Times New Roman" w:cs="Times New Roman"/>
          <w:sz w:val="24"/>
          <w:szCs w:val="24"/>
        </w:rPr>
        <w:t xml:space="preserve"> the ROE ratio of 2021 </w:t>
      </w:r>
      <w:r>
        <w:rPr>
          <w:rFonts w:ascii="Times New Roman" w:eastAsia="Times New Roman" w:hAnsi="Times New Roman" w:cs="Times New Roman"/>
          <w:sz w:val="24"/>
          <w:szCs w:val="24"/>
        </w:rPr>
        <w:lastRenderedPageBreak/>
        <w:t xml:space="preserve">was higher than the 2020 ROE ratio. The return on assets ratio is another important ratio of profitability. This ratio analysis aids to understand “the asset position” of the company and the ability of the asset to earn a profit in each financial year. Generally, over 5% return on assets ratio is considered good and over 20% excellent. The return on assets ratio for the year 2021 was 4.30 and for 2020 the return on asset position was -1.08. </w:t>
      </w:r>
      <w:proofErr w:type="gramStart"/>
      <w:r>
        <w:rPr>
          <w:rFonts w:ascii="Times New Roman" w:eastAsia="Times New Roman" w:hAnsi="Times New Roman" w:cs="Times New Roman"/>
          <w:sz w:val="24"/>
          <w:szCs w:val="24"/>
        </w:rPr>
        <w:t>So</w:t>
      </w:r>
      <w:proofErr w:type="gramEnd"/>
      <w:r>
        <w:rPr>
          <w:rFonts w:ascii="Times New Roman" w:eastAsia="Times New Roman" w:hAnsi="Times New Roman" w:cs="Times New Roman"/>
          <w:sz w:val="24"/>
          <w:szCs w:val="24"/>
        </w:rPr>
        <w:t xml:space="preserve"> their “return on assets” for the year 2021 was average and in 2020 their return on asset position was very poor. That proves their return on asset ratio for the financial year 2021 was better than 2020. The position of the profitability ratio is reflected in the below figure. </w:t>
      </w:r>
    </w:p>
    <w:p w14:paraId="7C1F3F43" w14:textId="77777777" w:rsidR="00022B70"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114300" distB="114300" distL="114300" distR="114300" wp14:anchorId="0FED02A2" wp14:editId="128ABDEC">
            <wp:extent cx="4838700" cy="2589981"/>
            <wp:effectExtent l="0" t="0" r="0" b="0"/>
            <wp:docPr id="7"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9"/>
                    <a:srcRect/>
                    <a:stretch>
                      <a:fillRect/>
                    </a:stretch>
                  </pic:blipFill>
                  <pic:spPr>
                    <a:xfrm>
                      <a:off x="0" y="0"/>
                      <a:ext cx="4838700" cy="2589981"/>
                    </a:xfrm>
                    <a:prstGeom prst="rect">
                      <a:avLst/>
                    </a:prstGeom>
                    <a:ln/>
                  </pic:spPr>
                </pic:pic>
              </a:graphicData>
            </a:graphic>
          </wp:inline>
        </w:drawing>
      </w:r>
    </w:p>
    <w:p w14:paraId="55CADBB5" w14:textId="77777777" w:rsidR="00022B70" w:rsidRDefault="00000000">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Figure 2: Profitability ratio </w:t>
      </w:r>
    </w:p>
    <w:p w14:paraId="625B9E05" w14:textId="77777777" w:rsidR="00022B70"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(Source: </w:t>
      </w:r>
      <w:proofErr w:type="spellStart"/>
      <w:r>
        <w:rPr>
          <w:rFonts w:ascii="Times New Roman" w:eastAsia="Times New Roman" w:hAnsi="Times New Roman" w:cs="Times New Roman"/>
          <w:sz w:val="24"/>
          <w:szCs w:val="24"/>
        </w:rPr>
        <w:t>Self created</w:t>
      </w:r>
      <w:proofErr w:type="spellEnd"/>
      <w:r>
        <w:rPr>
          <w:rFonts w:ascii="Times New Roman" w:eastAsia="Times New Roman" w:hAnsi="Times New Roman" w:cs="Times New Roman"/>
          <w:sz w:val="24"/>
          <w:szCs w:val="24"/>
        </w:rPr>
        <w:t xml:space="preserve"> in MS Excel)</w:t>
      </w:r>
    </w:p>
    <w:p w14:paraId="6FCA1BE7" w14:textId="77777777" w:rsidR="00022B70" w:rsidRDefault="00000000">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Liquidity Ratio</w:t>
      </w:r>
    </w:p>
    <w:tbl>
      <w:tblPr>
        <w:tblStyle w:val="a3"/>
        <w:tblW w:w="8675" w:type="dxa"/>
        <w:jc w:val="cente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600" w:firstRow="0" w:lastRow="0" w:firstColumn="0" w:lastColumn="0" w:noHBand="1" w:noVBand="1"/>
      </w:tblPr>
      <w:tblGrid>
        <w:gridCol w:w="4805"/>
        <w:gridCol w:w="1160"/>
        <w:gridCol w:w="1355"/>
        <w:gridCol w:w="1355"/>
      </w:tblGrid>
      <w:tr w:rsidR="00022B70" w14:paraId="4131DB78" w14:textId="77777777">
        <w:trPr>
          <w:trHeight w:val="500"/>
          <w:jc w:val="center"/>
        </w:trPr>
        <w:tc>
          <w:tcPr>
            <w:tcW w:w="4805" w:type="dxa"/>
            <w:tcMar>
              <w:top w:w="100" w:type="dxa"/>
              <w:left w:w="100" w:type="dxa"/>
              <w:bottom w:w="100" w:type="dxa"/>
              <w:right w:w="100" w:type="dxa"/>
            </w:tcMar>
          </w:tcPr>
          <w:p w14:paraId="379D50F3" w14:textId="77777777" w:rsidR="00022B70" w:rsidRDefault="00000000">
            <w:pPr>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LIQUIDITY RATIOS:</w:t>
            </w:r>
          </w:p>
        </w:tc>
        <w:tc>
          <w:tcPr>
            <w:tcW w:w="1160" w:type="dxa"/>
            <w:tcMar>
              <w:top w:w="100" w:type="dxa"/>
              <w:left w:w="100" w:type="dxa"/>
              <w:bottom w:w="100" w:type="dxa"/>
              <w:right w:w="100" w:type="dxa"/>
            </w:tcMar>
          </w:tcPr>
          <w:p w14:paraId="293740A3" w14:textId="77777777" w:rsidR="00022B70" w:rsidRDefault="00000000">
            <w:pPr>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p>
        </w:tc>
        <w:tc>
          <w:tcPr>
            <w:tcW w:w="1355" w:type="dxa"/>
            <w:tcMar>
              <w:top w:w="100" w:type="dxa"/>
              <w:left w:w="100" w:type="dxa"/>
              <w:bottom w:w="100" w:type="dxa"/>
              <w:right w:w="100" w:type="dxa"/>
            </w:tcMar>
          </w:tcPr>
          <w:p w14:paraId="47B77632" w14:textId="77777777" w:rsidR="00022B70" w:rsidRDefault="00000000">
            <w:pPr>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2021</w:t>
            </w:r>
          </w:p>
        </w:tc>
        <w:tc>
          <w:tcPr>
            <w:tcW w:w="1355" w:type="dxa"/>
            <w:tcMar>
              <w:top w:w="100" w:type="dxa"/>
              <w:left w:w="100" w:type="dxa"/>
              <w:bottom w:w="100" w:type="dxa"/>
              <w:right w:w="100" w:type="dxa"/>
            </w:tcMar>
          </w:tcPr>
          <w:p w14:paraId="643E32DB" w14:textId="77777777" w:rsidR="00022B70" w:rsidRDefault="00000000">
            <w:pPr>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2020</w:t>
            </w:r>
          </w:p>
        </w:tc>
      </w:tr>
      <w:tr w:rsidR="00022B70" w14:paraId="2AE497DC" w14:textId="77777777">
        <w:trPr>
          <w:trHeight w:val="500"/>
          <w:jc w:val="center"/>
        </w:trPr>
        <w:tc>
          <w:tcPr>
            <w:tcW w:w="4805" w:type="dxa"/>
            <w:tcMar>
              <w:top w:w="100" w:type="dxa"/>
              <w:left w:w="100" w:type="dxa"/>
              <w:bottom w:w="100" w:type="dxa"/>
              <w:right w:w="100" w:type="dxa"/>
            </w:tcMar>
          </w:tcPr>
          <w:p w14:paraId="30BD5141" w14:textId="77777777" w:rsidR="00022B70" w:rsidRDefault="00000000">
            <w:pPr>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Current Ratio</w:t>
            </w:r>
          </w:p>
        </w:tc>
        <w:tc>
          <w:tcPr>
            <w:tcW w:w="1160" w:type="dxa"/>
            <w:tcMar>
              <w:top w:w="100" w:type="dxa"/>
              <w:left w:w="100" w:type="dxa"/>
              <w:bottom w:w="100" w:type="dxa"/>
              <w:right w:w="100" w:type="dxa"/>
            </w:tcMar>
          </w:tcPr>
          <w:p w14:paraId="69E2E91A" w14:textId="77777777" w:rsidR="00022B70" w:rsidRDefault="00000000">
            <w:pPr>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p>
        </w:tc>
        <w:tc>
          <w:tcPr>
            <w:tcW w:w="1355" w:type="dxa"/>
            <w:tcMar>
              <w:top w:w="100" w:type="dxa"/>
              <w:left w:w="100" w:type="dxa"/>
              <w:bottom w:w="100" w:type="dxa"/>
              <w:right w:w="100" w:type="dxa"/>
            </w:tcMar>
          </w:tcPr>
          <w:p w14:paraId="41157704" w14:textId="77777777" w:rsidR="00022B70" w:rsidRDefault="00000000">
            <w:pPr>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0.57</w:t>
            </w:r>
          </w:p>
        </w:tc>
        <w:tc>
          <w:tcPr>
            <w:tcW w:w="1355" w:type="dxa"/>
            <w:tcMar>
              <w:top w:w="100" w:type="dxa"/>
              <w:left w:w="100" w:type="dxa"/>
              <w:bottom w:w="100" w:type="dxa"/>
              <w:right w:w="100" w:type="dxa"/>
            </w:tcMar>
          </w:tcPr>
          <w:p w14:paraId="6F83B5DB" w14:textId="77777777" w:rsidR="00022B70" w:rsidRDefault="00000000">
            <w:pPr>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0.49</w:t>
            </w:r>
          </w:p>
        </w:tc>
      </w:tr>
      <w:tr w:rsidR="00022B70" w14:paraId="7413A489" w14:textId="77777777">
        <w:trPr>
          <w:trHeight w:val="500"/>
          <w:jc w:val="center"/>
        </w:trPr>
        <w:tc>
          <w:tcPr>
            <w:tcW w:w="4805" w:type="dxa"/>
            <w:tcMar>
              <w:top w:w="100" w:type="dxa"/>
              <w:left w:w="100" w:type="dxa"/>
              <w:bottom w:w="100" w:type="dxa"/>
              <w:right w:w="100" w:type="dxa"/>
            </w:tcMar>
          </w:tcPr>
          <w:p w14:paraId="1EA28BCB" w14:textId="77777777" w:rsidR="00022B70" w:rsidRDefault="00000000">
            <w:pPr>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Current Assets/Current Liabilities</w:t>
            </w:r>
          </w:p>
        </w:tc>
        <w:tc>
          <w:tcPr>
            <w:tcW w:w="1160" w:type="dxa"/>
            <w:tcMar>
              <w:top w:w="100" w:type="dxa"/>
              <w:left w:w="100" w:type="dxa"/>
              <w:bottom w:w="100" w:type="dxa"/>
              <w:right w:w="100" w:type="dxa"/>
            </w:tcMar>
          </w:tcPr>
          <w:p w14:paraId="5CD9BF6A" w14:textId="77777777" w:rsidR="00022B70" w:rsidRDefault="00000000">
            <w:pPr>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p>
        </w:tc>
        <w:tc>
          <w:tcPr>
            <w:tcW w:w="1355" w:type="dxa"/>
            <w:tcMar>
              <w:top w:w="100" w:type="dxa"/>
              <w:left w:w="100" w:type="dxa"/>
              <w:bottom w:w="100" w:type="dxa"/>
              <w:right w:w="100" w:type="dxa"/>
            </w:tcMar>
          </w:tcPr>
          <w:p w14:paraId="28912917" w14:textId="77777777" w:rsidR="00022B70" w:rsidRDefault="00000000">
            <w:pPr>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p>
        </w:tc>
        <w:tc>
          <w:tcPr>
            <w:tcW w:w="1355" w:type="dxa"/>
            <w:tcMar>
              <w:top w:w="100" w:type="dxa"/>
              <w:left w:w="100" w:type="dxa"/>
              <w:bottom w:w="100" w:type="dxa"/>
              <w:right w:w="100" w:type="dxa"/>
            </w:tcMar>
          </w:tcPr>
          <w:p w14:paraId="63E21A31" w14:textId="77777777" w:rsidR="00022B70" w:rsidRDefault="00000000">
            <w:pPr>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p>
        </w:tc>
      </w:tr>
      <w:tr w:rsidR="00022B70" w14:paraId="089866DC" w14:textId="77777777">
        <w:trPr>
          <w:trHeight w:val="500"/>
          <w:jc w:val="center"/>
        </w:trPr>
        <w:tc>
          <w:tcPr>
            <w:tcW w:w="4805" w:type="dxa"/>
            <w:tcMar>
              <w:top w:w="100" w:type="dxa"/>
              <w:left w:w="100" w:type="dxa"/>
              <w:bottom w:w="100" w:type="dxa"/>
              <w:right w:w="100" w:type="dxa"/>
            </w:tcMar>
          </w:tcPr>
          <w:p w14:paraId="309C1AB3" w14:textId="77777777" w:rsidR="00022B70" w:rsidRDefault="00000000">
            <w:pPr>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Cash Ratio</w:t>
            </w:r>
          </w:p>
        </w:tc>
        <w:tc>
          <w:tcPr>
            <w:tcW w:w="1160" w:type="dxa"/>
            <w:tcMar>
              <w:top w:w="100" w:type="dxa"/>
              <w:left w:w="100" w:type="dxa"/>
              <w:bottom w:w="100" w:type="dxa"/>
              <w:right w:w="100" w:type="dxa"/>
            </w:tcMar>
          </w:tcPr>
          <w:p w14:paraId="6FB9137A" w14:textId="77777777" w:rsidR="00022B70" w:rsidRDefault="00000000">
            <w:pPr>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p>
        </w:tc>
        <w:tc>
          <w:tcPr>
            <w:tcW w:w="1355" w:type="dxa"/>
            <w:tcMar>
              <w:top w:w="100" w:type="dxa"/>
              <w:left w:w="100" w:type="dxa"/>
              <w:bottom w:w="100" w:type="dxa"/>
              <w:right w:w="100" w:type="dxa"/>
            </w:tcMar>
          </w:tcPr>
          <w:p w14:paraId="2A2D0FFB" w14:textId="77777777" w:rsidR="00022B70" w:rsidRDefault="00000000">
            <w:pPr>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0.22</w:t>
            </w:r>
          </w:p>
        </w:tc>
        <w:tc>
          <w:tcPr>
            <w:tcW w:w="1355" w:type="dxa"/>
            <w:tcMar>
              <w:top w:w="100" w:type="dxa"/>
              <w:left w:w="100" w:type="dxa"/>
              <w:bottom w:w="100" w:type="dxa"/>
              <w:right w:w="100" w:type="dxa"/>
            </w:tcMar>
          </w:tcPr>
          <w:p w14:paraId="1DCACFF3" w14:textId="77777777" w:rsidR="00022B70" w:rsidRDefault="00000000">
            <w:pPr>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0.15</w:t>
            </w:r>
          </w:p>
        </w:tc>
      </w:tr>
      <w:tr w:rsidR="00022B70" w14:paraId="7FB18D14" w14:textId="77777777">
        <w:trPr>
          <w:trHeight w:val="500"/>
          <w:jc w:val="center"/>
        </w:trPr>
        <w:tc>
          <w:tcPr>
            <w:tcW w:w="4805" w:type="dxa"/>
            <w:tcMar>
              <w:top w:w="100" w:type="dxa"/>
              <w:left w:w="100" w:type="dxa"/>
              <w:bottom w:w="100" w:type="dxa"/>
              <w:right w:w="100" w:type="dxa"/>
            </w:tcMar>
          </w:tcPr>
          <w:p w14:paraId="59AEC7A2" w14:textId="77777777" w:rsidR="00022B70" w:rsidRDefault="00000000">
            <w:pPr>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Cash/Current Liabilities</w:t>
            </w:r>
          </w:p>
        </w:tc>
        <w:tc>
          <w:tcPr>
            <w:tcW w:w="1160" w:type="dxa"/>
            <w:tcMar>
              <w:top w:w="100" w:type="dxa"/>
              <w:left w:w="100" w:type="dxa"/>
              <w:bottom w:w="100" w:type="dxa"/>
              <w:right w:w="100" w:type="dxa"/>
            </w:tcMar>
          </w:tcPr>
          <w:p w14:paraId="212D7728" w14:textId="77777777" w:rsidR="00022B70" w:rsidRDefault="00000000">
            <w:pPr>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p>
        </w:tc>
        <w:tc>
          <w:tcPr>
            <w:tcW w:w="1355" w:type="dxa"/>
            <w:tcMar>
              <w:top w:w="100" w:type="dxa"/>
              <w:left w:w="100" w:type="dxa"/>
              <w:bottom w:w="100" w:type="dxa"/>
              <w:right w:w="100" w:type="dxa"/>
            </w:tcMar>
          </w:tcPr>
          <w:p w14:paraId="6841032F" w14:textId="77777777" w:rsidR="00022B70" w:rsidRDefault="00000000">
            <w:pPr>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p>
        </w:tc>
        <w:tc>
          <w:tcPr>
            <w:tcW w:w="1355" w:type="dxa"/>
            <w:tcMar>
              <w:top w:w="100" w:type="dxa"/>
              <w:left w:w="100" w:type="dxa"/>
              <w:bottom w:w="100" w:type="dxa"/>
              <w:right w:w="100" w:type="dxa"/>
            </w:tcMar>
          </w:tcPr>
          <w:p w14:paraId="2124111F" w14:textId="77777777" w:rsidR="00022B70" w:rsidRDefault="00000000">
            <w:pPr>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p>
        </w:tc>
      </w:tr>
    </w:tbl>
    <w:p w14:paraId="597E28A8" w14:textId="77777777" w:rsidR="00022B70" w:rsidRDefault="00000000">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Table 2: Liquidity ratio</w:t>
      </w:r>
    </w:p>
    <w:p w14:paraId="57EAA08D" w14:textId="77777777" w:rsidR="00022B70"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(Source: Self-created in MS Excel)</w:t>
      </w:r>
    </w:p>
    <w:p w14:paraId="5F1E3429" w14:textId="77777777" w:rsidR="00022B70"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above table reflects the liquidity ratio of Marriott for the years 2020 and 2021. The current ratio and the “cash ratio” are one of the most important ratios in the liquidity ratio (</w:t>
      </w:r>
      <w:r>
        <w:rPr>
          <w:rFonts w:ascii="Times New Roman" w:eastAsia="Times New Roman" w:hAnsi="Times New Roman" w:cs="Times New Roman"/>
          <w:sz w:val="24"/>
          <w:szCs w:val="24"/>
          <w:highlight w:val="white"/>
        </w:rPr>
        <w:t>Reardon, 2020</w:t>
      </w:r>
      <w:r>
        <w:rPr>
          <w:rFonts w:ascii="Times New Roman" w:eastAsia="Times New Roman" w:hAnsi="Times New Roman" w:cs="Times New Roman"/>
          <w:sz w:val="24"/>
          <w:szCs w:val="24"/>
        </w:rPr>
        <w:t>). The “liquidity ratio” is a matrix to understand the business's ability to pay “short term and long-term debts” of the business and this ratio also helps to understand the ability to pay the liability of the business. Between 1.5 to 2 current ratio is considered a healthy current ratio. An under 1 current ratio is considered a low current ratio (</w:t>
      </w:r>
      <w:proofErr w:type="spellStart"/>
      <w:r>
        <w:rPr>
          <w:rFonts w:ascii="Times New Roman" w:eastAsia="Times New Roman" w:hAnsi="Times New Roman" w:cs="Times New Roman"/>
          <w:sz w:val="24"/>
          <w:szCs w:val="24"/>
          <w:highlight w:val="white"/>
        </w:rPr>
        <w:t>Úbeda</w:t>
      </w:r>
      <w:proofErr w:type="spellEnd"/>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sz w:val="24"/>
          <w:szCs w:val="24"/>
          <w:highlight w:val="white"/>
        </w:rPr>
        <w:t xml:space="preserve">et al, </w:t>
      </w:r>
      <w:r>
        <w:rPr>
          <w:rFonts w:ascii="Times New Roman" w:eastAsia="Times New Roman" w:hAnsi="Times New Roman" w:cs="Times New Roman"/>
          <w:sz w:val="24"/>
          <w:szCs w:val="24"/>
          <w:highlight w:val="white"/>
        </w:rPr>
        <w:t>2021</w:t>
      </w:r>
      <w:r>
        <w:rPr>
          <w:rFonts w:ascii="Times New Roman" w:eastAsia="Times New Roman" w:hAnsi="Times New Roman" w:cs="Times New Roman"/>
          <w:sz w:val="24"/>
          <w:szCs w:val="24"/>
        </w:rPr>
        <w:t xml:space="preserve">). The “current ratio” for the year 2020 was 0.49 and the “current ratio” for the year 2021 was 0.57. That means their current ratio was low in these two financial years. That means their debt dew in a </w:t>
      </w:r>
      <w:proofErr w:type="gramStart"/>
      <w:r>
        <w:rPr>
          <w:rFonts w:ascii="Times New Roman" w:eastAsia="Times New Roman" w:hAnsi="Times New Roman" w:cs="Times New Roman"/>
          <w:sz w:val="24"/>
          <w:szCs w:val="24"/>
        </w:rPr>
        <w:t>year</w:t>
      </w:r>
      <w:proofErr w:type="gramEnd"/>
      <w:r>
        <w:rPr>
          <w:rFonts w:ascii="Times New Roman" w:eastAsia="Times New Roman" w:hAnsi="Times New Roman" w:cs="Times New Roman"/>
          <w:sz w:val="24"/>
          <w:szCs w:val="24"/>
        </w:rPr>
        <w:t xml:space="preserve"> and they had low cash in hand. But they were increasing their current ratio in 2021. This proves the management of the organization works hard and monitors the whole financial parts of the business very carefully. The above one cash ratio conceded a good cash ratio. The cash ratio for the year 2020 was 0.15 and the current ratio for the year 2021 was 0.22. That means their cash ratio was not good in this financial year and they do not have enough cash to pay the </w:t>
      </w:r>
      <w:proofErr w:type="gramStart"/>
      <w:r>
        <w:rPr>
          <w:rFonts w:ascii="Times New Roman" w:eastAsia="Times New Roman" w:hAnsi="Times New Roman" w:cs="Times New Roman"/>
          <w:sz w:val="24"/>
          <w:szCs w:val="24"/>
        </w:rPr>
        <w:t>short term</w:t>
      </w:r>
      <w:proofErr w:type="gramEnd"/>
      <w:r>
        <w:rPr>
          <w:rFonts w:ascii="Times New Roman" w:eastAsia="Times New Roman" w:hAnsi="Times New Roman" w:cs="Times New Roman"/>
          <w:sz w:val="24"/>
          <w:szCs w:val="24"/>
        </w:rPr>
        <w:t xml:space="preserve"> debts of the business. But they improved their cash position in 2021 (</w:t>
      </w:r>
      <w:r>
        <w:rPr>
          <w:rFonts w:ascii="Times New Roman" w:eastAsia="Times New Roman" w:hAnsi="Times New Roman" w:cs="Times New Roman"/>
          <w:sz w:val="24"/>
          <w:szCs w:val="24"/>
          <w:highlight w:val="white"/>
        </w:rPr>
        <w:t>Abdullah, 2018</w:t>
      </w:r>
      <w:r>
        <w:rPr>
          <w:rFonts w:ascii="Times New Roman" w:eastAsia="Times New Roman" w:hAnsi="Times New Roman" w:cs="Times New Roman"/>
          <w:sz w:val="24"/>
          <w:szCs w:val="24"/>
        </w:rPr>
        <w:t xml:space="preserve">). This is the liquidity position of </w:t>
      </w:r>
      <w:proofErr w:type="gramStart"/>
      <w:r>
        <w:rPr>
          <w:rFonts w:ascii="Times New Roman" w:eastAsia="Times New Roman" w:hAnsi="Times New Roman" w:cs="Times New Roman"/>
          <w:sz w:val="24"/>
          <w:szCs w:val="24"/>
        </w:rPr>
        <w:t>Marriott</w:t>
      </w:r>
      <w:proofErr w:type="gramEnd"/>
      <w:r>
        <w:rPr>
          <w:rFonts w:ascii="Times New Roman" w:eastAsia="Times New Roman" w:hAnsi="Times New Roman" w:cs="Times New Roman"/>
          <w:sz w:val="24"/>
          <w:szCs w:val="24"/>
        </w:rPr>
        <w:t xml:space="preserve"> and the above details prove they were an average ability to pay the debt and liabilities of the business. The Liquidity position in those financial years is reflected in the below figure. </w:t>
      </w:r>
    </w:p>
    <w:p w14:paraId="24C3FB2A" w14:textId="77777777" w:rsidR="00022B70"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114300" distB="114300" distL="114300" distR="114300" wp14:anchorId="6FA4BBA2" wp14:editId="1DBF18D6">
            <wp:extent cx="5943600" cy="3606800"/>
            <wp:effectExtent l="0" t="0" r="0" b="0"/>
            <wp:docPr id="6"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0"/>
                    <a:srcRect/>
                    <a:stretch>
                      <a:fillRect/>
                    </a:stretch>
                  </pic:blipFill>
                  <pic:spPr>
                    <a:xfrm>
                      <a:off x="0" y="0"/>
                      <a:ext cx="5943600" cy="3606800"/>
                    </a:xfrm>
                    <a:prstGeom prst="rect">
                      <a:avLst/>
                    </a:prstGeom>
                    <a:ln/>
                  </pic:spPr>
                </pic:pic>
              </a:graphicData>
            </a:graphic>
          </wp:inline>
        </w:drawing>
      </w:r>
    </w:p>
    <w:p w14:paraId="0D872DD0" w14:textId="77777777" w:rsidR="00022B70" w:rsidRDefault="00000000">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lastRenderedPageBreak/>
        <w:t xml:space="preserve">Figure 3: Liquidity ratio </w:t>
      </w:r>
    </w:p>
    <w:p w14:paraId="15F536D8" w14:textId="77777777" w:rsidR="00022B70"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Self-created in MS Excel)</w:t>
      </w:r>
    </w:p>
    <w:p w14:paraId="7B45AB5F" w14:textId="77777777" w:rsidR="00022B70" w:rsidRDefault="00000000">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Gearing Ratio</w:t>
      </w:r>
    </w:p>
    <w:tbl>
      <w:tblPr>
        <w:tblStyle w:val="a4"/>
        <w:tblW w:w="7515" w:type="dxa"/>
        <w:jc w:val="cente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600" w:firstRow="0" w:lastRow="0" w:firstColumn="0" w:lastColumn="0" w:noHBand="1" w:noVBand="1"/>
      </w:tblPr>
      <w:tblGrid>
        <w:gridCol w:w="4805"/>
        <w:gridCol w:w="1355"/>
        <w:gridCol w:w="1355"/>
      </w:tblGrid>
      <w:tr w:rsidR="00022B70" w14:paraId="4F3669A6" w14:textId="77777777">
        <w:trPr>
          <w:trHeight w:val="500"/>
          <w:jc w:val="center"/>
        </w:trPr>
        <w:tc>
          <w:tcPr>
            <w:tcW w:w="4805" w:type="dxa"/>
            <w:tcMar>
              <w:top w:w="100" w:type="dxa"/>
              <w:left w:w="100" w:type="dxa"/>
              <w:bottom w:w="100" w:type="dxa"/>
              <w:right w:w="100" w:type="dxa"/>
            </w:tcMar>
          </w:tcPr>
          <w:p w14:paraId="3ACC507A" w14:textId="77777777" w:rsidR="00022B70" w:rsidRDefault="00000000">
            <w:pPr>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Gearing RATIOS:</w:t>
            </w:r>
          </w:p>
        </w:tc>
        <w:tc>
          <w:tcPr>
            <w:tcW w:w="1355" w:type="dxa"/>
            <w:tcMar>
              <w:top w:w="100" w:type="dxa"/>
              <w:left w:w="100" w:type="dxa"/>
              <w:bottom w:w="100" w:type="dxa"/>
              <w:right w:w="100" w:type="dxa"/>
            </w:tcMar>
          </w:tcPr>
          <w:p w14:paraId="4B3820A0" w14:textId="77777777" w:rsidR="00022B70" w:rsidRDefault="00000000">
            <w:pPr>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2021</w:t>
            </w:r>
          </w:p>
        </w:tc>
        <w:tc>
          <w:tcPr>
            <w:tcW w:w="1355" w:type="dxa"/>
            <w:tcMar>
              <w:top w:w="100" w:type="dxa"/>
              <w:left w:w="100" w:type="dxa"/>
              <w:bottom w:w="100" w:type="dxa"/>
              <w:right w:w="100" w:type="dxa"/>
            </w:tcMar>
          </w:tcPr>
          <w:p w14:paraId="43487ED4" w14:textId="77777777" w:rsidR="00022B70" w:rsidRDefault="00000000">
            <w:pPr>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2020</w:t>
            </w:r>
          </w:p>
        </w:tc>
      </w:tr>
      <w:tr w:rsidR="00022B70" w14:paraId="676979FA" w14:textId="77777777">
        <w:trPr>
          <w:trHeight w:val="500"/>
          <w:jc w:val="center"/>
        </w:trPr>
        <w:tc>
          <w:tcPr>
            <w:tcW w:w="4805" w:type="dxa"/>
            <w:tcMar>
              <w:top w:w="100" w:type="dxa"/>
              <w:left w:w="100" w:type="dxa"/>
              <w:bottom w:w="100" w:type="dxa"/>
              <w:right w:w="100" w:type="dxa"/>
            </w:tcMar>
          </w:tcPr>
          <w:p w14:paraId="757FEEF3" w14:textId="77777777" w:rsidR="00022B70" w:rsidRDefault="00000000">
            <w:pPr>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Debt/Equity Ratio</w:t>
            </w:r>
          </w:p>
        </w:tc>
        <w:tc>
          <w:tcPr>
            <w:tcW w:w="1355" w:type="dxa"/>
            <w:tcMar>
              <w:top w:w="100" w:type="dxa"/>
              <w:left w:w="100" w:type="dxa"/>
              <w:bottom w:w="100" w:type="dxa"/>
              <w:right w:w="100" w:type="dxa"/>
            </w:tcMar>
          </w:tcPr>
          <w:p w14:paraId="47FEE4D3" w14:textId="77777777" w:rsidR="00022B70" w:rsidRDefault="00000000">
            <w:pPr>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7.95</w:t>
            </w:r>
          </w:p>
        </w:tc>
        <w:tc>
          <w:tcPr>
            <w:tcW w:w="1355" w:type="dxa"/>
            <w:tcMar>
              <w:top w:w="100" w:type="dxa"/>
              <w:left w:w="100" w:type="dxa"/>
              <w:bottom w:w="100" w:type="dxa"/>
              <w:right w:w="100" w:type="dxa"/>
            </w:tcMar>
          </w:tcPr>
          <w:p w14:paraId="189D58EF" w14:textId="77777777" w:rsidR="00022B70" w:rsidRDefault="00000000">
            <w:pPr>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26.04</w:t>
            </w:r>
          </w:p>
        </w:tc>
      </w:tr>
      <w:tr w:rsidR="00022B70" w14:paraId="191BB020" w14:textId="77777777">
        <w:trPr>
          <w:trHeight w:val="500"/>
          <w:jc w:val="center"/>
        </w:trPr>
        <w:tc>
          <w:tcPr>
            <w:tcW w:w="4805" w:type="dxa"/>
            <w:tcMar>
              <w:top w:w="100" w:type="dxa"/>
              <w:left w:w="100" w:type="dxa"/>
              <w:bottom w:w="100" w:type="dxa"/>
              <w:right w:w="100" w:type="dxa"/>
            </w:tcMar>
          </w:tcPr>
          <w:p w14:paraId="54794BA7" w14:textId="77777777" w:rsidR="00022B70" w:rsidRDefault="00000000">
            <w:pPr>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Total Debt/Total Equity</w:t>
            </w:r>
          </w:p>
        </w:tc>
        <w:tc>
          <w:tcPr>
            <w:tcW w:w="1355" w:type="dxa"/>
            <w:tcMar>
              <w:top w:w="100" w:type="dxa"/>
              <w:left w:w="100" w:type="dxa"/>
              <w:bottom w:w="100" w:type="dxa"/>
              <w:right w:w="100" w:type="dxa"/>
            </w:tcMar>
          </w:tcPr>
          <w:p w14:paraId="4C582BB8" w14:textId="77777777" w:rsidR="00022B70" w:rsidRDefault="00000000">
            <w:pPr>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p>
        </w:tc>
        <w:tc>
          <w:tcPr>
            <w:tcW w:w="1355" w:type="dxa"/>
            <w:tcMar>
              <w:top w:w="100" w:type="dxa"/>
              <w:left w:w="100" w:type="dxa"/>
              <w:bottom w:w="100" w:type="dxa"/>
              <w:right w:w="100" w:type="dxa"/>
            </w:tcMar>
          </w:tcPr>
          <w:p w14:paraId="6D921AD1" w14:textId="77777777" w:rsidR="00022B70" w:rsidRDefault="00000000">
            <w:pPr>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p>
        </w:tc>
      </w:tr>
      <w:tr w:rsidR="00022B70" w14:paraId="0EC81520" w14:textId="77777777">
        <w:trPr>
          <w:trHeight w:val="500"/>
          <w:jc w:val="center"/>
        </w:trPr>
        <w:tc>
          <w:tcPr>
            <w:tcW w:w="4805" w:type="dxa"/>
            <w:tcMar>
              <w:top w:w="100" w:type="dxa"/>
              <w:left w:w="100" w:type="dxa"/>
              <w:bottom w:w="100" w:type="dxa"/>
              <w:right w:w="100" w:type="dxa"/>
            </w:tcMar>
          </w:tcPr>
          <w:p w14:paraId="56407A30" w14:textId="77777777" w:rsidR="00022B70" w:rsidRDefault="00000000">
            <w:pPr>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Debt/Capital Ratio</w:t>
            </w:r>
          </w:p>
        </w:tc>
        <w:tc>
          <w:tcPr>
            <w:tcW w:w="1355" w:type="dxa"/>
            <w:tcMar>
              <w:top w:w="100" w:type="dxa"/>
              <w:left w:w="100" w:type="dxa"/>
              <w:bottom w:w="100" w:type="dxa"/>
              <w:right w:w="100" w:type="dxa"/>
            </w:tcMar>
          </w:tcPr>
          <w:p w14:paraId="029C76FB" w14:textId="77777777" w:rsidR="00022B70" w:rsidRDefault="00000000">
            <w:pPr>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0.89</w:t>
            </w:r>
          </w:p>
        </w:tc>
        <w:tc>
          <w:tcPr>
            <w:tcW w:w="1355" w:type="dxa"/>
            <w:tcMar>
              <w:top w:w="100" w:type="dxa"/>
              <w:left w:w="100" w:type="dxa"/>
              <w:bottom w:w="100" w:type="dxa"/>
              <w:right w:w="100" w:type="dxa"/>
            </w:tcMar>
          </w:tcPr>
          <w:p w14:paraId="478D321B" w14:textId="77777777" w:rsidR="00022B70" w:rsidRDefault="00000000">
            <w:pPr>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0.96</w:t>
            </w:r>
          </w:p>
        </w:tc>
      </w:tr>
      <w:tr w:rsidR="00022B70" w14:paraId="60167768" w14:textId="77777777">
        <w:trPr>
          <w:trHeight w:val="500"/>
          <w:jc w:val="center"/>
        </w:trPr>
        <w:tc>
          <w:tcPr>
            <w:tcW w:w="4805" w:type="dxa"/>
            <w:tcMar>
              <w:top w:w="100" w:type="dxa"/>
              <w:left w:w="100" w:type="dxa"/>
              <w:bottom w:w="100" w:type="dxa"/>
              <w:right w:w="100" w:type="dxa"/>
            </w:tcMar>
          </w:tcPr>
          <w:p w14:paraId="2CDF128A" w14:textId="77777777" w:rsidR="00022B70" w:rsidRDefault="00000000">
            <w:pPr>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Total Debt</w:t>
            </w:r>
            <w:proofErr w:type="gramStart"/>
            <w:r>
              <w:rPr>
                <w:rFonts w:ascii="Times New Roman" w:eastAsia="Times New Roman" w:hAnsi="Times New Roman" w:cs="Times New Roman"/>
                <w:sz w:val="24"/>
                <w:szCs w:val="24"/>
              </w:rPr>
              <w:t>/(</w:t>
            </w:r>
            <w:proofErr w:type="spellStart"/>
            <w:proofErr w:type="gramEnd"/>
            <w:r>
              <w:rPr>
                <w:rFonts w:ascii="Times New Roman" w:eastAsia="Times New Roman" w:hAnsi="Times New Roman" w:cs="Times New Roman"/>
                <w:sz w:val="24"/>
                <w:szCs w:val="24"/>
              </w:rPr>
              <w:t>Tot.Equity+Tot.Debt</w:t>
            </w:r>
            <w:proofErr w:type="spellEnd"/>
            <w:r>
              <w:rPr>
                <w:rFonts w:ascii="Times New Roman" w:eastAsia="Times New Roman" w:hAnsi="Times New Roman" w:cs="Times New Roman"/>
                <w:sz w:val="24"/>
                <w:szCs w:val="24"/>
              </w:rPr>
              <w:t>)</w:t>
            </w:r>
          </w:p>
        </w:tc>
        <w:tc>
          <w:tcPr>
            <w:tcW w:w="1355" w:type="dxa"/>
            <w:tcMar>
              <w:top w:w="100" w:type="dxa"/>
              <w:left w:w="100" w:type="dxa"/>
              <w:bottom w:w="100" w:type="dxa"/>
              <w:right w:w="100" w:type="dxa"/>
            </w:tcMar>
          </w:tcPr>
          <w:p w14:paraId="04D70E87" w14:textId="77777777" w:rsidR="00022B70" w:rsidRDefault="00000000">
            <w:pPr>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p>
        </w:tc>
        <w:tc>
          <w:tcPr>
            <w:tcW w:w="1355" w:type="dxa"/>
            <w:tcMar>
              <w:top w:w="100" w:type="dxa"/>
              <w:left w:w="100" w:type="dxa"/>
              <w:bottom w:w="100" w:type="dxa"/>
              <w:right w:w="100" w:type="dxa"/>
            </w:tcMar>
          </w:tcPr>
          <w:p w14:paraId="49551514" w14:textId="77777777" w:rsidR="00022B70" w:rsidRDefault="00000000">
            <w:pPr>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p>
        </w:tc>
      </w:tr>
      <w:tr w:rsidR="00022B70" w14:paraId="08109276" w14:textId="77777777">
        <w:trPr>
          <w:trHeight w:val="500"/>
          <w:jc w:val="center"/>
        </w:trPr>
        <w:tc>
          <w:tcPr>
            <w:tcW w:w="4805" w:type="dxa"/>
            <w:tcMar>
              <w:top w:w="100" w:type="dxa"/>
              <w:left w:w="100" w:type="dxa"/>
              <w:bottom w:w="100" w:type="dxa"/>
              <w:right w:w="100" w:type="dxa"/>
            </w:tcMar>
          </w:tcPr>
          <w:p w14:paraId="58EFB423" w14:textId="77777777" w:rsidR="00022B70" w:rsidRDefault="00000000">
            <w:pPr>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Equity Multiplier</w:t>
            </w:r>
          </w:p>
        </w:tc>
        <w:tc>
          <w:tcPr>
            <w:tcW w:w="1355" w:type="dxa"/>
            <w:tcMar>
              <w:top w:w="100" w:type="dxa"/>
              <w:left w:w="100" w:type="dxa"/>
              <w:bottom w:w="100" w:type="dxa"/>
              <w:right w:w="100" w:type="dxa"/>
            </w:tcMar>
          </w:tcPr>
          <w:p w14:paraId="7EDE7701" w14:textId="77777777" w:rsidR="00022B70" w:rsidRDefault="00000000">
            <w:pPr>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18.07</w:t>
            </w:r>
          </w:p>
        </w:tc>
        <w:tc>
          <w:tcPr>
            <w:tcW w:w="1355" w:type="dxa"/>
            <w:tcMar>
              <w:top w:w="100" w:type="dxa"/>
              <w:left w:w="100" w:type="dxa"/>
              <w:bottom w:w="100" w:type="dxa"/>
              <w:right w:w="100" w:type="dxa"/>
            </w:tcMar>
          </w:tcPr>
          <w:p w14:paraId="37886ED4" w14:textId="77777777" w:rsidR="00022B70" w:rsidRDefault="00000000">
            <w:pPr>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57.44</w:t>
            </w:r>
          </w:p>
        </w:tc>
      </w:tr>
      <w:tr w:rsidR="00022B70" w14:paraId="1E89E6A2" w14:textId="77777777">
        <w:trPr>
          <w:trHeight w:val="500"/>
          <w:jc w:val="center"/>
        </w:trPr>
        <w:tc>
          <w:tcPr>
            <w:tcW w:w="4805" w:type="dxa"/>
            <w:tcMar>
              <w:top w:w="100" w:type="dxa"/>
              <w:left w:w="100" w:type="dxa"/>
              <w:bottom w:w="100" w:type="dxa"/>
              <w:right w:w="100" w:type="dxa"/>
            </w:tcMar>
          </w:tcPr>
          <w:p w14:paraId="7ECF6B5E" w14:textId="77777777" w:rsidR="00022B70" w:rsidRDefault="00000000">
            <w:pPr>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Total Assets/Total Equity</w:t>
            </w:r>
          </w:p>
        </w:tc>
        <w:tc>
          <w:tcPr>
            <w:tcW w:w="1355" w:type="dxa"/>
            <w:tcMar>
              <w:top w:w="100" w:type="dxa"/>
              <w:left w:w="100" w:type="dxa"/>
              <w:bottom w:w="100" w:type="dxa"/>
              <w:right w:w="100" w:type="dxa"/>
            </w:tcMar>
          </w:tcPr>
          <w:p w14:paraId="7656DF52" w14:textId="77777777" w:rsidR="00022B70" w:rsidRDefault="00000000">
            <w:pPr>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p>
        </w:tc>
        <w:tc>
          <w:tcPr>
            <w:tcW w:w="1355" w:type="dxa"/>
            <w:tcMar>
              <w:top w:w="100" w:type="dxa"/>
              <w:left w:w="100" w:type="dxa"/>
              <w:bottom w:w="100" w:type="dxa"/>
              <w:right w:w="100" w:type="dxa"/>
            </w:tcMar>
          </w:tcPr>
          <w:p w14:paraId="7DC23576" w14:textId="77777777" w:rsidR="00022B70" w:rsidRDefault="00000000">
            <w:pPr>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p>
        </w:tc>
      </w:tr>
      <w:tr w:rsidR="00022B70" w14:paraId="09EADB1B" w14:textId="77777777">
        <w:trPr>
          <w:trHeight w:val="500"/>
          <w:jc w:val="center"/>
        </w:trPr>
        <w:tc>
          <w:tcPr>
            <w:tcW w:w="4805" w:type="dxa"/>
            <w:tcMar>
              <w:top w:w="100" w:type="dxa"/>
              <w:left w:w="100" w:type="dxa"/>
              <w:bottom w:w="100" w:type="dxa"/>
              <w:right w:w="100" w:type="dxa"/>
            </w:tcMar>
          </w:tcPr>
          <w:p w14:paraId="2B618495" w14:textId="77777777" w:rsidR="00022B70" w:rsidRDefault="00000000">
            <w:pPr>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Interest Coverage Ratio</w:t>
            </w:r>
          </w:p>
        </w:tc>
        <w:tc>
          <w:tcPr>
            <w:tcW w:w="1355" w:type="dxa"/>
            <w:tcMar>
              <w:top w:w="100" w:type="dxa"/>
              <w:left w:w="100" w:type="dxa"/>
              <w:bottom w:w="100" w:type="dxa"/>
              <w:right w:w="100" w:type="dxa"/>
            </w:tcMar>
          </w:tcPr>
          <w:p w14:paraId="572816A7" w14:textId="77777777" w:rsidR="00022B70" w:rsidRDefault="00000000">
            <w:pPr>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4.55</w:t>
            </w:r>
          </w:p>
        </w:tc>
        <w:tc>
          <w:tcPr>
            <w:tcW w:w="1355" w:type="dxa"/>
            <w:tcMar>
              <w:top w:w="100" w:type="dxa"/>
              <w:left w:w="100" w:type="dxa"/>
              <w:bottom w:w="100" w:type="dxa"/>
              <w:right w:w="100" w:type="dxa"/>
            </w:tcMar>
          </w:tcPr>
          <w:p w14:paraId="37F9EC4B" w14:textId="77777777" w:rsidR="00022B70" w:rsidRDefault="00000000">
            <w:pPr>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0.20</w:t>
            </w:r>
          </w:p>
        </w:tc>
      </w:tr>
      <w:tr w:rsidR="00022B70" w14:paraId="76F28237" w14:textId="77777777">
        <w:trPr>
          <w:trHeight w:val="500"/>
          <w:jc w:val="center"/>
        </w:trPr>
        <w:tc>
          <w:tcPr>
            <w:tcW w:w="4805" w:type="dxa"/>
            <w:tcMar>
              <w:top w:w="100" w:type="dxa"/>
              <w:left w:w="100" w:type="dxa"/>
              <w:bottom w:w="100" w:type="dxa"/>
              <w:right w:w="100" w:type="dxa"/>
            </w:tcMar>
          </w:tcPr>
          <w:p w14:paraId="11E456D4" w14:textId="77777777" w:rsidR="00022B70" w:rsidRDefault="00000000">
            <w:pPr>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EBIT/Interest Expense</w:t>
            </w:r>
          </w:p>
        </w:tc>
        <w:tc>
          <w:tcPr>
            <w:tcW w:w="1355" w:type="dxa"/>
            <w:tcMar>
              <w:top w:w="100" w:type="dxa"/>
              <w:left w:w="100" w:type="dxa"/>
              <w:bottom w:w="100" w:type="dxa"/>
              <w:right w:w="100" w:type="dxa"/>
            </w:tcMar>
          </w:tcPr>
          <w:p w14:paraId="7FE3C972" w14:textId="77777777" w:rsidR="00022B70" w:rsidRDefault="00000000">
            <w:pPr>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p>
        </w:tc>
        <w:tc>
          <w:tcPr>
            <w:tcW w:w="1355" w:type="dxa"/>
            <w:tcMar>
              <w:top w:w="100" w:type="dxa"/>
              <w:left w:w="100" w:type="dxa"/>
              <w:bottom w:w="100" w:type="dxa"/>
              <w:right w:w="100" w:type="dxa"/>
            </w:tcMar>
          </w:tcPr>
          <w:p w14:paraId="60B410B9" w14:textId="77777777" w:rsidR="00022B70" w:rsidRDefault="00000000">
            <w:pPr>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p>
        </w:tc>
      </w:tr>
    </w:tbl>
    <w:p w14:paraId="507A5F3B" w14:textId="77777777" w:rsidR="00022B70" w:rsidRDefault="00000000">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Table 3: Gearing Ratio</w:t>
      </w:r>
    </w:p>
    <w:p w14:paraId="01A43FF7" w14:textId="77777777" w:rsidR="00022B70"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Self-created in MS Excel)</w:t>
      </w:r>
    </w:p>
    <w:p w14:paraId="15369EEE" w14:textId="77777777" w:rsidR="00022B70"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above figure reflects the gearing ratio of Marriott for the financial year 2020 and 2021. The reading ratio compares the owner’s capital to debt. The “debt-to-equity ratio: for the financial year 2021 was 7.95 and the “debt-equity ratio” for the year 2020 was 26.04. Generally, around two and 2.5 “debt to equity ratio” is considered a good or healthy “debt to equity ratio”. </w:t>
      </w:r>
      <w:proofErr w:type="gramStart"/>
      <w:r>
        <w:rPr>
          <w:rFonts w:ascii="Times New Roman" w:eastAsia="Times New Roman" w:hAnsi="Times New Roman" w:cs="Times New Roman"/>
          <w:sz w:val="24"/>
          <w:szCs w:val="24"/>
        </w:rPr>
        <w:t>So</w:t>
      </w:r>
      <w:proofErr w:type="gramEnd"/>
      <w:r>
        <w:rPr>
          <w:rFonts w:ascii="Times New Roman" w:eastAsia="Times New Roman" w:hAnsi="Times New Roman" w:cs="Times New Roman"/>
          <w:sz w:val="24"/>
          <w:szCs w:val="24"/>
        </w:rPr>
        <w:t xml:space="preserve"> the debt-to-equity ratio for these two financial years was higher than that. That means their debt-to-equity ratio was average in these two financial years (</w:t>
      </w:r>
      <w:proofErr w:type="spellStart"/>
      <w:r>
        <w:rPr>
          <w:rFonts w:ascii="Times New Roman" w:eastAsia="Times New Roman" w:hAnsi="Times New Roman" w:cs="Times New Roman"/>
          <w:sz w:val="24"/>
          <w:szCs w:val="24"/>
          <w:highlight w:val="white"/>
        </w:rPr>
        <w:t>Barbulescu</w:t>
      </w:r>
      <w:proofErr w:type="spellEnd"/>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sz w:val="24"/>
          <w:szCs w:val="24"/>
          <w:highlight w:val="white"/>
        </w:rPr>
        <w:t>et al,</w:t>
      </w:r>
      <w:r>
        <w:rPr>
          <w:rFonts w:ascii="Times New Roman" w:eastAsia="Times New Roman" w:hAnsi="Times New Roman" w:cs="Times New Roman"/>
          <w:sz w:val="24"/>
          <w:szCs w:val="24"/>
          <w:highlight w:val="white"/>
        </w:rPr>
        <w:t xml:space="preserve"> 2019</w:t>
      </w:r>
      <w:r>
        <w:rPr>
          <w:rFonts w:ascii="Times New Roman" w:eastAsia="Times New Roman" w:hAnsi="Times New Roman" w:cs="Times New Roman"/>
          <w:sz w:val="24"/>
          <w:szCs w:val="24"/>
        </w:rPr>
        <w:t xml:space="preserve">). The debt-to-capital ratio for the year 2020 was 0.96 and for 2021 was 0.89. The debt-to-equity ratio will be higher in 2021. A multiplier ratio over 2 means the company's assets are financed with debt and half of the company is financed with equity. The equality multiplier ratio is higher than 2 which means half of the company was financed with equity and half of the assets were financed with debt. The equity multiplier ratio is higher in 2020. The “interest coverage ratio” for 2021 was higher than 2020. </w:t>
      </w:r>
      <w:r>
        <w:rPr>
          <w:rFonts w:ascii="Times New Roman" w:eastAsia="Times New Roman" w:hAnsi="Times New Roman" w:cs="Times New Roman"/>
          <w:sz w:val="24"/>
          <w:szCs w:val="24"/>
        </w:rPr>
        <w:lastRenderedPageBreak/>
        <w:t xml:space="preserve">And the “interest coverage ratio” for the year 2021 was healthier than 2020. The Gearing ratio of Marriott for the years 2020 and 2021 is reflected in the below figure. </w:t>
      </w:r>
    </w:p>
    <w:p w14:paraId="6B7BCCC7" w14:textId="77777777" w:rsidR="00022B70"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114300" distB="114300" distL="114300" distR="114300" wp14:anchorId="47287B45" wp14:editId="770DE260">
            <wp:extent cx="5943600" cy="3619500"/>
            <wp:effectExtent l="0" t="0" r="0" b="0"/>
            <wp:docPr id="8"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1"/>
                    <a:srcRect/>
                    <a:stretch>
                      <a:fillRect/>
                    </a:stretch>
                  </pic:blipFill>
                  <pic:spPr>
                    <a:xfrm>
                      <a:off x="0" y="0"/>
                      <a:ext cx="5943600" cy="3619500"/>
                    </a:xfrm>
                    <a:prstGeom prst="rect">
                      <a:avLst/>
                    </a:prstGeom>
                    <a:ln/>
                  </pic:spPr>
                </pic:pic>
              </a:graphicData>
            </a:graphic>
          </wp:inline>
        </w:drawing>
      </w:r>
    </w:p>
    <w:p w14:paraId="076BDC1B" w14:textId="77777777" w:rsidR="00022B70" w:rsidRDefault="00000000">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Figure 4: Gearing ratio</w:t>
      </w:r>
    </w:p>
    <w:p w14:paraId="4FE79F98" w14:textId="77777777" w:rsidR="00022B70"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(Source: </w:t>
      </w:r>
      <w:proofErr w:type="spellStart"/>
      <w:r>
        <w:rPr>
          <w:rFonts w:ascii="Times New Roman" w:eastAsia="Times New Roman" w:hAnsi="Times New Roman" w:cs="Times New Roman"/>
          <w:sz w:val="24"/>
          <w:szCs w:val="24"/>
        </w:rPr>
        <w:t>Self created</w:t>
      </w:r>
      <w:proofErr w:type="spellEnd"/>
      <w:r>
        <w:rPr>
          <w:rFonts w:ascii="Times New Roman" w:eastAsia="Times New Roman" w:hAnsi="Times New Roman" w:cs="Times New Roman"/>
          <w:sz w:val="24"/>
          <w:szCs w:val="24"/>
        </w:rPr>
        <w:t xml:space="preserve"> in MS Excel)</w:t>
      </w:r>
    </w:p>
    <w:p w14:paraId="03E2755F" w14:textId="77777777" w:rsidR="00022B70" w:rsidRDefault="00000000">
      <w:pPr>
        <w:pStyle w:val="Heading2"/>
        <w:spacing w:line="360" w:lineRule="auto"/>
      </w:pPr>
      <w:bookmarkStart w:id="4" w:name="_heading=h.2et92p0" w:colFirst="0" w:colLast="0"/>
      <w:bookmarkEnd w:id="4"/>
      <w:r>
        <w:t xml:space="preserve">Knowledge from ratio analysis </w:t>
      </w:r>
    </w:p>
    <w:p w14:paraId="21BD6740" w14:textId="77777777" w:rsidR="00022B70"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ratio analysis method helps the hotel industry to identify its financial position and performance in each financial year. The ratio analysis also provides proper knowledge about the liquidity, profitability, and gearing position of the business, and the ratio analysis is conducted through the income statements and balance sheets of the company (</w:t>
      </w:r>
      <w:proofErr w:type="spellStart"/>
      <w:r>
        <w:rPr>
          <w:rFonts w:ascii="Times New Roman" w:eastAsia="Times New Roman" w:hAnsi="Times New Roman" w:cs="Times New Roman"/>
          <w:sz w:val="24"/>
          <w:szCs w:val="24"/>
          <w:highlight w:val="white"/>
        </w:rPr>
        <w:t>Mjongwana</w:t>
      </w:r>
      <w:proofErr w:type="spellEnd"/>
      <w:r>
        <w:rPr>
          <w:rFonts w:ascii="Times New Roman" w:eastAsia="Times New Roman" w:hAnsi="Times New Roman" w:cs="Times New Roman"/>
          <w:sz w:val="24"/>
          <w:szCs w:val="24"/>
          <w:highlight w:val="white"/>
        </w:rPr>
        <w:t xml:space="preserve"> and Kamala, 2018</w:t>
      </w:r>
      <w:r>
        <w:rPr>
          <w:rFonts w:ascii="Times New Roman" w:eastAsia="Times New Roman" w:hAnsi="Times New Roman" w:cs="Times New Roman"/>
          <w:sz w:val="24"/>
          <w:szCs w:val="24"/>
        </w:rPr>
        <w:t xml:space="preserve">). Marriott is one of the most popular and famous multinational companies based in America. For regulating a big </w:t>
      </w:r>
      <w:proofErr w:type="gramStart"/>
      <w:r>
        <w:rPr>
          <w:rFonts w:ascii="Times New Roman" w:eastAsia="Times New Roman" w:hAnsi="Times New Roman" w:cs="Times New Roman"/>
          <w:sz w:val="24"/>
          <w:szCs w:val="24"/>
        </w:rPr>
        <w:t>business</w:t>
      </w:r>
      <w:proofErr w:type="gramEnd"/>
      <w:r>
        <w:rPr>
          <w:rFonts w:ascii="Times New Roman" w:eastAsia="Times New Roman" w:hAnsi="Times New Roman" w:cs="Times New Roman"/>
          <w:sz w:val="24"/>
          <w:szCs w:val="24"/>
        </w:rPr>
        <w:t xml:space="preserve"> they are required to maintain the financial statements properly and they have to monitor the whole process very carefully. This ratio analysis method helps to identify the financial errors of the business. Through this crucial identification, they </w:t>
      </w:r>
      <w:proofErr w:type="gramStart"/>
      <w:r>
        <w:rPr>
          <w:rFonts w:ascii="Times New Roman" w:eastAsia="Times New Roman" w:hAnsi="Times New Roman" w:cs="Times New Roman"/>
          <w:sz w:val="24"/>
          <w:szCs w:val="24"/>
        </w:rPr>
        <w:t>are able to</w:t>
      </w:r>
      <w:proofErr w:type="gramEnd"/>
      <w:r>
        <w:rPr>
          <w:rFonts w:ascii="Times New Roman" w:eastAsia="Times New Roman" w:hAnsi="Times New Roman" w:cs="Times New Roman"/>
          <w:sz w:val="24"/>
          <w:szCs w:val="24"/>
        </w:rPr>
        <w:t xml:space="preserve"> make proper strategies to chase the success goals of the business.  </w:t>
      </w:r>
    </w:p>
    <w:p w14:paraId="7A2EBC64" w14:textId="77777777" w:rsidR="00022B70" w:rsidRDefault="00000000">
      <w:pPr>
        <w:pStyle w:val="Heading2"/>
        <w:spacing w:line="360" w:lineRule="auto"/>
      </w:pPr>
      <w:bookmarkStart w:id="5" w:name="_heading=h.tyjcwt" w:colFirst="0" w:colLast="0"/>
      <w:bookmarkEnd w:id="5"/>
      <w:r>
        <w:lastRenderedPageBreak/>
        <w:t xml:space="preserve">Benefits and limitations of ratio analysis </w:t>
      </w:r>
    </w:p>
    <w:p w14:paraId="6DFE46BB" w14:textId="77777777" w:rsidR="00022B70"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There are many advantages of ratio analysis (</w:t>
      </w:r>
      <w:r>
        <w:rPr>
          <w:rFonts w:ascii="Times New Roman" w:eastAsia="Times New Roman" w:hAnsi="Times New Roman" w:cs="Times New Roman"/>
          <w:sz w:val="24"/>
          <w:szCs w:val="24"/>
          <w:highlight w:val="white"/>
        </w:rPr>
        <w:t xml:space="preserve">Al, </w:t>
      </w:r>
      <w:r>
        <w:rPr>
          <w:rFonts w:ascii="Times New Roman" w:eastAsia="Times New Roman" w:hAnsi="Times New Roman" w:cs="Times New Roman"/>
          <w:i/>
          <w:sz w:val="24"/>
          <w:szCs w:val="24"/>
          <w:highlight w:val="white"/>
        </w:rPr>
        <w:t>et al,</w:t>
      </w:r>
      <w:r>
        <w:rPr>
          <w:rFonts w:ascii="Times New Roman" w:eastAsia="Times New Roman" w:hAnsi="Times New Roman" w:cs="Times New Roman"/>
          <w:sz w:val="24"/>
          <w:szCs w:val="24"/>
          <w:highlight w:val="white"/>
        </w:rPr>
        <w:t xml:space="preserve"> 2019</w:t>
      </w:r>
      <w:r>
        <w:rPr>
          <w:rFonts w:ascii="Times New Roman" w:eastAsia="Times New Roman" w:hAnsi="Times New Roman" w:cs="Times New Roman"/>
          <w:sz w:val="24"/>
          <w:szCs w:val="24"/>
        </w:rPr>
        <w:t xml:space="preserve">). Some of the advantages are listed below. </w:t>
      </w:r>
    </w:p>
    <w:p w14:paraId="4EEC5E42" w14:textId="77777777" w:rsidR="00022B70" w:rsidRDefault="00000000">
      <w:pPr>
        <w:numPr>
          <w:ilvl w:val="0"/>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It helps to compare with the competitor's financial position.</w:t>
      </w:r>
    </w:p>
    <w:p w14:paraId="5CE8DA39" w14:textId="77777777" w:rsidR="00022B70" w:rsidRDefault="00000000">
      <w:pPr>
        <w:numPr>
          <w:ilvl w:val="0"/>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It helps to make plans and decisions for the business. </w:t>
      </w:r>
    </w:p>
    <w:p w14:paraId="6C08AB26" w14:textId="77777777" w:rsidR="00022B70"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limitations of the ratio analysis are listed below. </w:t>
      </w:r>
    </w:p>
    <w:p w14:paraId="239AC6F8" w14:textId="77777777" w:rsidR="00022B70" w:rsidRDefault="00000000">
      <w:pPr>
        <w:numPr>
          <w:ilvl w:val="0"/>
          <w:numId w:val="2"/>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Financial statements appear to be confusing. </w:t>
      </w:r>
    </w:p>
    <w:p w14:paraId="03CFDCCF" w14:textId="77777777" w:rsidR="00022B70" w:rsidRDefault="00000000">
      <w:pPr>
        <w:numPr>
          <w:ilvl w:val="0"/>
          <w:numId w:val="2"/>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Views and hypotheses have an impact on the data that financial accounting uses. Since accounting criteria provide different accounting methods, ratio analysis is less useful in these situations because it reduces comparability.</w:t>
      </w:r>
    </w:p>
    <w:p w14:paraId="585693F7" w14:textId="77777777" w:rsidR="00022B70" w:rsidRDefault="00000000">
      <w:pPr>
        <w:pStyle w:val="Heading1"/>
        <w:spacing w:line="360" w:lineRule="auto"/>
      </w:pPr>
      <w:bookmarkStart w:id="6" w:name="_heading=h.3dy6vkm" w:colFirst="0" w:colLast="0"/>
      <w:bookmarkEnd w:id="6"/>
      <w:r>
        <w:t xml:space="preserve">Conclusion </w:t>
      </w:r>
    </w:p>
    <w:p w14:paraId="0C774F5D" w14:textId="77777777" w:rsidR="00022B70"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This is one of the most important and knowledgeable projects on the “financial ratio” analysis of Marriott. The financial performance and financial position of Marriott for the financial years 2020 and 2021 are reflected or calculated in this project. This is one of the key objectives of their project and the ratio analysis method helps to understand their key issues in the financial part. After analyzing the whole financial statement through a ratio analysis </w:t>
      </w:r>
      <w:proofErr w:type="gramStart"/>
      <w:r>
        <w:rPr>
          <w:rFonts w:ascii="Times New Roman" w:eastAsia="Times New Roman" w:hAnsi="Times New Roman" w:cs="Times New Roman"/>
          <w:sz w:val="24"/>
          <w:szCs w:val="24"/>
        </w:rPr>
        <w:t>matrix</w:t>
      </w:r>
      <w:proofErr w:type="gramEnd"/>
      <w:r>
        <w:rPr>
          <w:rFonts w:ascii="Times New Roman" w:eastAsia="Times New Roman" w:hAnsi="Times New Roman" w:cs="Times New Roman"/>
          <w:sz w:val="24"/>
          <w:szCs w:val="24"/>
        </w:rPr>
        <w:t xml:space="preserve"> they have many issues with their liquidity and gearing position. This is one of the most important and effective issues for the business and this is one the biggest barriers for Marriott to chase its success goals. The management of the organization understands these issues through the ratio analysis </w:t>
      </w:r>
      <w:proofErr w:type="gramStart"/>
      <w:r>
        <w:rPr>
          <w:rFonts w:ascii="Times New Roman" w:eastAsia="Times New Roman" w:hAnsi="Times New Roman" w:cs="Times New Roman"/>
          <w:sz w:val="24"/>
          <w:szCs w:val="24"/>
        </w:rPr>
        <w:t>metrics</w:t>
      </w:r>
      <w:proofErr w:type="gramEnd"/>
      <w:r>
        <w:rPr>
          <w:rFonts w:ascii="Times New Roman" w:eastAsia="Times New Roman" w:hAnsi="Times New Roman" w:cs="Times New Roman"/>
          <w:sz w:val="24"/>
          <w:szCs w:val="24"/>
        </w:rPr>
        <w:t xml:space="preserve"> and they also want to solve the issues and chase the success goals. To chase the success goals of the business they have to adopt some new strategies like monitoring the whole </w:t>
      </w:r>
      <w:proofErr w:type="gramStart"/>
      <w:r>
        <w:rPr>
          <w:rFonts w:ascii="Times New Roman" w:eastAsia="Times New Roman" w:hAnsi="Times New Roman" w:cs="Times New Roman"/>
          <w:sz w:val="24"/>
          <w:szCs w:val="24"/>
        </w:rPr>
        <w:t>process, and</w:t>
      </w:r>
      <w:proofErr w:type="gramEnd"/>
      <w:r>
        <w:rPr>
          <w:rFonts w:ascii="Times New Roman" w:eastAsia="Times New Roman" w:hAnsi="Times New Roman" w:cs="Times New Roman"/>
          <w:sz w:val="24"/>
          <w:szCs w:val="24"/>
        </w:rPr>
        <w:t xml:space="preserve"> managing the cash flow statements to track the debtors and the creditors of the business and another crucial recommendation is they have to provide more reasonable services. The profitability, liquidity, and gearing ratio prove the business's ability to pay the liability and cash position of the business. They have a low ability to pay the debts and liabilities of the business. This is one of the most important problems of Marriott. They </w:t>
      </w:r>
      <w:proofErr w:type="gramStart"/>
      <w:r>
        <w:rPr>
          <w:rFonts w:ascii="Times New Roman" w:eastAsia="Times New Roman" w:hAnsi="Times New Roman" w:cs="Times New Roman"/>
          <w:sz w:val="24"/>
          <w:szCs w:val="24"/>
        </w:rPr>
        <w:t>have to</w:t>
      </w:r>
      <w:proofErr w:type="gramEnd"/>
      <w:r>
        <w:rPr>
          <w:rFonts w:ascii="Times New Roman" w:eastAsia="Times New Roman" w:hAnsi="Times New Roman" w:cs="Times New Roman"/>
          <w:sz w:val="24"/>
          <w:szCs w:val="24"/>
        </w:rPr>
        <w:t xml:space="preserve"> solve this issue in the next financial years to earn more profits from the business. </w:t>
      </w:r>
    </w:p>
    <w:p w14:paraId="582C5416" w14:textId="77777777" w:rsidR="00022B70" w:rsidRDefault="00000000">
      <w:pPr>
        <w:spacing w:line="360" w:lineRule="auto"/>
        <w:rPr>
          <w:rFonts w:ascii="Times New Roman" w:eastAsia="Times New Roman" w:hAnsi="Times New Roman" w:cs="Times New Roman"/>
          <w:sz w:val="24"/>
          <w:szCs w:val="24"/>
        </w:rPr>
      </w:pPr>
      <w:r>
        <w:br w:type="page"/>
      </w:r>
    </w:p>
    <w:p w14:paraId="37A2BDC3" w14:textId="77777777" w:rsidR="00022B70" w:rsidRDefault="00000000">
      <w:pPr>
        <w:pStyle w:val="Heading1"/>
        <w:spacing w:line="360" w:lineRule="auto"/>
      </w:pPr>
      <w:bookmarkStart w:id="7" w:name="_heading=h.1t3h5sf" w:colFirst="0" w:colLast="0"/>
      <w:bookmarkEnd w:id="7"/>
      <w:r>
        <w:lastRenderedPageBreak/>
        <w:t xml:space="preserve">Reference List </w:t>
      </w:r>
    </w:p>
    <w:p w14:paraId="7956BFA6" w14:textId="77777777" w:rsidR="00022B70" w:rsidRDefault="00000000">
      <w:pPr>
        <w:spacing w:line="360" w:lineRule="auto"/>
        <w:jc w:val="both"/>
        <w:rPr>
          <w:rFonts w:ascii="Times New Roman" w:eastAsia="Times New Roman" w:hAnsi="Times New Roman" w:cs="Times New Roman"/>
          <w:b/>
          <w:sz w:val="26"/>
          <w:szCs w:val="26"/>
        </w:rPr>
      </w:pPr>
      <w:r>
        <w:rPr>
          <w:rFonts w:ascii="Times New Roman" w:eastAsia="Times New Roman" w:hAnsi="Times New Roman" w:cs="Times New Roman"/>
          <w:b/>
          <w:sz w:val="26"/>
          <w:szCs w:val="26"/>
        </w:rPr>
        <w:t xml:space="preserve">Journals </w:t>
      </w:r>
    </w:p>
    <w:p w14:paraId="10032D08" w14:textId="77777777" w:rsidR="00022B70" w:rsidRDefault="00000000">
      <w:pPr>
        <w:spacing w:line="360" w:lineRule="auto"/>
        <w:jc w:val="both"/>
        <w:rPr>
          <w:rFonts w:ascii="Times New Roman" w:eastAsia="Times New Roman" w:hAnsi="Times New Roman" w:cs="Times New Roman"/>
          <w:sz w:val="24"/>
          <w:szCs w:val="24"/>
          <w:highlight w:val="white"/>
        </w:rPr>
      </w:pPr>
      <w:proofErr w:type="spellStart"/>
      <w:r>
        <w:rPr>
          <w:rFonts w:ascii="Times New Roman" w:eastAsia="Times New Roman" w:hAnsi="Times New Roman" w:cs="Times New Roman"/>
          <w:sz w:val="24"/>
          <w:szCs w:val="24"/>
          <w:highlight w:val="white"/>
        </w:rPr>
        <w:t>SiripipatThanakul</w:t>
      </w:r>
      <w:proofErr w:type="spellEnd"/>
      <w:r>
        <w:rPr>
          <w:rFonts w:ascii="Times New Roman" w:eastAsia="Times New Roman" w:hAnsi="Times New Roman" w:cs="Times New Roman"/>
          <w:sz w:val="24"/>
          <w:szCs w:val="24"/>
          <w:highlight w:val="white"/>
        </w:rPr>
        <w:t xml:space="preserve">, S., </w:t>
      </w:r>
      <w:proofErr w:type="spellStart"/>
      <w:r>
        <w:rPr>
          <w:rFonts w:ascii="Times New Roman" w:eastAsia="Times New Roman" w:hAnsi="Times New Roman" w:cs="Times New Roman"/>
          <w:sz w:val="24"/>
          <w:szCs w:val="24"/>
          <w:highlight w:val="white"/>
        </w:rPr>
        <w:t>Phayaphrom</w:t>
      </w:r>
      <w:proofErr w:type="spellEnd"/>
      <w:r>
        <w:rPr>
          <w:rFonts w:ascii="Times New Roman" w:eastAsia="Times New Roman" w:hAnsi="Times New Roman" w:cs="Times New Roman"/>
          <w:sz w:val="24"/>
          <w:szCs w:val="24"/>
          <w:highlight w:val="white"/>
        </w:rPr>
        <w:t>, B. and Tong-On, P., 2021. The implementation of business intelligence using data analytics and its effects on performance in the hotel industry in Thailand. </w:t>
      </w:r>
      <w:r>
        <w:rPr>
          <w:rFonts w:ascii="Times New Roman" w:eastAsia="Times New Roman" w:hAnsi="Times New Roman" w:cs="Times New Roman"/>
          <w:i/>
          <w:sz w:val="24"/>
          <w:szCs w:val="24"/>
          <w:highlight w:val="white"/>
        </w:rPr>
        <w:t>International Journal of Behavioral Analytics</w:t>
      </w:r>
      <w:r>
        <w:rPr>
          <w:rFonts w:ascii="Times New Roman" w:eastAsia="Times New Roman" w:hAnsi="Times New Roman" w:cs="Times New Roman"/>
          <w:sz w:val="24"/>
          <w:szCs w:val="24"/>
          <w:highlight w:val="white"/>
        </w:rPr>
        <w:t>, </w:t>
      </w:r>
      <w:r>
        <w:rPr>
          <w:rFonts w:ascii="Times New Roman" w:eastAsia="Times New Roman" w:hAnsi="Times New Roman" w:cs="Times New Roman"/>
          <w:i/>
          <w:sz w:val="24"/>
          <w:szCs w:val="24"/>
          <w:highlight w:val="white"/>
        </w:rPr>
        <w:t>1</w:t>
      </w:r>
      <w:r>
        <w:rPr>
          <w:rFonts w:ascii="Times New Roman" w:eastAsia="Times New Roman" w:hAnsi="Times New Roman" w:cs="Times New Roman"/>
          <w:sz w:val="24"/>
          <w:szCs w:val="24"/>
          <w:highlight w:val="white"/>
        </w:rPr>
        <w:t>(2).</w:t>
      </w:r>
    </w:p>
    <w:p w14:paraId="64E34AC5" w14:textId="77777777" w:rsidR="00022B70" w:rsidRDefault="00000000">
      <w:pPr>
        <w:spacing w:line="360" w:lineRule="auto"/>
        <w:jc w:val="both"/>
        <w:rPr>
          <w:rFonts w:ascii="Times New Roman" w:eastAsia="Times New Roman" w:hAnsi="Times New Roman" w:cs="Times New Roman"/>
          <w:sz w:val="24"/>
          <w:szCs w:val="24"/>
          <w:highlight w:val="white"/>
        </w:rPr>
      </w:pPr>
      <w:proofErr w:type="spellStart"/>
      <w:r>
        <w:rPr>
          <w:rFonts w:ascii="Times New Roman" w:eastAsia="Times New Roman" w:hAnsi="Times New Roman" w:cs="Times New Roman"/>
          <w:sz w:val="24"/>
          <w:szCs w:val="24"/>
          <w:highlight w:val="white"/>
        </w:rPr>
        <w:t>Sheel</w:t>
      </w:r>
      <w:proofErr w:type="spellEnd"/>
      <w:r>
        <w:rPr>
          <w:rFonts w:ascii="Times New Roman" w:eastAsia="Times New Roman" w:hAnsi="Times New Roman" w:cs="Times New Roman"/>
          <w:sz w:val="24"/>
          <w:szCs w:val="24"/>
          <w:highlight w:val="white"/>
        </w:rPr>
        <w:t>, A., 2019. Hotel Industry Performance in 2018-2019 and the JHFM Index. </w:t>
      </w:r>
      <w:r>
        <w:rPr>
          <w:rFonts w:ascii="Times New Roman" w:eastAsia="Times New Roman" w:hAnsi="Times New Roman" w:cs="Times New Roman"/>
          <w:i/>
          <w:sz w:val="24"/>
          <w:szCs w:val="24"/>
          <w:highlight w:val="white"/>
        </w:rPr>
        <w:t>Journal of Hospitality Financial Management</w:t>
      </w:r>
      <w:r>
        <w:rPr>
          <w:rFonts w:ascii="Times New Roman" w:eastAsia="Times New Roman" w:hAnsi="Times New Roman" w:cs="Times New Roman"/>
          <w:sz w:val="24"/>
          <w:szCs w:val="24"/>
          <w:highlight w:val="white"/>
        </w:rPr>
        <w:t>, </w:t>
      </w:r>
      <w:r>
        <w:rPr>
          <w:rFonts w:ascii="Times New Roman" w:eastAsia="Times New Roman" w:hAnsi="Times New Roman" w:cs="Times New Roman"/>
          <w:i/>
          <w:sz w:val="24"/>
          <w:szCs w:val="24"/>
          <w:highlight w:val="white"/>
        </w:rPr>
        <w:t>27</w:t>
      </w:r>
      <w:r>
        <w:rPr>
          <w:rFonts w:ascii="Times New Roman" w:eastAsia="Times New Roman" w:hAnsi="Times New Roman" w:cs="Times New Roman"/>
          <w:sz w:val="24"/>
          <w:szCs w:val="24"/>
          <w:highlight w:val="white"/>
        </w:rPr>
        <w:t>(2), p.1.</w:t>
      </w:r>
    </w:p>
    <w:p w14:paraId="7EB8509D" w14:textId="77777777" w:rsidR="00022B70" w:rsidRDefault="00000000">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Alvarez, T., </w:t>
      </w:r>
      <w:proofErr w:type="spellStart"/>
      <w:r>
        <w:rPr>
          <w:rFonts w:ascii="Times New Roman" w:eastAsia="Times New Roman" w:hAnsi="Times New Roman" w:cs="Times New Roman"/>
          <w:sz w:val="24"/>
          <w:szCs w:val="24"/>
          <w:highlight w:val="white"/>
        </w:rPr>
        <w:t>Sensini</w:t>
      </w:r>
      <w:proofErr w:type="spellEnd"/>
      <w:r>
        <w:rPr>
          <w:rFonts w:ascii="Times New Roman" w:eastAsia="Times New Roman" w:hAnsi="Times New Roman" w:cs="Times New Roman"/>
          <w:sz w:val="24"/>
          <w:szCs w:val="24"/>
          <w:highlight w:val="white"/>
        </w:rPr>
        <w:t>, L., Bello, C. and Vazquez, M., 2021. Management accounting practices and performance of SMEs in the Hotel industry: Evidence from an emerging economy. </w:t>
      </w:r>
      <w:r>
        <w:rPr>
          <w:rFonts w:ascii="Times New Roman" w:eastAsia="Times New Roman" w:hAnsi="Times New Roman" w:cs="Times New Roman"/>
          <w:i/>
          <w:sz w:val="24"/>
          <w:szCs w:val="24"/>
          <w:highlight w:val="white"/>
        </w:rPr>
        <w:t>International Journal of Business and Social Science</w:t>
      </w:r>
      <w:r>
        <w:rPr>
          <w:rFonts w:ascii="Times New Roman" w:eastAsia="Times New Roman" w:hAnsi="Times New Roman" w:cs="Times New Roman"/>
          <w:sz w:val="24"/>
          <w:szCs w:val="24"/>
          <w:highlight w:val="white"/>
        </w:rPr>
        <w:t>, </w:t>
      </w:r>
      <w:r>
        <w:rPr>
          <w:rFonts w:ascii="Times New Roman" w:eastAsia="Times New Roman" w:hAnsi="Times New Roman" w:cs="Times New Roman"/>
          <w:i/>
          <w:sz w:val="24"/>
          <w:szCs w:val="24"/>
          <w:highlight w:val="white"/>
        </w:rPr>
        <w:t>12</w:t>
      </w:r>
      <w:r>
        <w:rPr>
          <w:rFonts w:ascii="Times New Roman" w:eastAsia="Times New Roman" w:hAnsi="Times New Roman" w:cs="Times New Roman"/>
          <w:sz w:val="24"/>
          <w:szCs w:val="24"/>
          <w:highlight w:val="white"/>
        </w:rPr>
        <w:t>(2), pp.24-35.</w:t>
      </w:r>
    </w:p>
    <w:p w14:paraId="7FF98A32" w14:textId="77777777" w:rsidR="00022B70" w:rsidRDefault="00000000">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Bello, C. and </w:t>
      </w:r>
      <w:proofErr w:type="spellStart"/>
      <w:r>
        <w:rPr>
          <w:rFonts w:ascii="Times New Roman" w:eastAsia="Times New Roman" w:hAnsi="Times New Roman" w:cs="Times New Roman"/>
          <w:sz w:val="24"/>
          <w:szCs w:val="24"/>
          <w:highlight w:val="white"/>
        </w:rPr>
        <w:t>Sensini</w:t>
      </w:r>
      <w:proofErr w:type="spellEnd"/>
      <w:r>
        <w:rPr>
          <w:rFonts w:ascii="Times New Roman" w:eastAsia="Times New Roman" w:hAnsi="Times New Roman" w:cs="Times New Roman"/>
          <w:sz w:val="24"/>
          <w:szCs w:val="24"/>
          <w:highlight w:val="white"/>
        </w:rPr>
        <w:t>, L., 2020. Financing decisions of SMEs in the Hotel Industry. </w:t>
      </w:r>
      <w:r>
        <w:rPr>
          <w:rFonts w:ascii="Times New Roman" w:eastAsia="Times New Roman" w:hAnsi="Times New Roman" w:cs="Times New Roman"/>
          <w:i/>
          <w:sz w:val="24"/>
          <w:szCs w:val="24"/>
          <w:highlight w:val="white"/>
        </w:rPr>
        <w:t>International Journal of Academic Research in Accounting, Finance and Management Sciences</w:t>
      </w:r>
      <w:r>
        <w:rPr>
          <w:rFonts w:ascii="Times New Roman" w:eastAsia="Times New Roman" w:hAnsi="Times New Roman" w:cs="Times New Roman"/>
          <w:sz w:val="24"/>
          <w:szCs w:val="24"/>
          <w:highlight w:val="white"/>
        </w:rPr>
        <w:t>, </w:t>
      </w:r>
      <w:r>
        <w:rPr>
          <w:rFonts w:ascii="Times New Roman" w:eastAsia="Times New Roman" w:hAnsi="Times New Roman" w:cs="Times New Roman"/>
          <w:i/>
          <w:sz w:val="24"/>
          <w:szCs w:val="24"/>
          <w:highlight w:val="white"/>
        </w:rPr>
        <w:t>10</w:t>
      </w:r>
      <w:r>
        <w:rPr>
          <w:rFonts w:ascii="Times New Roman" w:eastAsia="Times New Roman" w:hAnsi="Times New Roman" w:cs="Times New Roman"/>
          <w:sz w:val="24"/>
          <w:szCs w:val="24"/>
          <w:highlight w:val="white"/>
        </w:rPr>
        <w:t>(2), pp.9-14.</w:t>
      </w:r>
    </w:p>
    <w:p w14:paraId="2337A769" w14:textId="77777777" w:rsidR="00022B70" w:rsidRDefault="00000000">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Reardon, E., 2022. The economics of quality management in the Irish hotel industry. </w:t>
      </w:r>
      <w:r>
        <w:rPr>
          <w:rFonts w:ascii="Times New Roman" w:eastAsia="Times New Roman" w:hAnsi="Times New Roman" w:cs="Times New Roman"/>
          <w:i/>
          <w:sz w:val="24"/>
          <w:szCs w:val="24"/>
          <w:highlight w:val="white"/>
        </w:rPr>
        <w:t>European Journal of Tourism Research</w:t>
      </w:r>
      <w:r>
        <w:rPr>
          <w:rFonts w:ascii="Times New Roman" w:eastAsia="Times New Roman" w:hAnsi="Times New Roman" w:cs="Times New Roman"/>
          <w:sz w:val="24"/>
          <w:szCs w:val="24"/>
          <w:highlight w:val="white"/>
        </w:rPr>
        <w:t>, </w:t>
      </w:r>
      <w:r>
        <w:rPr>
          <w:rFonts w:ascii="Times New Roman" w:eastAsia="Times New Roman" w:hAnsi="Times New Roman" w:cs="Times New Roman"/>
          <w:i/>
          <w:sz w:val="24"/>
          <w:szCs w:val="24"/>
          <w:highlight w:val="white"/>
        </w:rPr>
        <w:t>31</w:t>
      </w:r>
      <w:r>
        <w:rPr>
          <w:rFonts w:ascii="Times New Roman" w:eastAsia="Times New Roman" w:hAnsi="Times New Roman" w:cs="Times New Roman"/>
          <w:sz w:val="24"/>
          <w:szCs w:val="24"/>
          <w:highlight w:val="white"/>
        </w:rPr>
        <w:t>, pp.3118-3118.</w:t>
      </w:r>
    </w:p>
    <w:p w14:paraId="291E3BBE" w14:textId="77777777" w:rsidR="00022B70" w:rsidRDefault="00000000">
      <w:pPr>
        <w:spacing w:line="360" w:lineRule="auto"/>
        <w:jc w:val="both"/>
        <w:rPr>
          <w:rFonts w:ascii="Times New Roman" w:eastAsia="Times New Roman" w:hAnsi="Times New Roman" w:cs="Times New Roman"/>
          <w:sz w:val="24"/>
          <w:szCs w:val="24"/>
          <w:highlight w:val="white"/>
        </w:rPr>
      </w:pPr>
      <w:proofErr w:type="spellStart"/>
      <w:r>
        <w:rPr>
          <w:rFonts w:ascii="Times New Roman" w:eastAsia="Times New Roman" w:hAnsi="Times New Roman" w:cs="Times New Roman"/>
          <w:sz w:val="24"/>
          <w:szCs w:val="24"/>
          <w:highlight w:val="white"/>
        </w:rPr>
        <w:t>Úbeda</w:t>
      </w:r>
      <w:proofErr w:type="spellEnd"/>
      <w:r>
        <w:rPr>
          <w:rFonts w:ascii="Times New Roman" w:eastAsia="Times New Roman" w:hAnsi="Times New Roman" w:cs="Times New Roman"/>
          <w:sz w:val="24"/>
          <w:szCs w:val="24"/>
          <w:highlight w:val="white"/>
        </w:rPr>
        <w:t xml:space="preserve">-García, M., </w:t>
      </w:r>
      <w:proofErr w:type="spellStart"/>
      <w:r>
        <w:rPr>
          <w:rFonts w:ascii="Times New Roman" w:eastAsia="Times New Roman" w:hAnsi="Times New Roman" w:cs="Times New Roman"/>
          <w:sz w:val="24"/>
          <w:szCs w:val="24"/>
          <w:highlight w:val="white"/>
        </w:rPr>
        <w:t>Claver</w:t>
      </w:r>
      <w:proofErr w:type="spellEnd"/>
      <w:r>
        <w:rPr>
          <w:rFonts w:ascii="Times New Roman" w:eastAsia="Times New Roman" w:hAnsi="Times New Roman" w:cs="Times New Roman"/>
          <w:sz w:val="24"/>
          <w:szCs w:val="24"/>
          <w:highlight w:val="white"/>
        </w:rPr>
        <w:t>-Cortés, E., Marco-</w:t>
      </w:r>
      <w:proofErr w:type="spellStart"/>
      <w:r>
        <w:rPr>
          <w:rFonts w:ascii="Times New Roman" w:eastAsia="Times New Roman" w:hAnsi="Times New Roman" w:cs="Times New Roman"/>
          <w:sz w:val="24"/>
          <w:szCs w:val="24"/>
          <w:highlight w:val="white"/>
        </w:rPr>
        <w:t>Lajara</w:t>
      </w:r>
      <w:proofErr w:type="spellEnd"/>
      <w:r>
        <w:rPr>
          <w:rFonts w:ascii="Times New Roman" w:eastAsia="Times New Roman" w:hAnsi="Times New Roman" w:cs="Times New Roman"/>
          <w:sz w:val="24"/>
          <w:szCs w:val="24"/>
          <w:highlight w:val="white"/>
        </w:rPr>
        <w:t>, B. and Zaragoza-</w:t>
      </w:r>
      <w:proofErr w:type="spellStart"/>
      <w:r>
        <w:rPr>
          <w:rFonts w:ascii="Times New Roman" w:eastAsia="Times New Roman" w:hAnsi="Times New Roman" w:cs="Times New Roman"/>
          <w:sz w:val="24"/>
          <w:szCs w:val="24"/>
          <w:highlight w:val="white"/>
        </w:rPr>
        <w:t>Sáez</w:t>
      </w:r>
      <w:proofErr w:type="spellEnd"/>
      <w:r>
        <w:rPr>
          <w:rFonts w:ascii="Times New Roman" w:eastAsia="Times New Roman" w:hAnsi="Times New Roman" w:cs="Times New Roman"/>
          <w:sz w:val="24"/>
          <w:szCs w:val="24"/>
          <w:highlight w:val="white"/>
        </w:rPr>
        <w:t>, P., 2021. Corporate social responsibility and firm performance in the hotel industry. The mediating role of green human resource management and environmental outcomes. </w:t>
      </w:r>
      <w:r>
        <w:rPr>
          <w:rFonts w:ascii="Times New Roman" w:eastAsia="Times New Roman" w:hAnsi="Times New Roman" w:cs="Times New Roman"/>
          <w:i/>
          <w:sz w:val="24"/>
          <w:szCs w:val="24"/>
          <w:highlight w:val="white"/>
        </w:rPr>
        <w:t>Journal of Business Research</w:t>
      </w:r>
      <w:r>
        <w:rPr>
          <w:rFonts w:ascii="Times New Roman" w:eastAsia="Times New Roman" w:hAnsi="Times New Roman" w:cs="Times New Roman"/>
          <w:sz w:val="24"/>
          <w:szCs w:val="24"/>
          <w:highlight w:val="white"/>
        </w:rPr>
        <w:t>, </w:t>
      </w:r>
      <w:r>
        <w:rPr>
          <w:rFonts w:ascii="Times New Roman" w:eastAsia="Times New Roman" w:hAnsi="Times New Roman" w:cs="Times New Roman"/>
          <w:i/>
          <w:sz w:val="24"/>
          <w:szCs w:val="24"/>
          <w:highlight w:val="white"/>
        </w:rPr>
        <w:t>123</w:t>
      </w:r>
      <w:r>
        <w:rPr>
          <w:rFonts w:ascii="Times New Roman" w:eastAsia="Times New Roman" w:hAnsi="Times New Roman" w:cs="Times New Roman"/>
          <w:sz w:val="24"/>
          <w:szCs w:val="24"/>
          <w:highlight w:val="white"/>
        </w:rPr>
        <w:t>, pp.57-69.</w:t>
      </w:r>
    </w:p>
    <w:p w14:paraId="07E69E46" w14:textId="77777777" w:rsidR="00022B70" w:rsidRDefault="00000000">
      <w:pPr>
        <w:spacing w:line="360" w:lineRule="auto"/>
        <w:jc w:val="both"/>
        <w:rPr>
          <w:rFonts w:ascii="Times New Roman" w:eastAsia="Times New Roman" w:hAnsi="Times New Roman" w:cs="Times New Roman"/>
          <w:sz w:val="24"/>
          <w:szCs w:val="24"/>
          <w:highlight w:val="white"/>
        </w:rPr>
      </w:pPr>
      <w:proofErr w:type="spellStart"/>
      <w:r>
        <w:rPr>
          <w:rFonts w:ascii="Times New Roman" w:eastAsia="Times New Roman" w:hAnsi="Times New Roman" w:cs="Times New Roman"/>
          <w:sz w:val="24"/>
          <w:szCs w:val="24"/>
          <w:highlight w:val="white"/>
        </w:rPr>
        <w:t>Barbulescu</w:t>
      </w:r>
      <w:proofErr w:type="spellEnd"/>
      <w:r>
        <w:rPr>
          <w:rFonts w:ascii="Times New Roman" w:eastAsia="Times New Roman" w:hAnsi="Times New Roman" w:cs="Times New Roman"/>
          <w:sz w:val="24"/>
          <w:szCs w:val="24"/>
          <w:highlight w:val="white"/>
        </w:rPr>
        <w:t xml:space="preserve">, A., </w:t>
      </w:r>
      <w:proofErr w:type="spellStart"/>
      <w:r>
        <w:rPr>
          <w:rFonts w:ascii="Times New Roman" w:eastAsia="Times New Roman" w:hAnsi="Times New Roman" w:cs="Times New Roman"/>
          <w:sz w:val="24"/>
          <w:szCs w:val="24"/>
          <w:highlight w:val="white"/>
        </w:rPr>
        <w:t>Moraru</w:t>
      </w:r>
      <w:proofErr w:type="spellEnd"/>
      <w:r>
        <w:rPr>
          <w:rFonts w:ascii="Times New Roman" w:eastAsia="Times New Roman" w:hAnsi="Times New Roman" w:cs="Times New Roman"/>
          <w:sz w:val="24"/>
          <w:szCs w:val="24"/>
          <w:highlight w:val="white"/>
        </w:rPr>
        <w:t xml:space="preserve">, A.D. and </w:t>
      </w:r>
      <w:proofErr w:type="spellStart"/>
      <w:r>
        <w:rPr>
          <w:rFonts w:ascii="Times New Roman" w:eastAsia="Times New Roman" w:hAnsi="Times New Roman" w:cs="Times New Roman"/>
          <w:sz w:val="24"/>
          <w:szCs w:val="24"/>
          <w:highlight w:val="white"/>
        </w:rPr>
        <w:t>Duhnea</w:t>
      </w:r>
      <w:proofErr w:type="spellEnd"/>
      <w:r>
        <w:rPr>
          <w:rFonts w:ascii="Times New Roman" w:eastAsia="Times New Roman" w:hAnsi="Times New Roman" w:cs="Times New Roman"/>
          <w:sz w:val="24"/>
          <w:szCs w:val="24"/>
          <w:highlight w:val="white"/>
        </w:rPr>
        <w:t>, C., 2019. Ecolabelling in the Romanian seaside hotel industry—Marketing considerations, financial constraints, perspectives. </w:t>
      </w:r>
      <w:r>
        <w:rPr>
          <w:rFonts w:ascii="Times New Roman" w:eastAsia="Times New Roman" w:hAnsi="Times New Roman" w:cs="Times New Roman"/>
          <w:i/>
          <w:sz w:val="24"/>
          <w:szCs w:val="24"/>
          <w:highlight w:val="white"/>
        </w:rPr>
        <w:t>Sustainability</w:t>
      </w:r>
      <w:r>
        <w:rPr>
          <w:rFonts w:ascii="Times New Roman" w:eastAsia="Times New Roman" w:hAnsi="Times New Roman" w:cs="Times New Roman"/>
          <w:sz w:val="24"/>
          <w:szCs w:val="24"/>
          <w:highlight w:val="white"/>
        </w:rPr>
        <w:t>, </w:t>
      </w:r>
      <w:r>
        <w:rPr>
          <w:rFonts w:ascii="Times New Roman" w:eastAsia="Times New Roman" w:hAnsi="Times New Roman" w:cs="Times New Roman"/>
          <w:i/>
          <w:sz w:val="24"/>
          <w:szCs w:val="24"/>
          <w:highlight w:val="white"/>
        </w:rPr>
        <w:t>11</w:t>
      </w:r>
      <w:r>
        <w:rPr>
          <w:rFonts w:ascii="Times New Roman" w:eastAsia="Times New Roman" w:hAnsi="Times New Roman" w:cs="Times New Roman"/>
          <w:sz w:val="24"/>
          <w:szCs w:val="24"/>
          <w:highlight w:val="white"/>
        </w:rPr>
        <w:t>(1), p.265.</w:t>
      </w:r>
    </w:p>
    <w:p w14:paraId="3552AA63" w14:textId="77777777" w:rsidR="00022B70" w:rsidRDefault="00000000">
      <w:pPr>
        <w:spacing w:line="360" w:lineRule="auto"/>
        <w:jc w:val="both"/>
        <w:rPr>
          <w:rFonts w:ascii="Times New Roman" w:eastAsia="Times New Roman" w:hAnsi="Times New Roman" w:cs="Times New Roman"/>
          <w:sz w:val="24"/>
          <w:szCs w:val="24"/>
          <w:highlight w:val="white"/>
        </w:rPr>
      </w:pPr>
      <w:proofErr w:type="spellStart"/>
      <w:r>
        <w:rPr>
          <w:rFonts w:ascii="Times New Roman" w:eastAsia="Times New Roman" w:hAnsi="Times New Roman" w:cs="Times New Roman"/>
          <w:sz w:val="24"/>
          <w:szCs w:val="24"/>
          <w:highlight w:val="white"/>
        </w:rPr>
        <w:t>Mjongwana</w:t>
      </w:r>
      <w:proofErr w:type="spellEnd"/>
      <w:r>
        <w:rPr>
          <w:rFonts w:ascii="Times New Roman" w:eastAsia="Times New Roman" w:hAnsi="Times New Roman" w:cs="Times New Roman"/>
          <w:sz w:val="24"/>
          <w:szCs w:val="24"/>
          <w:highlight w:val="white"/>
        </w:rPr>
        <w:t>, A. and Kamala, P.N., 2018. Non-financial performance measurement by small and medium sized enterprises operating in the hotel industry in the city of Cape Town. </w:t>
      </w:r>
      <w:r>
        <w:rPr>
          <w:rFonts w:ascii="Times New Roman" w:eastAsia="Times New Roman" w:hAnsi="Times New Roman" w:cs="Times New Roman"/>
          <w:i/>
          <w:sz w:val="24"/>
          <w:szCs w:val="24"/>
          <w:highlight w:val="white"/>
        </w:rPr>
        <w:t>African Journal of Hospitality, Tourism and Leisure</w:t>
      </w:r>
      <w:r>
        <w:rPr>
          <w:rFonts w:ascii="Times New Roman" w:eastAsia="Times New Roman" w:hAnsi="Times New Roman" w:cs="Times New Roman"/>
          <w:sz w:val="24"/>
          <w:szCs w:val="24"/>
          <w:highlight w:val="white"/>
        </w:rPr>
        <w:t>, </w:t>
      </w:r>
      <w:r>
        <w:rPr>
          <w:rFonts w:ascii="Times New Roman" w:eastAsia="Times New Roman" w:hAnsi="Times New Roman" w:cs="Times New Roman"/>
          <w:i/>
          <w:sz w:val="24"/>
          <w:szCs w:val="24"/>
          <w:highlight w:val="white"/>
        </w:rPr>
        <w:t>7</w:t>
      </w:r>
      <w:r>
        <w:rPr>
          <w:rFonts w:ascii="Times New Roman" w:eastAsia="Times New Roman" w:hAnsi="Times New Roman" w:cs="Times New Roman"/>
          <w:sz w:val="24"/>
          <w:szCs w:val="24"/>
          <w:highlight w:val="white"/>
        </w:rPr>
        <w:t>(1), pp.1-26.</w:t>
      </w:r>
    </w:p>
    <w:p w14:paraId="3F5F7254" w14:textId="77777777" w:rsidR="00022B70" w:rsidRDefault="00000000">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Al-</w:t>
      </w:r>
      <w:proofErr w:type="spellStart"/>
      <w:r>
        <w:rPr>
          <w:rFonts w:ascii="Times New Roman" w:eastAsia="Times New Roman" w:hAnsi="Times New Roman" w:cs="Times New Roman"/>
          <w:sz w:val="24"/>
          <w:szCs w:val="24"/>
          <w:highlight w:val="white"/>
        </w:rPr>
        <w:t>Wattar</w:t>
      </w:r>
      <w:proofErr w:type="spellEnd"/>
      <w:r>
        <w:rPr>
          <w:rFonts w:ascii="Times New Roman" w:eastAsia="Times New Roman" w:hAnsi="Times New Roman" w:cs="Times New Roman"/>
          <w:sz w:val="24"/>
          <w:szCs w:val="24"/>
          <w:highlight w:val="white"/>
        </w:rPr>
        <w:t xml:space="preserve">, Y.M.A., </w:t>
      </w:r>
      <w:proofErr w:type="spellStart"/>
      <w:r>
        <w:rPr>
          <w:rFonts w:ascii="Times New Roman" w:eastAsia="Times New Roman" w:hAnsi="Times New Roman" w:cs="Times New Roman"/>
          <w:sz w:val="24"/>
          <w:szCs w:val="24"/>
          <w:highlight w:val="white"/>
        </w:rPr>
        <w:t>Almagtome</w:t>
      </w:r>
      <w:proofErr w:type="spellEnd"/>
      <w:r>
        <w:rPr>
          <w:rFonts w:ascii="Times New Roman" w:eastAsia="Times New Roman" w:hAnsi="Times New Roman" w:cs="Times New Roman"/>
          <w:sz w:val="24"/>
          <w:szCs w:val="24"/>
          <w:highlight w:val="white"/>
        </w:rPr>
        <w:t>, A.H. and Al-</w:t>
      </w:r>
      <w:proofErr w:type="spellStart"/>
      <w:r>
        <w:rPr>
          <w:rFonts w:ascii="Times New Roman" w:eastAsia="Times New Roman" w:hAnsi="Times New Roman" w:cs="Times New Roman"/>
          <w:sz w:val="24"/>
          <w:szCs w:val="24"/>
          <w:highlight w:val="white"/>
        </w:rPr>
        <w:t>Shafeay</w:t>
      </w:r>
      <w:proofErr w:type="spellEnd"/>
      <w:r>
        <w:rPr>
          <w:rFonts w:ascii="Times New Roman" w:eastAsia="Times New Roman" w:hAnsi="Times New Roman" w:cs="Times New Roman"/>
          <w:sz w:val="24"/>
          <w:szCs w:val="24"/>
          <w:highlight w:val="white"/>
        </w:rPr>
        <w:t>, K.M., 2019. The role of integrating hotel sustainability reporting practices into an Accounting Information System to enhance Hotel Financial Performance: Evidence from Iraq. </w:t>
      </w:r>
      <w:r>
        <w:rPr>
          <w:rFonts w:ascii="Times New Roman" w:eastAsia="Times New Roman" w:hAnsi="Times New Roman" w:cs="Times New Roman"/>
          <w:i/>
          <w:sz w:val="24"/>
          <w:szCs w:val="24"/>
          <w:highlight w:val="white"/>
        </w:rPr>
        <w:t>African Journal of Hospitality, Tourism and Leisure</w:t>
      </w:r>
      <w:r>
        <w:rPr>
          <w:rFonts w:ascii="Times New Roman" w:eastAsia="Times New Roman" w:hAnsi="Times New Roman" w:cs="Times New Roman"/>
          <w:sz w:val="24"/>
          <w:szCs w:val="24"/>
          <w:highlight w:val="white"/>
        </w:rPr>
        <w:t>, </w:t>
      </w:r>
      <w:r>
        <w:rPr>
          <w:rFonts w:ascii="Times New Roman" w:eastAsia="Times New Roman" w:hAnsi="Times New Roman" w:cs="Times New Roman"/>
          <w:i/>
          <w:sz w:val="24"/>
          <w:szCs w:val="24"/>
          <w:highlight w:val="white"/>
        </w:rPr>
        <w:t>8</w:t>
      </w:r>
      <w:r>
        <w:rPr>
          <w:rFonts w:ascii="Times New Roman" w:eastAsia="Times New Roman" w:hAnsi="Times New Roman" w:cs="Times New Roman"/>
          <w:sz w:val="24"/>
          <w:szCs w:val="24"/>
          <w:highlight w:val="white"/>
        </w:rPr>
        <w:t>(5), pp.1-16.</w:t>
      </w:r>
    </w:p>
    <w:p w14:paraId="4BB1DC9A" w14:textId="77777777" w:rsidR="00022B70" w:rsidRDefault="00000000">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Abdullah, N.S., 2018. Corporate governance and performance of the hotel industry (</w:t>
      </w:r>
      <w:proofErr w:type="spellStart"/>
      <w:r>
        <w:rPr>
          <w:rFonts w:ascii="Times New Roman" w:eastAsia="Times New Roman" w:hAnsi="Times New Roman" w:cs="Times New Roman"/>
          <w:sz w:val="24"/>
          <w:szCs w:val="24"/>
          <w:highlight w:val="white"/>
        </w:rPr>
        <w:t>Ihi</w:t>
      </w:r>
      <w:proofErr w:type="spellEnd"/>
      <w:r>
        <w:rPr>
          <w:rFonts w:ascii="Times New Roman" w:eastAsia="Times New Roman" w:hAnsi="Times New Roman" w:cs="Times New Roman"/>
          <w:sz w:val="24"/>
          <w:szCs w:val="24"/>
          <w:highlight w:val="white"/>
        </w:rPr>
        <w:t>).</w:t>
      </w:r>
    </w:p>
    <w:p w14:paraId="0168E2DB" w14:textId="77777777" w:rsidR="00022B70"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highlight w:val="white"/>
        </w:rPr>
        <w:t xml:space="preserve"> </w:t>
      </w:r>
    </w:p>
    <w:p w14:paraId="2FD3960B" w14:textId="498828C0" w:rsidR="00022B70" w:rsidRDefault="00022B70">
      <w:pPr>
        <w:spacing w:line="360" w:lineRule="auto"/>
        <w:jc w:val="both"/>
        <w:rPr>
          <w:rFonts w:ascii="Times New Roman" w:eastAsia="Times New Roman" w:hAnsi="Times New Roman" w:cs="Times New Roman"/>
          <w:b/>
          <w:sz w:val="24"/>
          <w:szCs w:val="24"/>
        </w:rPr>
      </w:pPr>
    </w:p>
    <w:p w14:paraId="07901769" w14:textId="0B259D3A" w:rsidR="00786026" w:rsidRDefault="001C2A94">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object w:dxaOrig="8520" w:dyaOrig="17144" w14:anchorId="394BCAB8">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32" type="#_x0000_t75" style="width:614.25pt;height:1239.75pt" o:ole="">
            <v:imagedata r:id="rId12" o:title=""/>
          </v:shape>
          <o:OLEObject Type="Embed" ProgID="Excel.Sheet.12" ShapeID="_x0000_i1032" DrawAspect="Content" ObjectID="_1731950068" r:id="rId13"/>
        </w:object>
      </w:r>
    </w:p>
    <w:p w14:paraId="70001B0B" w14:textId="77777777" w:rsidR="001C2A94" w:rsidRDefault="001C2A94">
      <w:pPr>
        <w:spacing w:line="360" w:lineRule="auto"/>
        <w:jc w:val="both"/>
        <w:rPr>
          <w:rFonts w:ascii="Times New Roman" w:eastAsia="Times New Roman" w:hAnsi="Times New Roman" w:cs="Times New Roman"/>
          <w:b/>
          <w:sz w:val="24"/>
          <w:szCs w:val="24"/>
        </w:rPr>
      </w:pPr>
    </w:p>
    <w:sectPr w:rsidR="001C2A94">
      <w:footerReference w:type="default" r:id="rId14"/>
      <w:pgSz w:w="12240" w:h="15840"/>
      <w:pgMar w:top="1440" w:right="1440" w:bottom="1440" w:left="1440" w:header="720" w:footer="720"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8D2493F" w14:textId="77777777" w:rsidR="00792577" w:rsidRDefault="00792577">
      <w:pPr>
        <w:spacing w:line="240" w:lineRule="auto"/>
      </w:pPr>
      <w:r>
        <w:separator/>
      </w:r>
    </w:p>
  </w:endnote>
  <w:endnote w:type="continuationSeparator" w:id="0">
    <w:p w14:paraId="59657477" w14:textId="77777777" w:rsidR="00792577" w:rsidRDefault="0079257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C3371A5" w14:textId="77777777" w:rsidR="00022B70" w:rsidRDefault="00000000">
    <w:pPr>
      <w:pBdr>
        <w:top w:val="nil"/>
        <w:left w:val="nil"/>
        <w:bottom w:val="nil"/>
        <w:right w:val="nil"/>
        <w:between w:val="nil"/>
      </w:pBdr>
      <w:tabs>
        <w:tab w:val="center" w:pos="4680"/>
        <w:tab w:val="right" w:pos="9360"/>
      </w:tabs>
      <w:spacing w:line="240" w:lineRule="auto"/>
      <w:jc w:val="right"/>
      <w:rPr>
        <w:color w:val="000000"/>
      </w:rPr>
    </w:pPr>
    <w:r>
      <w:rPr>
        <w:color w:val="000000"/>
      </w:rPr>
      <w:fldChar w:fldCharType="begin"/>
    </w:r>
    <w:r>
      <w:rPr>
        <w:color w:val="000000"/>
      </w:rPr>
      <w:instrText>PAGE</w:instrText>
    </w:r>
    <w:r>
      <w:rPr>
        <w:color w:val="000000"/>
      </w:rPr>
      <w:fldChar w:fldCharType="separate"/>
    </w:r>
    <w:r w:rsidR="00DA44FB">
      <w:rPr>
        <w:noProof/>
        <w:color w:val="000000"/>
      </w:rPr>
      <w:t>2</w:t>
    </w:r>
    <w:r>
      <w:rPr>
        <w:color w:val="000000"/>
      </w:rPr>
      <w:fldChar w:fldCharType="end"/>
    </w:r>
  </w:p>
  <w:p w14:paraId="4C9B97DD" w14:textId="77777777" w:rsidR="00022B70" w:rsidRDefault="00022B70">
    <w:pPr>
      <w:pBdr>
        <w:top w:val="nil"/>
        <w:left w:val="nil"/>
        <w:bottom w:val="nil"/>
        <w:right w:val="nil"/>
        <w:between w:val="nil"/>
      </w:pBdr>
      <w:tabs>
        <w:tab w:val="center" w:pos="4680"/>
        <w:tab w:val="right" w:pos="9360"/>
      </w:tabs>
      <w:spacing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2F5E6B6" w14:textId="77777777" w:rsidR="00792577" w:rsidRDefault="00792577">
      <w:pPr>
        <w:spacing w:line="240" w:lineRule="auto"/>
      </w:pPr>
      <w:r>
        <w:separator/>
      </w:r>
    </w:p>
  </w:footnote>
  <w:footnote w:type="continuationSeparator" w:id="0">
    <w:p w14:paraId="5A012AEA" w14:textId="77777777" w:rsidR="00792577" w:rsidRDefault="00792577">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E704ABB"/>
    <w:multiLevelType w:val="multilevel"/>
    <w:tmpl w:val="460E129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78DB401F"/>
    <w:multiLevelType w:val="multilevel"/>
    <w:tmpl w:val="41027FD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655065066">
    <w:abstractNumId w:val="0"/>
  </w:num>
  <w:num w:numId="2" w16cid:durableId="113888726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22B70"/>
    <w:rsid w:val="00003918"/>
    <w:rsid w:val="00022B70"/>
    <w:rsid w:val="001C2A94"/>
    <w:rsid w:val="00786026"/>
    <w:rsid w:val="00792577"/>
    <w:rsid w:val="00DA44F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4EED24"/>
  <w15:docId w15:val="{4BD8C500-E525-42D9-813B-4A41A0B0DDD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rsid w:val="00383731"/>
    <w:pPr>
      <w:keepNext/>
      <w:keepLines/>
      <w:spacing w:before="400" w:after="120"/>
      <w:jc w:val="both"/>
      <w:outlineLvl w:val="0"/>
    </w:pPr>
    <w:rPr>
      <w:rFonts w:ascii="Times New Roman" w:hAnsi="Times New Roman"/>
      <w:b/>
      <w:sz w:val="28"/>
      <w:szCs w:val="40"/>
    </w:rPr>
  </w:style>
  <w:style w:type="paragraph" w:styleId="Heading2">
    <w:name w:val="heading 2"/>
    <w:basedOn w:val="Normal"/>
    <w:next w:val="Normal"/>
    <w:uiPriority w:val="9"/>
    <w:unhideWhenUsed/>
    <w:qFormat/>
    <w:rsid w:val="00383731"/>
    <w:pPr>
      <w:keepNext/>
      <w:keepLines/>
      <w:spacing w:before="360" w:after="120"/>
      <w:jc w:val="both"/>
      <w:outlineLvl w:val="1"/>
    </w:pPr>
    <w:rPr>
      <w:rFonts w:ascii="Times New Roman" w:hAnsi="Times New Roman"/>
      <w:b/>
      <w:sz w:val="26"/>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table" w:customStyle="1" w:styleId="a">
    <w:basedOn w:val="TableNormal"/>
    <w:tblPr>
      <w:tblStyleRowBandSize w:val="1"/>
      <w:tblStyleColBandSize w:val="1"/>
      <w:tblCellMar>
        <w:top w:w="100" w:type="dxa"/>
        <w:left w:w="100" w:type="dxa"/>
        <w:bottom w:w="100" w:type="dxa"/>
        <w:right w:w="100" w:type="dxa"/>
      </w:tblCellMar>
    </w:tblPr>
  </w:style>
  <w:style w:type="table" w:customStyle="1" w:styleId="a0">
    <w:basedOn w:val="TableNormal"/>
    <w:tblPr>
      <w:tblStyleRowBandSize w:val="1"/>
      <w:tblStyleColBandSize w:val="1"/>
      <w:tblCellMar>
        <w:top w:w="100" w:type="dxa"/>
        <w:left w:w="100" w:type="dxa"/>
        <w:bottom w:w="100" w:type="dxa"/>
        <w:right w:w="100" w:type="dxa"/>
      </w:tblCellMar>
    </w:tblPr>
  </w:style>
  <w:style w:type="table" w:customStyle="1" w:styleId="a1">
    <w:basedOn w:val="TableNormal"/>
    <w:tblPr>
      <w:tblStyleRowBandSize w:val="1"/>
      <w:tblStyleColBandSize w:val="1"/>
      <w:tblCellMar>
        <w:top w:w="100" w:type="dxa"/>
        <w:left w:w="100" w:type="dxa"/>
        <w:bottom w:w="100" w:type="dxa"/>
        <w:right w:w="100" w:type="dxa"/>
      </w:tblCellMar>
    </w:tblPr>
  </w:style>
  <w:style w:type="paragraph" w:styleId="Header">
    <w:name w:val="header"/>
    <w:basedOn w:val="Normal"/>
    <w:link w:val="HeaderChar"/>
    <w:uiPriority w:val="99"/>
    <w:unhideWhenUsed/>
    <w:rsid w:val="00383731"/>
    <w:pPr>
      <w:tabs>
        <w:tab w:val="center" w:pos="4680"/>
        <w:tab w:val="right" w:pos="9360"/>
      </w:tabs>
      <w:spacing w:line="240" w:lineRule="auto"/>
    </w:pPr>
  </w:style>
  <w:style w:type="character" w:customStyle="1" w:styleId="HeaderChar">
    <w:name w:val="Header Char"/>
    <w:basedOn w:val="DefaultParagraphFont"/>
    <w:link w:val="Header"/>
    <w:uiPriority w:val="99"/>
    <w:rsid w:val="00383731"/>
  </w:style>
  <w:style w:type="paragraph" w:styleId="Footer">
    <w:name w:val="footer"/>
    <w:basedOn w:val="Normal"/>
    <w:link w:val="FooterChar"/>
    <w:uiPriority w:val="99"/>
    <w:unhideWhenUsed/>
    <w:rsid w:val="00383731"/>
    <w:pPr>
      <w:tabs>
        <w:tab w:val="center" w:pos="4680"/>
        <w:tab w:val="right" w:pos="9360"/>
      </w:tabs>
      <w:spacing w:line="240" w:lineRule="auto"/>
    </w:pPr>
  </w:style>
  <w:style w:type="character" w:customStyle="1" w:styleId="FooterChar">
    <w:name w:val="Footer Char"/>
    <w:basedOn w:val="DefaultParagraphFont"/>
    <w:link w:val="Footer"/>
    <w:uiPriority w:val="99"/>
    <w:rsid w:val="00383731"/>
  </w:style>
  <w:style w:type="paragraph" w:styleId="TOCHeading">
    <w:name w:val="TOC Heading"/>
    <w:basedOn w:val="Heading1"/>
    <w:next w:val="Normal"/>
    <w:uiPriority w:val="39"/>
    <w:unhideWhenUsed/>
    <w:qFormat/>
    <w:rsid w:val="00383731"/>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rPr>
  </w:style>
  <w:style w:type="paragraph" w:styleId="TOC1">
    <w:name w:val="toc 1"/>
    <w:basedOn w:val="Normal"/>
    <w:next w:val="Normal"/>
    <w:autoRedefine/>
    <w:uiPriority w:val="39"/>
    <w:unhideWhenUsed/>
    <w:rsid w:val="00383731"/>
    <w:pPr>
      <w:spacing w:after="100"/>
    </w:pPr>
  </w:style>
  <w:style w:type="paragraph" w:styleId="TOC2">
    <w:name w:val="toc 2"/>
    <w:basedOn w:val="Normal"/>
    <w:next w:val="Normal"/>
    <w:autoRedefine/>
    <w:uiPriority w:val="39"/>
    <w:unhideWhenUsed/>
    <w:rsid w:val="00383731"/>
    <w:pPr>
      <w:spacing w:after="100"/>
      <w:ind w:left="220"/>
    </w:pPr>
  </w:style>
  <w:style w:type="character" w:styleId="Hyperlink">
    <w:name w:val="Hyperlink"/>
    <w:basedOn w:val="DefaultParagraphFont"/>
    <w:uiPriority w:val="99"/>
    <w:unhideWhenUsed/>
    <w:rsid w:val="00383731"/>
    <w:rPr>
      <w:color w:val="0000FF" w:themeColor="hyperlink"/>
      <w:u w:val="single"/>
    </w:rPr>
  </w:style>
  <w:style w:type="table" w:customStyle="1" w:styleId="a2">
    <w:basedOn w:val="TableNormal"/>
    <w:tblPr>
      <w:tblStyleRowBandSize w:val="1"/>
      <w:tblStyleColBandSize w:val="1"/>
      <w:tblCellMar>
        <w:top w:w="100" w:type="dxa"/>
        <w:left w:w="100" w:type="dxa"/>
        <w:bottom w:w="100" w:type="dxa"/>
        <w:right w:w="100" w:type="dxa"/>
      </w:tblCellMar>
    </w:tblPr>
  </w:style>
  <w:style w:type="table" w:customStyle="1" w:styleId="a3">
    <w:basedOn w:val="TableNormal"/>
    <w:tblPr>
      <w:tblStyleRowBandSize w:val="1"/>
      <w:tblStyleColBandSize w:val="1"/>
      <w:tblCellMar>
        <w:top w:w="100" w:type="dxa"/>
        <w:left w:w="100" w:type="dxa"/>
        <w:bottom w:w="100" w:type="dxa"/>
        <w:right w:w="100" w:type="dxa"/>
      </w:tblCellMar>
    </w:tblPr>
  </w:style>
  <w:style w:type="table" w:customStyle="1" w:styleId="a4">
    <w:basedOn w:val="TableNormal"/>
    <w:tblPr>
      <w:tblStyleRowBandSize w:val="1"/>
      <w:tblStyleColBandSize w:val="1"/>
      <w:tblCellMar>
        <w:top w:w="100" w:type="dxa"/>
        <w:left w:w="100" w:type="dxa"/>
        <w:bottom w:w="100" w:type="dxa"/>
        <w:right w:w="10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package" Target="embeddings/Microsoft_Excel_Worksheet.xlsx"/><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emf"/><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go:docsCustomData xmlns:go="http://customooxmlschemas.google.com/" roundtripDataSignature="AMtx7mhsW+umEUqr4+DmzriMg9QLbXHRig==">AMUW2mXWVvExAPSuZ5sdieRVsn3sHHvonhrDZoh1W7tJdGWh5odvo2+xeZf/e1NGW+SeukFO5mtndRirkbwPwy6ZJyyRM3tj/iAwS4YoiHfgxrI86APaScZJrxWx7Nb7QA/1gcQY82pRKVMAXWyBeHfhnyRwD+haiE3jQTl8wuBcH1B/COiZ2AsbHMyxRRVCznWgEkSlYE+8IE0RACM8qb2jycU7/qW5S7JsF75Wwg7AT250Dj4Si0g=</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14</Pages>
  <Words>2382</Words>
  <Characters>13580</Characters>
  <Application>Microsoft Office Word</Application>
  <DocSecurity>0</DocSecurity>
  <Lines>113</Lines>
  <Paragraphs>31</Paragraphs>
  <ScaleCrop>false</ScaleCrop>
  <Company/>
  <LinksUpToDate>false</LinksUpToDate>
  <CharactersWithSpaces>15931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Alexandra</cp:lastModifiedBy>
  <cp:revision>2</cp:revision>
  <dcterms:created xsi:type="dcterms:W3CDTF">2022-12-07T20:28:00Z</dcterms:created>
  <dcterms:modified xsi:type="dcterms:W3CDTF">2022-12-07T20:28:00Z</dcterms:modified>
</cp:coreProperties>
</file>