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9C84E" w14:textId="5C3FA814" w:rsidR="00FB2E61" w:rsidRPr="008755D5" w:rsidRDefault="00FB0484" w:rsidP="008755D5">
      <w:pPr>
        <w:spacing w:line="360" w:lineRule="auto"/>
        <w:jc w:val="center"/>
        <w:rPr>
          <w:rFonts w:ascii="Arial" w:hAnsi="Arial" w:cs="Arial"/>
          <w:b/>
          <w:bCs/>
          <w:sz w:val="24"/>
          <w:szCs w:val="24"/>
        </w:rPr>
      </w:pPr>
      <w:r w:rsidRPr="008755D5">
        <w:rPr>
          <w:rFonts w:ascii="Arial" w:hAnsi="Arial" w:cs="Arial"/>
          <w:b/>
          <w:bCs/>
          <w:sz w:val="24"/>
          <w:szCs w:val="24"/>
        </w:rPr>
        <w:t>How to engage employees throughout the employee lifecycle</w:t>
      </w:r>
    </w:p>
    <w:p w14:paraId="111FE65A" w14:textId="0FD4D16E" w:rsidR="00C63E2B" w:rsidRPr="008755D5" w:rsidRDefault="00C63E2B" w:rsidP="008755D5">
      <w:pPr>
        <w:spacing w:line="360" w:lineRule="auto"/>
        <w:jc w:val="center"/>
        <w:rPr>
          <w:rFonts w:ascii="Arial" w:hAnsi="Arial" w:cs="Arial"/>
          <w:sz w:val="24"/>
          <w:szCs w:val="24"/>
        </w:rPr>
      </w:pPr>
    </w:p>
    <w:p w14:paraId="72732E6B" w14:textId="47C8A752" w:rsidR="00C63E2B" w:rsidRPr="008755D5" w:rsidRDefault="00C63E2B" w:rsidP="008755D5">
      <w:pPr>
        <w:spacing w:line="360" w:lineRule="auto"/>
        <w:jc w:val="center"/>
        <w:rPr>
          <w:rFonts w:ascii="Arial" w:hAnsi="Arial" w:cs="Arial"/>
          <w:sz w:val="24"/>
          <w:szCs w:val="24"/>
        </w:rPr>
      </w:pPr>
    </w:p>
    <w:p w14:paraId="77C7D6B8" w14:textId="48853A31" w:rsidR="00C63E2B" w:rsidRPr="008755D5" w:rsidRDefault="00C63E2B" w:rsidP="008755D5">
      <w:pPr>
        <w:spacing w:line="360" w:lineRule="auto"/>
        <w:jc w:val="center"/>
        <w:rPr>
          <w:rFonts w:ascii="Arial" w:hAnsi="Arial" w:cs="Arial"/>
          <w:sz w:val="24"/>
          <w:szCs w:val="24"/>
        </w:rPr>
      </w:pPr>
    </w:p>
    <w:p w14:paraId="3A1652A0" w14:textId="056CA264" w:rsidR="00C63E2B" w:rsidRPr="008755D5" w:rsidRDefault="00C63E2B" w:rsidP="008755D5">
      <w:pPr>
        <w:spacing w:line="360" w:lineRule="auto"/>
        <w:jc w:val="center"/>
        <w:rPr>
          <w:rFonts w:ascii="Arial" w:hAnsi="Arial" w:cs="Arial"/>
          <w:sz w:val="24"/>
          <w:szCs w:val="24"/>
        </w:rPr>
      </w:pPr>
    </w:p>
    <w:p w14:paraId="339E76C6" w14:textId="613F565B" w:rsidR="00C63E2B" w:rsidRPr="008755D5" w:rsidRDefault="00C63E2B" w:rsidP="008755D5">
      <w:pPr>
        <w:spacing w:line="360" w:lineRule="auto"/>
        <w:jc w:val="center"/>
        <w:rPr>
          <w:rFonts w:ascii="Arial" w:hAnsi="Arial" w:cs="Arial"/>
          <w:sz w:val="24"/>
          <w:szCs w:val="24"/>
        </w:rPr>
      </w:pPr>
    </w:p>
    <w:p w14:paraId="55E0C563" w14:textId="2B01491F" w:rsidR="00C63E2B" w:rsidRPr="008755D5" w:rsidRDefault="00C63E2B" w:rsidP="008755D5">
      <w:pPr>
        <w:spacing w:line="360" w:lineRule="auto"/>
        <w:jc w:val="center"/>
        <w:rPr>
          <w:rFonts w:ascii="Arial" w:hAnsi="Arial" w:cs="Arial"/>
          <w:sz w:val="24"/>
          <w:szCs w:val="24"/>
        </w:rPr>
      </w:pPr>
    </w:p>
    <w:p w14:paraId="6B5F0226" w14:textId="77777777" w:rsidR="00C63E2B" w:rsidRPr="008755D5" w:rsidRDefault="00C63E2B" w:rsidP="008755D5">
      <w:pPr>
        <w:spacing w:line="360" w:lineRule="auto"/>
        <w:jc w:val="center"/>
        <w:rPr>
          <w:rFonts w:ascii="Arial" w:hAnsi="Arial" w:cs="Arial"/>
          <w:sz w:val="24"/>
          <w:szCs w:val="24"/>
        </w:rPr>
      </w:pPr>
    </w:p>
    <w:p w14:paraId="7030BECA" w14:textId="396B3969" w:rsidR="008755D5" w:rsidRPr="008755D5" w:rsidRDefault="00C63E2B" w:rsidP="008755D5">
      <w:pPr>
        <w:spacing w:before="100" w:beforeAutospacing="1" w:after="100" w:afterAutospacing="1" w:line="360" w:lineRule="auto"/>
        <w:ind w:left="720"/>
        <w:jc w:val="center"/>
        <w:rPr>
          <w:rFonts w:ascii="Arial" w:hAnsi="Arial" w:cs="Arial"/>
          <w:sz w:val="24"/>
          <w:szCs w:val="24"/>
        </w:rPr>
      </w:pPr>
      <w:r w:rsidRPr="008755D5">
        <w:rPr>
          <w:rFonts w:ascii="Arial" w:hAnsi="Arial" w:cs="Arial"/>
          <w:sz w:val="24"/>
          <w:szCs w:val="24"/>
        </w:rPr>
        <w:t>ESAB ALI</w:t>
      </w:r>
      <w:r w:rsidR="008755D5" w:rsidRPr="008755D5">
        <w:rPr>
          <w:rFonts w:ascii="Arial" w:hAnsi="Arial" w:cs="Arial"/>
          <w:sz w:val="24"/>
          <w:szCs w:val="24"/>
        </w:rPr>
        <w:t xml:space="preserve"> (</w:t>
      </w:r>
      <w:r w:rsidR="008755D5" w:rsidRPr="008755D5">
        <w:rPr>
          <w:rFonts w:ascii="Arial" w:hAnsi="Arial" w:cs="Arial"/>
          <w:sz w:val="24"/>
          <w:szCs w:val="24"/>
        </w:rPr>
        <w:t>2110102</w:t>
      </w:r>
      <w:r w:rsidR="008755D5" w:rsidRPr="008755D5">
        <w:rPr>
          <w:rFonts w:ascii="Arial" w:hAnsi="Arial" w:cs="Arial"/>
          <w:sz w:val="24"/>
          <w:szCs w:val="24"/>
        </w:rPr>
        <w:t>)</w:t>
      </w:r>
    </w:p>
    <w:p w14:paraId="75F9C902" w14:textId="1914436C" w:rsidR="00C63E2B" w:rsidRPr="008755D5" w:rsidRDefault="00C63E2B" w:rsidP="008755D5">
      <w:pPr>
        <w:spacing w:before="100" w:beforeAutospacing="1" w:after="100" w:afterAutospacing="1" w:line="360" w:lineRule="auto"/>
        <w:ind w:left="720"/>
        <w:jc w:val="center"/>
        <w:rPr>
          <w:rFonts w:ascii="Arial" w:hAnsi="Arial" w:cs="Arial"/>
          <w:sz w:val="24"/>
          <w:szCs w:val="24"/>
        </w:rPr>
      </w:pPr>
    </w:p>
    <w:p w14:paraId="53770034" w14:textId="77777777" w:rsidR="00C63E2B" w:rsidRPr="008755D5" w:rsidRDefault="00C63E2B" w:rsidP="008755D5">
      <w:pPr>
        <w:spacing w:line="360" w:lineRule="auto"/>
        <w:jc w:val="center"/>
        <w:rPr>
          <w:rFonts w:ascii="Arial" w:hAnsi="Arial" w:cs="Arial"/>
          <w:sz w:val="24"/>
          <w:szCs w:val="24"/>
        </w:rPr>
      </w:pPr>
      <w:r w:rsidRPr="008755D5">
        <w:rPr>
          <w:rFonts w:ascii="Arial" w:hAnsi="Arial" w:cs="Arial"/>
          <w:sz w:val="24"/>
          <w:szCs w:val="24"/>
        </w:rPr>
        <w:fldChar w:fldCharType="begin"/>
      </w:r>
      <w:r w:rsidRPr="008755D5">
        <w:rPr>
          <w:rFonts w:ascii="Arial" w:hAnsi="Arial" w:cs="Arial"/>
          <w:sz w:val="24"/>
          <w:szCs w:val="24"/>
        </w:rPr>
        <w:instrText xml:space="preserve"> HYPERLINK "https://moodle.uwtsd.ac.uk/course/view.php?id=7199" </w:instrText>
      </w:r>
      <w:r w:rsidRPr="008755D5">
        <w:rPr>
          <w:rFonts w:ascii="Arial" w:hAnsi="Arial" w:cs="Arial"/>
          <w:sz w:val="24"/>
          <w:szCs w:val="24"/>
        </w:rPr>
      </w:r>
      <w:r w:rsidRPr="008755D5">
        <w:rPr>
          <w:rFonts w:ascii="Arial" w:hAnsi="Arial" w:cs="Arial"/>
          <w:sz w:val="24"/>
          <w:szCs w:val="24"/>
        </w:rPr>
        <w:fldChar w:fldCharType="separate"/>
      </w:r>
    </w:p>
    <w:p w14:paraId="174FAC73" w14:textId="7AA733BB" w:rsidR="00C63E2B" w:rsidRPr="008755D5" w:rsidRDefault="00C63E2B" w:rsidP="008755D5">
      <w:pPr>
        <w:pStyle w:val="Heading1"/>
        <w:spacing w:before="0" w:line="360" w:lineRule="auto"/>
        <w:jc w:val="center"/>
        <w:textAlignment w:val="center"/>
        <w:rPr>
          <w:rFonts w:ascii="Arial" w:eastAsiaTheme="minorHAnsi" w:hAnsi="Arial" w:cs="Arial"/>
          <w:color w:val="auto"/>
          <w:sz w:val="24"/>
          <w:szCs w:val="24"/>
        </w:rPr>
      </w:pPr>
      <w:r w:rsidRPr="008755D5">
        <w:rPr>
          <w:rFonts w:ascii="Arial" w:eastAsiaTheme="minorHAnsi" w:hAnsi="Arial" w:cs="Arial"/>
          <w:color w:val="auto"/>
          <w:sz w:val="24"/>
          <w:szCs w:val="24"/>
        </w:rPr>
        <w:t>Personnel Resourcing &amp; Development (BMIH5005</w:t>
      </w:r>
      <w:r w:rsidR="008755D5">
        <w:rPr>
          <w:rFonts w:ascii="Arial" w:eastAsiaTheme="minorHAnsi" w:hAnsi="Arial" w:cs="Arial"/>
          <w:color w:val="auto"/>
          <w:sz w:val="24"/>
          <w:szCs w:val="24"/>
        </w:rPr>
        <w:t>)</w:t>
      </w:r>
    </w:p>
    <w:p w14:paraId="58519B5B" w14:textId="72AB3454" w:rsidR="00FB0484" w:rsidRPr="008755D5" w:rsidRDefault="00C63E2B" w:rsidP="008755D5">
      <w:pPr>
        <w:spacing w:before="100" w:beforeAutospacing="1" w:after="100" w:afterAutospacing="1" w:line="360" w:lineRule="auto"/>
        <w:ind w:left="720"/>
        <w:jc w:val="center"/>
        <w:rPr>
          <w:rFonts w:ascii="Arial" w:hAnsi="Arial" w:cs="Arial"/>
          <w:sz w:val="24"/>
          <w:szCs w:val="24"/>
        </w:rPr>
      </w:pPr>
      <w:r w:rsidRPr="008755D5">
        <w:rPr>
          <w:rFonts w:ascii="Arial" w:hAnsi="Arial" w:cs="Arial"/>
          <w:sz w:val="24"/>
          <w:szCs w:val="24"/>
        </w:rPr>
        <w:fldChar w:fldCharType="end"/>
      </w:r>
      <w:r w:rsidR="008755D5" w:rsidRPr="008755D5">
        <w:rPr>
          <w:rFonts w:ascii="Arial" w:hAnsi="Arial" w:cs="Arial"/>
          <w:sz w:val="24"/>
          <w:szCs w:val="24"/>
        </w:rPr>
        <w:t xml:space="preserve">Lecturer: </w:t>
      </w:r>
      <w:r w:rsidR="00EA5CD3" w:rsidRPr="008755D5">
        <w:rPr>
          <w:rFonts w:ascii="Arial" w:hAnsi="Arial" w:cs="Arial"/>
          <w:sz w:val="24"/>
          <w:szCs w:val="24"/>
        </w:rPr>
        <w:t>Emma Roberts</w:t>
      </w:r>
    </w:p>
    <w:p w14:paraId="20D1900B" w14:textId="228FCC04" w:rsidR="00FB0484" w:rsidRPr="008755D5" w:rsidRDefault="00FB0484" w:rsidP="008755D5">
      <w:pPr>
        <w:spacing w:line="360" w:lineRule="auto"/>
        <w:jc w:val="both"/>
        <w:rPr>
          <w:rFonts w:ascii="Arial" w:hAnsi="Arial" w:cs="Arial"/>
          <w:sz w:val="24"/>
          <w:szCs w:val="24"/>
        </w:rPr>
      </w:pPr>
    </w:p>
    <w:p w14:paraId="01927D04" w14:textId="6BD2A179" w:rsidR="00FB0484" w:rsidRPr="008755D5" w:rsidRDefault="00FB0484" w:rsidP="008755D5">
      <w:pPr>
        <w:spacing w:line="360" w:lineRule="auto"/>
        <w:jc w:val="both"/>
        <w:rPr>
          <w:rFonts w:ascii="Arial" w:hAnsi="Arial" w:cs="Arial"/>
          <w:sz w:val="24"/>
          <w:szCs w:val="24"/>
        </w:rPr>
      </w:pPr>
    </w:p>
    <w:p w14:paraId="0A898072" w14:textId="58113A34" w:rsidR="00FB0484" w:rsidRPr="008755D5" w:rsidRDefault="00FB0484" w:rsidP="008755D5">
      <w:pPr>
        <w:spacing w:line="360" w:lineRule="auto"/>
        <w:jc w:val="both"/>
        <w:rPr>
          <w:rFonts w:ascii="Arial" w:hAnsi="Arial" w:cs="Arial"/>
          <w:sz w:val="24"/>
          <w:szCs w:val="24"/>
        </w:rPr>
      </w:pPr>
    </w:p>
    <w:p w14:paraId="023F370C" w14:textId="4E2F7571" w:rsidR="00FA5AB9" w:rsidRPr="008755D5" w:rsidRDefault="00FA5AB9" w:rsidP="008755D5">
      <w:pPr>
        <w:spacing w:line="360" w:lineRule="auto"/>
        <w:jc w:val="both"/>
        <w:rPr>
          <w:rFonts w:ascii="Arial" w:hAnsi="Arial" w:cs="Arial"/>
          <w:sz w:val="24"/>
          <w:szCs w:val="24"/>
        </w:rPr>
      </w:pPr>
    </w:p>
    <w:p w14:paraId="0DB93EBB" w14:textId="16A84BC6" w:rsidR="00FA5AB9" w:rsidRPr="008755D5" w:rsidRDefault="00FA5AB9" w:rsidP="008755D5">
      <w:pPr>
        <w:spacing w:line="360" w:lineRule="auto"/>
        <w:jc w:val="both"/>
        <w:rPr>
          <w:rFonts w:ascii="Arial" w:hAnsi="Arial" w:cs="Arial"/>
          <w:sz w:val="24"/>
          <w:szCs w:val="24"/>
        </w:rPr>
      </w:pPr>
    </w:p>
    <w:p w14:paraId="516FBB7A" w14:textId="3C90DD61" w:rsidR="00FA5AB9" w:rsidRPr="008755D5" w:rsidRDefault="00FA5AB9" w:rsidP="008755D5">
      <w:pPr>
        <w:pStyle w:val="Heading1"/>
        <w:spacing w:line="360" w:lineRule="auto"/>
        <w:jc w:val="both"/>
        <w:rPr>
          <w:rFonts w:ascii="Arial" w:hAnsi="Arial" w:cs="Arial"/>
          <w:sz w:val="24"/>
          <w:szCs w:val="24"/>
        </w:rPr>
      </w:pPr>
    </w:p>
    <w:p w14:paraId="79BE362C" w14:textId="77777777" w:rsidR="008755D5" w:rsidRDefault="008755D5" w:rsidP="008755D5">
      <w:pPr>
        <w:spacing w:line="360" w:lineRule="auto"/>
        <w:jc w:val="both"/>
        <w:rPr>
          <w:rFonts w:ascii="Arial" w:hAnsi="Arial" w:cs="Arial"/>
          <w:sz w:val="24"/>
          <w:szCs w:val="24"/>
        </w:rPr>
      </w:pPr>
    </w:p>
    <w:p w14:paraId="282C5EDC" w14:textId="77777777" w:rsidR="008755D5" w:rsidRDefault="008755D5" w:rsidP="008755D5">
      <w:pPr>
        <w:spacing w:line="360" w:lineRule="auto"/>
        <w:jc w:val="both"/>
        <w:rPr>
          <w:rFonts w:ascii="Arial" w:hAnsi="Arial" w:cs="Arial"/>
          <w:sz w:val="24"/>
          <w:szCs w:val="24"/>
        </w:rPr>
      </w:pPr>
    </w:p>
    <w:p w14:paraId="706815AC" w14:textId="1131378A" w:rsidR="0000485D" w:rsidRPr="008755D5" w:rsidRDefault="00F742B8" w:rsidP="008755D5">
      <w:pPr>
        <w:spacing w:line="360" w:lineRule="auto"/>
        <w:jc w:val="both"/>
        <w:rPr>
          <w:rFonts w:ascii="Arial" w:hAnsi="Arial" w:cs="Arial"/>
          <w:sz w:val="24"/>
          <w:szCs w:val="24"/>
        </w:rPr>
      </w:pPr>
      <w:r w:rsidRPr="008755D5">
        <w:rPr>
          <w:rFonts w:ascii="Arial" w:hAnsi="Arial" w:cs="Arial"/>
          <w:sz w:val="24"/>
          <w:szCs w:val="24"/>
        </w:rPr>
        <w:lastRenderedPageBreak/>
        <w:t>Employee engagement is not something that everyone can agree on. The 2009 MacLeod Review, for instance, uncovered almost 50 interpretations! Kahn's was among the first, and it concentrates on how individuals "identify oneself physiologically, intellectually, and mentally" when they engage with their employment. This refers to an interior state of being, yet one that is intimately related to actions, like making an additional effort or "taking an extra yard"</w:t>
      </w:r>
      <w:r w:rsidR="006958D1" w:rsidRPr="008755D5">
        <w:rPr>
          <w:rFonts w:ascii="Arial" w:hAnsi="Arial" w:cs="Arial"/>
          <w:sz w:val="24"/>
          <w:szCs w:val="24"/>
        </w:rPr>
        <w:t xml:space="preserve">(Mcleod, 2009). </w:t>
      </w:r>
      <w:r w:rsidR="00D17D3B" w:rsidRPr="008755D5">
        <w:rPr>
          <w:rFonts w:ascii="Arial" w:hAnsi="Arial" w:cs="Arial"/>
          <w:sz w:val="24"/>
          <w:szCs w:val="24"/>
        </w:rPr>
        <w:t xml:space="preserve">Positive engagement adds value at every stage of </w:t>
      </w:r>
      <w:r w:rsidR="00064F73" w:rsidRPr="008755D5">
        <w:rPr>
          <w:rFonts w:ascii="Arial" w:hAnsi="Arial" w:cs="Arial"/>
          <w:sz w:val="24"/>
          <w:szCs w:val="24"/>
        </w:rPr>
        <w:t>one</w:t>
      </w:r>
      <w:r w:rsidR="00D17D3B" w:rsidRPr="008755D5">
        <w:rPr>
          <w:rFonts w:ascii="Arial" w:hAnsi="Arial" w:cs="Arial"/>
          <w:sz w:val="24"/>
          <w:szCs w:val="24"/>
        </w:rPr>
        <w:t xml:space="preserve"> employee's journey, be it prior to actually their inaugural day of employment, following their letter of resignation has been handed, or anyplace in between</w:t>
      </w:r>
      <w:r w:rsidR="006958D1" w:rsidRPr="008755D5">
        <w:rPr>
          <w:rFonts w:ascii="Arial" w:hAnsi="Arial" w:cs="Arial"/>
          <w:sz w:val="24"/>
          <w:szCs w:val="24"/>
        </w:rPr>
        <w:t xml:space="preserve"> </w:t>
      </w:r>
      <w:r w:rsidRPr="008755D5">
        <w:rPr>
          <w:rFonts w:ascii="Arial" w:hAnsi="Arial" w:cs="Arial"/>
          <w:sz w:val="24"/>
          <w:szCs w:val="24"/>
        </w:rPr>
        <w:t>(Bridger, 2018)</w:t>
      </w:r>
      <w:r w:rsidR="00D17D3B" w:rsidRPr="008755D5">
        <w:rPr>
          <w:rFonts w:ascii="Arial" w:hAnsi="Arial" w:cs="Arial"/>
          <w:sz w:val="24"/>
          <w:szCs w:val="24"/>
        </w:rPr>
        <w:t xml:space="preserve">. </w:t>
      </w:r>
      <w:r w:rsidR="00064F73" w:rsidRPr="008755D5">
        <w:rPr>
          <w:rFonts w:ascii="Arial" w:hAnsi="Arial" w:cs="Arial"/>
          <w:sz w:val="24"/>
          <w:szCs w:val="24"/>
        </w:rPr>
        <w:t>Organizations must</w:t>
      </w:r>
      <w:r w:rsidR="00D17D3B" w:rsidRPr="008755D5">
        <w:rPr>
          <w:rFonts w:ascii="Arial" w:hAnsi="Arial" w:cs="Arial"/>
          <w:sz w:val="24"/>
          <w:szCs w:val="24"/>
        </w:rPr>
        <w:t xml:space="preserve"> </w:t>
      </w:r>
      <w:r w:rsidR="00064F73" w:rsidRPr="008755D5">
        <w:rPr>
          <w:rFonts w:ascii="Arial" w:hAnsi="Arial" w:cs="Arial"/>
          <w:sz w:val="24"/>
          <w:szCs w:val="24"/>
        </w:rPr>
        <w:t>be</w:t>
      </w:r>
      <w:r w:rsidR="00D17D3B" w:rsidRPr="008755D5">
        <w:rPr>
          <w:rFonts w:ascii="Arial" w:hAnsi="Arial" w:cs="Arial"/>
          <w:sz w:val="24"/>
          <w:szCs w:val="24"/>
        </w:rPr>
        <w:t xml:space="preserve"> aware of the commitment we made to experience-driven onboarding, which serves as the cornerstone of all we do at </w:t>
      </w:r>
      <w:r w:rsidR="008755D5" w:rsidRPr="008755D5">
        <w:rPr>
          <w:rFonts w:ascii="Arial" w:hAnsi="Arial" w:cs="Arial"/>
          <w:sz w:val="24"/>
          <w:szCs w:val="24"/>
        </w:rPr>
        <w:t>e</w:t>
      </w:r>
      <w:r w:rsidR="00D17D3B" w:rsidRPr="008755D5">
        <w:rPr>
          <w:rFonts w:ascii="Arial" w:hAnsi="Arial" w:cs="Arial"/>
          <w:sz w:val="24"/>
          <w:szCs w:val="24"/>
        </w:rPr>
        <w:t>mborder. So, just a tiny portion of the employment lifecycle is devoted to onboarding. At every stage of the employment lifecycle, maintaining workers is crucial. (Leung, 2018)</w:t>
      </w:r>
      <w:r w:rsidR="0087020E" w:rsidRPr="008755D5">
        <w:rPr>
          <w:rFonts w:ascii="Arial" w:hAnsi="Arial" w:cs="Arial"/>
          <w:sz w:val="24"/>
          <w:szCs w:val="24"/>
        </w:rPr>
        <w:t xml:space="preserve"> Big organizations in hospitality industry like Hilton and Marriot have employee engagement programs. To make their employees life cycle better</w:t>
      </w:r>
      <w:r w:rsidR="00A822AC" w:rsidRPr="008755D5">
        <w:rPr>
          <w:rFonts w:ascii="Arial" w:hAnsi="Arial" w:cs="Arial"/>
          <w:sz w:val="24"/>
          <w:szCs w:val="24"/>
        </w:rPr>
        <w:t xml:space="preserve"> programs</w:t>
      </w:r>
      <w:r w:rsidR="0087020E" w:rsidRPr="008755D5">
        <w:rPr>
          <w:rFonts w:ascii="Arial" w:hAnsi="Arial" w:cs="Arial"/>
          <w:sz w:val="24"/>
          <w:szCs w:val="24"/>
        </w:rPr>
        <w:t xml:space="preserve"> </w:t>
      </w:r>
      <w:r w:rsidR="00A822AC" w:rsidRPr="008755D5">
        <w:rPr>
          <w:rFonts w:ascii="Arial" w:hAnsi="Arial" w:cs="Arial"/>
          <w:sz w:val="24"/>
          <w:szCs w:val="24"/>
        </w:rPr>
        <w:t xml:space="preserve">Like </w:t>
      </w:r>
      <w:proofErr w:type="spellStart"/>
      <w:r w:rsidR="00A822AC" w:rsidRPr="008755D5">
        <w:rPr>
          <w:rFonts w:ascii="Arial" w:hAnsi="Arial" w:cs="Arial"/>
          <w:sz w:val="24"/>
          <w:szCs w:val="24"/>
        </w:rPr>
        <w:t>Lead@Hilton</w:t>
      </w:r>
      <w:proofErr w:type="spellEnd"/>
      <w:r w:rsidR="00A822AC" w:rsidRPr="008755D5">
        <w:rPr>
          <w:rFonts w:ascii="Arial" w:hAnsi="Arial" w:cs="Arial"/>
          <w:sz w:val="24"/>
          <w:szCs w:val="24"/>
        </w:rPr>
        <w:t xml:space="preserve"> are the ones which gave opportunity for every employee to be a leader.</w:t>
      </w:r>
      <w:r w:rsidR="00F03F55" w:rsidRPr="008755D5">
        <w:rPr>
          <w:rFonts w:ascii="Arial" w:hAnsi="Arial" w:cs="Arial"/>
          <w:sz w:val="24"/>
          <w:szCs w:val="24"/>
        </w:rPr>
        <w:t xml:space="preserve"> </w:t>
      </w:r>
      <w:r w:rsidR="00A822AC" w:rsidRPr="008755D5">
        <w:rPr>
          <w:rFonts w:ascii="Arial" w:hAnsi="Arial" w:cs="Arial"/>
          <w:sz w:val="24"/>
          <w:szCs w:val="24"/>
        </w:rPr>
        <w:t>Programs like these give employees a chance to grow and</w:t>
      </w:r>
      <w:r w:rsidR="00F03F55" w:rsidRPr="008755D5">
        <w:rPr>
          <w:rFonts w:ascii="Arial" w:hAnsi="Arial" w:cs="Arial"/>
          <w:sz w:val="24"/>
          <w:szCs w:val="24"/>
        </w:rPr>
        <w:t xml:space="preserve"> be engage in their life cycle and flourish in their careers</w:t>
      </w:r>
      <w:r w:rsidR="00F44207" w:rsidRPr="008755D5">
        <w:rPr>
          <w:rFonts w:ascii="Arial" w:hAnsi="Arial" w:cs="Arial"/>
          <w:sz w:val="24"/>
          <w:szCs w:val="24"/>
        </w:rPr>
        <w:t xml:space="preserve"> </w:t>
      </w:r>
      <w:r w:rsidR="00F03F55" w:rsidRPr="008755D5">
        <w:rPr>
          <w:rFonts w:ascii="Arial" w:hAnsi="Arial" w:cs="Arial"/>
          <w:sz w:val="24"/>
          <w:szCs w:val="24"/>
        </w:rPr>
        <w:t>(</w:t>
      </w:r>
      <w:proofErr w:type="spellStart"/>
      <w:r w:rsidR="00F03F55" w:rsidRPr="008755D5">
        <w:rPr>
          <w:rFonts w:ascii="Arial" w:hAnsi="Arial" w:cs="Arial"/>
          <w:sz w:val="24"/>
          <w:szCs w:val="24"/>
        </w:rPr>
        <w:t>CrHIton</w:t>
      </w:r>
      <w:proofErr w:type="spellEnd"/>
      <w:r w:rsidR="00F03F55" w:rsidRPr="008755D5">
        <w:rPr>
          <w:rFonts w:ascii="Arial" w:hAnsi="Arial" w:cs="Arial"/>
          <w:sz w:val="24"/>
          <w:szCs w:val="24"/>
        </w:rPr>
        <w:t>, 2017).</w:t>
      </w:r>
    </w:p>
    <w:p w14:paraId="633FE325" w14:textId="24F9DF5B" w:rsidR="00C878D1" w:rsidRPr="008755D5" w:rsidRDefault="00C878D1" w:rsidP="008755D5">
      <w:pPr>
        <w:spacing w:line="360" w:lineRule="auto"/>
        <w:jc w:val="both"/>
        <w:rPr>
          <w:rFonts w:ascii="Arial" w:hAnsi="Arial" w:cs="Arial"/>
          <w:sz w:val="24"/>
          <w:szCs w:val="24"/>
        </w:rPr>
      </w:pPr>
    </w:p>
    <w:p w14:paraId="20FA6287" w14:textId="4359B476" w:rsidR="00C878D1" w:rsidRPr="008755D5" w:rsidRDefault="00C878D1" w:rsidP="008755D5">
      <w:pPr>
        <w:spacing w:line="360" w:lineRule="auto"/>
        <w:jc w:val="both"/>
        <w:rPr>
          <w:rFonts w:ascii="Arial" w:hAnsi="Arial" w:cs="Arial"/>
          <w:sz w:val="24"/>
          <w:szCs w:val="24"/>
        </w:rPr>
      </w:pPr>
      <w:r w:rsidRPr="008755D5">
        <w:rPr>
          <w:rFonts w:ascii="Arial" w:hAnsi="Arial" w:cs="Arial"/>
          <w:noProof/>
          <w:sz w:val="24"/>
          <w:szCs w:val="24"/>
        </w:rPr>
        <w:drawing>
          <wp:inline distT="0" distB="0" distL="0" distR="0" wp14:anchorId="34F3DB6B" wp14:editId="17AE22A8">
            <wp:extent cx="4371975" cy="2800350"/>
            <wp:effectExtent l="0" t="0" r="9525" b="0"/>
            <wp:docPr id="1" name="Picture 1" descr="HR Metrics For Every Phase Of The Employee Life Cycle- Employe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Metrics For Every Phase Of The Employee Life Cycle- Employe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71975" cy="2800350"/>
                    </a:xfrm>
                    <a:prstGeom prst="rect">
                      <a:avLst/>
                    </a:prstGeom>
                    <a:noFill/>
                    <a:ln>
                      <a:noFill/>
                    </a:ln>
                  </pic:spPr>
                </pic:pic>
              </a:graphicData>
            </a:graphic>
          </wp:inline>
        </w:drawing>
      </w:r>
    </w:p>
    <w:p w14:paraId="1B9ED59E" w14:textId="32CAEDB3" w:rsidR="00D17D3B" w:rsidRPr="008755D5" w:rsidRDefault="00D17D3B" w:rsidP="008755D5">
      <w:pPr>
        <w:pStyle w:val="NormalWeb"/>
        <w:shd w:val="clear" w:color="auto" w:fill="FFFFFF"/>
        <w:spacing w:line="360" w:lineRule="auto"/>
        <w:jc w:val="both"/>
        <w:rPr>
          <w:rFonts w:ascii="Arial" w:eastAsiaTheme="minorHAnsi" w:hAnsi="Arial" w:cs="Arial"/>
          <w:lang w:val="en-US"/>
        </w:rPr>
      </w:pPr>
      <w:r w:rsidRPr="008755D5">
        <w:rPr>
          <w:rFonts w:ascii="Arial" w:eastAsiaTheme="minorHAnsi" w:hAnsi="Arial" w:cs="Arial"/>
          <w:lang w:val="en-US"/>
        </w:rPr>
        <w:lastRenderedPageBreak/>
        <w:t>The employee lifecycle is a natural evolution of stages in a worker's interactions organization</w:t>
      </w:r>
      <w:r w:rsidR="00AF60AC" w:rsidRPr="008755D5">
        <w:rPr>
          <w:rFonts w:ascii="Arial" w:eastAsiaTheme="minorHAnsi" w:hAnsi="Arial" w:cs="Arial"/>
          <w:lang w:val="en-US"/>
        </w:rPr>
        <w:t>s like Hilton. As they won the world’s best workplace award in 2019 by following the employee engagement programs(crhilton,2017)</w:t>
      </w:r>
      <w:r w:rsidRPr="008755D5">
        <w:rPr>
          <w:rFonts w:ascii="Arial" w:eastAsiaTheme="minorHAnsi" w:hAnsi="Arial" w:cs="Arial"/>
          <w:lang w:val="en-US"/>
        </w:rPr>
        <w:t>. The employee lifetime is divided into six stages, including Attraction, Recruitment, Onboarding, Development, Retention, and Separation</w:t>
      </w:r>
      <w:r w:rsidR="00DD1BAD" w:rsidRPr="008755D5">
        <w:rPr>
          <w:rFonts w:ascii="Arial" w:eastAsiaTheme="minorHAnsi" w:hAnsi="Arial" w:cs="Arial"/>
          <w:lang w:val="en-US"/>
        </w:rPr>
        <w:t xml:space="preserve"> (Brown, 2021).</w:t>
      </w:r>
    </w:p>
    <w:p w14:paraId="726AD8DB" w14:textId="4E8C41EE"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 xml:space="preserve">However, even if it is not the only choice available, the employee lifecycle model is still valuable </w:t>
      </w:r>
      <w:r w:rsidR="00AF60AC" w:rsidRPr="008755D5">
        <w:rPr>
          <w:rFonts w:ascii="Arial" w:hAnsi="Arial" w:cs="Arial"/>
          <w:sz w:val="24"/>
          <w:szCs w:val="24"/>
        </w:rPr>
        <w:t xml:space="preserve">to the big organizations like Hilton worldwide </w:t>
      </w:r>
      <w:r w:rsidRPr="008755D5">
        <w:rPr>
          <w:rFonts w:ascii="Arial" w:hAnsi="Arial" w:cs="Arial"/>
          <w:sz w:val="24"/>
          <w:szCs w:val="24"/>
        </w:rPr>
        <w:t>because: The six stages are easy to distinguish from one another and apply to all workers (Cohen. E, 2017). The model, which is a cycle rather than a straight line from point A to point B, enables us to see how involvement at each level reinforces or loops back to the others.</w:t>
      </w:r>
    </w:p>
    <w:p w14:paraId="353876B9" w14:textId="1ECA6179"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These levels each have corresponding engagement-building techniques (Burke, 2019). The way in which interacting with an employee during the separation stage may impact the subsequent attraction and recruitment stages is particularly unexpected. Personality, 2021</w:t>
      </w:r>
      <w:r w:rsidR="00AF60AC" w:rsidRPr="008755D5">
        <w:rPr>
          <w:rFonts w:ascii="Arial" w:hAnsi="Arial" w:cs="Arial"/>
          <w:sz w:val="24"/>
          <w:szCs w:val="24"/>
        </w:rPr>
        <w:t>.</w:t>
      </w:r>
      <w:r w:rsidRPr="008755D5">
        <w:rPr>
          <w:rFonts w:ascii="Arial" w:hAnsi="Arial" w:cs="Arial"/>
          <w:sz w:val="24"/>
          <w:szCs w:val="24"/>
        </w:rPr>
        <w:t xml:space="preserve"> </w:t>
      </w:r>
    </w:p>
    <w:p w14:paraId="1AF15784" w14:textId="77777777"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The stage known as "recruit" includes all activities leading up to and including the employment of a new employee. Some businesses arrange and automate every step of the recruiting process with the use of talent acquisition software, including the use of a form monitoring system, pre-employment screening, conducting interviews, and employee compliance. Using talent acquisition tools, recruiters may simplify the recruiting process and entice top candidates. n.d. (SearchHRSoftware)</w:t>
      </w:r>
    </w:p>
    <w:p w14:paraId="7044B3E8" w14:textId="2DA36ED2"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 xml:space="preserve">Those workers who accepted employment offers have now been hired by the business. During onboarding, they receive the materials and knowledge need to perform more productively and blend in with the business culture (Gladka,2022). Employees get training where they are informed of the company's rules, practices, and job responsibilities. Additionally, they are a component of the identity and access control system for the company. 2021 (Buchanan) </w:t>
      </w:r>
    </w:p>
    <w:p w14:paraId="51B264B8" w14:textId="77777777"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 xml:space="preserve">Develop: All the procedures used to provide staff members with comments on their work during conferences, one-on-one verification, and performance evaluations are included in this stage. In this stage, regular feedback is crucial because it shows workers how they </w:t>
      </w:r>
      <w:r w:rsidRPr="008755D5">
        <w:rPr>
          <w:rFonts w:ascii="Arial" w:hAnsi="Arial" w:cs="Arial"/>
          <w:sz w:val="24"/>
          <w:szCs w:val="24"/>
        </w:rPr>
        <w:lastRenderedPageBreak/>
        <w:t>are doing in respect to their goals and gives managers insight into what drives employees. Employee engagement can also be increased through frequent feedback. n.d. (SearchHRSoftware)</w:t>
      </w:r>
    </w:p>
    <w:p w14:paraId="15E37FEC" w14:textId="702C4E0C" w:rsidR="00D17D3B" w:rsidRPr="008755D5" w:rsidRDefault="00D17D3B" w:rsidP="008755D5">
      <w:pPr>
        <w:spacing w:line="360" w:lineRule="auto"/>
        <w:jc w:val="both"/>
        <w:rPr>
          <w:rFonts w:ascii="Arial" w:hAnsi="Arial" w:cs="Arial"/>
          <w:sz w:val="24"/>
          <w:szCs w:val="24"/>
        </w:rPr>
      </w:pPr>
      <w:r w:rsidRPr="008755D5">
        <w:rPr>
          <w:rFonts w:ascii="Arial" w:hAnsi="Arial" w:cs="Arial"/>
          <w:sz w:val="24"/>
          <w:szCs w:val="24"/>
        </w:rPr>
        <w:t>Retain: The next difficulty is to keep the employee on staff while ensuring professional growth when the employee has been fully assimilated into the organization and understands his or her role. Sustaining employee retention and retaining the worker at this stage requires ongoing review, recognition, and training. To track ongoing learning and find promotion prospects, HR professionals commonly employ performance appraisal and talent management platform. (</w:t>
      </w:r>
      <w:proofErr w:type="spellStart"/>
      <w:r w:rsidR="00943FEC" w:rsidRPr="008755D5">
        <w:rPr>
          <w:rFonts w:ascii="Arial" w:hAnsi="Arial" w:cs="Arial"/>
          <w:sz w:val="24"/>
          <w:szCs w:val="24"/>
        </w:rPr>
        <w:t>Strayboots</w:t>
      </w:r>
      <w:proofErr w:type="spellEnd"/>
      <w:r w:rsidR="00943FEC" w:rsidRPr="008755D5">
        <w:rPr>
          <w:rFonts w:ascii="Arial" w:hAnsi="Arial" w:cs="Arial"/>
          <w:sz w:val="24"/>
          <w:szCs w:val="24"/>
        </w:rPr>
        <w:t xml:space="preserve"> </w:t>
      </w:r>
      <w:r w:rsidRPr="008755D5">
        <w:rPr>
          <w:rFonts w:ascii="Arial" w:hAnsi="Arial" w:cs="Arial"/>
          <w:sz w:val="24"/>
          <w:szCs w:val="24"/>
        </w:rPr>
        <w:t xml:space="preserve">2018) </w:t>
      </w:r>
    </w:p>
    <w:p w14:paraId="3A84094A" w14:textId="708E15B4" w:rsidR="00623944" w:rsidRPr="008755D5" w:rsidRDefault="00623944" w:rsidP="008755D5">
      <w:pPr>
        <w:spacing w:line="360" w:lineRule="auto"/>
        <w:jc w:val="both"/>
        <w:rPr>
          <w:rFonts w:ascii="Arial" w:hAnsi="Arial" w:cs="Arial"/>
          <w:sz w:val="24"/>
          <w:szCs w:val="24"/>
        </w:rPr>
      </w:pPr>
      <w:r w:rsidRPr="008755D5">
        <w:rPr>
          <w:rFonts w:ascii="Arial" w:hAnsi="Arial" w:cs="Arial"/>
          <w:sz w:val="24"/>
          <w:szCs w:val="24"/>
        </w:rPr>
        <w:t>Attraction: The method employees advertise your company to others. They attract more talented candidates the more engaged they are. (</w:t>
      </w:r>
      <w:proofErr w:type="spellStart"/>
      <w:r w:rsidRPr="008755D5">
        <w:rPr>
          <w:rFonts w:ascii="Arial" w:hAnsi="Arial" w:cs="Arial"/>
          <w:sz w:val="24"/>
          <w:szCs w:val="24"/>
        </w:rPr>
        <w:t>Strayboots</w:t>
      </w:r>
      <w:proofErr w:type="spellEnd"/>
      <w:r w:rsidRPr="008755D5">
        <w:rPr>
          <w:rFonts w:ascii="Arial" w:hAnsi="Arial" w:cs="Arial"/>
          <w:sz w:val="24"/>
          <w:szCs w:val="24"/>
        </w:rPr>
        <w:t>, 2018)</w:t>
      </w:r>
    </w:p>
    <w:p w14:paraId="0906AF98" w14:textId="77777777" w:rsidR="00623944" w:rsidRPr="008755D5" w:rsidRDefault="00623944" w:rsidP="008755D5">
      <w:pPr>
        <w:spacing w:line="360" w:lineRule="auto"/>
        <w:jc w:val="both"/>
        <w:rPr>
          <w:rFonts w:ascii="Arial" w:hAnsi="Arial" w:cs="Arial"/>
          <w:sz w:val="24"/>
          <w:szCs w:val="24"/>
        </w:rPr>
      </w:pPr>
      <w:r w:rsidRPr="008755D5">
        <w:rPr>
          <w:rFonts w:ascii="Arial" w:hAnsi="Arial" w:cs="Arial"/>
          <w:sz w:val="24"/>
          <w:szCs w:val="24"/>
        </w:rPr>
        <w:t>Separation: Engaged employees stay in touch with others and may give ideas for future improvements. (</w:t>
      </w:r>
      <w:proofErr w:type="spellStart"/>
      <w:r w:rsidRPr="008755D5">
        <w:rPr>
          <w:rFonts w:ascii="Arial" w:hAnsi="Arial" w:cs="Arial"/>
          <w:sz w:val="24"/>
          <w:szCs w:val="24"/>
        </w:rPr>
        <w:t>Strayboots</w:t>
      </w:r>
      <w:proofErr w:type="spellEnd"/>
      <w:r w:rsidRPr="008755D5">
        <w:rPr>
          <w:rFonts w:ascii="Arial" w:hAnsi="Arial" w:cs="Arial"/>
          <w:sz w:val="24"/>
          <w:szCs w:val="24"/>
        </w:rPr>
        <w:t>, 2018)</w:t>
      </w:r>
    </w:p>
    <w:p w14:paraId="32BDC42F" w14:textId="699C9A4B" w:rsidR="00377810" w:rsidRPr="008755D5" w:rsidRDefault="00287CA8" w:rsidP="008755D5">
      <w:pPr>
        <w:pStyle w:val="Heading1"/>
        <w:spacing w:line="360" w:lineRule="auto"/>
        <w:jc w:val="both"/>
        <w:rPr>
          <w:rFonts w:ascii="Arial" w:eastAsiaTheme="minorHAnsi" w:hAnsi="Arial" w:cs="Arial"/>
          <w:color w:val="auto"/>
          <w:sz w:val="24"/>
          <w:szCs w:val="24"/>
          <w:lang w:eastAsia="en-GB"/>
        </w:rPr>
      </w:pPr>
      <w:r w:rsidRPr="008755D5">
        <w:rPr>
          <w:rFonts w:ascii="Arial" w:eastAsiaTheme="minorHAnsi" w:hAnsi="Arial" w:cs="Arial"/>
          <w:color w:val="auto"/>
          <w:sz w:val="24"/>
          <w:szCs w:val="24"/>
        </w:rPr>
        <w:lastRenderedPageBreak/>
        <w:t>Tools for employee life cycle trends</w:t>
      </w:r>
      <w:r w:rsidR="00943FEC" w:rsidRPr="008755D5">
        <w:rPr>
          <w:rFonts w:ascii="Arial" w:eastAsiaTheme="minorHAnsi" w:hAnsi="Arial" w:cs="Arial"/>
          <w:color w:val="auto"/>
          <w:sz w:val="24"/>
          <w:szCs w:val="24"/>
        </w:rPr>
        <w:t xml:space="preserve"> </w:t>
      </w:r>
      <w:r w:rsidR="00943FEC" w:rsidRPr="008755D5">
        <w:rPr>
          <w:rFonts w:ascii="Arial" w:eastAsiaTheme="minorHAnsi" w:hAnsi="Arial" w:cs="Arial"/>
          <w:color w:val="auto"/>
          <w:sz w:val="24"/>
          <w:szCs w:val="24"/>
          <w:lang w:eastAsia="en-GB"/>
        </w:rPr>
        <w:t xml:space="preserve">are the ones needed by Hilton Worldwide.  </w:t>
      </w:r>
      <w:r w:rsidR="00D17D3B" w:rsidRPr="008755D5">
        <w:rPr>
          <w:rFonts w:ascii="Arial" w:eastAsiaTheme="minorHAnsi" w:hAnsi="Arial" w:cs="Arial"/>
          <w:color w:val="auto"/>
          <w:sz w:val="24"/>
          <w:szCs w:val="24"/>
          <w:lang w:eastAsia="en-GB"/>
        </w:rPr>
        <w:t>Two key trends in recent years include the usage of AI and 360-degree feedback (AI). Employees will get anonymous online feedback from peers, superiors, and coworkers as part of the 360-degree feedback process. These feedback methods have gained popularity, but they are not without debate. Such software tools, according to detractors, erode collaboration and employee confidence (</w:t>
      </w:r>
      <w:proofErr w:type="spellStart"/>
      <w:r w:rsidR="00D17D3B" w:rsidRPr="008755D5">
        <w:rPr>
          <w:rFonts w:ascii="Arial" w:eastAsiaTheme="minorHAnsi" w:hAnsi="Arial" w:cs="Arial"/>
          <w:color w:val="auto"/>
          <w:sz w:val="24"/>
          <w:szCs w:val="24"/>
          <w:lang w:eastAsia="en-GB"/>
        </w:rPr>
        <w:t>Kraneis</w:t>
      </w:r>
      <w:proofErr w:type="spellEnd"/>
      <w:r w:rsidR="00D17D3B" w:rsidRPr="008755D5">
        <w:rPr>
          <w:rFonts w:ascii="Arial" w:eastAsiaTheme="minorHAnsi" w:hAnsi="Arial" w:cs="Arial"/>
          <w:color w:val="auto"/>
          <w:sz w:val="24"/>
          <w:szCs w:val="24"/>
          <w:lang w:eastAsia="en-GB"/>
        </w:rPr>
        <w:t>, 2022). Customers claim that it offers open and honest comments. In the meanwhile, the use of AI has started to influence several phases of the employee life cycle. It originally gained popularity for use in talent management since it made it more difficult for recruiters to swiftly sort through large numbers of applications and, presumably, reduced prejudice in the preliminary screening phase. (Anon, 2022)</w:t>
      </w:r>
      <w:r w:rsidR="00943FEC" w:rsidRPr="008755D5">
        <w:rPr>
          <w:rFonts w:ascii="Arial" w:eastAsiaTheme="minorHAnsi" w:hAnsi="Arial" w:cs="Arial"/>
          <w:color w:val="auto"/>
          <w:sz w:val="24"/>
          <w:szCs w:val="24"/>
          <w:lang w:eastAsia="en-GB"/>
        </w:rPr>
        <w:t xml:space="preserve">. With websites and portals like comparably Hilton can use AI </w:t>
      </w:r>
      <w:r w:rsidR="008755D5" w:rsidRPr="008755D5">
        <w:rPr>
          <w:rFonts w:ascii="Arial" w:eastAsiaTheme="minorHAnsi" w:hAnsi="Arial" w:cs="Arial"/>
          <w:color w:val="auto"/>
          <w:sz w:val="24"/>
          <w:szCs w:val="24"/>
          <w:lang w:eastAsia="en-GB"/>
        </w:rPr>
        <w:t>surveys</w:t>
      </w:r>
      <w:r w:rsidR="00943FEC" w:rsidRPr="008755D5">
        <w:rPr>
          <w:rFonts w:ascii="Arial" w:eastAsiaTheme="minorHAnsi" w:hAnsi="Arial" w:cs="Arial"/>
          <w:color w:val="auto"/>
          <w:sz w:val="24"/>
          <w:szCs w:val="24"/>
          <w:lang w:eastAsia="en-GB"/>
        </w:rPr>
        <w:t xml:space="preserve"> to know employee satisfaction.</w:t>
      </w:r>
    </w:p>
    <w:p w14:paraId="6F6F1CCA" w14:textId="45360CA0" w:rsidR="00C861FE" w:rsidRPr="008755D5" w:rsidRDefault="00C83A83" w:rsidP="008755D5">
      <w:pPr>
        <w:pStyle w:val="Heading1"/>
        <w:spacing w:line="360" w:lineRule="auto"/>
        <w:jc w:val="both"/>
        <w:rPr>
          <w:rFonts w:ascii="Arial" w:eastAsiaTheme="minorHAnsi" w:hAnsi="Arial" w:cs="Arial"/>
          <w:color w:val="auto"/>
          <w:sz w:val="24"/>
          <w:szCs w:val="24"/>
          <w:lang w:eastAsia="en-GB"/>
        </w:rPr>
      </w:pPr>
      <w:r w:rsidRPr="008755D5">
        <w:rPr>
          <w:rFonts w:ascii="Arial" w:eastAsiaTheme="minorHAnsi" w:hAnsi="Arial" w:cs="Arial"/>
          <w:color w:val="auto"/>
          <w:sz w:val="24"/>
          <w:szCs w:val="24"/>
          <w:lang w:eastAsia="en-GB"/>
        </w:rPr>
        <w:t>The role of human resources in engaging the employee</w:t>
      </w:r>
      <w:r w:rsidR="00943FEC" w:rsidRPr="008755D5">
        <w:rPr>
          <w:rFonts w:ascii="Arial" w:eastAsiaTheme="minorHAnsi" w:hAnsi="Arial" w:cs="Arial"/>
          <w:color w:val="auto"/>
          <w:sz w:val="24"/>
          <w:szCs w:val="24"/>
          <w:lang w:eastAsia="en-GB"/>
        </w:rPr>
        <w:t xml:space="preserve">. </w:t>
      </w:r>
      <w:r w:rsidR="00377810" w:rsidRPr="008755D5">
        <w:rPr>
          <w:rFonts w:ascii="Arial" w:eastAsiaTheme="minorHAnsi" w:hAnsi="Arial" w:cs="Arial"/>
          <w:color w:val="auto"/>
          <w:sz w:val="24"/>
          <w:szCs w:val="24"/>
          <w:lang w:eastAsia="en-GB"/>
        </w:rPr>
        <w:t xml:space="preserve">Employee engagement is a crucial issue for HR as well as organizations. Why? because of a significant lack of staff engagement, according to US research organization Gallup. Only 15% of the global workforce, </w:t>
      </w:r>
      <w:r w:rsidR="00C861FE" w:rsidRPr="008755D5">
        <w:rPr>
          <w:rFonts w:ascii="Arial" w:eastAsiaTheme="minorHAnsi" w:hAnsi="Arial" w:cs="Arial"/>
          <w:color w:val="auto"/>
          <w:sz w:val="24"/>
          <w:szCs w:val="24"/>
          <w:lang w:eastAsia="en-GB"/>
        </w:rPr>
        <w:t>is entirely devoted to their job, indicating a global crisis in employee engagement, based on the company's annual workforce study (</w:t>
      </w:r>
      <w:proofErr w:type="spellStart"/>
      <w:r w:rsidR="00C861FE" w:rsidRPr="008755D5">
        <w:rPr>
          <w:rFonts w:ascii="Arial" w:eastAsiaTheme="minorHAnsi" w:hAnsi="Arial" w:cs="Arial"/>
          <w:color w:val="auto"/>
          <w:sz w:val="24"/>
          <w:szCs w:val="24"/>
          <w:lang w:eastAsia="en-GB"/>
        </w:rPr>
        <w:t>Umme</w:t>
      </w:r>
      <w:proofErr w:type="spellEnd"/>
      <w:r w:rsidR="00C861FE" w:rsidRPr="008755D5">
        <w:rPr>
          <w:rFonts w:ascii="Arial" w:eastAsiaTheme="minorHAnsi" w:hAnsi="Arial" w:cs="Arial"/>
          <w:color w:val="auto"/>
          <w:sz w:val="24"/>
          <w:szCs w:val="24"/>
          <w:lang w:eastAsia="en-GB"/>
        </w:rPr>
        <w:t xml:space="preserve"> et al, 2019). What about the UK? There are figures that are even worse. Based on the 2017 "State of the Global Workforce" study, 11% of UK workers feel engaged at work. In the US, where 33% of workers said they felt engaged at work, conditions are substantially better. Given the available data, it is clear why HR and managers are concerned about employee engagement. Additionally, this explains how there are so many occupations, consultants, resources, and studies related to employee engagement. (DPG, n.d.)</w:t>
      </w:r>
    </w:p>
    <w:p w14:paraId="4C3A6D32" w14:textId="5A5B2E6E" w:rsidR="00C861FE" w:rsidRPr="008755D5" w:rsidRDefault="00C861FE"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HR must be a major player in increasing engagement across the board</w:t>
      </w:r>
      <w:r w:rsidR="00943FEC" w:rsidRPr="008755D5">
        <w:rPr>
          <w:rFonts w:ascii="Arial" w:hAnsi="Arial" w:cs="Arial"/>
          <w:sz w:val="24"/>
          <w:szCs w:val="24"/>
          <w:lang w:eastAsia="en-GB"/>
        </w:rPr>
        <w:t xml:space="preserve"> in big organizations like Hilton </w:t>
      </w:r>
      <w:r w:rsidR="008755D5" w:rsidRPr="008755D5">
        <w:rPr>
          <w:rFonts w:ascii="Arial" w:hAnsi="Arial" w:cs="Arial"/>
          <w:sz w:val="24"/>
          <w:szCs w:val="24"/>
          <w:lang w:eastAsia="en-GB"/>
        </w:rPr>
        <w:t>worldwide.</w:t>
      </w:r>
      <w:r w:rsidRPr="008755D5">
        <w:rPr>
          <w:rFonts w:ascii="Arial" w:hAnsi="Arial" w:cs="Arial"/>
          <w:sz w:val="24"/>
          <w:szCs w:val="24"/>
          <w:lang w:eastAsia="en-GB"/>
        </w:rPr>
        <w:t xml:space="preserve"> Employee engagement must be a priority in HR for everyone, independent of political roles or agendas (Connery,2022). Just think about it: what motivates workers to be involved at work as well? There are several possible solutions, such as such satisfying job, outstanding management, career opportunities, training, just associated perks, and aligned with the company's goals. Basically, you must get all of the HR basics right if you want to attain a high degree of employee engagement. 2019 (Astron Solutions)</w:t>
      </w:r>
    </w:p>
    <w:p w14:paraId="3CECF5FA" w14:textId="66FA9C54" w:rsidR="00C861FE" w:rsidRPr="008755D5" w:rsidRDefault="00C861FE"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lastRenderedPageBreak/>
        <w:t>Because it affects all facets of HR, employee engagement is an issue that is more complicated than it first appears to be. Give Regular Feedback that Truly Motivate (September 25) and Poor Workspace Traditions Help Understand UK's Productivity Woes, two Gallup employee satisfaction articles from this year, demonstrate how weak workplace cultures contribute to the UK's productivity challenges (October 6). HR</w:t>
      </w:r>
      <w:r w:rsidR="00943FEC" w:rsidRPr="008755D5">
        <w:rPr>
          <w:rFonts w:ascii="Arial" w:hAnsi="Arial" w:cs="Arial"/>
          <w:sz w:val="24"/>
          <w:szCs w:val="24"/>
          <w:lang w:eastAsia="en-GB"/>
        </w:rPr>
        <w:t xml:space="preserve"> of Hilton worldwide</w:t>
      </w:r>
      <w:r w:rsidRPr="008755D5">
        <w:rPr>
          <w:rFonts w:ascii="Arial" w:hAnsi="Arial" w:cs="Arial"/>
          <w:sz w:val="24"/>
          <w:szCs w:val="24"/>
          <w:lang w:eastAsia="en-GB"/>
        </w:rPr>
        <w:t xml:space="preserve"> must disregard or forget about managers and leaders. assisting managers and leaders in maintaining their motivation at work so they may motivate people who report to them. According to study from Towards Maturity, there is a serious problem with managerial involvement. Three out of five L&amp;D executives said that management involvement was one of the main obstacles to success in their study "Building Staff Engagement," which was conducted by In-Focus (</w:t>
      </w:r>
      <w:proofErr w:type="spellStart"/>
      <w:r w:rsidRPr="008755D5">
        <w:rPr>
          <w:rFonts w:ascii="Arial" w:hAnsi="Arial" w:cs="Arial"/>
          <w:sz w:val="24"/>
          <w:szCs w:val="24"/>
          <w:lang w:eastAsia="en-GB"/>
        </w:rPr>
        <w:t>Thompsen</w:t>
      </w:r>
      <w:proofErr w:type="spellEnd"/>
      <w:r w:rsidRPr="008755D5">
        <w:rPr>
          <w:rFonts w:ascii="Arial" w:hAnsi="Arial" w:cs="Arial"/>
          <w:sz w:val="24"/>
          <w:szCs w:val="24"/>
          <w:lang w:eastAsia="en-GB"/>
        </w:rPr>
        <w:t>, 2009).</w:t>
      </w:r>
    </w:p>
    <w:p w14:paraId="188E3615" w14:textId="3A7D1997" w:rsidR="00C861FE" w:rsidRPr="008755D5" w:rsidRDefault="00C861FE"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 xml:space="preserve">There are seven doable approaches to raise employee engagement in relation to Towards Maturity. Creating a strategy for communication that will win over both hearts and minds is one of them, along with educating trainees, making learning relevant and accessible, giving stakeholders </w:t>
      </w:r>
      <w:r w:rsidR="008755D5" w:rsidRPr="008755D5">
        <w:rPr>
          <w:rFonts w:ascii="Arial" w:hAnsi="Arial" w:cs="Arial"/>
          <w:sz w:val="24"/>
          <w:szCs w:val="24"/>
          <w:lang w:eastAsia="en-GB"/>
        </w:rPr>
        <w:t>the tools,</w:t>
      </w:r>
      <w:r w:rsidRPr="008755D5">
        <w:rPr>
          <w:rFonts w:ascii="Arial" w:hAnsi="Arial" w:cs="Arial"/>
          <w:sz w:val="24"/>
          <w:szCs w:val="24"/>
          <w:lang w:eastAsia="en-GB"/>
        </w:rPr>
        <w:t xml:space="preserve"> they need, boosting learning at work, restricting access, and rewarding achievement. (</w:t>
      </w:r>
      <w:proofErr w:type="spellStart"/>
      <w:r w:rsidRPr="008755D5">
        <w:rPr>
          <w:rFonts w:ascii="Arial" w:hAnsi="Arial" w:cs="Arial"/>
          <w:sz w:val="24"/>
          <w:szCs w:val="24"/>
          <w:lang w:eastAsia="en-GB"/>
        </w:rPr>
        <w:t>Solnet</w:t>
      </w:r>
      <w:proofErr w:type="spellEnd"/>
      <w:r w:rsidRPr="008755D5">
        <w:rPr>
          <w:rFonts w:ascii="Arial" w:hAnsi="Arial" w:cs="Arial"/>
          <w:sz w:val="24"/>
          <w:szCs w:val="24"/>
          <w:lang w:eastAsia="en-GB"/>
        </w:rPr>
        <w:t>, 2010)</w:t>
      </w:r>
    </w:p>
    <w:p w14:paraId="5AC3EF23" w14:textId="582E37EC" w:rsidR="00AD1E32" w:rsidRPr="008755D5" w:rsidRDefault="00C861FE"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 xml:space="preserve">You will benefit if you can manage staff engagement wow. Lines of business in the highest four of Gallup's worldwide </w:t>
      </w:r>
      <w:r w:rsidR="008755D5" w:rsidRPr="008755D5">
        <w:rPr>
          <w:rFonts w:ascii="Arial" w:hAnsi="Arial" w:cs="Arial"/>
          <w:sz w:val="24"/>
          <w:szCs w:val="24"/>
          <w:lang w:eastAsia="en-GB"/>
        </w:rPr>
        <w:t>datasets</w:t>
      </w:r>
      <w:r w:rsidRPr="008755D5">
        <w:rPr>
          <w:rFonts w:ascii="Arial" w:hAnsi="Arial" w:cs="Arial"/>
          <w:sz w:val="24"/>
          <w:szCs w:val="24"/>
          <w:lang w:eastAsia="en-GB"/>
        </w:rPr>
        <w:t xml:space="preserve"> on employee satisfaction are 17% more efficient and 21% more lucrative than those in the lowest quartile, according to the company's study. (</w:t>
      </w:r>
      <w:proofErr w:type="spellStart"/>
      <w:r w:rsidRPr="008755D5">
        <w:rPr>
          <w:rFonts w:ascii="Arial" w:hAnsi="Arial" w:cs="Arial"/>
          <w:sz w:val="24"/>
          <w:szCs w:val="24"/>
          <w:lang w:eastAsia="en-GB"/>
        </w:rPr>
        <w:t>Empuls</w:t>
      </w:r>
      <w:proofErr w:type="spellEnd"/>
      <w:r w:rsidRPr="008755D5">
        <w:rPr>
          <w:rFonts w:ascii="Arial" w:hAnsi="Arial" w:cs="Arial"/>
          <w:sz w:val="24"/>
          <w:szCs w:val="24"/>
          <w:lang w:eastAsia="en-GB"/>
        </w:rPr>
        <w:t>, 2021)</w:t>
      </w:r>
    </w:p>
    <w:p w14:paraId="7C6FC8B5" w14:textId="663303A8" w:rsidR="00DA2291" w:rsidRPr="008755D5" w:rsidRDefault="00AD1E32" w:rsidP="008755D5">
      <w:pPr>
        <w:pStyle w:val="Heading1"/>
        <w:spacing w:line="360" w:lineRule="auto"/>
        <w:jc w:val="both"/>
        <w:rPr>
          <w:rFonts w:ascii="Arial" w:eastAsiaTheme="minorHAnsi" w:hAnsi="Arial" w:cs="Arial"/>
          <w:color w:val="auto"/>
          <w:sz w:val="24"/>
          <w:szCs w:val="24"/>
          <w:lang w:eastAsia="en-GB"/>
        </w:rPr>
      </w:pPr>
      <w:r w:rsidRPr="008755D5">
        <w:rPr>
          <w:rFonts w:ascii="Arial" w:eastAsiaTheme="minorHAnsi" w:hAnsi="Arial" w:cs="Arial"/>
          <w:color w:val="auto"/>
          <w:sz w:val="24"/>
          <w:szCs w:val="24"/>
          <w:lang w:eastAsia="en-GB"/>
        </w:rPr>
        <w:t>How to engage and advantages of engaging a team</w:t>
      </w:r>
      <w:r w:rsidR="00943FEC" w:rsidRPr="008755D5">
        <w:rPr>
          <w:rFonts w:ascii="Arial" w:eastAsiaTheme="minorHAnsi" w:hAnsi="Arial" w:cs="Arial"/>
          <w:color w:val="auto"/>
          <w:sz w:val="24"/>
          <w:szCs w:val="24"/>
          <w:lang w:eastAsia="en-GB"/>
        </w:rPr>
        <w:t xml:space="preserve"> at Hilton worldwide. </w:t>
      </w:r>
      <w:r w:rsidR="00DA2291" w:rsidRPr="008755D5">
        <w:rPr>
          <w:rFonts w:ascii="Arial" w:eastAsiaTheme="minorHAnsi" w:hAnsi="Arial" w:cs="Arial"/>
          <w:color w:val="auto"/>
          <w:sz w:val="24"/>
          <w:szCs w:val="24"/>
          <w:lang w:eastAsia="en-GB"/>
        </w:rPr>
        <w:t xml:space="preserve">Why It Matters: </w:t>
      </w:r>
      <w:r w:rsidR="00DC0041" w:rsidRPr="008755D5">
        <w:rPr>
          <w:rFonts w:ascii="Arial" w:eastAsiaTheme="minorHAnsi" w:hAnsi="Arial" w:cs="Arial"/>
          <w:color w:val="auto"/>
          <w:sz w:val="24"/>
          <w:szCs w:val="24"/>
          <w:lang w:eastAsia="en-GB"/>
        </w:rPr>
        <w:t xml:space="preserve">Some </w:t>
      </w:r>
      <w:r w:rsidR="00DA2291" w:rsidRPr="008755D5">
        <w:rPr>
          <w:rFonts w:ascii="Arial" w:eastAsiaTheme="minorHAnsi" w:hAnsi="Arial" w:cs="Arial"/>
          <w:color w:val="auto"/>
          <w:sz w:val="24"/>
          <w:szCs w:val="24"/>
          <w:lang w:eastAsia="en-GB"/>
        </w:rPr>
        <w:t>Proven Benefits of Employee Engagement</w:t>
      </w:r>
    </w:p>
    <w:p w14:paraId="1E88119D" w14:textId="0274D5BB" w:rsidR="00DA2291" w:rsidRPr="008755D5" w:rsidRDefault="00DA2291"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Advantages of employee satisfaction are well known. Six of many ways that having an engaged workforce may benefit an organization are discussed here. The happier a person is, the higher his involvement level is likely to be. Here are six of the many benefits of having motivated.</w:t>
      </w:r>
      <w:r w:rsidR="00B551BF" w:rsidRPr="008755D5">
        <w:rPr>
          <w:rFonts w:ascii="Arial" w:hAnsi="Arial" w:cs="Arial"/>
          <w:sz w:val="24"/>
          <w:szCs w:val="24"/>
          <w:lang w:eastAsia="en-GB"/>
        </w:rPr>
        <w:t xml:space="preserve"> (Burke, 2019)</w:t>
      </w:r>
    </w:p>
    <w:p w14:paraId="3D505357" w14:textId="63A10D64" w:rsidR="00B551BF" w:rsidRPr="008755D5" w:rsidRDefault="00F93950"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It boosts productivity by employee participation</w:t>
      </w:r>
      <w:r w:rsidR="00943FEC" w:rsidRPr="008755D5">
        <w:rPr>
          <w:rFonts w:ascii="Arial" w:hAnsi="Arial" w:cs="Arial"/>
          <w:sz w:val="24"/>
          <w:szCs w:val="24"/>
          <w:lang w:eastAsia="en-GB"/>
        </w:rPr>
        <w:t>. Hilton worldwide</w:t>
      </w:r>
      <w:r w:rsidRPr="008755D5">
        <w:rPr>
          <w:rFonts w:ascii="Arial" w:hAnsi="Arial" w:cs="Arial"/>
          <w:sz w:val="24"/>
          <w:szCs w:val="24"/>
          <w:lang w:eastAsia="en-GB"/>
        </w:rPr>
        <w:t xml:space="preserve"> team's most engaged members are often the ones who are most productive. Most of the time, they are </w:t>
      </w:r>
      <w:r w:rsidRPr="008755D5">
        <w:rPr>
          <w:rFonts w:ascii="Arial" w:hAnsi="Arial" w:cs="Arial"/>
          <w:sz w:val="24"/>
          <w:szCs w:val="24"/>
          <w:lang w:eastAsia="en-GB"/>
        </w:rPr>
        <w:lastRenderedPageBreak/>
        <w:t>committed to "going the extra mile" to make sure they are giving the best service possible.</w:t>
      </w:r>
      <w:r w:rsidR="00B551BF" w:rsidRPr="008755D5">
        <w:rPr>
          <w:rFonts w:ascii="Arial" w:hAnsi="Arial" w:cs="Arial"/>
          <w:sz w:val="24"/>
          <w:szCs w:val="24"/>
          <w:lang w:eastAsia="en-GB"/>
        </w:rPr>
        <w:t xml:space="preserve"> (</w:t>
      </w:r>
      <w:r w:rsidR="00643D5A" w:rsidRPr="008755D5">
        <w:rPr>
          <w:rFonts w:ascii="Arial" w:hAnsi="Arial" w:cs="Arial"/>
          <w:sz w:val="24"/>
          <w:szCs w:val="24"/>
          <w:lang w:eastAsia="en-GB"/>
        </w:rPr>
        <w:t>Adrian, 2011).</w:t>
      </w:r>
    </w:p>
    <w:p w14:paraId="49DA3BA8" w14:textId="29109E1F" w:rsidR="00732402" w:rsidRPr="008755D5" w:rsidRDefault="00DD000A"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Higher retention rate is expected with engaged workers</w:t>
      </w:r>
      <w:r w:rsidR="00943FEC" w:rsidRPr="008755D5">
        <w:rPr>
          <w:rFonts w:ascii="Arial" w:hAnsi="Arial" w:cs="Arial"/>
          <w:sz w:val="24"/>
          <w:szCs w:val="24"/>
          <w:lang w:eastAsia="en-GB"/>
        </w:rPr>
        <w:t xml:space="preserve">. </w:t>
      </w:r>
      <w:r w:rsidRPr="008755D5">
        <w:rPr>
          <w:rFonts w:ascii="Arial" w:hAnsi="Arial" w:cs="Arial"/>
          <w:sz w:val="24"/>
          <w:szCs w:val="24"/>
          <w:lang w:eastAsia="en-GB"/>
        </w:rPr>
        <w:t xml:space="preserve">Retaining </w:t>
      </w:r>
      <w:r w:rsidR="00943FEC" w:rsidRPr="008755D5">
        <w:rPr>
          <w:rFonts w:ascii="Arial" w:hAnsi="Arial" w:cs="Arial"/>
          <w:sz w:val="24"/>
          <w:szCs w:val="24"/>
          <w:lang w:eastAsia="en-GB"/>
        </w:rPr>
        <w:t xml:space="preserve">Hilton’s </w:t>
      </w:r>
      <w:r w:rsidRPr="008755D5">
        <w:rPr>
          <w:rFonts w:ascii="Arial" w:hAnsi="Arial" w:cs="Arial"/>
          <w:sz w:val="24"/>
          <w:szCs w:val="24"/>
          <w:lang w:eastAsia="en-GB"/>
        </w:rPr>
        <w:t>best employees ensures that the company retains a good culture and save as studies show that replace an employee costs 40% of the annual salary, not to add the hassle and cost of having to train a replace</w:t>
      </w:r>
      <w:r w:rsidR="00657022" w:rsidRPr="008755D5">
        <w:rPr>
          <w:rFonts w:ascii="Arial" w:hAnsi="Arial" w:cs="Arial"/>
          <w:sz w:val="24"/>
          <w:szCs w:val="24"/>
          <w:lang w:eastAsia="en-GB"/>
        </w:rPr>
        <w:t xml:space="preserve"> </w:t>
      </w:r>
      <w:r w:rsidR="003A1A10" w:rsidRPr="008755D5">
        <w:rPr>
          <w:rFonts w:ascii="Arial" w:hAnsi="Arial" w:cs="Arial"/>
          <w:sz w:val="24"/>
          <w:szCs w:val="24"/>
          <w:lang w:eastAsia="en-GB"/>
        </w:rPr>
        <w:t>(Lester, 2008)</w:t>
      </w:r>
      <w:r w:rsidRPr="008755D5">
        <w:rPr>
          <w:rFonts w:ascii="Arial" w:hAnsi="Arial" w:cs="Arial"/>
          <w:sz w:val="24"/>
          <w:szCs w:val="24"/>
          <w:lang w:eastAsia="en-GB"/>
        </w:rPr>
        <w:t>. There is a much higher chance that employees will feel safe, satisfied, and less likely to quit their jobs when companies focus on ensuring they reap the full benefit of engaged employees.</w:t>
      </w:r>
      <w:r w:rsidR="00B551BF" w:rsidRPr="008755D5">
        <w:rPr>
          <w:rFonts w:ascii="Arial" w:hAnsi="Arial" w:cs="Arial"/>
          <w:sz w:val="24"/>
          <w:szCs w:val="24"/>
          <w:lang w:eastAsia="en-GB"/>
        </w:rPr>
        <w:t xml:space="preserve"> </w:t>
      </w:r>
      <w:r w:rsidR="00C861FE" w:rsidRPr="008755D5">
        <w:rPr>
          <w:rFonts w:ascii="Arial" w:hAnsi="Arial" w:cs="Arial"/>
          <w:sz w:val="24"/>
          <w:szCs w:val="24"/>
          <w:lang w:eastAsia="en-GB"/>
        </w:rPr>
        <w:t xml:space="preserve">Once again, workers are more likely to quit their present employment if they aren't able to maximize their abilities, feel challenged, or love what they are doing. </w:t>
      </w:r>
      <w:r w:rsidR="00732402" w:rsidRPr="008755D5">
        <w:rPr>
          <w:rFonts w:ascii="Arial" w:hAnsi="Arial" w:cs="Arial"/>
          <w:sz w:val="24"/>
          <w:szCs w:val="24"/>
          <w:lang w:eastAsia="en-GB"/>
        </w:rPr>
        <w:t>(</w:t>
      </w:r>
      <w:r w:rsidR="008755D5" w:rsidRPr="008755D5">
        <w:rPr>
          <w:rFonts w:ascii="Arial" w:hAnsi="Arial" w:cs="Arial"/>
          <w:sz w:val="24"/>
          <w:szCs w:val="24"/>
          <w:lang w:eastAsia="en-GB"/>
        </w:rPr>
        <w:t>All</w:t>
      </w:r>
      <w:r w:rsidR="00732402" w:rsidRPr="008755D5">
        <w:rPr>
          <w:rFonts w:ascii="Arial" w:hAnsi="Arial" w:cs="Arial"/>
          <w:sz w:val="24"/>
          <w:szCs w:val="24"/>
          <w:lang w:eastAsia="en-GB"/>
        </w:rPr>
        <w:t xml:space="preserve"> signs of low engagement). Yet, delighted workers aren't driven to look for work elsewhere. </w:t>
      </w:r>
      <w:r w:rsidR="00B551BF" w:rsidRPr="008755D5">
        <w:rPr>
          <w:rFonts w:ascii="Arial" w:hAnsi="Arial" w:cs="Arial"/>
          <w:sz w:val="24"/>
          <w:szCs w:val="24"/>
          <w:lang w:eastAsia="en-GB"/>
        </w:rPr>
        <w:t>(Burke, 2019)</w:t>
      </w:r>
    </w:p>
    <w:p w14:paraId="4C73C9C7" w14:textId="7F46D505" w:rsidR="00DC0041" w:rsidRPr="008755D5" w:rsidRDefault="00DC0041"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Employee ingenuity is encouraged</w:t>
      </w:r>
      <w:r w:rsidR="00943FEC" w:rsidRPr="008755D5">
        <w:rPr>
          <w:rFonts w:ascii="Arial" w:hAnsi="Arial" w:cs="Arial"/>
          <w:sz w:val="24"/>
          <w:szCs w:val="24"/>
          <w:lang w:eastAsia="en-GB"/>
        </w:rPr>
        <w:t xml:space="preserve">. </w:t>
      </w:r>
      <w:r w:rsidRPr="008755D5">
        <w:rPr>
          <w:rFonts w:ascii="Arial" w:hAnsi="Arial" w:cs="Arial"/>
          <w:sz w:val="24"/>
          <w:szCs w:val="24"/>
          <w:lang w:eastAsia="en-GB"/>
        </w:rPr>
        <w:t>It is a well-known fact that proactive people put in more work, are more enthusiastic about their work, and produce fewer unique ideas in the office. Highly engaged people frequently seek for new ways to improve themselves and their teams due to a sense of ownership in their companies.</w:t>
      </w:r>
      <w:r w:rsidR="00D614EE" w:rsidRPr="008755D5">
        <w:rPr>
          <w:rFonts w:ascii="Arial" w:hAnsi="Arial" w:cs="Arial"/>
          <w:sz w:val="24"/>
          <w:szCs w:val="24"/>
          <w:lang w:eastAsia="en-GB"/>
        </w:rPr>
        <w:t xml:space="preserve"> (Employee Benefit News, 2018)</w:t>
      </w:r>
    </w:p>
    <w:p w14:paraId="1DD05381" w14:textId="1E6D6E5C" w:rsidR="00732402" w:rsidRPr="008755D5" w:rsidRDefault="00732402"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Better client service.</w:t>
      </w:r>
      <w:r w:rsidR="00943FEC" w:rsidRPr="008755D5">
        <w:rPr>
          <w:rFonts w:ascii="Arial" w:hAnsi="Arial" w:cs="Arial"/>
          <w:sz w:val="24"/>
          <w:szCs w:val="24"/>
          <w:lang w:eastAsia="en-GB"/>
        </w:rPr>
        <w:t xml:space="preserve"> </w:t>
      </w:r>
      <w:r w:rsidR="005C1248" w:rsidRPr="008755D5">
        <w:rPr>
          <w:rFonts w:ascii="Arial" w:hAnsi="Arial" w:cs="Arial"/>
          <w:sz w:val="24"/>
          <w:szCs w:val="24"/>
          <w:lang w:eastAsia="en-GB"/>
        </w:rPr>
        <w:t xml:space="preserve">Despite the advancement of the internet and the rise of self-service purchasing, providing exceptional service to customers is more crucial than ever. Clients are more likely to receive great service when employees are motivated. </w:t>
      </w:r>
      <w:r w:rsidRPr="008755D5">
        <w:rPr>
          <w:rFonts w:ascii="Arial" w:hAnsi="Arial" w:cs="Arial"/>
          <w:sz w:val="24"/>
          <w:szCs w:val="24"/>
          <w:lang w:eastAsia="en-GB"/>
        </w:rPr>
        <w:t>Workers who are genuinely engaged in their job convey it to the customers too though. The good news is that 7 out of 10 consumers will boost their spend by 13% with a company that provides a better customer experience. (E</w:t>
      </w:r>
      <w:r w:rsidR="005949A4" w:rsidRPr="008755D5">
        <w:rPr>
          <w:rFonts w:ascii="Arial" w:hAnsi="Arial" w:cs="Arial"/>
          <w:sz w:val="24"/>
          <w:szCs w:val="24"/>
          <w:lang w:eastAsia="en-GB"/>
        </w:rPr>
        <w:t>vans, 2013)</w:t>
      </w:r>
    </w:p>
    <w:p w14:paraId="3382CE43" w14:textId="77777777" w:rsidR="00732402" w:rsidRPr="008755D5" w:rsidRDefault="00732402" w:rsidP="008755D5">
      <w:pPr>
        <w:spacing w:line="360" w:lineRule="auto"/>
        <w:jc w:val="both"/>
        <w:rPr>
          <w:rFonts w:ascii="Arial" w:hAnsi="Arial" w:cs="Arial"/>
          <w:sz w:val="24"/>
          <w:szCs w:val="24"/>
          <w:lang w:eastAsia="en-GB"/>
        </w:rPr>
      </w:pPr>
    </w:p>
    <w:p w14:paraId="7D50CA6E" w14:textId="03020EB2" w:rsidR="007B41A6" w:rsidRPr="008755D5" w:rsidRDefault="007B41A6" w:rsidP="008755D5">
      <w:pPr>
        <w:pStyle w:val="Heading1"/>
        <w:spacing w:line="360" w:lineRule="auto"/>
        <w:jc w:val="both"/>
        <w:rPr>
          <w:rFonts w:ascii="Arial" w:eastAsiaTheme="minorHAnsi" w:hAnsi="Arial" w:cs="Arial"/>
          <w:color w:val="auto"/>
          <w:sz w:val="24"/>
          <w:szCs w:val="24"/>
          <w:lang w:eastAsia="en-GB"/>
        </w:rPr>
      </w:pPr>
      <w:r w:rsidRPr="008755D5">
        <w:rPr>
          <w:rFonts w:ascii="Arial" w:eastAsiaTheme="minorHAnsi" w:hAnsi="Arial" w:cs="Arial"/>
          <w:color w:val="auto"/>
          <w:sz w:val="24"/>
          <w:szCs w:val="24"/>
          <w:lang w:eastAsia="en-GB"/>
        </w:rPr>
        <w:t>Model AON-Hewitt (Employee Engagement)</w:t>
      </w:r>
    </w:p>
    <w:p w14:paraId="00FA76E5" w14:textId="23AFD376" w:rsidR="00922664" w:rsidRPr="008755D5" w:rsidRDefault="00922664" w:rsidP="008755D5">
      <w:pPr>
        <w:spacing w:line="360" w:lineRule="auto"/>
        <w:jc w:val="both"/>
        <w:rPr>
          <w:rFonts w:ascii="Arial" w:hAnsi="Arial" w:cs="Arial"/>
          <w:sz w:val="24"/>
          <w:szCs w:val="24"/>
          <w:lang w:eastAsia="en-GB"/>
        </w:rPr>
      </w:pPr>
    </w:p>
    <w:p w14:paraId="2B501D0B" w14:textId="737139B2" w:rsidR="00922664" w:rsidRPr="008755D5" w:rsidRDefault="00922664" w:rsidP="008755D5">
      <w:pPr>
        <w:spacing w:line="360" w:lineRule="auto"/>
        <w:jc w:val="both"/>
        <w:rPr>
          <w:rFonts w:ascii="Arial" w:hAnsi="Arial" w:cs="Arial"/>
          <w:sz w:val="24"/>
          <w:szCs w:val="24"/>
          <w:lang w:eastAsia="en-GB"/>
        </w:rPr>
      </w:pPr>
      <w:r w:rsidRPr="008755D5">
        <w:rPr>
          <w:rFonts w:ascii="Arial" w:hAnsi="Arial" w:cs="Arial"/>
          <w:noProof/>
          <w:sz w:val="24"/>
          <w:szCs w:val="24"/>
          <w:lang w:eastAsia="en-GB"/>
        </w:rPr>
        <w:lastRenderedPageBreak/>
        <w:drawing>
          <wp:inline distT="0" distB="0" distL="0" distR="0" wp14:anchorId="060D24A2" wp14:editId="766DF587">
            <wp:extent cx="5695950" cy="2819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5950" cy="2819400"/>
                    </a:xfrm>
                    <a:prstGeom prst="rect">
                      <a:avLst/>
                    </a:prstGeom>
                    <a:noFill/>
                  </pic:spPr>
                </pic:pic>
              </a:graphicData>
            </a:graphic>
          </wp:inline>
        </w:drawing>
      </w:r>
    </w:p>
    <w:p w14:paraId="59BF5308" w14:textId="77777777" w:rsidR="00922664" w:rsidRPr="008755D5" w:rsidRDefault="00922664" w:rsidP="008755D5">
      <w:pPr>
        <w:spacing w:line="360" w:lineRule="auto"/>
        <w:jc w:val="both"/>
        <w:rPr>
          <w:rFonts w:ascii="Arial" w:hAnsi="Arial" w:cs="Arial"/>
          <w:sz w:val="24"/>
          <w:szCs w:val="24"/>
          <w:lang w:eastAsia="en-GB"/>
        </w:rPr>
      </w:pPr>
    </w:p>
    <w:p w14:paraId="198B747B" w14:textId="77777777" w:rsidR="00CB355E" w:rsidRPr="008755D5" w:rsidRDefault="00CB355E" w:rsidP="008755D5">
      <w:pPr>
        <w:spacing w:line="360" w:lineRule="auto"/>
        <w:jc w:val="both"/>
        <w:rPr>
          <w:rFonts w:ascii="Arial" w:hAnsi="Arial" w:cs="Arial"/>
          <w:sz w:val="24"/>
          <w:szCs w:val="24"/>
          <w:lang w:eastAsia="en-GB"/>
        </w:rPr>
      </w:pPr>
    </w:p>
    <w:p w14:paraId="41D80976" w14:textId="257D401B" w:rsidR="005C1248" w:rsidRPr="008755D5" w:rsidRDefault="005C1248"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The AON-Hewitt model of engagement takes into account a number of elements necessary for peak productivity and performance</w:t>
      </w:r>
      <w:r w:rsidR="00943FEC" w:rsidRPr="008755D5">
        <w:rPr>
          <w:rFonts w:ascii="Arial" w:hAnsi="Arial" w:cs="Arial"/>
          <w:sz w:val="24"/>
          <w:szCs w:val="24"/>
          <w:lang w:eastAsia="en-GB"/>
        </w:rPr>
        <w:t xml:space="preserve"> for the organizations like Hilton worldwide</w:t>
      </w:r>
      <w:r w:rsidRPr="008755D5">
        <w:rPr>
          <w:rFonts w:ascii="Arial" w:hAnsi="Arial" w:cs="Arial"/>
          <w:sz w:val="24"/>
          <w:szCs w:val="24"/>
          <w:lang w:eastAsia="en-GB"/>
        </w:rPr>
        <w:t>. These include deliberate action, feelings, goals, and conscious cognition. The approach is based on three outcomes and six factors that influence employee engagement (the areas over which employers have the most control). (</w:t>
      </w:r>
      <w:proofErr w:type="spellStart"/>
      <w:proofErr w:type="gramStart"/>
      <w:r w:rsidRPr="008755D5">
        <w:rPr>
          <w:rFonts w:ascii="Arial" w:hAnsi="Arial" w:cs="Arial"/>
          <w:sz w:val="24"/>
          <w:szCs w:val="24"/>
          <w:lang w:eastAsia="en-GB"/>
        </w:rPr>
        <w:t>megan</w:t>
      </w:r>
      <w:proofErr w:type="spellEnd"/>
      <w:proofErr w:type="gramEnd"/>
      <w:r w:rsidRPr="008755D5">
        <w:rPr>
          <w:rFonts w:ascii="Arial" w:hAnsi="Arial" w:cs="Arial"/>
          <w:sz w:val="24"/>
          <w:szCs w:val="24"/>
          <w:lang w:eastAsia="en-GB"/>
        </w:rPr>
        <w:t xml:space="preserve"> </w:t>
      </w:r>
      <w:proofErr w:type="spellStart"/>
      <w:r w:rsidRPr="008755D5">
        <w:rPr>
          <w:rFonts w:ascii="Arial" w:hAnsi="Arial" w:cs="Arial"/>
          <w:sz w:val="24"/>
          <w:szCs w:val="24"/>
          <w:lang w:eastAsia="en-GB"/>
        </w:rPr>
        <w:t>thompson</w:t>
      </w:r>
      <w:proofErr w:type="spellEnd"/>
      <w:r w:rsidRPr="008755D5">
        <w:rPr>
          <w:rFonts w:ascii="Arial" w:hAnsi="Arial" w:cs="Arial"/>
          <w:sz w:val="24"/>
          <w:szCs w:val="24"/>
          <w:lang w:eastAsia="en-GB"/>
        </w:rPr>
        <w:t>, 2021)</w:t>
      </w:r>
    </w:p>
    <w:p w14:paraId="58D314C0" w14:textId="2F89D229" w:rsidR="005C1248" w:rsidRPr="008755D5" w:rsidRDefault="00DD0D34"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 xml:space="preserve">Perks and benefits like </w:t>
      </w:r>
      <w:r w:rsidR="005C1248" w:rsidRPr="008755D5">
        <w:rPr>
          <w:rFonts w:ascii="Arial" w:hAnsi="Arial" w:cs="Arial"/>
          <w:sz w:val="24"/>
          <w:szCs w:val="24"/>
          <w:lang w:eastAsia="en-GB"/>
        </w:rPr>
        <w:t xml:space="preserve">Pay, benefits, job stability, the workplace culture, and work-life balance are its fundamental components in driving. </w:t>
      </w:r>
      <w:r w:rsidRPr="008755D5">
        <w:rPr>
          <w:rFonts w:ascii="Arial" w:hAnsi="Arial" w:cs="Arial"/>
          <w:sz w:val="24"/>
          <w:szCs w:val="24"/>
          <w:lang w:eastAsia="en-GB"/>
        </w:rPr>
        <w:t xml:space="preserve"> </w:t>
      </w:r>
      <w:r w:rsidR="005C1248" w:rsidRPr="008755D5">
        <w:rPr>
          <w:rFonts w:ascii="Arial" w:hAnsi="Arial" w:cs="Arial"/>
          <w:sz w:val="24"/>
          <w:szCs w:val="24"/>
          <w:lang w:eastAsia="en-GB"/>
        </w:rPr>
        <w:t xml:space="preserve">Duties, achievement, power, autonomy, and teamwork are just a few of the elements that go into a work. </w:t>
      </w:r>
      <w:r w:rsidRPr="008755D5">
        <w:rPr>
          <w:rFonts w:ascii="Arial" w:hAnsi="Arial" w:cs="Arial"/>
          <w:sz w:val="24"/>
          <w:szCs w:val="24"/>
          <w:lang w:eastAsia="en-GB"/>
        </w:rPr>
        <w:t xml:space="preserve"> </w:t>
      </w:r>
      <w:r w:rsidR="005C1248" w:rsidRPr="008755D5">
        <w:rPr>
          <w:rFonts w:ascii="Arial" w:hAnsi="Arial" w:cs="Arial"/>
          <w:sz w:val="24"/>
          <w:szCs w:val="24"/>
          <w:lang w:eastAsia="en-GB"/>
        </w:rPr>
        <w:t xml:space="preserve">Aspects of business practices include talent management, staffing, communication, equality and diversity, and enabling infrastructure. </w:t>
      </w:r>
      <w:r w:rsidRPr="008755D5">
        <w:rPr>
          <w:rFonts w:ascii="Arial" w:hAnsi="Arial" w:cs="Arial"/>
          <w:sz w:val="24"/>
          <w:szCs w:val="24"/>
          <w:lang w:eastAsia="en-GB"/>
        </w:rPr>
        <w:t>B</w:t>
      </w:r>
      <w:r w:rsidR="005C1248" w:rsidRPr="008755D5">
        <w:rPr>
          <w:rFonts w:ascii="Arial" w:hAnsi="Arial" w:cs="Arial"/>
          <w:sz w:val="24"/>
          <w:szCs w:val="24"/>
          <w:lang w:eastAsia="en-GB"/>
        </w:rPr>
        <w:t xml:space="preserve">rand reputation, value enhancement, and corporate social responsibility </w:t>
      </w:r>
      <w:r w:rsidR="009042F8" w:rsidRPr="008755D5">
        <w:rPr>
          <w:rFonts w:ascii="Arial" w:hAnsi="Arial" w:cs="Arial"/>
          <w:sz w:val="24"/>
          <w:szCs w:val="24"/>
          <w:lang w:eastAsia="en-GB"/>
        </w:rPr>
        <w:t>like Hilton worldwide has shown (</w:t>
      </w:r>
      <w:proofErr w:type="spellStart"/>
      <w:r w:rsidR="009042F8" w:rsidRPr="008755D5">
        <w:rPr>
          <w:rFonts w:ascii="Arial" w:hAnsi="Arial" w:cs="Arial"/>
          <w:sz w:val="24"/>
          <w:szCs w:val="24"/>
          <w:lang w:eastAsia="en-GB"/>
        </w:rPr>
        <w:t>Reidhead</w:t>
      </w:r>
      <w:proofErr w:type="spellEnd"/>
      <w:r w:rsidR="009042F8" w:rsidRPr="008755D5">
        <w:rPr>
          <w:rFonts w:ascii="Arial" w:hAnsi="Arial" w:cs="Arial"/>
          <w:sz w:val="24"/>
          <w:szCs w:val="24"/>
          <w:lang w:eastAsia="en-GB"/>
        </w:rPr>
        <w:t xml:space="preserve"> C, 2020)</w:t>
      </w:r>
    </w:p>
    <w:p w14:paraId="262CDB79" w14:textId="060E1D2F" w:rsidR="008B1FCE" w:rsidRPr="008755D5" w:rsidRDefault="005C1248"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Accessibility &amp; attention in leadership</w:t>
      </w:r>
      <w:r w:rsidR="00DD0D34" w:rsidRPr="008755D5">
        <w:rPr>
          <w:rFonts w:ascii="Arial" w:hAnsi="Arial" w:cs="Arial"/>
          <w:sz w:val="24"/>
          <w:szCs w:val="24"/>
          <w:lang w:eastAsia="en-GB"/>
        </w:rPr>
        <w:t xml:space="preserve">. </w:t>
      </w:r>
      <w:r w:rsidRPr="008755D5">
        <w:rPr>
          <w:rFonts w:ascii="Arial" w:hAnsi="Arial" w:cs="Arial"/>
          <w:sz w:val="24"/>
          <w:szCs w:val="24"/>
          <w:lang w:eastAsia="en-GB"/>
        </w:rPr>
        <w:t>Possibilities for professional advancement, training and development, performance appraisal, personnel administration, awards, and recognition</w:t>
      </w:r>
      <w:r w:rsidR="00DD0D34" w:rsidRPr="008755D5">
        <w:rPr>
          <w:rFonts w:ascii="Arial" w:hAnsi="Arial" w:cs="Arial"/>
          <w:sz w:val="24"/>
          <w:szCs w:val="24"/>
          <w:lang w:eastAsia="en-GB"/>
        </w:rPr>
        <w:t xml:space="preserve">. </w:t>
      </w:r>
      <w:r w:rsidRPr="008755D5">
        <w:rPr>
          <w:rFonts w:ascii="Arial" w:hAnsi="Arial" w:cs="Arial"/>
          <w:sz w:val="24"/>
          <w:szCs w:val="24"/>
          <w:lang w:eastAsia="en-GB"/>
        </w:rPr>
        <w:t xml:space="preserve">The capacity of the drivers determines the primary engagement outcomes: Will extol the company's benefits to coworkers, potential employees, and clients. </w:t>
      </w:r>
      <w:r w:rsidR="00DD0D34" w:rsidRPr="008755D5">
        <w:rPr>
          <w:rFonts w:ascii="Arial" w:hAnsi="Arial" w:cs="Arial"/>
          <w:sz w:val="24"/>
          <w:szCs w:val="24"/>
          <w:lang w:eastAsia="en-GB"/>
        </w:rPr>
        <w:t xml:space="preserve"> </w:t>
      </w:r>
      <w:r w:rsidRPr="008755D5">
        <w:rPr>
          <w:rFonts w:ascii="Arial" w:hAnsi="Arial" w:cs="Arial"/>
          <w:sz w:val="24"/>
          <w:szCs w:val="24"/>
          <w:lang w:eastAsia="en-GB"/>
        </w:rPr>
        <w:t xml:space="preserve">Stay - </w:t>
      </w:r>
      <w:r w:rsidRPr="008755D5">
        <w:rPr>
          <w:rFonts w:ascii="Arial" w:hAnsi="Arial" w:cs="Arial"/>
          <w:sz w:val="24"/>
          <w:szCs w:val="24"/>
          <w:lang w:eastAsia="en-GB"/>
        </w:rPr>
        <w:lastRenderedPageBreak/>
        <w:t>have a strong sense of community and wouldn't quit the company easily</w:t>
      </w:r>
      <w:r w:rsidR="00DD0D34" w:rsidRPr="008755D5">
        <w:rPr>
          <w:rFonts w:ascii="Arial" w:hAnsi="Arial" w:cs="Arial"/>
          <w:sz w:val="24"/>
          <w:szCs w:val="24"/>
          <w:lang w:eastAsia="en-GB"/>
        </w:rPr>
        <w:t xml:space="preserve">. </w:t>
      </w:r>
      <w:r w:rsidRPr="008755D5">
        <w:rPr>
          <w:rFonts w:ascii="Arial" w:hAnsi="Arial" w:cs="Arial"/>
          <w:sz w:val="24"/>
          <w:szCs w:val="24"/>
          <w:lang w:eastAsia="en-GB"/>
        </w:rPr>
        <w:t>Strive: the desire to put up extra effort and succeed</w:t>
      </w:r>
      <w:r w:rsidR="008B1FCE" w:rsidRPr="008755D5">
        <w:rPr>
          <w:rFonts w:ascii="Arial" w:hAnsi="Arial" w:cs="Arial"/>
          <w:sz w:val="24"/>
          <w:szCs w:val="24"/>
          <w:lang w:eastAsia="en-GB"/>
        </w:rPr>
        <w:t>. (</w:t>
      </w:r>
      <w:proofErr w:type="spellStart"/>
      <w:proofErr w:type="gramStart"/>
      <w:r w:rsidR="008B1FCE" w:rsidRPr="008755D5">
        <w:rPr>
          <w:rFonts w:ascii="Arial" w:hAnsi="Arial" w:cs="Arial"/>
          <w:sz w:val="24"/>
          <w:szCs w:val="24"/>
          <w:lang w:eastAsia="en-GB"/>
        </w:rPr>
        <w:t>mega</w:t>
      </w:r>
      <w:r w:rsidR="009042F8" w:rsidRPr="008755D5">
        <w:rPr>
          <w:rFonts w:ascii="Arial" w:hAnsi="Arial" w:cs="Arial"/>
          <w:sz w:val="24"/>
          <w:szCs w:val="24"/>
          <w:lang w:eastAsia="en-GB"/>
        </w:rPr>
        <w:t>n</w:t>
      </w:r>
      <w:proofErr w:type="spellEnd"/>
      <w:proofErr w:type="gramEnd"/>
      <w:r w:rsidR="009042F8" w:rsidRPr="008755D5">
        <w:rPr>
          <w:rFonts w:ascii="Arial" w:hAnsi="Arial" w:cs="Arial"/>
          <w:sz w:val="24"/>
          <w:szCs w:val="24"/>
          <w:lang w:eastAsia="en-GB"/>
        </w:rPr>
        <w:t xml:space="preserve"> </w:t>
      </w:r>
      <w:proofErr w:type="spellStart"/>
      <w:r w:rsidR="008B1FCE" w:rsidRPr="008755D5">
        <w:rPr>
          <w:rFonts w:ascii="Arial" w:hAnsi="Arial" w:cs="Arial"/>
          <w:sz w:val="24"/>
          <w:szCs w:val="24"/>
          <w:lang w:eastAsia="en-GB"/>
        </w:rPr>
        <w:t>thompson</w:t>
      </w:r>
      <w:proofErr w:type="spellEnd"/>
      <w:r w:rsidR="008B1FCE" w:rsidRPr="008755D5">
        <w:rPr>
          <w:rFonts w:ascii="Arial" w:hAnsi="Arial" w:cs="Arial"/>
          <w:sz w:val="24"/>
          <w:szCs w:val="24"/>
          <w:lang w:eastAsia="en-GB"/>
        </w:rPr>
        <w:t>, 2021)</w:t>
      </w:r>
      <w:r w:rsidR="00F20DB8" w:rsidRPr="008755D5">
        <w:rPr>
          <w:rFonts w:ascii="Arial" w:hAnsi="Arial" w:cs="Arial"/>
          <w:sz w:val="24"/>
          <w:szCs w:val="24"/>
          <w:lang w:eastAsia="en-GB"/>
        </w:rPr>
        <w:t xml:space="preserve">. </w:t>
      </w:r>
    </w:p>
    <w:p w14:paraId="7B2867F6" w14:textId="1AD4486F" w:rsidR="00732402" w:rsidRPr="008755D5" w:rsidRDefault="00732402" w:rsidP="008755D5">
      <w:pPr>
        <w:pStyle w:val="Heading1"/>
        <w:spacing w:line="360" w:lineRule="auto"/>
        <w:jc w:val="both"/>
        <w:rPr>
          <w:rFonts w:ascii="Arial" w:hAnsi="Arial" w:cs="Arial"/>
          <w:sz w:val="24"/>
          <w:szCs w:val="24"/>
          <w:lang w:eastAsia="en-GB"/>
        </w:rPr>
      </w:pPr>
    </w:p>
    <w:p w14:paraId="6BA2D6AD" w14:textId="7E86C9AA" w:rsidR="00F20DB8" w:rsidRPr="008755D5" w:rsidRDefault="005C1248" w:rsidP="008755D5">
      <w:pPr>
        <w:spacing w:line="360" w:lineRule="auto"/>
        <w:jc w:val="both"/>
        <w:rPr>
          <w:rFonts w:ascii="Arial" w:hAnsi="Arial" w:cs="Arial"/>
          <w:sz w:val="24"/>
          <w:szCs w:val="24"/>
          <w:lang w:eastAsia="en-GB"/>
        </w:rPr>
      </w:pPr>
      <w:r w:rsidRPr="008755D5">
        <w:rPr>
          <w:rFonts w:ascii="Arial" w:hAnsi="Arial" w:cs="Arial"/>
          <w:sz w:val="24"/>
          <w:szCs w:val="24"/>
          <w:lang w:eastAsia="en-GB"/>
        </w:rPr>
        <w:t>To conclude, by putting in place successful techniques, businesses</w:t>
      </w:r>
      <w:r w:rsidR="00F20DB8" w:rsidRPr="008755D5">
        <w:rPr>
          <w:rFonts w:ascii="Arial" w:hAnsi="Arial" w:cs="Arial"/>
          <w:sz w:val="24"/>
          <w:szCs w:val="24"/>
          <w:lang w:eastAsia="en-GB"/>
        </w:rPr>
        <w:t xml:space="preserve"> like Hilton</w:t>
      </w:r>
      <w:r w:rsidRPr="008755D5">
        <w:rPr>
          <w:rFonts w:ascii="Arial" w:hAnsi="Arial" w:cs="Arial"/>
          <w:sz w:val="24"/>
          <w:szCs w:val="24"/>
          <w:lang w:eastAsia="en-GB"/>
        </w:rPr>
        <w:t xml:space="preserve"> may improve employee morale, reduce staff turnover, increase productivity, strengthen customer connections, and increase profitability. Employee engagement is crucial for all firms because of this.</w:t>
      </w:r>
      <w:r w:rsidR="00F20DB8" w:rsidRPr="008755D5">
        <w:rPr>
          <w:rFonts w:ascii="Arial" w:hAnsi="Arial" w:cs="Arial"/>
          <w:sz w:val="24"/>
          <w:szCs w:val="24"/>
          <w:lang w:eastAsia="en-GB"/>
        </w:rPr>
        <w:t xml:space="preserve"> After employing these strategies Hilton worldwide can make their employees satisfied and improve their life cycle in career life path. Because after COVID and major layoffs during these tough times Hilton has kept their image for being the best workplace to work at. Also, by applying these strategies and trends for employee engagement and satisfaction.</w:t>
      </w:r>
    </w:p>
    <w:p w14:paraId="74482BEE" w14:textId="6112A3B5" w:rsidR="00D45398" w:rsidRPr="008755D5" w:rsidRDefault="00D45398" w:rsidP="008755D5">
      <w:pPr>
        <w:spacing w:line="360" w:lineRule="auto"/>
        <w:jc w:val="both"/>
        <w:rPr>
          <w:rFonts w:ascii="Arial" w:hAnsi="Arial" w:cs="Arial"/>
          <w:sz w:val="24"/>
          <w:szCs w:val="24"/>
        </w:rPr>
      </w:pPr>
    </w:p>
    <w:p w14:paraId="51958EB9" w14:textId="71912BE4" w:rsidR="00FA760B" w:rsidRPr="008755D5" w:rsidRDefault="00FA760B" w:rsidP="008755D5">
      <w:pPr>
        <w:spacing w:line="360" w:lineRule="auto"/>
        <w:jc w:val="both"/>
        <w:rPr>
          <w:rFonts w:ascii="Arial" w:hAnsi="Arial" w:cs="Arial"/>
          <w:sz w:val="24"/>
          <w:szCs w:val="24"/>
        </w:rPr>
      </w:pPr>
    </w:p>
    <w:p w14:paraId="337F2CEC" w14:textId="40C5795C" w:rsidR="00DD13E0" w:rsidRPr="008755D5" w:rsidRDefault="00DD13E0" w:rsidP="008755D5">
      <w:pPr>
        <w:pStyle w:val="Heading1"/>
        <w:spacing w:line="360" w:lineRule="auto"/>
        <w:jc w:val="both"/>
        <w:rPr>
          <w:rFonts w:ascii="Arial" w:hAnsi="Arial" w:cs="Arial"/>
          <w:sz w:val="24"/>
          <w:szCs w:val="24"/>
        </w:rPr>
      </w:pPr>
    </w:p>
    <w:p w14:paraId="72CD9DF4" w14:textId="55318A2F" w:rsidR="005F6CD4" w:rsidRPr="008755D5" w:rsidRDefault="005F6CD4" w:rsidP="008755D5">
      <w:pPr>
        <w:spacing w:line="360" w:lineRule="auto"/>
        <w:jc w:val="both"/>
        <w:rPr>
          <w:rFonts w:ascii="Arial" w:hAnsi="Arial" w:cs="Arial"/>
          <w:sz w:val="24"/>
          <w:szCs w:val="24"/>
        </w:rPr>
      </w:pPr>
    </w:p>
    <w:p w14:paraId="688F0051" w14:textId="77777777" w:rsidR="005F6CD4" w:rsidRPr="008755D5" w:rsidRDefault="005F6CD4" w:rsidP="008755D5">
      <w:pPr>
        <w:spacing w:line="360" w:lineRule="auto"/>
        <w:jc w:val="both"/>
        <w:rPr>
          <w:rFonts w:ascii="Arial" w:hAnsi="Arial" w:cs="Arial"/>
          <w:color w:val="000000" w:themeColor="text1"/>
          <w:sz w:val="24"/>
          <w:szCs w:val="24"/>
        </w:rPr>
      </w:pPr>
    </w:p>
    <w:p w14:paraId="694DBE1D" w14:textId="39D094DB" w:rsidR="00FA760B" w:rsidRPr="008755D5" w:rsidRDefault="00FA760B" w:rsidP="008755D5">
      <w:pPr>
        <w:pStyle w:val="Heading1"/>
        <w:spacing w:line="360" w:lineRule="auto"/>
        <w:jc w:val="both"/>
        <w:rPr>
          <w:rFonts w:ascii="Arial" w:hAnsi="Arial" w:cs="Arial"/>
          <w:color w:val="000000" w:themeColor="text1"/>
          <w:sz w:val="24"/>
          <w:szCs w:val="24"/>
        </w:rPr>
      </w:pPr>
      <w:r w:rsidRPr="008755D5">
        <w:rPr>
          <w:rFonts w:ascii="Arial" w:hAnsi="Arial" w:cs="Arial"/>
          <w:color w:val="000000" w:themeColor="text1"/>
          <w:sz w:val="24"/>
          <w:szCs w:val="24"/>
        </w:rPr>
        <w:t>Reference</w:t>
      </w:r>
    </w:p>
    <w:p w14:paraId="03A9ADD4" w14:textId="77777777" w:rsidR="0078782A" w:rsidRPr="008755D5" w:rsidRDefault="0078782A" w:rsidP="008755D5">
      <w:pPr>
        <w:spacing w:line="360" w:lineRule="auto"/>
        <w:jc w:val="both"/>
        <w:rPr>
          <w:rFonts w:ascii="Arial" w:hAnsi="Arial" w:cs="Arial"/>
          <w:sz w:val="24"/>
          <w:szCs w:val="24"/>
        </w:rPr>
      </w:pPr>
    </w:p>
    <w:p w14:paraId="1F7E3F5C"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t xml:space="preserve">Anon, (2022). 6 Templates for Each Stage of the Employee Life Cycle for Long-Term Retention | Process Street | Checklist, Workflow and SOP Software. [online] Available at: </w:t>
      </w:r>
      <w:hyperlink r:id="rId7" w:history="1">
        <w:r w:rsidRPr="008755D5">
          <w:rPr>
            <w:rFonts w:ascii="Arial" w:hAnsi="Arial" w:cs="Arial"/>
            <w:color w:val="222222"/>
            <w:sz w:val="24"/>
            <w:szCs w:val="24"/>
            <w:shd w:val="clear" w:color="auto" w:fill="FFFFFF"/>
          </w:rPr>
          <w:t>https://www.process.st/employee-life-cycle/</w:t>
        </w:r>
      </w:hyperlink>
      <w:r w:rsidRPr="008755D5">
        <w:rPr>
          <w:rFonts w:ascii="Arial" w:hAnsi="Arial" w:cs="Arial"/>
          <w:color w:val="222222"/>
          <w:sz w:val="24"/>
          <w:szCs w:val="24"/>
          <w:shd w:val="clear" w:color="auto" w:fill="FFFFFF"/>
        </w:rPr>
        <w:t>.</w:t>
      </w:r>
    </w:p>
    <w:p w14:paraId="49517FBE"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t xml:space="preserve">Astron Solutions. (2019). What is HR’s Role in Employee Engagement? [online] Available at: </w:t>
      </w:r>
      <w:hyperlink r:id="rId8" w:history="1">
        <w:r w:rsidRPr="008755D5">
          <w:rPr>
            <w:rFonts w:ascii="Arial" w:eastAsiaTheme="minorHAnsi" w:hAnsi="Arial" w:cs="Arial"/>
            <w:color w:val="222222"/>
            <w:sz w:val="24"/>
            <w:szCs w:val="24"/>
            <w:shd w:val="clear" w:color="auto" w:fill="FFFFFF"/>
          </w:rPr>
          <w:t>https://astronsolutions.net/what-is-hrs-role-in-employee-engagement/</w:t>
        </w:r>
      </w:hyperlink>
      <w:r w:rsidRPr="008755D5">
        <w:rPr>
          <w:rFonts w:ascii="Arial" w:eastAsiaTheme="minorHAnsi" w:hAnsi="Arial" w:cs="Arial"/>
          <w:color w:val="222222"/>
          <w:sz w:val="24"/>
          <w:szCs w:val="24"/>
          <w:shd w:val="clear" w:color="auto" w:fill="FFFFFF"/>
        </w:rPr>
        <w:t>.</w:t>
      </w:r>
    </w:p>
    <w:p w14:paraId="569E7543" w14:textId="77777777" w:rsidR="0078782A" w:rsidRPr="008755D5" w:rsidRDefault="0078782A" w:rsidP="008755D5">
      <w:pPr>
        <w:spacing w:line="360" w:lineRule="auto"/>
        <w:jc w:val="both"/>
        <w:rPr>
          <w:rFonts w:ascii="Arial" w:hAnsi="Arial" w:cs="Arial"/>
          <w:color w:val="222222"/>
          <w:sz w:val="24"/>
          <w:szCs w:val="24"/>
          <w:shd w:val="clear" w:color="auto" w:fill="FFFFFF"/>
          <w:lang/>
        </w:rPr>
      </w:pPr>
      <w:r w:rsidRPr="008755D5">
        <w:rPr>
          <w:rFonts w:ascii="Arial" w:hAnsi="Arial" w:cs="Arial"/>
          <w:color w:val="222222"/>
          <w:sz w:val="24"/>
          <w:szCs w:val="24"/>
          <w:shd w:val="clear" w:color="auto" w:fill="FFFFFF"/>
        </w:rPr>
        <w:t>Bridger, E., 2022.</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Employee engagement: A practical introduction</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shd w:val="clear" w:color="auto" w:fill="FFFFFF"/>
        </w:rPr>
        <w:t>(Vol. 24). Kogan Page Publishers.</w:t>
      </w:r>
    </w:p>
    <w:p w14:paraId="180571FF" w14:textId="77777777" w:rsidR="0078782A" w:rsidRPr="008755D5" w:rsidRDefault="0078782A" w:rsidP="008755D5">
      <w:pPr>
        <w:spacing w:line="360" w:lineRule="auto"/>
        <w:jc w:val="both"/>
        <w:rPr>
          <w:rFonts w:ascii="Arial" w:hAnsi="Arial" w:cs="Arial"/>
          <w:color w:val="222222"/>
          <w:sz w:val="24"/>
          <w:szCs w:val="24"/>
          <w:shd w:val="clear" w:color="auto" w:fill="FFFFFF"/>
          <w:lang/>
        </w:rPr>
      </w:pPr>
      <w:r w:rsidRPr="008755D5">
        <w:rPr>
          <w:rFonts w:ascii="Arial" w:hAnsi="Arial" w:cs="Arial"/>
          <w:color w:val="222222"/>
          <w:sz w:val="24"/>
          <w:szCs w:val="24"/>
          <w:shd w:val="clear" w:color="auto" w:fill="FFFFFF"/>
          <w:lang/>
        </w:rPr>
        <w:t xml:space="preserve">BROWN, S. (2021) Employee engagement: how do we make it more than a moshpit of metrics? CIPD Voice. Issue 28. 12 April. </w:t>
      </w:r>
    </w:p>
    <w:p w14:paraId="23F2F145"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lastRenderedPageBreak/>
        <w:t>Buchanan, M.C., 2021.</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A Qualitative Exploration of Ways Generation Z Is Influencing Corporate Culture around Employee Lifecycle Management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shd w:val="clear" w:color="auto" w:fill="FFFFFF"/>
        </w:rPr>
        <w:t xml:space="preserve">(Doctoral dissertation, University of Colorado </w:t>
      </w:r>
      <w:proofErr w:type="spellStart"/>
      <w:r w:rsidRPr="008755D5">
        <w:rPr>
          <w:rFonts w:ascii="Arial" w:hAnsi="Arial" w:cs="Arial"/>
          <w:color w:val="222222"/>
          <w:sz w:val="24"/>
          <w:szCs w:val="24"/>
          <w:shd w:val="clear" w:color="auto" w:fill="FFFFFF"/>
        </w:rPr>
        <w:t>Colorado</w:t>
      </w:r>
      <w:proofErr w:type="spellEnd"/>
      <w:r w:rsidRPr="008755D5">
        <w:rPr>
          <w:rFonts w:ascii="Arial" w:hAnsi="Arial" w:cs="Arial"/>
          <w:color w:val="222222"/>
          <w:sz w:val="24"/>
          <w:szCs w:val="24"/>
          <w:shd w:val="clear" w:color="auto" w:fill="FFFFFF"/>
        </w:rPr>
        <w:t xml:space="preserve"> Springs).</w:t>
      </w:r>
    </w:p>
    <w:p w14:paraId="3A1EAF4C"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t>Burke, M., 2019. Six stages to success with the employee lifecycle.</w:t>
      </w:r>
    </w:p>
    <w:p w14:paraId="4637B82C"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t>Cohen, E., 2017. The employee life-cycle. In</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CSR for HR</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shd w:val="clear" w:color="auto" w:fill="FFFFFF"/>
        </w:rPr>
        <w:t>(pp. 248-257). Routledge.</w:t>
      </w:r>
    </w:p>
    <w:p w14:paraId="62A14759"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t>Connery, E., 2022. PEOPLE ANALYTICS enhances the employee lifecycle.</w:t>
      </w:r>
      <w:r w:rsidRPr="008755D5">
        <w:rPr>
          <w:rFonts w:ascii="Arial" w:eastAsiaTheme="minorHAnsi" w:hAnsi="Arial" w:cs="Arial"/>
          <w:sz w:val="24"/>
          <w:szCs w:val="24"/>
        </w:rPr>
        <w:t> </w:t>
      </w:r>
      <w:r w:rsidRPr="008755D5">
        <w:rPr>
          <w:rFonts w:ascii="Arial" w:eastAsiaTheme="minorHAnsi" w:hAnsi="Arial" w:cs="Arial"/>
          <w:color w:val="222222"/>
          <w:sz w:val="24"/>
          <w:szCs w:val="24"/>
          <w:shd w:val="clear" w:color="auto" w:fill="FFFFFF"/>
        </w:rPr>
        <w:t>HR Future,</w:t>
      </w:r>
      <w:r w:rsidRPr="008755D5">
        <w:rPr>
          <w:rFonts w:ascii="Arial" w:eastAsiaTheme="minorHAnsi" w:hAnsi="Arial" w:cs="Arial"/>
          <w:sz w:val="24"/>
          <w:szCs w:val="24"/>
        </w:rPr>
        <w:t> </w:t>
      </w:r>
      <w:r w:rsidRPr="008755D5">
        <w:rPr>
          <w:rFonts w:ascii="Arial" w:eastAsiaTheme="minorHAnsi" w:hAnsi="Arial" w:cs="Arial"/>
          <w:color w:val="222222"/>
          <w:sz w:val="24"/>
          <w:szCs w:val="24"/>
          <w:shd w:val="clear" w:color="auto" w:fill="FFFFFF"/>
        </w:rPr>
        <w:t>2022(6), pp.28-30.</w:t>
      </w:r>
    </w:p>
    <w:p w14:paraId="603B1997" w14:textId="77777777" w:rsidR="0078782A" w:rsidRPr="008755D5" w:rsidRDefault="0078782A" w:rsidP="008755D5">
      <w:pPr>
        <w:spacing w:line="360" w:lineRule="auto"/>
        <w:jc w:val="both"/>
        <w:rPr>
          <w:rFonts w:ascii="Arial" w:hAnsi="Arial" w:cs="Arial"/>
          <w:color w:val="222222"/>
          <w:sz w:val="24"/>
          <w:szCs w:val="24"/>
          <w:shd w:val="clear" w:color="auto" w:fill="FFFFFF"/>
          <w:lang/>
        </w:rPr>
      </w:pPr>
      <w:proofErr w:type="spellStart"/>
      <w:r w:rsidRPr="008755D5">
        <w:rPr>
          <w:rFonts w:ascii="Arial" w:hAnsi="Arial" w:cs="Arial"/>
          <w:color w:val="222222"/>
          <w:sz w:val="24"/>
          <w:szCs w:val="24"/>
          <w:shd w:val="clear" w:color="auto" w:fill="FFFFFF"/>
          <w:lang w:val="en-GB"/>
        </w:rPr>
        <w:t>crHilton</w:t>
      </w:r>
      <w:proofErr w:type="spellEnd"/>
      <w:r w:rsidRPr="008755D5">
        <w:rPr>
          <w:rFonts w:ascii="Arial" w:hAnsi="Arial" w:cs="Arial"/>
          <w:color w:val="222222"/>
          <w:sz w:val="24"/>
          <w:szCs w:val="24"/>
          <w:shd w:val="clear" w:color="auto" w:fill="FFFFFF"/>
          <w:lang w:val="en-GB"/>
        </w:rPr>
        <w:t xml:space="preserve">, 2017. Available at: </w:t>
      </w:r>
      <w:hyperlink r:id="rId9" w:history="1">
        <w:r w:rsidRPr="008755D5">
          <w:rPr>
            <w:rStyle w:val="Hyperlink"/>
            <w:rFonts w:ascii="Arial" w:hAnsi="Arial" w:cs="Arial"/>
            <w:sz w:val="24"/>
            <w:szCs w:val="24"/>
            <w:shd w:val="clear" w:color="auto" w:fill="FFFFFF"/>
            <w:lang/>
          </w:rPr>
          <w:t>https://cr.hilton.com/wp-content/uploads/2020/04/Hilton-Team-Member-Engagement.pdf</w:t>
        </w:r>
      </w:hyperlink>
    </w:p>
    <w:p w14:paraId="5651A426"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t xml:space="preserve">DPG. (n.d.). What is HR’s Role in Employee Engagement? [online] Available at: </w:t>
      </w:r>
      <w:hyperlink r:id="rId10" w:anchor=":~:text=HR%20has%20to%20ensure%20employees" w:history="1">
        <w:r w:rsidRPr="008755D5">
          <w:rPr>
            <w:rFonts w:ascii="Arial" w:eastAsiaTheme="minorHAnsi" w:hAnsi="Arial" w:cs="Arial"/>
            <w:color w:val="222222"/>
            <w:sz w:val="24"/>
            <w:szCs w:val="24"/>
            <w:shd w:val="clear" w:color="auto" w:fill="FFFFFF"/>
          </w:rPr>
          <w:t>https://dpglearn.co.uk/blog/human-resources/what-is-hr-s-role-in-employee-engagement/#:~:text=HR%20has%20to%20ensure%20employees</w:t>
        </w:r>
      </w:hyperlink>
      <w:r w:rsidRPr="008755D5">
        <w:rPr>
          <w:rFonts w:ascii="Arial" w:eastAsiaTheme="minorHAnsi" w:hAnsi="Arial" w:cs="Arial"/>
          <w:color w:val="222222"/>
          <w:sz w:val="24"/>
          <w:szCs w:val="24"/>
          <w:shd w:val="clear" w:color="auto" w:fill="FFFFFF"/>
        </w:rPr>
        <w:t>.</w:t>
      </w:r>
    </w:p>
    <w:p w14:paraId="15132E08"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t xml:space="preserve">Employee Benefit News. (2018). 5 employee life-cycle management providers to follow. [online] Available at: </w:t>
      </w:r>
      <w:hyperlink r:id="rId11" w:history="1">
        <w:r w:rsidRPr="008755D5">
          <w:rPr>
            <w:rFonts w:ascii="Arial" w:eastAsiaTheme="minorHAnsi" w:hAnsi="Arial" w:cs="Arial"/>
            <w:color w:val="222222"/>
            <w:sz w:val="24"/>
            <w:szCs w:val="24"/>
            <w:shd w:val="clear" w:color="auto" w:fill="FFFFFF"/>
          </w:rPr>
          <w:t>https://www.benefitnews.com/slideshow/5-employee-life-cycle-management-tools-to-follow</w:t>
        </w:r>
      </w:hyperlink>
      <w:r w:rsidRPr="008755D5">
        <w:rPr>
          <w:rFonts w:ascii="Arial" w:eastAsiaTheme="minorHAnsi" w:hAnsi="Arial" w:cs="Arial"/>
          <w:color w:val="222222"/>
          <w:sz w:val="24"/>
          <w:szCs w:val="24"/>
          <w:shd w:val="clear" w:color="auto" w:fill="FFFFFF"/>
        </w:rPr>
        <w:t>.</w:t>
      </w:r>
    </w:p>
    <w:p w14:paraId="1BD9B5C9"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proofErr w:type="spellStart"/>
      <w:r w:rsidRPr="008755D5">
        <w:rPr>
          <w:rFonts w:ascii="Arial" w:eastAsiaTheme="minorHAnsi" w:hAnsi="Arial" w:cs="Arial"/>
          <w:color w:val="222222"/>
          <w:sz w:val="24"/>
          <w:szCs w:val="24"/>
          <w:shd w:val="clear" w:color="auto" w:fill="FFFFFF"/>
        </w:rPr>
        <w:t>Empuls</w:t>
      </w:r>
      <w:proofErr w:type="spellEnd"/>
      <w:r w:rsidRPr="008755D5">
        <w:rPr>
          <w:rFonts w:ascii="Arial" w:eastAsiaTheme="minorHAnsi" w:hAnsi="Arial" w:cs="Arial"/>
          <w:color w:val="222222"/>
          <w:sz w:val="24"/>
          <w:szCs w:val="24"/>
          <w:shd w:val="clear" w:color="auto" w:fill="FFFFFF"/>
        </w:rPr>
        <w:t>. (2021). Evolving Role of HR in Employee Engagement. [online] Available at: https://blog.empuls.io/employee-engagement-in-hr/ [Accessed 18 Oct. 2022].</w:t>
      </w:r>
    </w:p>
    <w:p w14:paraId="0A1FA170" w14:textId="77777777" w:rsidR="0078782A" w:rsidRPr="008755D5" w:rsidRDefault="0078782A" w:rsidP="008755D5">
      <w:pPr>
        <w:spacing w:line="360" w:lineRule="auto"/>
        <w:jc w:val="both"/>
        <w:rPr>
          <w:rFonts w:ascii="Arial" w:hAnsi="Arial" w:cs="Arial"/>
          <w:sz w:val="24"/>
          <w:szCs w:val="24"/>
        </w:rPr>
      </w:pPr>
      <w:r w:rsidRPr="008755D5">
        <w:rPr>
          <w:rFonts w:ascii="Arial" w:hAnsi="Arial" w:cs="Arial"/>
          <w:color w:val="222222"/>
          <w:sz w:val="24"/>
          <w:szCs w:val="24"/>
          <w:shd w:val="clear" w:color="auto" w:fill="FFFFFF"/>
        </w:rPr>
        <w:t>Evans, M.M. and Ali, N., 2013, October. Bridging knowledge management life cycle theory and practice. In</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 xml:space="preserve">International Conference on Intellectual Capital, Knowledge Management and </w:t>
      </w:r>
      <w:proofErr w:type="spellStart"/>
      <w:r w:rsidRPr="008755D5">
        <w:rPr>
          <w:rFonts w:ascii="Arial" w:hAnsi="Arial" w:cs="Arial"/>
          <w:color w:val="222222"/>
          <w:sz w:val="24"/>
          <w:szCs w:val="24"/>
        </w:rPr>
        <w:t>Organisational</w:t>
      </w:r>
      <w:proofErr w:type="spellEnd"/>
      <w:r w:rsidRPr="008755D5">
        <w:rPr>
          <w:rFonts w:ascii="Arial" w:hAnsi="Arial" w:cs="Arial"/>
          <w:color w:val="222222"/>
          <w:sz w:val="24"/>
          <w:szCs w:val="24"/>
        </w:rPr>
        <w:t xml:space="preserve"> Learning ICICKM 2013–Conference Proceedings</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shd w:val="clear" w:color="auto" w:fill="FFFFFF"/>
        </w:rPr>
        <w:t>(pp. 156-165).</w:t>
      </w:r>
    </w:p>
    <w:p w14:paraId="7A80E8C0" w14:textId="77777777" w:rsidR="0078782A" w:rsidRPr="008755D5" w:rsidRDefault="0078782A" w:rsidP="008755D5">
      <w:pPr>
        <w:spacing w:line="360" w:lineRule="auto"/>
        <w:jc w:val="both"/>
        <w:rPr>
          <w:rFonts w:ascii="Arial" w:hAnsi="Arial" w:cs="Arial"/>
          <w:color w:val="222222"/>
          <w:sz w:val="24"/>
          <w:szCs w:val="24"/>
          <w:shd w:val="clear" w:color="auto" w:fill="FFFFFF"/>
        </w:rPr>
      </w:pPr>
      <w:proofErr w:type="spellStart"/>
      <w:r w:rsidRPr="008755D5">
        <w:rPr>
          <w:rFonts w:ascii="Arial" w:hAnsi="Arial" w:cs="Arial"/>
          <w:color w:val="222222"/>
          <w:sz w:val="24"/>
          <w:szCs w:val="24"/>
          <w:shd w:val="clear" w:color="auto" w:fill="FFFFFF"/>
        </w:rPr>
        <w:t>Gladka</w:t>
      </w:r>
      <w:proofErr w:type="spellEnd"/>
      <w:r w:rsidRPr="008755D5">
        <w:rPr>
          <w:rFonts w:ascii="Arial" w:hAnsi="Arial" w:cs="Arial"/>
          <w:color w:val="222222"/>
          <w:sz w:val="24"/>
          <w:szCs w:val="24"/>
          <w:shd w:val="clear" w:color="auto" w:fill="FFFFFF"/>
        </w:rPr>
        <w:t xml:space="preserve">, O., </w:t>
      </w:r>
      <w:proofErr w:type="spellStart"/>
      <w:r w:rsidRPr="008755D5">
        <w:rPr>
          <w:rFonts w:ascii="Arial" w:hAnsi="Arial" w:cs="Arial"/>
          <w:color w:val="222222"/>
          <w:sz w:val="24"/>
          <w:szCs w:val="24"/>
          <w:shd w:val="clear" w:color="auto" w:fill="FFFFFF"/>
        </w:rPr>
        <w:t>Fedorova</w:t>
      </w:r>
      <w:proofErr w:type="spellEnd"/>
      <w:r w:rsidRPr="008755D5">
        <w:rPr>
          <w:rFonts w:ascii="Arial" w:hAnsi="Arial" w:cs="Arial"/>
          <w:color w:val="222222"/>
          <w:sz w:val="24"/>
          <w:szCs w:val="24"/>
          <w:shd w:val="clear" w:color="auto" w:fill="FFFFFF"/>
        </w:rPr>
        <w:t xml:space="preserve">, V. and </w:t>
      </w:r>
      <w:proofErr w:type="spellStart"/>
      <w:r w:rsidRPr="008755D5">
        <w:rPr>
          <w:rFonts w:ascii="Arial" w:hAnsi="Arial" w:cs="Arial"/>
          <w:color w:val="222222"/>
          <w:sz w:val="24"/>
          <w:szCs w:val="24"/>
          <w:shd w:val="clear" w:color="auto" w:fill="FFFFFF"/>
        </w:rPr>
        <w:t>Dohadailo</w:t>
      </w:r>
      <w:proofErr w:type="spellEnd"/>
      <w:r w:rsidRPr="008755D5">
        <w:rPr>
          <w:rFonts w:ascii="Arial" w:hAnsi="Arial" w:cs="Arial"/>
          <w:color w:val="222222"/>
          <w:sz w:val="24"/>
          <w:szCs w:val="24"/>
          <w:shd w:val="clear" w:color="auto" w:fill="FFFFFF"/>
        </w:rPr>
        <w:t>, Y., 2022. Development of conceptual bases of the employee life cycle within an organization.</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Business: Theory and Practice</w:t>
      </w:r>
      <w:r w:rsidRPr="008755D5">
        <w:rPr>
          <w:rFonts w:ascii="Arial" w:hAnsi="Arial" w:cs="Arial"/>
          <w:color w:val="222222"/>
          <w:sz w:val="24"/>
          <w:szCs w:val="24"/>
          <w:shd w:val="clear" w:color="auto" w:fill="FFFFFF"/>
        </w:rPr>
        <w: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23</w:t>
      </w:r>
      <w:r w:rsidRPr="008755D5">
        <w:rPr>
          <w:rFonts w:ascii="Arial" w:hAnsi="Arial" w:cs="Arial"/>
          <w:color w:val="222222"/>
          <w:sz w:val="24"/>
          <w:szCs w:val="24"/>
          <w:shd w:val="clear" w:color="auto" w:fill="FFFFFF"/>
        </w:rPr>
        <w:t>(1), pp.39-52.</w:t>
      </w:r>
    </w:p>
    <w:p w14:paraId="3E6E0E41" w14:textId="77777777" w:rsidR="0078782A" w:rsidRPr="008755D5" w:rsidRDefault="0078782A" w:rsidP="008755D5">
      <w:pPr>
        <w:spacing w:line="360" w:lineRule="auto"/>
        <w:jc w:val="both"/>
        <w:rPr>
          <w:rFonts w:ascii="Arial" w:hAnsi="Arial" w:cs="Arial"/>
          <w:sz w:val="24"/>
          <w:szCs w:val="24"/>
        </w:rPr>
      </w:pPr>
      <w:proofErr w:type="spellStart"/>
      <w:r w:rsidRPr="008755D5">
        <w:rPr>
          <w:rFonts w:ascii="Arial" w:hAnsi="Arial" w:cs="Arial"/>
          <w:color w:val="222222"/>
          <w:sz w:val="24"/>
          <w:szCs w:val="24"/>
          <w:shd w:val="clear" w:color="auto" w:fill="FFFFFF"/>
        </w:rPr>
        <w:t>Gladka</w:t>
      </w:r>
      <w:proofErr w:type="spellEnd"/>
      <w:r w:rsidRPr="008755D5">
        <w:rPr>
          <w:rFonts w:ascii="Arial" w:hAnsi="Arial" w:cs="Arial"/>
          <w:color w:val="222222"/>
          <w:sz w:val="24"/>
          <w:szCs w:val="24"/>
          <w:shd w:val="clear" w:color="auto" w:fill="FFFFFF"/>
        </w:rPr>
        <w:t xml:space="preserve">, O., </w:t>
      </w:r>
      <w:proofErr w:type="spellStart"/>
      <w:r w:rsidRPr="008755D5">
        <w:rPr>
          <w:rFonts w:ascii="Arial" w:hAnsi="Arial" w:cs="Arial"/>
          <w:color w:val="222222"/>
          <w:sz w:val="24"/>
          <w:szCs w:val="24"/>
          <w:shd w:val="clear" w:color="auto" w:fill="FFFFFF"/>
        </w:rPr>
        <w:t>Fedorova</w:t>
      </w:r>
      <w:proofErr w:type="spellEnd"/>
      <w:r w:rsidRPr="008755D5">
        <w:rPr>
          <w:rFonts w:ascii="Arial" w:hAnsi="Arial" w:cs="Arial"/>
          <w:color w:val="222222"/>
          <w:sz w:val="24"/>
          <w:szCs w:val="24"/>
          <w:shd w:val="clear" w:color="auto" w:fill="FFFFFF"/>
        </w:rPr>
        <w:t xml:space="preserve">, V. and </w:t>
      </w:r>
      <w:proofErr w:type="spellStart"/>
      <w:r w:rsidRPr="008755D5">
        <w:rPr>
          <w:rFonts w:ascii="Arial" w:hAnsi="Arial" w:cs="Arial"/>
          <w:color w:val="222222"/>
          <w:sz w:val="24"/>
          <w:szCs w:val="24"/>
          <w:shd w:val="clear" w:color="auto" w:fill="FFFFFF"/>
        </w:rPr>
        <w:t>Dohadailo</w:t>
      </w:r>
      <w:proofErr w:type="spellEnd"/>
      <w:r w:rsidRPr="008755D5">
        <w:rPr>
          <w:rFonts w:ascii="Arial" w:hAnsi="Arial" w:cs="Arial"/>
          <w:color w:val="222222"/>
          <w:sz w:val="24"/>
          <w:szCs w:val="24"/>
          <w:shd w:val="clear" w:color="auto" w:fill="FFFFFF"/>
        </w:rPr>
        <w:t>, Y., 2022. Development of conceptual bases of the employee life cycle within an organization.</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Business: Theory and Practice</w:t>
      </w:r>
      <w:r w:rsidRPr="008755D5">
        <w:rPr>
          <w:rFonts w:ascii="Arial" w:hAnsi="Arial" w:cs="Arial"/>
          <w:color w:val="222222"/>
          <w:sz w:val="24"/>
          <w:szCs w:val="24"/>
          <w:shd w:val="clear" w:color="auto" w:fill="FFFFFF"/>
        </w:rPr>
        <w: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23</w:t>
      </w:r>
      <w:r w:rsidRPr="008755D5">
        <w:rPr>
          <w:rFonts w:ascii="Arial" w:hAnsi="Arial" w:cs="Arial"/>
          <w:color w:val="222222"/>
          <w:sz w:val="24"/>
          <w:szCs w:val="24"/>
          <w:shd w:val="clear" w:color="auto" w:fill="FFFFFF"/>
        </w:rPr>
        <w:t>(1), pp.39-52.</w:t>
      </w:r>
    </w:p>
    <w:p w14:paraId="1F259ADF"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lastRenderedPageBreak/>
        <w:t>Greatplacetowork,2019 available at:</w:t>
      </w:r>
      <w:r w:rsidRPr="008755D5">
        <w:rPr>
          <w:rFonts w:ascii="Arial" w:hAnsi="Arial" w:cs="Arial"/>
          <w:sz w:val="24"/>
          <w:szCs w:val="24"/>
        </w:rPr>
        <w:t xml:space="preserve"> </w:t>
      </w:r>
      <w:hyperlink r:id="rId12" w:history="1">
        <w:r w:rsidRPr="008755D5">
          <w:rPr>
            <w:rStyle w:val="Hyperlink"/>
            <w:rFonts w:ascii="Arial" w:hAnsi="Arial" w:cs="Arial"/>
            <w:sz w:val="24"/>
            <w:szCs w:val="24"/>
            <w:shd w:val="clear" w:color="auto" w:fill="FFFFFF"/>
          </w:rPr>
          <w:t>https://www.greatplacetowork.com/resources/blog/how-hilton-maintained-employee-trust-after-laying-off-10-000-staff</w:t>
        </w:r>
      </w:hyperlink>
    </w:p>
    <w:p w14:paraId="00B32CE4" w14:textId="77777777" w:rsidR="0078782A" w:rsidRPr="008755D5" w:rsidRDefault="0078782A" w:rsidP="008755D5">
      <w:pPr>
        <w:spacing w:line="360" w:lineRule="auto"/>
        <w:jc w:val="both"/>
        <w:rPr>
          <w:rFonts w:ascii="Arial" w:hAnsi="Arial" w:cs="Arial"/>
          <w:color w:val="222222"/>
          <w:sz w:val="24"/>
          <w:szCs w:val="24"/>
          <w:shd w:val="clear" w:color="auto" w:fill="FFFFFF"/>
        </w:rPr>
      </w:pPr>
      <w:proofErr w:type="spellStart"/>
      <w:r w:rsidRPr="008755D5">
        <w:rPr>
          <w:rFonts w:ascii="Arial" w:hAnsi="Arial" w:cs="Arial"/>
          <w:color w:val="222222"/>
          <w:sz w:val="24"/>
          <w:szCs w:val="24"/>
          <w:shd w:val="clear" w:color="auto" w:fill="FFFFFF"/>
        </w:rPr>
        <w:t>Kraneis</w:t>
      </w:r>
      <w:proofErr w:type="spellEnd"/>
      <w:r w:rsidRPr="008755D5">
        <w:rPr>
          <w:rFonts w:ascii="Arial" w:hAnsi="Arial" w:cs="Arial"/>
          <w:color w:val="222222"/>
          <w:sz w:val="24"/>
          <w:szCs w:val="24"/>
          <w:shd w:val="clear" w:color="auto" w:fill="FFFFFF"/>
        </w:rPr>
        <w:t>, T., 2022. Developing the early stages of the employee life cycle at case company X.</w:t>
      </w:r>
    </w:p>
    <w:p w14:paraId="74CDCC11"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t>Lester, D.L., Parnell, J.A. and Menefee, M.L., 2008. Organizational life cycle and innovation among entrepreneurial enterprises.</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Journal of Small Business Strategy</w:t>
      </w:r>
      <w:r w:rsidRPr="008755D5">
        <w:rPr>
          <w:rFonts w:ascii="Arial" w:hAnsi="Arial" w:cs="Arial"/>
          <w:color w:val="222222"/>
          <w:sz w:val="24"/>
          <w:szCs w:val="24"/>
          <w:shd w:val="clear" w:color="auto" w:fill="FFFFFF"/>
        </w:rPr>
        <w: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19</w:t>
      </w:r>
      <w:r w:rsidRPr="008755D5">
        <w:rPr>
          <w:rFonts w:ascii="Arial" w:hAnsi="Arial" w:cs="Arial"/>
          <w:color w:val="222222"/>
          <w:sz w:val="24"/>
          <w:szCs w:val="24"/>
          <w:shd w:val="clear" w:color="auto" w:fill="FFFFFF"/>
        </w:rPr>
        <w:t>(2), pp.37-50.</w:t>
      </w:r>
    </w:p>
    <w:p w14:paraId="161A8C95" w14:textId="77777777" w:rsidR="0078782A" w:rsidRPr="008755D5" w:rsidRDefault="0078782A" w:rsidP="008755D5">
      <w:pPr>
        <w:spacing w:line="360" w:lineRule="auto"/>
        <w:jc w:val="both"/>
        <w:rPr>
          <w:rFonts w:ascii="Arial" w:hAnsi="Arial" w:cs="Arial"/>
          <w:color w:val="222222"/>
          <w:sz w:val="24"/>
          <w:szCs w:val="24"/>
          <w:shd w:val="clear" w:color="auto" w:fill="FFFFFF"/>
        </w:rPr>
      </w:pPr>
      <w:r w:rsidRPr="008755D5">
        <w:rPr>
          <w:rFonts w:ascii="Arial" w:hAnsi="Arial" w:cs="Arial"/>
          <w:color w:val="222222"/>
          <w:sz w:val="24"/>
          <w:szCs w:val="24"/>
          <w:shd w:val="clear" w:color="auto" w:fill="FFFFFF"/>
        </w:rPr>
        <w:t xml:space="preserve">Leung, I. (2018). Building Engagement Throughout the Employee Lifecycle. [online] </w:t>
      </w:r>
      <w:proofErr w:type="spellStart"/>
      <w:r w:rsidRPr="008755D5">
        <w:rPr>
          <w:rFonts w:ascii="Arial" w:hAnsi="Arial" w:cs="Arial"/>
          <w:color w:val="222222"/>
          <w:sz w:val="24"/>
          <w:szCs w:val="24"/>
          <w:shd w:val="clear" w:color="auto" w:fill="FFFFFF"/>
        </w:rPr>
        <w:t>Enboarder</w:t>
      </w:r>
      <w:proofErr w:type="spellEnd"/>
      <w:r w:rsidRPr="008755D5">
        <w:rPr>
          <w:rFonts w:ascii="Arial" w:hAnsi="Arial" w:cs="Arial"/>
          <w:color w:val="222222"/>
          <w:sz w:val="24"/>
          <w:szCs w:val="24"/>
          <w:shd w:val="clear" w:color="auto" w:fill="FFFFFF"/>
        </w:rPr>
        <w:t xml:space="preserve">: Experience-Driven Onboarding. Available at: </w:t>
      </w:r>
      <w:hyperlink r:id="rId13" w:history="1">
        <w:r w:rsidRPr="008755D5">
          <w:rPr>
            <w:rFonts w:ascii="Arial" w:hAnsi="Arial" w:cs="Arial"/>
            <w:color w:val="222222"/>
            <w:sz w:val="24"/>
            <w:szCs w:val="24"/>
            <w:shd w:val="clear" w:color="auto" w:fill="FFFFFF"/>
          </w:rPr>
          <w:t>https://enboarder.com/2018/12/11/employee-engagement-lifecycle/</w:t>
        </w:r>
      </w:hyperlink>
      <w:r w:rsidRPr="008755D5">
        <w:rPr>
          <w:rFonts w:ascii="Arial" w:hAnsi="Arial" w:cs="Arial"/>
          <w:color w:val="222222"/>
          <w:sz w:val="24"/>
          <w:szCs w:val="24"/>
          <w:shd w:val="clear" w:color="auto" w:fill="FFFFFF"/>
        </w:rPr>
        <w:t>.</w:t>
      </w:r>
    </w:p>
    <w:p w14:paraId="138FFE6F" w14:textId="77777777" w:rsidR="0078782A" w:rsidRPr="008755D5" w:rsidRDefault="0078782A" w:rsidP="008755D5">
      <w:pPr>
        <w:spacing w:line="360" w:lineRule="auto"/>
        <w:jc w:val="both"/>
        <w:rPr>
          <w:rFonts w:ascii="Arial" w:hAnsi="Arial" w:cs="Arial"/>
          <w:sz w:val="24"/>
          <w:szCs w:val="24"/>
        </w:rPr>
      </w:pPr>
      <w:r w:rsidRPr="008755D5">
        <w:rPr>
          <w:rFonts w:ascii="Arial" w:hAnsi="Arial" w:cs="Arial"/>
          <w:color w:val="222222"/>
          <w:sz w:val="24"/>
          <w:szCs w:val="24"/>
          <w:shd w:val="clear" w:color="auto" w:fill="FFFFFF"/>
        </w:rPr>
        <w:t>McLeod, D. and Clarke, N., 2009. Engaging for Success: enhancing employee performance through employee engagement.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 xml:space="preserve">Richmond Surrey: </w:t>
      </w:r>
      <w:proofErr w:type="spellStart"/>
      <w:r w:rsidRPr="008755D5">
        <w:rPr>
          <w:rFonts w:ascii="Arial" w:hAnsi="Arial" w:cs="Arial"/>
          <w:color w:val="222222"/>
          <w:sz w:val="24"/>
          <w:szCs w:val="24"/>
        </w:rPr>
        <w:t>Cran</w:t>
      </w:r>
      <w:proofErr w:type="spellEnd"/>
      <w:r w:rsidRPr="008755D5">
        <w:rPr>
          <w:rFonts w:ascii="Arial" w:hAnsi="Arial" w:cs="Arial"/>
          <w:color w:val="222222"/>
          <w:sz w:val="24"/>
          <w:szCs w:val="24"/>
        </w:rPr>
        <w:t xml:space="preserve"> Copyright</w:t>
      </w:r>
      <w:r w:rsidRPr="008755D5">
        <w:rPr>
          <w:rFonts w:ascii="Arial" w:hAnsi="Arial" w:cs="Arial"/>
          <w:color w:val="222222"/>
          <w:sz w:val="24"/>
          <w:szCs w:val="24"/>
          <w:shd w:val="clear" w:color="auto" w:fill="FFFFFF"/>
        </w:rPr>
        <w:t>.</w:t>
      </w:r>
    </w:p>
    <w:p w14:paraId="162094AF"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proofErr w:type="spellStart"/>
      <w:r w:rsidRPr="008755D5">
        <w:rPr>
          <w:rFonts w:ascii="Arial" w:eastAsiaTheme="minorHAnsi" w:hAnsi="Arial" w:cs="Arial"/>
          <w:color w:val="222222"/>
          <w:sz w:val="24"/>
          <w:szCs w:val="24"/>
          <w:shd w:val="clear" w:color="auto" w:fill="FFFFFF"/>
        </w:rPr>
        <w:t>megan_thompson</w:t>
      </w:r>
      <w:proofErr w:type="spellEnd"/>
      <w:r w:rsidRPr="008755D5">
        <w:rPr>
          <w:rFonts w:ascii="Arial" w:eastAsiaTheme="minorHAnsi" w:hAnsi="Arial" w:cs="Arial"/>
          <w:color w:val="222222"/>
          <w:sz w:val="24"/>
          <w:szCs w:val="24"/>
          <w:shd w:val="clear" w:color="auto" w:fill="FFFFFF"/>
        </w:rPr>
        <w:t xml:space="preserve"> (2021). Employee Engagement Models and Theories. [online] </w:t>
      </w:r>
      <w:proofErr w:type="spellStart"/>
      <w:r w:rsidRPr="008755D5">
        <w:rPr>
          <w:rFonts w:ascii="Arial" w:eastAsiaTheme="minorHAnsi" w:hAnsi="Arial" w:cs="Arial"/>
          <w:color w:val="222222"/>
          <w:sz w:val="24"/>
          <w:szCs w:val="24"/>
          <w:shd w:val="clear" w:color="auto" w:fill="FFFFFF"/>
        </w:rPr>
        <w:t>WeThrive</w:t>
      </w:r>
      <w:proofErr w:type="spellEnd"/>
      <w:r w:rsidRPr="008755D5">
        <w:rPr>
          <w:rFonts w:ascii="Arial" w:eastAsiaTheme="minorHAnsi" w:hAnsi="Arial" w:cs="Arial"/>
          <w:color w:val="222222"/>
          <w:sz w:val="24"/>
          <w:szCs w:val="24"/>
          <w:shd w:val="clear" w:color="auto" w:fill="FFFFFF"/>
        </w:rPr>
        <w:t>. Available at: https://wethrive.net/employee-engagement/employee-engagement-models-and-theories/#:~:text=An%20employee%20engagement%20model%20is [Accessed 18 Oct. 2022].</w:t>
      </w:r>
    </w:p>
    <w:p w14:paraId="7AF4C56D" w14:textId="77777777" w:rsidR="0078782A" w:rsidRPr="008755D5" w:rsidRDefault="0078782A" w:rsidP="008755D5">
      <w:pPr>
        <w:spacing w:line="360" w:lineRule="auto"/>
        <w:jc w:val="both"/>
        <w:rPr>
          <w:rFonts w:ascii="Arial" w:hAnsi="Arial" w:cs="Arial"/>
          <w:color w:val="222222"/>
          <w:sz w:val="24"/>
          <w:szCs w:val="24"/>
          <w:shd w:val="clear" w:color="auto" w:fill="FFFFFF"/>
        </w:rPr>
      </w:pPr>
      <w:proofErr w:type="spellStart"/>
      <w:r w:rsidRPr="008755D5">
        <w:rPr>
          <w:rFonts w:ascii="Arial" w:hAnsi="Arial" w:cs="Arial"/>
          <w:color w:val="222222"/>
          <w:sz w:val="24"/>
          <w:szCs w:val="24"/>
          <w:shd w:val="clear" w:color="auto" w:fill="FFFFFF"/>
        </w:rPr>
        <w:t>Reidhead</w:t>
      </w:r>
      <w:proofErr w:type="spellEnd"/>
      <w:r w:rsidRPr="008755D5">
        <w:rPr>
          <w:rFonts w:ascii="Arial" w:hAnsi="Arial" w:cs="Arial"/>
          <w:color w:val="222222"/>
          <w:sz w:val="24"/>
          <w:szCs w:val="24"/>
          <w:shd w:val="clear" w:color="auto" w:fill="FFFFFF"/>
        </w:rPr>
        <w:t>, C., 2020. Impact of organizational culture on employee satisfaction: A case of Hilton hotel, United Kingdom.</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Journal of Economics and Business</w:t>
      </w:r>
      <w:r w:rsidRPr="008755D5">
        <w:rPr>
          <w:rFonts w:ascii="Arial" w:hAnsi="Arial" w:cs="Arial"/>
          <w:color w:val="222222"/>
          <w:sz w:val="24"/>
          <w:szCs w:val="24"/>
          <w:shd w:val="clear" w:color="auto" w:fill="FFFFFF"/>
        </w:rPr>
        <w: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3</w:t>
      </w:r>
      <w:r w:rsidRPr="008755D5">
        <w:rPr>
          <w:rFonts w:ascii="Arial" w:hAnsi="Arial" w:cs="Arial"/>
          <w:color w:val="222222"/>
          <w:sz w:val="24"/>
          <w:szCs w:val="24"/>
          <w:shd w:val="clear" w:color="auto" w:fill="FFFFFF"/>
        </w:rPr>
        <w:t>(1).</w:t>
      </w:r>
    </w:p>
    <w:p w14:paraId="1B46EE38"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lastRenderedPageBreak/>
        <w:t xml:space="preserve">SearchHRSoftware. (n.d.). What is an Employee Life Cycle? - Definition from WhatIs.com. [online] Available at: </w:t>
      </w:r>
      <w:hyperlink r:id="rId14" w:history="1">
        <w:r w:rsidRPr="008755D5">
          <w:rPr>
            <w:rFonts w:ascii="Arial" w:eastAsiaTheme="minorHAnsi" w:hAnsi="Arial" w:cs="Arial"/>
            <w:color w:val="222222"/>
            <w:sz w:val="24"/>
            <w:szCs w:val="24"/>
            <w:shd w:val="clear" w:color="auto" w:fill="FFFFFF"/>
          </w:rPr>
          <w:t>https://www.techtarget.com/searchhrsoftware/definition/employee-life-cycle</w:t>
        </w:r>
      </w:hyperlink>
      <w:r w:rsidRPr="008755D5">
        <w:rPr>
          <w:rFonts w:ascii="Arial" w:eastAsiaTheme="minorHAnsi" w:hAnsi="Arial" w:cs="Arial"/>
          <w:color w:val="222222"/>
          <w:sz w:val="24"/>
          <w:szCs w:val="24"/>
          <w:shd w:val="clear" w:color="auto" w:fill="FFFFFF"/>
        </w:rPr>
        <w:t>.</w:t>
      </w:r>
    </w:p>
    <w:p w14:paraId="0B2DAB7F" w14:textId="77777777" w:rsidR="0078782A" w:rsidRPr="008755D5" w:rsidRDefault="0078782A" w:rsidP="008755D5">
      <w:pPr>
        <w:pStyle w:val="Heading1"/>
        <w:spacing w:line="360" w:lineRule="auto"/>
        <w:jc w:val="both"/>
        <w:rPr>
          <w:rFonts w:ascii="Arial" w:eastAsiaTheme="minorHAnsi" w:hAnsi="Arial" w:cs="Arial"/>
          <w:color w:val="222222"/>
          <w:sz w:val="24"/>
          <w:szCs w:val="24"/>
          <w:shd w:val="clear" w:color="auto" w:fill="FFFFFF"/>
        </w:rPr>
      </w:pPr>
      <w:r w:rsidRPr="008755D5">
        <w:rPr>
          <w:rFonts w:ascii="Arial" w:eastAsiaTheme="minorHAnsi" w:hAnsi="Arial" w:cs="Arial"/>
          <w:color w:val="222222"/>
          <w:sz w:val="24"/>
          <w:szCs w:val="24"/>
          <w:shd w:val="clear" w:color="auto" w:fill="FFFFFF"/>
        </w:rPr>
        <w:t xml:space="preserve">SHRM (2019). Developing and Sustaining Employee Engagement. [online] SHRM. Available at: </w:t>
      </w:r>
      <w:hyperlink r:id="rId15" w:history="1">
        <w:r w:rsidRPr="008755D5">
          <w:rPr>
            <w:rFonts w:ascii="Arial" w:eastAsiaTheme="minorHAnsi" w:hAnsi="Arial" w:cs="Arial"/>
            <w:color w:val="222222"/>
            <w:sz w:val="24"/>
            <w:szCs w:val="24"/>
            <w:shd w:val="clear" w:color="auto" w:fill="FFFFFF"/>
          </w:rPr>
          <w:t>https://www.shrm.org/resourcesandtools/tools-and-samples/toolkits/pages/sustainingemployeeengagement.aspx</w:t>
        </w:r>
      </w:hyperlink>
      <w:r w:rsidRPr="008755D5">
        <w:rPr>
          <w:rFonts w:ascii="Arial" w:eastAsiaTheme="minorHAnsi" w:hAnsi="Arial" w:cs="Arial"/>
          <w:color w:val="222222"/>
          <w:sz w:val="24"/>
          <w:szCs w:val="24"/>
          <w:shd w:val="clear" w:color="auto" w:fill="FFFFFF"/>
        </w:rPr>
        <w:t>.</w:t>
      </w:r>
    </w:p>
    <w:p w14:paraId="7218CFBF" w14:textId="77777777" w:rsidR="0078782A" w:rsidRPr="008755D5" w:rsidRDefault="0078782A" w:rsidP="008755D5">
      <w:pPr>
        <w:spacing w:line="360" w:lineRule="auto"/>
        <w:jc w:val="both"/>
        <w:rPr>
          <w:rFonts w:ascii="Arial" w:hAnsi="Arial" w:cs="Arial"/>
          <w:sz w:val="24"/>
          <w:szCs w:val="24"/>
        </w:rPr>
      </w:pPr>
      <w:proofErr w:type="spellStart"/>
      <w:r w:rsidRPr="008755D5">
        <w:rPr>
          <w:rFonts w:ascii="Arial" w:hAnsi="Arial" w:cs="Arial"/>
          <w:color w:val="222222"/>
          <w:sz w:val="24"/>
          <w:szCs w:val="24"/>
          <w:shd w:val="clear" w:color="auto" w:fill="FFFFFF"/>
        </w:rPr>
        <w:t>Solnet</w:t>
      </w:r>
      <w:proofErr w:type="spellEnd"/>
      <w:r w:rsidRPr="008755D5">
        <w:rPr>
          <w:rFonts w:ascii="Arial" w:hAnsi="Arial" w:cs="Arial"/>
          <w:color w:val="222222"/>
          <w:sz w:val="24"/>
          <w:szCs w:val="24"/>
          <w:shd w:val="clear" w:color="auto" w:fill="FFFFFF"/>
        </w:rPr>
        <w:t>, D.J., Paulsen, N. and Cooper, C., 2010. Decline and turnaround: a literature review and proposed research agenda for the hotel sector.</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Current Issues in Tourism</w:t>
      </w:r>
      <w:r w:rsidRPr="008755D5">
        <w:rPr>
          <w:rFonts w:ascii="Arial" w:hAnsi="Arial" w:cs="Arial"/>
          <w:color w:val="222222"/>
          <w:sz w:val="24"/>
          <w:szCs w:val="24"/>
          <w:shd w:val="clear" w:color="auto" w:fill="FFFFFF"/>
        </w:rPr>
        <w:t>,</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13</w:t>
      </w:r>
      <w:r w:rsidRPr="008755D5">
        <w:rPr>
          <w:rFonts w:ascii="Arial" w:hAnsi="Arial" w:cs="Arial"/>
          <w:color w:val="222222"/>
          <w:sz w:val="24"/>
          <w:szCs w:val="24"/>
          <w:shd w:val="clear" w:color="auto" w:fill="FFFFFF"/>
        </w:rPr>
        <w:t>(2), pp.139-159.</w:t>
      </w:r>
    </w:p>
    <w:p w14:paraId="3CE6BD76" w14:textId="77777777" w:rsidR="0078782A" w:rsidRPr="008755D5" w:rsidRDefault="0078782A" w:rsidP="008755D5">
      <w:pPr>
        <w:spacing w:line="360" w:lineRule="auto"/>
        <w:jc w:val="both"/>
        <w:rPr>
          <w:rFonts w:ascii="Arial" w:hAnsi="Arial" w:cs="Arial"/>
          <w:color w:val="222222"/>
          <w:sz w:val="24"/>
          <w:szCs w:val="24"/>
          <w:shd w:val="clear" w:color="auto" w:fill="FFFFFF"/>
        </w:rPr>
      </w:pPr>
      <w:proofErr w:type="spellStart"/>
      <w:r w:rsidRPr="008755D5">
        <w:rPr>
          <w:rFonts w:ascii="Arial" w:hAnsi="Arial" w:cs="Arial"/>
          <w:color w:val="222222"/>
          <w:sz w:val="24"/>
          <w:szCs w:val="24"/>
          <w:shd w:val="clear" w:color="auto" w:fill="FFFFFF"/>
        </w:rPr>
        <w:t>Strayboots</w:t>
      </w:r>
      <w:proofErr w:type="spellEnd"/>
      <w:r w:rsidRPr="008755D5">
        <w:rPr>
          <w:rFonts w:ascii="Arial" w:hAnsi="Arial" w:cs="Arial"/>
          <w:color w:val="222222"/>
          <w:sz w:val="24"/>
          <w:szCs w:val="24"/>
          <w:shd w:val="clear" w:color="auto" w:fill="FFFFFF"/>
        </w:rPr>
        <w:t>, 2018. Employee engagement important employee lifecycle. [online] Available at: https://www.strayboots.com/blog/engagement-important-employee-lifecycle/</w:t>
      </w:r>
    </w:p>
    <w:p w14:paraId="7AFF2112" w14:textId="77777777" w:rsidR="0078782A" w:rsidRPr="008755D5" w:rsidRDefault="0078782A" w:rsidP="008755D5">
      <w:pPr>
        <w:spacing w:line="360" w:lineRule="auto"/>
        <w:jc w:val="both"/>
        <w:rPr>
          <w:rFonts w:ascii="Arial" w:hAnsi="Arial" w:cs="Arial"/>
          <w:color w:val="222222"/>
          <w:sz w:val="24"/>
          <w:szCs w:val="24"/>
          <w:shd w:val="clear" w:color="auto" w:fill="FFFFFF"/>
        </w:rPr>
      </w:pPr>
      <w:proofErr w:type="spellStart"/>
      <w:r w:rsidRPr="008755D5">
        <w:rPr>
          <w:rFonts w:ascii="Arial" w:hAnsi="Arial" w:cs="Arial"/>
          <w:color w:val="222222"/>
          <w:sz w:val="24"/>
          <w:szCs w:val="24"/>
          <w:shd w:val="clear" w:color="auto" w:fill="FFFFFF"/>
        </w:rPr>
        <w:t>Thompsen</w:t>
      </w:r>
      <w:proofErr w:type="spellEnd"/>
      <w:r w:rsidRPr="008755D5">
        <w:rPr>
          <w:rFonts w:ascii="Arial" w:hAnsi="Arial" w:cs="Arial"/>
          <w:color w:val="222222"/>
          <w:sz w:val="24"/>
          <w:szCs w:val="24"/>
          <w:shd w:val="clear" w:color="auto" w:fill="FFFFFF"/>
        </w:rPr>
        <w:t>, J.A., 2009.</w:t>
      </w:r>
      <w:r w:rsidRPr="008755D5">
        <w:rPr>
          <w:rStyle w:val="apple-converted-space"/>
          <w:rFonts w:ascii="Arial" w:hAnsi="Arial" w:cs="Arial"/>
          <w:color w:val="222222"/>
          <w:sz w:val="24"/>
          <w:szCs w:val="24"/>
          <w:shd w:val="clear" w:color="auto" w:fill="FFFFFF"/>
        </w:rPr>
        <w:t> </w:t>
      </w:r>
      <w:r w:rsidRPr="008755D5">
        <w:rPr>
          <w:rFonts w:ascii="Arial" w:hAnsi="Arial" w:cs="Arial"/>
          <w:color w:val="222222"/>
          <w:sz w:val="24"/>
          <w:szCs w:val="24"/>
        </w:rPr>
        <w:t>Achieving a triple win: Human capital management of the employee lifecycle</w:t>
      </w:r>
      <w:r w:rsidRPr="008755D5">
        <w:rPr>
          <w:rFonts w:ascii="Arial" w:hAnsi="Arial" w:cs="Arial"/>
          <w:color w:val="222222"/>
          <w:sz w:val="24"/>
          <w:szCs w:val="24"/>
          <w:shd w:val="clear" w:color="auto" w:fill="FFFFFF"/>
        </w:rPr>
        <w:t>. Routledge.</w:t>
      </w:r>
    </w:p>
    <w:p w14:paraId="28A49B23" w14:textId="77777777" w:rsidR="0078782A" w:rsidRPr="008755D5" w:rsidRDefault="0078782A" w:rsidP="008755D5">
      <w:pPr>
        <w:spacing w:line="360" w:lineRule="auto"/>
        <w:jc w:val="both"/>
        <w:rPr>
          <w:rFonts w:ascii="Arial" w:hAnsi="Arial" w:cs="Arial"/>
          <w:sz w:val="24"/>
          <w:szCs w:val="24"/>
        </w:rPr>
      </w:pPr>
      <w:proofErr w:type="spellStart"/>
      <w:r w:rsidRPr="008755D5">
        <w:rPr>
          <w:rFonts w:ascii="Arial" w:hAnsi="Arial" w:cs="Arial"/>
          <w:color w:val="222222"/>
          <w:sz w:val="24"/>
          <w:szCs w:val="24"/>
          <w:shd w:val="clear" w:color="auto" w:fill="FFFFFF"/>
        </w:rPr>
        <w:t>Umme</w:t>
      </w:r>
      <w:proofErr w:type="spellEnd"/>
      <w:r w:rsidRPr="008755D5">
        <w:rPr>
          <w:rFonts w:ascii="Arial" w:hAnsi="Arial" w:cs="Arial"/>
          <w:color w:val="222222"/>
          <w:sz w:val="24"/>
          <w:szCs w:val="24"/>
          <w:shd w:val="clear" w:color="auto" w:fill="FFFFFF"/>
        </w:rPr>
        <w:t xml:space="preserve">, S.N. and </w:t>
      </w:r>
      <w:proofErr w:type="spellStart"/>
      <w:r w:rsidRPr="008755D5">
        <w:rPr>
          <w:rFonts w:ascii="Arial" w:hAnsi="Arial" w:cs="Arial"/>
          <w:color w:val="222222"/>
          <w:sz w:val="24"/>
          <w:szCs w:val="24"/>
          <w:shd w:val="clear" w:color="auto" w:fill="FFFFFF"/>
        </w:rPr>
        <w:t>Urs</w:t>
      </w:r>
      <w:proofErr w:type="spellEnd"/>
      <w:r w:rsidRPr="008755D5">
        <w:rPr>
          <w:rFonts w:ascii="Arial" w:hAnsi="Arial" w:cs="Arial"/>
          <w:color w:val="222222"/>
          <w:sz w:val="24"/>
          <w:szCs w:val="24"/>
          <w:shd w:val="clear" w:color="auto" w:fill="FFFFFF"/>
        </w:rPr>
        <w:t xml:space="preserve">, G.B., 2019. A Study on Employee Life Cycle at </w:t>
      </w:r>
      <w:proofErr w:type="spellStart"/>
      <w:r w:rsidRPr="008755D5">
        <w:rPr>
          <w:rFonts w:ascii="Arial" w:hAnsi="Arial" w:cs="Arial"/>
          <w:color w:val="222222"/>
          <w:sz w:val="24"/>
          <w:szCs w:val="24"/>
          <w:shd w:val="clear" w:color="auto" w:fill="FFFFFF"/>
        </w:rPr>
        <w:t>Vistaar</w:t>
      </w:r>
      <w:proofErr w:type="spellEnd"/>
      <w:r w:rsidRPr="008755D5">
        <w:rPr>
          <w:rFonts w:ascii="Arial" w:hAnsi="Arial" w:cs="Arial"/>
          <w:color w:val="222222"/>
          <w:sz w:val="24"/>
          <w:szCs w:val="24"/>
          <w:shd w:val="clear" w:color="auto" w:fill="FFFFFF"/>
        </w:rPr>
        <w:t xml:space="preserve"> Financial Services Pvt. Ltd, </w:t>
      </w:r>
      <w:proofErr w:type="spellStart"/>
      <w:r w:rsidRPr="008755D5">
        <w:rPr>
          <w:rFonts w:ascii="Arial" w:hAnsi="Arial" w:cs="Arial"/>
          <w:color w:val="222222"/>
          <w:sz w:val="24"/>
          <w:szCs w:val="24"/>
          <w:shd w:val="clear" w:color="auto" w:fill="FFFFFF"/>
        </w:rPr>
        <w:t>Bengalur</w:t>
      </w:r>
      <w:proofErr w:type="spellEnd"/>
      <w:r w:rsidRPr="008755D5">
        <w:rPr>
          <w:rFonts w:ascii="Arial" w:hAnsi="Arial" w:cs="Arial"/>
          <w:color w:val="222222"/>
          <w:sz w:val="24"/>
          <w:szCs w:val="24"/>
          <w:shd w:val="clear" w:color="auto" w:fill="FFFFFF"/>
        </w:rPr>
        <w:t>.</w:t>
      </w:r>
    </w:p>
    <w:sectPr w:rsidR="0078782A" w:rsidRPr="008755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23E6BE2"/>
    <w:multiLevelType w:val="multilevel"/>
    <w:tmpl w:val="04F6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684C49"/>
    <w:multiLevelType w:val="hybridMultilevel"/>
    <w:tmpl w:val="A326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58675">
    <w:abstractNumId w:val="0"/>
  </w:num>
  <w:num w:numId="2" w16cid:durableId="991833403">
    <w:abstractNumId w:val="1"/>
  </w:num>
  <w:num w:numId="3" w16cid:durableId="1823225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84"/>
    <w:rsid w:val="0000485D"/>
    <w:rsid w:val="000463C8"/>
    <w:rsid w:val="00064F73"/>
    <w:rsid w:val="00117952"/>
    <w:rsid w:val="00163EF4"/>
    <w:rsid w:val="0018084E"/>
    <w:rsid w:val="00201A43"/>
    <w:rsid w:val="00205898"/>
    <w:rsid w:val="00287CA8"/>
    <w:rsid w:val="002A3FFB"/>
    <w:rsid w:val="002B7F21"/>
    <w:rsid w:val="00301B30"/>
    <w:rsid w:val="00357863"/>
    <w:rsid w:val="00377810"/>
    <w:rsid w:val="0039562C"/>
    <w:rsid w:val="003A1A10"/>
    <w:rsid w:val="003F67F0"/>
    <w:rsid w:val="00464014"/>
    <w:rsid w:val="00490FE9"/>
    <w:rsid w:val="00544695"/>
    <w:rsid w:val="005757B8"/>
    <w:rsid w:val="005949A4"/>
    <w:rsid w:val="005A0CED"/>
    <w:rsid w:val="005C1248"/>
    <w:rsid w:val="005C2617"/>
    <w:rsid w:val="005D0533"/>
    <w:rsid w:val="005F093D"/>
    <w:rsid w:val="005F5DF8"/>
    <w:rsid w:val="005F6CD4"/>
    <w:rsid w:val="006058BB"/>
    <w:rsid w:val="00622B27"/>
    <w:rsid w:val="00623944"/>
    <w:rsid w:val="00643D5A"/>
    <w:rsid w:val="006541F4"/>
    <w:rsid w:val="00657022"/>
    <w:rsid w:val="00670FB5"/>
    <w:rsid w:val="006958D1"/>
    <w:rsid w:val="00725C1D"/>
    <w:rsid w:val="00732402"/>
    <w:rsid w:val="00767588"/>
    <w:rsid w:val="0078782A"/>
    <w:rsid w:val="007B41A6"/>
    <w:rsid w:val="008559DC"/>
    <w:rsid w:val="0087020E"/>
    <w:rsid w:val="00872D0C"/>
    <w:rsid w:val="008755D5"/>
    <w:rsid w:val="00881103"/>
    <w:rsid w:val="008B1FCE"/>
    <w:rsid w:val="008C17F8"/>
    <w:rsid w:val="008C2172"/>
    <w:rsid w:val="008C6D6F"/>
    <w:rsid w:val="009042F8"/>
    <w:rsid w:val="00922664"/>
    <w:rsid w:val="00943FEC"/>
    <w:rsid w:val="00954288"/>
    <w:rsid w:val="009B3FC0"/>
    <w:rsid w:val="00A822AC"/>
    <w:rsid w:val="00AB7F13"/>
    <w:rsid w:val="00AD1E32"/>
    <w:rsid w:val="00AF5799"/>
    <w:rsid w:val="00AF60AC"/>
    <w:rsid w:val="00B40DD0"/>
    <w:rsid w:val="00B52B76"/>
    <w:rsid w:val="00B551BF"/>
    <w:rsid w:val="00BC2EDF"/>
    <w:rsid w:val="00BD0158"/>
    <w:rsid w:val="00BE454D"/>
    <w:rsid w:val="00C47A30"/>
    <w:rsid w:val="00C57B99"/>
    <w:rsid w:val="00C63E2B"/>
    <w:rsid w:val="00C83A83"/>
    <w:rsid w:val="00C861FE"/>
    <w:rsid w:val="00C878D1"/>
    <w:rsid w:val="00CB355E"/>
    <w:rsid w:val="00CB5AAF"/>
    <w:rsid w:val="00CE7EF8"/>
    <w:rsid w:val="00D17D3B"/>
    <w:rsid w:val="00D45398"/>
    <w:rsid w:val="00D614EE"/>
    <w:rsid w:val="00DA2291"/>
    <w:rsid w:val="00DB2C08"/>
    <w:rsid w:val="00DC0041"/>
    <w:rsid w:val="00DD000A"/>
    <w:rsid w:val="00DD0D34"/>
    <w:rsid w:val="00DD13E0"/>
    <w:rsid w:val="00DD1BAD"/>
    <w:rsid w:val="00DD6A1F"/>
    <w:rsid w:val="00DE347A"/>
    <w:rsid w:val="00E24955"/>
    <w:rsid w:val="00E341B0"/>
    <w:rsid w:val="00E73086"/>
    <w:rsid w:val="00EA5CD3"/>
    <w:rsid w:val="00ED1C32"/>
    <w:rsid w:val="00F03F55"/>
    <w:rsid w:val="00F20C74"/>
    <w:rsid w:val="00F20DB8"/>
    <w:rsid w:val="00F44207"/>
    <w:rsid w:val="00F61B2C"/>
    <w:rsid w:val="00F742B8"/>
    <w:rsid w:val="00F76BD7"/>
    <w:rsid w:val="00F93950"/>
    <w:rsid w:val="00FA5AB9"/>
    <w:rsid w:val="00FA760B"/>
    <w:rsid w:val="00FB0484"/>
    <w:rsid w:val="00FB2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D625"/>
  <w15:chartTrackingRefBased/>
  <w15:docId w15:val="{F439D685-DB02-4575-A84A-BE349B982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1E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AB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A760B"/>
    <w:rPr>
      <w:color w:val="0563C1" w:themeColor="hyperlink"/>
      <w:u w:val="single"/>
    </w:rPr>
  </w:style>
  <w:style w:type="character" w:styleId="UnresolvedMention">
    <w:name w:val="Unresolved Mention"/>
    <w:basedOn w:val="DefaultParagraphFont"/>
    <w:uiPriority w:val="99"/>
    <w:semiHidden/>
    <w:unhideWhenUsed/>
    <w:rsid w:val="00FA760B"/>
    <w:rPr>
      <w:color w:val="605E5C"/>
      <w:shd w:val="clear" w:color="auto" w:fill="E1DFDD"/>
    </w:rPr>
  </w:style>
  <w:style w:type="paragraph" w:styleId="NormalWeb">
    <w:name w:val="Normal (Web)"/>
    <w:basedOn w:val="Normal"/>
    <w:uiPriority w:val="99"/>
    <w:unhideWhenUsed/>
    <w:rsid w:val="00C83A83"/>
    <w:pPr>
      <w:spacing w:before="100" w:beforeAutospacing="1" w:after="100" w:afterAutospacing="1" w:line="240" w:lineRule="auto"/>
    </w:pPr>
    <w:rPr>
      <w:rFonts w:ascii="Arial Unicode MS" w:eastAsia="Times New Roman" w:hAnsi="Calibri" w:cs="Times New Roman"/>
      <w:sz w:val="24"/>
      <w:szCs w:val="24"/>
      <w:lang w:val="en-GB"/>
    </w:rPr>
  </w:style>
  <w:style w:type="character" w:customStyle="1" w:styleId="Heading2Char">
    <w:name w:val="Heading 2 Char"/>
    <w:basedOn w:val="DefaultParagraphFont"/>
    <w:link w:val="Heading2"/>
    <w:uiPriority w:val="9"/>
    <w:semiHidden/>
    <w:rsid w:val="00AD1E3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C63E2B"/>
  </w:style>
  <w:style w:type="paragraph" w:styleId="ListParagraph">
    <w:name w:val="List Paragraph"/>
    <w:basedOn w:val="Normal"/>
    <w:uiPriority w:val="34"/>
    <w:qFormat/>
    <w:rsid w:val="006570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5111">
      <w:bodyDiv w:val="1"/>
      <w:marLeft w:val="0"/>
      <w:marRight w:val="0"/>
      <w:marTop w:val="0"/>
      <w:marBottom w:val="0"/>
      <w:divBdr>
        <w:top w:val="none" w:sz="0" w:space="0" w:color="auto"/>
        <w:left w:val="none" w:sz="0" w:space="0" w:color="auto"/>
        <w:bottom w:val="none" w:sz="0" w:space="0" w:color="auto"/>
        <w:right w:val="none" w:sz="0" w:space="0" w:color="auto"/>
      </w:divBdr>
      <w:divsChild>
        <w:div w:id="602081020">
          <w:marLeft w:val="0"/>
          <w:marRight w:val="0"/>
          <w:marTop w:val="0"/>
          <w:marBottom w:val="0"/>
          <w:divBdr>
            <w:top w:val="none" w:sz="0" w:space="0" w:color="auto"/>
            <w:left w:val="none" w:sz="0" w:space="0" w:color="auto"/>
            <w:bottom w:val="none" w:sz="0" w:space="0" w:color="auto"/>
            <w:right w:val="none" w:sz="0" w:space="0" w:color="auto"/>
          </w:divBdr>
          <w:divsChild>
            <w:div w:id="1967009726">
              <w:marLeft w:val="0"/>
              <w:marRight w:val="0"/>
              <w:marTop w:val="0"/>
              <w:marBottom w:val="0"/>
              <w:divBdr>
                <w:top w:val="none" w:sz="0" w:space="0" w:color="auto"/>
                <w:left w:val="none" w:sz="0" w:space="0" w:color="auto"/>
                <w:bottom w:val="none" w:sz="0" w:space="0" w:color="auto"/>
                <w:right w:val="none" w:sz="0" w:space="0" w:color="auto"/>
              </w:divBdr>
              <w:divsChild>
                <w:div w:id="1214195217">
                  <w:marLeft w:val="0"/>
                  <w:marRight w:val="0"/>
                  <w:marTop w:val="0"/>
                  <w:marBottom w:val="0"/>
                  <w:divBdr>
                    <w:top w:val="none" w:sz="0" w:space="0" w:color="auto"/>
                    <w:left w:val="none" w:sz="0" w:space="0" w:color="auto"/>
                    <w:bottom w:val="none" w:sz="0" w:space="0" w:color="auto"/>
                    <w:right w:val="none" w:sz="0" w:space="0" w:color="auto"/>
                  </w:divBdr>
                  <w:divsChild>
                    <w:div w:id="205088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092054">
      <w:bodyDiv w:val="1"/>
      <w:marLeft w:val="0"/>
      <w:marRight w:val="0"/>
      <w:marTop w:val="0"/>
      <w:marBottom w:val="0"/>
      <w:divBdr>
        <w:top w:val="none" w:sz="0" w:space="0" w:color="auto"/>
        <w:left w:val="none" w:sz="0" w:space="0" w:color="auto"/>
        <w:bottom w:val="none" w:sz="0" w:space="0" w:color="auto"/>
        <w:right w:val="none" w:sz="0" w:space="0" w:color="auto"/>
      </w:divBdr>
    </w:div>
    <w:div w:id="498621951">
      <w:bodyDiv w:val="1"/>
      <w:marLeft w:val="0"/>
      <w:marRight w:val="0"/>
      <w:marTop w:val="0"/>
      <w:marBottom w:val="0"/>
      <w:divBdr>
        <w:top w:val="none" w:sz="0" w:space="0" w:color="auto"/>
        <w:left w:val="none" w:sz="0" w:space="0" w:color="auto"/>
        <w:bottom w:val="none" w:sz="0" w:space="0" w:color="auto"/>
        <w:right w:val="none" w:sz="0" w:space="0" w:color="auto"/>
      </w:divBdr>
      <w:divsChild>
        <w:div w:id="179976507">
          <w:marLeft w:val="0"/>
          <w:marRight w:val="0"/>
          <w:marTop w:val="0"/>
          <w:marBottom w:val="150"/>
          <w:divBdr>
            <w:top w:val="none" w:sz="0" w:space="0" w:color="auto"/>
            <w:left w:val="none" w:sz="0" w:space="0" w:color="auto"/>
            <w:bottom w:val="none" w:sz="0" w:space="0" w:color="auto"/>
            <w:right w:val="none" w:sz="0" w:space="0" w:color="auto"/>
          </w:divBdr>
        </w:div>
        <w:div w:id="725645261">
          <w:marLeft w:val="300"/>
          <w:marRight w:val="0"/>
          <w:marTop w:val="0"/>
          <w:marBottom w:val="300"/>
          <w:divBdr>
            <w:top w:val="none" w:sz="0" w:space="0" w:color="auto"/>
            <w:left w:val="none" w:sz="0" w:space="0" w:color="auto"/>
            <w:bottom w:val="none" w:sz="0" w:space="0" w:color="auto"/>
            <w:right w:val="none" w:sz="0" w:space="0" w:color="auto"/>
          </w:divBdr>
        </w:div>
      </w:divsChild>
    </w:div>
    <w:div w:id="837115244">
      <w:bodyDiv w:val="1"/>
      <w:marLeft w:val="0"/>
      <w:marRight w:val="0"/>
      <w:marTop w:val="0"/>
      <w:marBottom w:val="0"/>
      <w:divBdr>
        <w:top w:val="none" w:sz="0" w:space="0" w:color="auto"/>
        <w:left w:val="none" w:sz="0" w:space="0" w:color="auto"/>
        <w:bottom w:val="none" w:sz="0" w:space="0" w:color="auto"/>
        <w:right w:val="none" w:sz="0" w:space="0" w:color="auto"/>
      </w:divBdr>
    </w:div>
    <w:div w:id="895698272">
      <w:bodyDiv w:val="1"/>
      <w:marLeft w:val="0"/>
      <w:marRight w:val="0"/>
      <w:marTop w:val="0"/>
      <w:marBottom w:val="0"/>
      <w:divBdr>
        <w:top w:val="none" w:sz="0" w:space="0" w:color="auto"/>
        <w:left w:val="none" w:sz="0" w:space="0" w:color="auto"/>
        <w:bottom w:val="none" w:sz="0" w:space="0" w:color="auto"/>
        <w:right w:val="none" w:sz="0" w:space="0" w:color="auto"/>
      </w:divBdr>
      <w:divsChild>
        <w:div w:id="1073970990">
          <w:marLeft w:val="0"/>
          <w:marRight w:val="0"/>
          <w:marTop w:val="0"/>
          <w:marBottom w:val="0"/>
          <w:divBdr>
            <w:top w:val="none" w:sz="0" w:space="0" w:color="auto"/>
            <w:left w:val="none" w:sz="0" w:space="0" w:color="auto"/>
            <w:bottom w:val="none" w:sz="0" w:space="0" w:color="auto"/>
            <w:right w:val="none" w:sz="0" w:space="0" w:color="auto"/>
          </w:divBdr>
          <w:divsChild>
            <w:div w:id="665476811">
              <w:marLeft w:val="0"/>
              <w:marRight w:val="0"/>
              <w:marTop w:val="0"/>
              <w:marBottom w:val="0"/>
              <w:divBdr>
                <w:top w:val="none" w:sz="0" w:space="0" w:color="auto"/>
                <w:left w:val="none" w:sz="0" w:space="0" w:color="auto"/>
                <w:bottom w:val="none" w:sz="0" w:space="0" w:color="auto"/>
                <w:right w:val="none" w:sz="0" w:space="0" w:color="auto"/>
              </w:divBdr>
              <w:divsChild>
                <w:div w:id="1476989010">
                  <w:marLeft w:val="0"/>
                  <w:marRight w:val="0"/>
                  <w:marTop w:val="0"/>
                  <w:marBottom w:val="0"/>
                  <w:divBdr>
                    <w:top w:val="none" w:sz="0" w:space="0" w:color="auto"/>
                    <w:left w:val="none" w:sz="0" w:space="0" w:color="auto"/>
                    <w:bottom w:val="none" w:sz="0" w:space="0" w:color="auto"/>
                    <w:right w:val="none" w:sz="0" w:space="0" w:color="auto"/>
                  </w:divBdr>
                  <w:divsChild>
                    <w:div w:id="71520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46306">
      <w:bodyDiv w:val="1"/>
      <w:marLeft w:val="0"/>
      <w:marRight w:val="0"/>
      <w:marTop w:val="0"/>
      <w:marBottom w:val="0"/>
      <w:divBdr>
        <w:top w:val="none" w:sz="0" w:space="0" w:color="auto"/>
        <w:left w:val="none" w:sz="0" w:space="0" w:color="auto"/>
        <w:bottom w:val="none" w:sz="0" w:space="0" w:color="auto"/>
        <w:right w:val="none" w:sz="0" w:space="0" w:color="auto"/>
      </w:divBdr>
      <w:divsChild>
        <w:div w:id="221215867">
          <w:marLeft w:val="0"/>
          <w:marRight w:val="0"/>
          <w:marTop w:val="0"/>
          <w:marBottom w:val="0"/>
          <w:divBdr>
            <w:top w:val="none" w:sz="0" w:space="0" w:color="auto"/>
            <w:left w:val="none" w:sz="0" w:space="0" w:color="auto"/>
            <w:bottom w:val="none" w:sz="0" w:space="0" w:color="auto"/>
            <w:right w:val="none" w:sz="0" w:space="0" w:color="auto"/>
          </w:divBdr>
          <w:divsChild>
            <w:div w:id="6010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72836">
      <w:bodyDiv w:val="1"/>
      <w:marLeft w:val="0"/>
      <w:marRight w:val="0"/>
      <w:marTop w:val="0"/>
      <w:marBottom w:val="0"/>
      <w:divBdr>
        <w:top w:val="none" w:sz="0" w:space="0" w:color="auto"/>
        <w:left w:val="none" w:sz="0" w:space="0" w:color="auto"/>
        <w:bottom w:val="none" w:sz="0" w:space="0" w:color="auto"/>
        <w:right w:val="none" w:sz="0" w:space="0" w:color="auto"/>
      </w:divBdr>
      <w:divsChild>
        <w:div w:id="1052071800">
          <w:marLeft w:val="0"/>
          <w:marRight w:val="0"/>
          <w:marTop w:val="0"/>
          <w:marBottom w:val="0"/>
          <w:divBdr>
            <w:top w:val="none" w:sz="0" w:space="0" w:color="auto"/>
            <w:left w:val="none" w:sz="0" w:space="0" w:color="auto"/>
            <w:bottom w:val="none" w:sz="0" w:space="0" w:color="auto"/>
            <w:right w:val="none" w:sz="0" w:space="0" w:color="auto"/>
          </w:divBdr>
        </w:div>
      </w:divsChild>
    </w:div>
    <w:div w:id="1515420596">
      <w:bodyDiv w:val="1"/>
      <w:marLeft w:val="0"/>
      <w:marRight w:val="0"/>
      <w:marTop w:val="0"/>
      <w:marBottom w:val="0"/>
      <w:divBdr>
        <w:top w:val="none" w:sz="0" w:space="0" w:color="auto"/>
        <w:left w:val="none" w:sz="0" w:space="0" w:color="auto"/>
        <w:bottom w:val="none" w:sz="0" w:space="0" w:color="auto"/>
        <w:right w:val="none" w:sz="0" w:space="0" w:color="auto"/>
      </w:divBdr>
    </w:div>
    <w:div w:id="1571111638">
      <w:bodyDiv w:val="1"/>
      <w:marLeft w:val="0"/>
      <w:marRight w:val="0"/>
      <w:marTop w:val="0"/>
      <w:marBottom w:val="0"/>
      <w:divBdr>
        <w:top w:val="none" w:sz="0" w:space="0" w:color="auto"/>
        <w:left w:val="none" w:sz="0" w:space="0" w:color="auto"/>
        <w:bottom w:val="none" w:sz="0" w:space="0" w:color="auto"/>
        <w:right w:val="none" w:sz="0" w:space="0" w:color="auto"/>
      </w:divBdr>
    </w:div>
    <w:div w:id="1701972051">
      <w:bodyDiv w:val="1"/>
      <w:marLeft w:val="0"/>
      <w:marRight w:val="0"/>
      <w:marTop w:val="0"/>
      <w:marBottom w:val="0"/>
      <w:divBdr>
        <w:top w:val="none" w:sz="0" w:space="0" w:color="auto"/>
        <w:left w:val="none" w:sz="0" w:space="0" w:color="auto"/>
        <w:bottom w:val="none" w:sz="0" w:space="0" w:color="auto"/>
        <w:right w:val="none" w:sz="0" w:space="0" w:color="auto"/>
      </w:divBdr>
    </w:div>
    <w:div w:id="1720089182">
      <w:bodyDiv w:val="1"/>
      <w:marLeft w:val="0"/>
      <w:marRight w:val="0"/>
      <w:marTop w:val="0"/>
      <w:marBottom w:val="0"/>
      <w:divBdr>
        <w:top w:val="none" w:sz="0" w:space="0" w:color="auto"/>
        <w:left w:val="none" w:sz="0" w:space="0" w:color="auto"/>
        <w:bottom w:val="none" w:sz="0" w:space="0" w:color="auto"/>
        <w:right w:val="none" w:sz="0" w:space="0" w:color="auto"/>
      </w:divBdr>
    </w:div>
    <w:div w:id="1794443230">
      <w:bodyDiv w:val="1"/>
      <w:marLeft w:val="0"/>
      <w:marRight w:val="0"/>
      <w:marTop w:val="0"/>
      <w:marBottom w:val="0"/>
      <w:divBdr>
        <w:top w:val="none" w:sz="0" w:space="0" w:color="auto"/>
        <w:left w:val="none" w:sz="0" w:space="0" w:color="auto"/>
        <w:bottom w:val="none" w:sz="0" w:space="0" w:color="auto"/>
        <w:right w:val="none" w:sz="0" w:space="0" w:color="auto"/>
      </w:divBdr>
      <w:divsChild>
        <w:div w:id="484666766">
          <w:marLeft w:val="0"/>
          <w:marRight w:val="0"/>
          <w:marTop w:val="0"/>
          <w:marBottom w:val="0"/>
          <w:divBdr>
            <w:top w:val="none" w:sz="0" w:space="0" w:color="auto"/>
            <w:left w:val="none" w:sz="0" w:space="0" w:color="auto"/>
            <w:bottom w:val="none" w:sz="0" w:space="0" w:color="auto"/>
            <w:right w:val="none" w:sz="0" w:space="0" w:color="auto"/>
          </w:divBdr>
          <w:divsChild>
            <w:div w:id="1519736422">
              <w:marLeft w:val="300"/>
              <w:marRight w:val="300"/>
              <w:marTop w:val="300"/>
              <w:marBottom w:val="300"/>
              <w:divBdr>
                <w:top w:val="none" w:sz="0" w:space="0" w:color="auto"/>
                <w:left w:val="none" w:sz="0" w:space="0" w:color="auto"/>
                <w:bottom w:val="none" w:sz="0" w:space="0" w:color="auto"/>
                <w:right w:val="none" w:sz="0" w:space="0" w:color="auto"/>
              </w:divBdr>
              <w:divsChild>
                <w:div w:id="13244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30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tronsolutions.net/what-is-hrs-role-in-employee-engagement/" TargetMode="External"/><Relationship Id="rId13" Type="http://schemas.openxmlformats.org/officeDocument/2006/relationships/hyperlink" Target="https://enboarder.com/2018/12/11/employee-engagement-lifecycle/" TargetMode="External"/><Relationship Id="rId3" Type="http://schemas.openxmlformats.org/officeDocument/2006/relationships/settings" Target="settings.xml"/><Relationship Id="rId7" Type="http://schemas.openxmlformats.org/officeDocument/2006/relationships/hyperlink" Target="https://www.process.st/employee-life-cycle/" TargetMode="External"/><Relationship Id="rId12" Type="http://schemas.openxmlformats.org/officeDocument/2006/relationships/hyperlink" Target="https://www.greatplacetowork.com/resources/blog/how-hilton-maintained-employee-trust-after-laying-off-10-000-staf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enefitnews.com/slideshow/5-employee-life-cycle-management-tools-to-follow" TargetMode="External"/><Relationship Id="rId5" Type="http://schemas.openxmlformats.org/officeDocument/2006/relationships/image" Target="media/image1.jpeg"/><Relationship Id="rId15" Type="http://schemas.openxmlformats.org/officeDocument/2006/relationships/hyperlink" Target="https://www.shrm.org/resourcesandtools/tools-and-samples/toolkits/pages/sustainingemployeeengagement.aspx" TargetMode="External"/><Relationship Id="rId10" Type="http://schemas.openxmlformats.org/officeDocument/2006/relationships/hyperlink" Target="https://dpglearn.co.uk/blog/human-resources/what-is-hr-s-role-in-employee-engagement/" TargetMode="External"/><Relationship Id="rId4" Type="http://schemas.openxmlformats.org/officeDocument/2006/relationships/webSettings" Target="webSettings.xml"/><Relationship Id="rId9" Type="http://schemas.openxmlformats.org/officeDocument/2006/relationships/hyperlink" Target="https://cr.hilton.com/wp-content/uploads/2020/04/Hilton-Team-Member-Engagement.pdf" TargetMode="External"/><Relationship Id="rId14" Type="http://schemas.openxmlformats.org/officeDocument/2006/relationships/hyperlink" Target="https://www.techtarget.com/searchhrsoftware/definition/employe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Esab Ali</cp:lastModifiedBy>
  <cp:revision>2</cp:revision>
  <dcterms:created xsi:type="dcterms:W3CDTF">2022-10-26T22:06:00Z</dcterms:created>
  <dcterms:modified xsi:type="dcterms:W3CDTF">2022-10-26T22:06:00Z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2022-10-18T10:39:28Z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6e235157-a96d-4ff5-97c1-bd1f077fcec4</vt:lpwstr>
  </property>
  <property fmtid="{D5CDD505-2E9C-101B-9397-08002B2CF9AE}" pid="8" name="MSIP_Label_defa4170-0d19-0005-0004-bc88714345d2_ContentBits">
    <vt:lpwstr>0</vt:lpwstr>
  </property>
</Properties>
</file>