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3DB453" w14:textId="77777777" w:rsidR="00E10785" w:rsidRDefault="00E10785" w:rsidP="00E10785">
      <w:pPr>
        <w:spacing w:line="360" w:lineRule="auto"/>
        <w:rPr>
          <w:rFonts w:cstheme="minorHAnsi"/>
          <w:sz w:val="28"/>
          <w:szCs w:val="28"/>
          <w:u w:val="single"/>
        </w:rPr>
      </w:pPr>
    </w:p>
    <w:p w14:paraId="386D160C" w14:textId="77777777" w:rsidR="00E10785" w:rsidRDefault="00E10785" w:rsidP="00E10785">
      <w:pPr>
        <w:spacing w:line="360" w:lineRule="auto"/>
        <w:rPr>
          <w:rFonts w:cstheme="minorHAnsi"/>
          <w:sz w:val="28"/>
          <w:szCs w:val="28"/>
          <w:u w:val="single"/>
        </w:rPr>
      </w:pPr>
    </w:p>
    <w:p w14:paraId="5D64E4E5" w14:textId="77777777" w:rsidR="00E10785" w:rsidRDefault="00E10785" w:rsidP="00E10785">
      <w:pPr>
        <w:spacing w:line="360" w:lineRule="auto"/>
        <w:rPr>
          <w:rFonts w:cstheme="minorHAnsi"/>
          <w:sz w:val="28"/>
          <w:szCs w:val="28"/>
          <w:u w:val="single"/>
        </w:rPr>
      </w:pPr>
    </w:p>
    <w:p w14:paraId="6B7920E8" w14:textId="77777777" w:rsidR="00E10785" w:rsidRDefault="00E10785" w:rsidP="00E10785">
      <w:pPr>
        <w:spacing w:line="360" w:lineRule="auto"/>
        <w:rPr>
          <w:rFonts w:cstheme="minorHAnsi"/>
          <w:sz w:val="28"/>
          <w:szCs w:val="28"/>
          <w:u w:val="single"/>
        </w:rPr>
      </w:pPr>
    </w:p>
    <w:p w14:paraId="408B3A76" w14:textId="77777777" w:rsidR="00E10785" w:rsidRDefault="00E10785" w:rsidP="00E10785">
      <w:pPr>
        <w:spacing w:line="360" w:lineRule="auto"/>
        <w:rPr>
          <w:rFonts w:cstheme="minorHAnsi"/>
          <w:sz w:val="28"/>
          <w:szCs w:val="28"/>
          <w:u w:val="single"/>
        </w:rPr>
      </w:pPr>
    </w:p>
    <w:p w14:paraId="3B527AC3" w14:textId="77777777" w:rsidR="00E10785" w:rsidRDefault="00E10785" w:rsidP="00E10785">
      <w:pPr>
        <w:spacing w:line="360" w:lineRule="auto"/>
        <w:rPr>
          <w:rFonts w:cstheme="minorHAnsi"/>
          <w:sz w:val="28"/>
          <w:szCs w:val="28"/>
          <w:u w:val="single"/>
        </w:rPr>
      </w:pPr>
    </w:p>
    <w:p w14:paraId="34BBA6B9" w14:textId="77777777" w:rsidR="00E10785" w:rsidRDefault="00E10785" w:rsidP="00E10785">
      <w:pPr>
        <w:spacing w:line="360" w:lineRule="auto"/>
        <w:rPr>
          <w:rFonts w:cstheme="minorHAnsi"/>
          <w:sz w:val="28"/>
          <w:szCs w:val="28"/>
          <w:u w:val="single"/>
        </w:rPr>
      </w:pPr>
    </w:p>
    <w:p w14:paraId="46879D4D" w14:textId="77777777" w:rsidR="00E10785" w:rsidRDefault="00E10785" w:rsidP="00E10785">
      <w:pPr>
        <w:spacing w:line="360" w:lineRule="auto"/>
        <w:rPr>
          <w:rFonts w:cstheme="minorHAnsi"/>
          <w:sz w:val="28"/>
          <w:szCs w:val="28"/>
          <w:u w:val="single"/>
        </w:rPr>
      </w:pPr>
    </w:p>
    <w:p w14:paraId="36BAFB1A" w14:textId="77777777" w:rsidR="00E10785" w:rsidRDefault="00E10785" w:rsidP="00E10785">
      <w:pPr>
        <w:spacing w:line="360" w:lineRule="auto"/>
        <w:rPr>
          <w:rFonts w:cstheme="minorHAnsi"/>
          <w:sz w:val="28"/>
          <w:szCs w:val="28"/>
          <w:u w:val="single"/>
        </w:rPr>
      </w:pPr>
    </w:p>
    <w:p w14:paraId="3568DAE8" w14:textId="77777777" w:rsidR="00E10785" w:rsidRDefault="00E10785" w:rsidP="00E10785">
      <w:pPr>
        <w:spacing w:line="360" w:lineRule="auto"/>
        <w:rPr>
          <w:rFonts w:cstheme="minorHAnsi"/>
          <w:sz w:val="28"/>
          <w:szCs w:val="28"/>
          <w:u w:val="single"/>
        </w:rPr>
      </w:pPr>
    </w:p>
    <w:p w14:paraId="0C7E56C5" w14:textId="77777777" w:rsidR="00E10785" w:rsidRDefault="00E10785" w:rsidP="00E10785">
      <w:pPr>
        <w:spacing w:line="360" w:lineRule="auto"/>
        <w:rPr>
          <w:rFonts w:cstheme="minorHAnsi"/>
          <w:sz w:val="28"/>
          <w:szCs w:val="28"/>
          <w:u w:val="single"/>
        </w:rPr>
      </w:pPr>
    </w:p>
    <w:p w14:paraId="7FC3AD8C" w14:textId="77777777" w:rsidR="00E10785" w:rsidRDefault="00E10785" w:rsidP="00E10785">
      <w:pPr>
        <w:spacing w:line="360" w:lineRule="auto"/>
        <w:rPr>
          <w:rFonts w:cstheme="minorHAnsi"/>
          <w:sz w:val="28"/>
          <w:szCs w:val="28"/>
          <w:u w:val="single"/>
        </w:rPr>
      </w:pPr>
    </w:p>
    <w:p w14:paraId="5CEE1102" w14:textId="77777777" w:rsidR="00E10785" w:rsidRDefault="00E10785" w:rsidP="00E10785">
      <w:pPr>
        <w:spacing w:line="360" w:lineRule="auto"/>
        <w:rPr>
          <w:rFonts w:cstheme="minorHAnsi"/>
          <w:sz w:val="28"/>
          <w:szCs w:val="28"/>
          <w:u w:val="single"/>
        </w:rPr>
      </w:pPr>
    </w:p>
    <w:p w14:paraId="4CAC4056" w14:textId="77777777" w:rsidR="00E10785" w:rsidRDefault="00E10785" w:rsidP="00E10785">
      <w:pPr>
        <w:spacing w:line="360" w:lineRule="auto"/>
        <w:rPr>
          <w:rFonts w:cstheme="minorHAnsi"/>
          <w:sz w:val="28"/>
          <w:szCs w:val="28"/>
          <w:u w:val="single"/>
        </w:rPr>
      </w:pPr>
    </w:p>
    <w:p w14:paraId="6518333D" w14:textId="77777777" w:rsidR="00E10785" w:rsidRDefault="00E10785" w:rsidP="00E10785">
      <w:pPr>
        <w:spacing w:line="360" w:lineRule="auto"/>
        <w:rPr>
          <w:rFonts w:cstheme="minorHAnsi"/>
          <w:sz w:val="28"/>
          <w:szCs w:val="28"/>
          <w:u w:val="single"/>
        </w:rPr>
      </w:pPr>
    </w:p>
    <w:p w14:paraId="0131397E" w14:textId="77777777" w:rsidR="00E10785" w:rsidRDefault="00E10785" w:rsidP="00E10785">
      <w:pPr>
        <w:spacing w:line="360" w:lineRule="auto"/>
        <w:rPr>
          <w:rFonts w:cstheme="minorHAnsi"/>
          <w:sz w:val="28"/>
          <w:szCs w:val="28"/>
          <w:u w:val="single"/>
        </w:rPr>
      </w:pPr>
    </w:p>
    <w:p w14:paraId="757EF2DE" w14:textId="77777777" w:rsidR="00E10785" w:rsidRDefault="00E10785" w:rsidP="00E10785">
      <w:pPr>
        <w:spacing w:line="360" w:lineRule="auto"/>
        <w:rPr>
          <w:rFonts w:cstheme="minorHAnsi"/>
          <w:sz w:val="28"/>
          <w:szCs w:val="28"/>
          <w:u w:val="single"/>
        </w:rPr>
      </w:pPr>
    </w:p>
    <w:p w14:paraId="5C6DC0C7" w14:textId="77777777" w:rsidR="00E10785" w:rsidRDefault="00E10785" w:rsidP="00E10785">
      <w:pPr>
        <w:spacing w:line="360" w:lineRule="auto"/>
        <w:rPr>
          <w:rFonts w:cstheme="minorHAnsi"/>
          <w:sz w:val="28"/>
          <w:szCs w:val="28"/>
          <w:u w:val="single"/>
        </w:rPr>
      </w:pPr>
    </w:p>
    <w:p w14:paraId="28BB3DE1" w14:textId="77777777" w:rsidR="00E10785" w:rsidRDefault="00E10785" w:rsidP="00E10785">
      <w:pPr>
        <w:spacing w:line="360" w:lineRule="auto"/>
        <w:rPr>
          <w:rFonts w:cstheme="minorHAnsi"/>
          <w:sz w:val="28"/>
          <w:szCs w:val="28"/>
          <w:u w:val="single"/>
        </w:rPr>
      </w:pPr>
    </w:p>
    <w:p w14:paraId="1A2784E9" w14:textId="77777777" w:rsidR="00E10785" w:rsidRDefault="00E10785" w:rsidP="00E10785">
      <w:pPr>
        <w:spacing w:line="360" w:lineRule="auto"/>
        <w:rPr>
          <w:rFonts w:cstheme="minorHAnsi"/>
          <w:sz w:val="28"/>
          <w:szCs w:val="28"/>
          <w:u w:val="single"/>
        </w:rPr>
      </w:pPr>
    </w:p>
    <w:p w14:paraId="1421F0A3" w14:textId="77777777" w:rsidR="00E10785" w:rsidRDefault="00E10785" w:rsidP="00E10785">
      <w:pPr>
        <w:spacing w:line="360" w:lineRule="auto"/>
        <w:rPr>
          <w:rFonts w:cstheme="minorHAnsi"/>
          <w:sz w:val="28"/>
          <w:szCs w:val="28"/>
          <w:u w:val="single"/>
        </w:rPr>
      </w:pPr>
    </w:p>
    <w:p w14:paraId="2F86BA89" w14:textId="5D049701" w:rsidR="00E10785" w:rsidRPr="00E10785" w:rsidRDefault="00E10785" w:rsidP="00E10785">
      <w:pPr>
        <w:spacing w:line="360" w:lineRule="auto"/>
        <w:rPr>
          <w:rFonts w:cstheme="minorHAnsi"/>
          <w:sz w:val="28"/>
          <w:szCs w:val="28"/>
          <w:u w:val="single"/>
        </w:rPr>
      </w:pPr>
      <w:r w:rsidRPr="00E10785">
        <w:rPr>
          <w:rFonts w:cstheme="minorHAnsi"/>
          <w:sz w:val="28"/>
          <w:szCs w:val="28"/>
          <w:u w:val="single"/>
        </w:rPr>
        <w:lastRenderedPageBreak/>
        <w:t>Research Title</w:t>
      </w:r>
    </w:p>
    <w:p w14:paraId="0FC5C33D" w14:textId="30DFC1F8" w:rsidR="00E10785" w:rsidRPr="00E10785" w:rsidRDefault="00E10785" w:rsidP="00E10785">
      <w:pPr>
        <w:spacing w:line="360" w:lineRule="auto"/>
        <w:rPr>
          <w:rFonts w:cstheme="minorHAnsi"/>
          <w:sz w:val="24"/>
          <w:szCs w:val="24"/>
        </w:rPr>
      </w:pPr>
      <w:r w:rsidRPr="00E10785">
        <w:rPr>
          <w:rFonts w:cstheme="minorHAnsi"/>
          <w:sz w:val="24"/>
          <w:szCs w:val="24"/>
        </w:rPr>
        <w:t>Research into planning effective lessons when dealing with misconception in chemistry.</w:t>
      </w:r>
    </w:p>
    <w:p w14:paraId="760CD8A3" w14:textId="77777777" w:rsidR="00E10785" w:rsidRPr="00E10785" w:rsidRDefault="00E10785" w:rsidP="00E10785">
      <w:pPr>
        <w:spacing w:line="360" w:lineRule="auto"/>
        <w:rPr>
          <w:rFonts w:cstheme="minorHAnsi"/>
          <w:sz w:val="28"/>
          <w:szCs w:val="28"/>
          <w:u w:val="single"/>
        </w:rPr>
      </w:pPr>
      <w:r w:rsidRPr="00E10785">
        <w:rPr>
          <w:rFonts w:cstheme="minorHAnsi"/>
          <w:sz w:val="28"/>
          <w:szCs w:val="28"/>
          <w:u w:val="single"/>
        </w:rPr>
        <w:t>Introduction</w:t>
      </w:r>
    </w:p>
    <w:p w14:paraId="65DFE4D1" w14:textId="77777777" w:rsidR="00E10785" w:rsidRPr="00E10785" w:rsidRDefault="00E10785" w:rsidP="00E10785">
      <w:pPr>
        <w:spacing w:line="360" w:lineRule="auto"/>
        <w:rPr>
          <w:rFonts w:cstheme="minorHAnsi"/>
          <w:sz w:val="24"/>
          <w:szCs w:val="24"/>
        </w:rPr>
      </w:pPr>
      <w:r w:rsidRPr="00E10785">
        <w:rPr>
          <w:rFonts w:cstheme="minorHAnsi"/>
          <w:sz w:val="24"/>
          <w:szCs w:val="24"/>
        </w:rPr>
        <w:t>The research undertaken for this microteach was conducted in order to inform the teaching and learning for pupils in a mixed ability year 7 class of 31 pupils in a large secondary school in South Wales. In line with the British Educational Research Guidelines (2011) all names of pupils and school are confidential and anonymised.  The lesson was designed to address the common misconception in chemistry that compounds have the same properties as the elements they are made from. In addition, it has been noted from past experience that a minority of pupils also consider that a mixture of elements will form a compound, therefore the demonstration will also be used to clarify this misconception.</w:t>
      </w:r>
    </w:p>
    <w:p w14:paraId="595A0CA7" w14:textId="79B6BAFC" w:rsidR="00E10785" w:rsidRDefault="00E10785" w:rsidP="00E10785">
      <w:pPr>
        <w:spacing w:line="360" w:lineRule="auto"/>
        <w:rPr>
          <w:rFonts w:cstheme="minorHAnsi"/>
          <w:sz w:val="24"/>
          <w:szCs w:val="24"/>
        </w:rPr>
      </w:pPr>
      <w:r w:rsidRPr="00E10785">
        <w:rPr>
          <w:rFonts w:cstheme="minorHAnsi"/>
          <w:sz w:val="24"/>
          <w:szCs w:val="24"/>
        </w:rPr>
        <w:t xml:space="preserve"> A demonstration lesson will be used to address these misconceptions. Pupils will observe the properties of the elements iron and sulfur and identify if mixing these makes a compound. Pupils will then observe the reaction between the two elements to make iron sulfide. They will then be asked to identify the properties of the iron sulfide and compare them to the elements they are made from and to consider why they are different in relation to their atoms and bonds. </w:t>
      </w:r>
    </w:p>
    <w:p w14:paraId="72303FDE" w14:textId="400F1E43" w:rsidR="00E10785" w:rsidRDefault="00E10785" w:rsidP="00E10785">
      <w:pPr>
        <w:spacing w:line="360" w:lineRule="auto"/>
        <w:rPr>
          <w:rFonts w:cstheme="minorHAnsi"/>
          <w:sz w:val="24"/>
          <w:szCs w:val="24"/>
        </w:rPr>
      </w:pPr>
    </w:p>
    <w:p w14:paraId="68CBA808" w14:textId="77777777" w:rsidR="00E10785" w:rsidRDefault="00E10785" w:rsidP="00E10785">
      <w:pPr>
        <w:spacing w:line="360" w:lineRule="auto"/>
        <w:rPr>
          <w:rFonts w:cstheme="minorHAnsi"/>
          <w:sz w:val="24"/>
          <w:szCs w:val="24"/>
          <w:u w:val="single"/>
        </w:rPr>
      </w:pPr>
    </w:p>
    <w:p w14:paraId="3BFF5758" w14:textId="7D7ABDAE" w:rsidR="00090480" w:rsidRPr="00E10785" w:rsidRDefault="00E10785" w:rsidP="00E10785">
      <w:pPr>
        <w:spacing w:line="360" w:lineRule="auto"/>
        <w:rPr>
          <w:rFonts w:cstheme="minorHAnsi"/>
          <w:sz w:val="28"/>
          <w:szCs w:val="28"/>
          <w:u w:val="single"/>
        </w:rPr>
      </w:pPr>
      <w:r w:rsidRPr="00E10785">
        <w:rPr>
          <w:rFonts w:cstheme="minorHAnsi"/>
          <w:sz w:val="28"/>
          <w:szCs w:val="28"/>
          <w:u w:val="single"/>
        </w:rPr>
        <w:t>Literature Review</w:t>
      </w:r>
    </w:p>
    <w:p w14:paraId="1963BBA7"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Barke et al. (2008) suggests that misconceptions can be developed in two ways. Those which are preconceived where pupils have already developed their own ideas about a concept and those of which are developed through school-based learning which can occur from the use of inappropriate teaching methods and materials.</w:t>
      </w:r>
    </w:p>
    <w:p w14:paraId="2222AEB1"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According to the Education Endowment Foundation (2018) misconceptions can be difficult to overcome however resolving them can lead to significant progress in learning for pupils </w:t>
      </w:r>
    </w:p>
    <w:p w14:paraId="2794788C"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lastRenderedPageBreak/>
        <w:t>Teachers can employ a variety of strategies to do this, however, to simply tell pupils to forget their previous ideas and thoughts is not effective. In order to address misconceptions pupils should be given the chance to think about the misconception and helped to rebuild and internalise their understanding (National Research Council, 1997).</w:t>
      </w:r>
    </w:p>
    <w:p w14:paraId="05E147D6" w14:textId="77777777" w:rsidR="00E10785" w:rsidRPr="00E10785" w:rsidRDefault="00E10785" w:rsidP="00E10785">
      <w:pPr>
        <w:spacing w:after="420" w:line="360" w:lineRule="auto"/>
        <w:rPr>
          <w:rFonts w:cstheme="minorHAnsi"/>
          <w:color w:val="000000" w:themeColor="text1"/>
          <w:sz w:val="24"/>
          <w:szCs w:val="24"/>
        </w:rPr>
      </w:pPr>
      <w:r w:rsidRPr="00E10785">
        <w:rPr>
          <w:rFonts w:cstheme="minorHAnsi"/>
          <w:color w:val="000000" w:themeColor="text1"/>
          <w:sz w:val="24"/>
          <w:szCs w:val="24"/>
        </w:rPr>
        <w:t xml:space="preserve">Longfield (2009) suggest that student centred approaches are important when specifically addressing misconceptions. </w:t>
      </w:r>
    </w:p>
    <w:p w14:paraId="2E8DA054"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One of such approaches employed by science teachers to address misconceptions is that of the demonstrations which can be designed to encourage pupils to think about, rebuild and accept a new theory. As a demonstration is the focal point of the lesson to be undertaken, this area will be explored further. </w:t>
      </w:r>
    </w:p>
    <w:p w14:paraId="0A4C8A37" w14:textId="77777777" w:rsidR="00E10785" w:rsidRPr="00E10785" w:rsidRDefault="00E10785" w:rsidP="00E10785">
      <w:pPr>
        <w:spacing w:after="420"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Demonstrations play a critical role in helping students really grasp a concept (Green, 2019)</w:t>
      </w:r>
      <w:r w:rsidRPr="00E10785">
        <w:rPr>
          <w:rFonts w:cstheme="minorHAnsi"/>
          <w:color w:val="000000" w:themeColor="text1"/>
          <w:sz w:val="24"/>
          <w:szCs w:val="24"/>
        </w:rPr>
        <w:t xml:space="preserve">. The benefits of demonstration work are highlighted by </w:t>
      </w:r>
      <w:hyperlink r:id="rId4" w:history="1">
        <w:r w:rsidRPr="00E10785">
          <w:rPr>
            <w:rFonts w:cstheme="minorHAnsi"/>
            <w:color w:val="000000" w:themeColor="text1"/>
            <w:sz w:val="24"/>
            <w:szCs w:val="24"/>
          </w:rPr>
          <w:t>Kaiser</w:t>
        </w:r>
      </w:hyperlink>
      <w:r w:rsidRPr="00E10785">
        <w:rPr>
          <w:rFonts w:cstheme="minorHAnsi"/>
          <w:color w:val="000000" w:themeColor="text1"/>
          <w:sz w:val="24"/>
          <w:szCs w:val="24"/>
        </w:rPr>
        <w:t xml:space="preserve"> (2018) who states that pupils are able to actually see key concepts for themselves when demonstrations are used. When seeing ideas in this way pupils can learn without the information being verbally stated and that this is a useful place to start when looking at the properties of elements and compounds after a reaction. Daluba (2013) research found that demonstrations had a significant positive effect on pupil achievement as </w:t>
      </w:r>
      <w:proofErr w:type="spellStart"/>
      <w:r w:rsidRPr="00E10785">
        <w:rPr>
          <w:rFonts w:cstheme="minorHAnsi"/>
          <w:color w:val="000000" w:themeColor="text1"/>
          <w:sz w:val="24"/>
          <w:szCs w:val="24"/>
        </w:rPr>
        <w:t>apposed</w:t>
      </w:r>
      <w:proofErr w:type="spellEnd"/>
      <w:r w:rsidRPr="00E10785">
        <w:rPr>
          <w:rFonts w:cstheme="minorHAnsi"/>
          <w:color w:val="000000" w:themeColor="text1"/>
          <w:sz w:val="24"/>
          <w:szCs w:val="24"/>
        </w:rPr>
        <w:t xml:space="preserve"> to those taught in a more conventual way. While, Bodner (2001) also highlights the effectiveness of demonstrations he also adds caution, stating that pupils may not have actually learnt what we had thought we had shown (even when demonstrated successfully). Cakir (2008) agrees suggesting assessing pupils before and after learning is important as pupils can still have misconceptions even after teaching. Sever et al. (2009) research highlighted problems around the teacher demonstration as being, crowded classrooms, pupils losing concentration and teachers not having the skills to question effectively. </w:t>
      </w:r>
      <w:bookmarkStart w:id="0" w:name="_Hlk40027266"/>
      <w:r w:rsidRPr="00E10785">
        <w:rPr>
          <w:rFonts w:cstheme="minorHAnsi"/>
          <w:color w:val="000000" w:themeColor="text1"/>
          <w:sz w:val="24"/>
          <w:szCs w:val="24"/>
        </w:rPr>
        <w:t>They found that video-based clips were just as effective as teacher demonstrations</w:t>
      </w:r>
      <w:bookmarkEnd w:id="0"/>
      <w:r w:rsidRPr="00E10785">
        <w:rPr>
          <w:rFonts w:cstheme="minorHAnsi"/>
          <w:color w:val="000000" w:themeColor="text1"/>
          <w:sz w:val="24"/>
          <w:szCs w:val="24"/>
        </w:rPr>
        <w:t xml:space="preserve"> however, this was a small study whereby student teachers were the subjects as </w:t>
      </w:r>
      <w:proofErr w:type="spellStart"/>
      <w:r w:rsidRPr="00E10785">
        <w:rPr>
          <w:rFonts w:cstheme="minorHAnsi"/>
          <w:color w:val="000000" w:themeColor="text1"/>
          <w:sz w:val="24"/>
          <w:szCs w:val="24"/>
        </w:rPr>
        <w:t>apposed</w:t>
      </w:r>
      <w:proofErr w:type="spellEnd"/>
      <w:r w:rsidRPr="00E10785">
        <w:rPr>
          <w:rFonts w:cstheme="minorHAnsi"/>
          <w:color w:val="000000" w:themeColor="text1"/>
          <w:sz w:val="24"/>
          <w:szCs w:val="24"/>
        </w:rPr>
        <w:t xml:space="preserve"> to pupils themselves so therefore may not be an appropriate comparison. </w:t>
      </w:r>
    </w:p>
    <w:p w14:paraId="355F0F56"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In addition, the demonstration lesson is uniquely positioned to incorporate good teaching and learning principles by engaging and stimulating their interest increasing motivation. </w:t>
      </w:r>
      <w:r w:rsidRPr="00E10785">
        <w:rPr>
          <w:rFonts w:cstheme="minorHAnsi"/>
          <w:color w:val="000000" w:themeColor="text1"/>
          <w:sz w:val="24"/>
          <w:szCs w:val="24"/>
        </w:rPr>
        <w:lastRenderedPageBreak/>
        <w:t>Pupils can be encouraged to think critically (using facts to form judgments) and explore thoughts to a high but realistic level of challenge (Successful Futures, 2015) in contrast simply being told what happens.</w:t>
      </w:r>
    </w:p>
    <w:p w14:paraId="1ADC284B"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Demonstrations undoubtedly have their benefits </w:t>
      </w:r>
      <w:proofErr w:type="gramStart"/>
      <w:r w:rsidRPr="00E10785">
        <w:rPr>
          <w:rFonts w:cstheme="minorHAnsi"/>
          <w:color w:val="000000" w:themeColor="text1"/>
          <w:sz w:val="24"/>
          <w:szCs w:val="24"/>
        </w:rPr>
        <w:t>however,</w:t>
      </w:r>
      <w:proofErr w:type="gramEnd"/>
      <w:r w:rsidRPr="00E10785">
        <w:rPr>
          <w:rFonts w:cstheme="minorHAnsi"/>
          <w:color w:val="000000" w:themeColor="text1"/>
          <w:sz w:val="24"/>
          <w:szCs w:val="24"/>
        </w:rPr>
        <w:t xml:space="preserve"> chemistry concepts can pose problems for pupils when moving from the visual to the non-visual and the ability of pupils to connect the two. Kaiser (2018) considers The Johnstone Triangle and the importance of pupils being able to join their understanding at the macroscopic level to the sub-microscopic and symbolic, claiming that pupils need to link their understanding on all three levels to fully understand a topic. </w:t>
      </w:r>
      <w:bookmarkStart w:id="1" w:name="_Hlk40174282"/>
      <w:r w:rsidRPr="00E10785">
        <w:rPr>
          <w:rFonts w:cstheme="minorHAnsi"/>
          <w:color w:val="000000" w:themeColor="text1"/>
          <w:sz w:val="24"/>
          <w:szCs w:val="24"/>
        </w:rPr>
        <w:t xml:space="preserve">Hofgartner (2019) </w:t>
      </w:r>
      <w:bookmarkEnd w:id="1"/>
      <w:r w:rsidRPr="00E10785">
        <w:rPr>
          <w:rFonts w:cstheme="minorHAnsi"/>
          <w:color w:val="000000" w:themeColor="text1"/>
          <w:sz w:val="24"/>
          <w:szCs w:val="24"/>
        </w:rPr>
        <w:t>Suggests focusing on just two aspects of the triangle in demonstration work not to overwhelm the pupils. The education endowment foundation (n.d.) claim pupils find this difficult and that using modelling kits, activities and diagrams are important for them to connect ideas</w:t>
      </w:r>
      <w:r w:rsidRPr="00E10785">
        <w:rPr>
          <w:rFonts w:cstheme="minorHAnsi"/>
          <w:b/>
          <w:bCs/>
          <w:color w:val="000000" w:themeColor="text1"/>
          <w:sz w:val="24"/>
          <w:szCs w:val="24"/>
        </w:rPr>
        <w:t xml:space="preserve">. </w:t>
      </w:r>
    </w:p>
    <w:p w14:paraId="0B0274C1" w14:textId="77777777" w:rsidR="00E10785" w:rsidRPr="00E10785" w:rsidRDefault="00E10785" w:rsidP="00E10785">
      <w:pPr>
        <w:spacing w:after="420" w:line="360" w:lineRule="auto"/>
        <w:rPr>
          <w:rFonts w:cstheme="minorHAnsi"/>
          <w:color w:val="000000" w:themeColor="text1"/>
          <w:sz w:val="24"/>
          <w:szCs w:val="24"/>
        </w:rPr>
      </w:pPr>
      <w:r w:rsidRPr="00E10785">
        <w:rPr>
          <w:rFonts w:cstheme="minorHAnsi"/>
          <w:color w:val="000000" w:themeColor="text1"/>
          <w:sz w:val="24"/>
          <w:szCs w:val="24"/>
        </w:rPr>
        <w:t>When considering the links between the macroscopic to sub-microscopic, modelling thinking to demonstrate thinking can help pupils to scaffold their own  thinking  and improve metacognition skills (</w:t>
      </w:r>
      <w:hyperlink r:id="rId5" w:history="1">
        <w:r w:rsidRPr="00E10785">
          <w:rPr>
            <w:rFonts w:cstheme="minorHAnsi"/>
            <w:color w:val="000000" w:themeColor="text1"/>
            <w:sz w:val="24"/>
            <w:szCs w:val="24"/>
          </w:rPr>
          <w:t>Kaiser</w:t>
        </w:r>
      </w:hyperlink>
      <w:r w:rsidRPr="00E10785">
        <w:rPr>
          <w:rFonts w:cstheme="minorHAnsi"/>
          <w:color w:val="000000" w:themeColor="text1"/>
          <w:sz w:val="24"/>
          <w:szCs w:val="24"/>
        </w:rPr>
        <w:t>, 2018). Tanner (2012) also advocates the benefits of modelling claiming the ability to develop metacognition skills for some pupils is difficult so needs to be taught. Helping pupils take more control of their own learning by gaining knowledge of how others think is also suggested as a principle of good teaching and learning (Successful Futures, 2015).</w:t>
      </w:r>
    </w:p>
    <w:p w14:paraId="7845C9BB" w14:textId="77777777" w:rsidR="00E10785" w:rsidRPr="00E10785" w:rsidRDefault="00E10785" w:rsidP="00E10785">
      <w:pPr>
        <w:spacing w:after="420"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Research into this area suggests that developing pupil’s metacognition skills is important to improve outcomes. </w:t>
      </w:r>
      <w:bookmarkStart w:id="2" w:name="_Hlk40176816"/>
      <w:r w:rsidRPr="00E10785">
        <w:rPr>
          <w:rFonts w:cstheme="minorHAnsi"/>
          <w:color w:val="000000" w:themeColor="text1"/>
          <w:sz w:val="24"/>
          <w:szCs w:val="24"/>
        </w:rPr>
        <w:t xml:space="preserve">White and </w:t>
      </w:r>
      <w:r w:rsidRPr="00E10785">
        <w:rPr>
          <w:rFonts w:cstheme="minorHAnsi"/>
          <w:color w:val="000000" w:themeColor="text1"/>
          <w:sz w:val="24"/>
          <w:szCs w:val="24"/>
          <w:shd w:val="clear" w:color="auto" w:fill="FFFFFF"/>
        </w:rPr>
        <w:t xml:space="preserve">Frederiksen (1998) </w:t>
      </w:r>
      <w:bookmarkEnd w:id="2"/>
      <w:r w:rsidRPr="00E10785">
        <w:rPr>
          <w:rFonts w:cstheme="minorHAnsi"/>
          <w:color w:val="000000" w:themeColor="text1"/>
          <w:sz w:val="24"/>
          <w:szCs w:val="24"/>
          <w:shd w:val="clear" w:color="auto" w:fill="FFFFFF"/>
        </w:rPr>
        <w:t>who found in their study that developing these skills (although beneficial to all) was particularly helpful for the lower ability pupils and helped in closing the performance gap between the highest and lowest achieving pupils. However, their sample size was greatly reduced to sixty participants in parts of the study due to limitations in time and resources. Further study may be required to validate findings.</w:t>
      </w:r>
      <w:bookmarkStart w:id="3" w:name="_Hlk39683336"/>
      <w:r w:rsidRPr="00E10785">
        <w:rPr>
          <w:rFonts w:cstheme="minorHAnsi"/>
          <w:color w:val="000000" w:themeColor="text1"/>
          <w:sz w:val="24"/>
          <w:szCs w:val="24"/>
          <w:shd w:val="clear" w:color="auto" w:fill="FFFFFF"/>
        </w:rPr>
        <w:t xml:space="preserve"> </w:t>
      </w:r>
      <w:r w:rsidRPr="00E10785">
        <w:rPr>
          <w:rFonts w:cstheme="minorHAnsi"/>
          <w:color w:val="000000" w:themeColor="text1"/>
          <w:sz w:val="24"/>
          <w:szCs w:val="24"/>
        </w:rPr>
        <w:t xml:space="preserve">The Education Endowment Foundation (n.d.) guidance report agree with White and </w:t>
      </w:r>
      <w:r w:rsidRPr="00E10785">
        <w:rPr>
          <w:rFonts w:cstheme="minorHAnsi"/>
          <w:color w:val="000000" w:themeColor="text1"/>
          <w:sz w:val="24"/>
          <w:szCs w:val="24"/>
          <w:shd w:val="clear" w:color="auto" w:fill="FFFFFF"/>
        </w:rPr>
        <w:t>Frederiksen (1998</w:t>
      </w:r>
      <w:proofErr w:type="gramStart"/>
      <w:r w:rsidRPr="00E10785">
        <w:rPr>
          <w:rFonts w:cstheme="minorHAnsi"/>
          <w:color w:val="000000" w:themeColor="text1"/>
          <w:sz w:val="24"/>
          <w:szCs w:val="24"/>
          <w:shd w:val="clear" w:color="auto" w:fill="FFFFFF"/>
        </w:rPr>
        <w:t xml:space="preserve">) </w:t>
      </w:r>
      <w:r w:rsidRPr="00E10785">
        <w:rPr>
          <w:rFonts w:cstheme="minorHAnsi"/>
          <w:color w:val="000000" w:themeColor="text1"/>
          <w:sz w:val="24"/>
          <w:szCs w:val="24"/>
        </w:rPr>
        <w:t xml:space="preserve"> that</w:t>
      </w:r>
      <w:proofErr w:type="gramEnd"/>
      <w:r w:rsidRPr="00E10785">
        <w:rPr>
          <w:rFonts w:cstheme="minorHAnsi"/>
          <w:color w:val="000000" w:themeColor="text1"/>
          <w:sz w:val="24"/>
          <w:szCs w:val="24"/>
        </w:rPr>
        <w:t xml:space="preserve"> the impact of teaching metacognition is high, but also state that metacognition can be difficult to achieve. They claim it may be easier to teach these skills in collaborative groups so pupils can support one another and make their thinking clear </w:t>
      </w:r>
      <w:r w:rsidRPr="00E10785">
        <w:rPr>
          <w:rFonts w:cstheme="minorHAnsi"/>
          <w:color w:val="000000" w:themeColor="text1"/>
          <w:sz w:val="24"/>
          <w:szCs w:val="24"/>
        </w:rPr>
        <w:lastRenderedPageBreak/>
        <w:t xml:space="preserve">through discussion. A demonstration therefore could be seen as an ideal time to develop these skills. </w:t>
      </w:r>
    </w:p>
    <w:p w14:paraId="2858FEED" w14:textId="77777777" w:rsidR="00E10785" w:rsidRPr="00E10785" w:rsidRDefault="00E10785" w:rsidP="00E10785">
      <w:pPr>
        <w:spacing w:after="420"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I</w:t>
      </w:r>
      <w:r w:rsidRPr="00E10785">
        <w:rPr>
          <w:rFonts w:cstheme="minorHAnsi"/>
          <w:color w:val="000000" w:themeColor="text1"/>
          <w:sz w:val="24"/>
          <w:szCs w:val="24"/>
        </w:rPr>
        <w:t xml:space="preserve">t should also be considered that teachers themselves may not fully understand metacognition and what it means to teach students to be metacognitive. Wilson and Bae (2010) found that teaching pupils these skills require an excellent understanding of both the concept and thinking strategies of metacognition. However, this was a relatively small-scale study which failed to look at the participants ability to apply these skills in the classroom. It was also conducted with teachers studying for a master’s degree so may well be more aware of metacognition skills than a teacher who has taught for a long period of time and not upskilled. </w:t>
      </w:r>
    </w:p>
    <w:p w14:paraId="79388477" w14:textId="77777777" w:rsidR="00E10785" w:rsidRPr="00E10785" w:rsidRDefault="00E10785" w:rsidP="00E10785">
      <w:pPr>
        <w:spacing w:after="420" w:line="360" w:lineRule="auto"/>
        <w:rPr>
          <w:rFonts w:cstheme="minorHAnsi"/>
          <w:color w:val="000000" w:themeColor="text1"/>
          <w:sz w:val="24"/>
          <w:szCs w:val="24"/>
        </w:rPr>
      </w:pPr>
      <w:r w:rsidRPr="00E10785">
        <w:rPr>
          <w:rFonts w:cstheme="minorHAnsi"/>
          <w:color w:val="000000" w:themeColor="text1"/>
          <w:sz w:val="24"/>
          <w:szCs w:val="24"/>
        </w:rPr>
        <w:t>There are clearly challenges around the teaching of metacognition skills to pupils however, with the implementation of this area as one of the pedological principles in the Successful Futures (2015) document more emphasis will be placed on the understanding of this area for teachers and pupils alike.</w:t>
      </w:r>
    </w:p>
    <w:p w14:paraId="083EB62E"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Assessment for learning is an important part of all lessons. It is essential for many reasons including allowing teachers to gain information about learning in order to adapt teaching to meet the students’ needs and providing feedback to raise standards (Successful futures, 2015).</w:t>
      </w:r>
    </w:p>
    <w:p w14:paraId="68DFBA61"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 As this research revolves around a short lesson to resolve a misconception it is not relevant to consider summative assessment therefore the focus will be on formative assessment. </w:t>
      </w:r>
    </w:p>
    <w:bookmarkEnd w:id="3"/>
    <w:p w14:paraId="69FE19DD"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Black and Wiliam (1998) influential report, reviewed the evidence from hundreds of research studies on formative assessment. As a result, they state that formative assessment has an enormous effect on learning with the most positive effect being on the low attainers. </w:t>
      </w:r>
    </w:p>
    <w:p w14:paraId="54333270"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Sadler (1998) agrees with Black and Williams (1998) adding that attention should also be paid to delivering quality feedback not just in terms or accuracy but also in accessibility to the pupil while Clark (2011) suggests that instruction which leads to practice can improve the pupils self-learning strategies which they can rely on throughout their lives. </w:t>
      </w:r>
    </w:p>
    <w:p w14:paraId="4B22D5E4"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lastRenderedPageBreak/>
        <w:t xml:space="preserve">Dunn (2009) however, claims that when looking more closely at the research Black and Wiliam (1998) used to come to their conclusions they found that there were a number of problems with using this research as evidence for the success of formative assessment. For example, one of the main studies Black and Wiliam (1998) used to draw their conclusions from was </w:t>
      </w:r>
      <w:proofErr w:type="spellStart"/>
      <w:r w:rsidRPr="00E10785">
        <w:rPr>
          <w:rFonts w:cstheme="minorHAnsi"/>
          <w:color w:val="000000" w:themeColor="text1"/>
          <w:sz w:val="24"/>
          <w:szCs w:val="24"/>
        </w:rPr>
        <w:t>Fuch</w:t>
      </w:r>
      <w:proofErr w:type="spellEnd"/>
      <w:r w:rsidRPr="00E10785">
        <w:rPr>
          <w:rFonts w:cstheme="minorHAnsi"/>
          <w:color w:val="000000" w:themeColor="text1"/>
          <w:sz w:val="24"/>
          <w:szCs w:val="24"/>
        </w:rPr>
        <w:t xml:space="preserve"> and Fuch’s (1986) study, despite this being a large study 83% of the participants were handicapped. Dunn (2009) claims that using these to conclude findings across the population as a whole is inappropriate. </w:t>
      </w:r>
    </w:p>
    <w:p w14:paraId="1274788D" w14:textId="77777777" w:rsidR="00E10785" w:rsidRPr="00E10785" w:rsidRDefault="00E10785" w:rsidP="00E10785">
      <w:pPr>
        <w:spacing w:line="360" w:lineRule="auto"/>
        <w:rPr>
          <w:rFonts w:cstheme="minorHAnsi"/>
          <w:b/>
          <w:bCs/>
          <w:color w:val="000000" w:themeColor="text1"/>
          <w:sz w:val="24"/>
          <w:szCs w:val="24"/>
        </w:rPr>
      </w:pPr>
      <w:r w:rsidRPr="00E10785">
        <w:rPr>
          <w:rFonts w:cstheme="minorHAnsi"/>
          <w:color w:val="000000" w:themeColor="text1"/>
          <w:sz w:val="24"/>
          <w:szCs w:val="24"/>
        </w:rPr>
        <w:t>Despite this there is little doubt amongst researchers about the effectiveness of formative assessment. Shared objectives, feedback, questioning, self and peer assessment are all important aspects of formative assessment in the classroom and used effectively provide pupils with the opportunities to make significant gains in learning.</w:t>
      </w:r>
    </w:p>
    <w:p w14:paraId="19418235"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It would not be possible to look at each of these areas in detail for purpose of this review. The lesson undertaken for this research required regular questions to be asked of the pupils during the demonstration so this area will be looked at in further detail. </w:t>
      </w:r>
    </w:p>
    <w:p w14:paraId="012CDB96"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The vast questioning techniques available to the practitioner can be an effective tool in developing pupils thinking however for the purpose of this review will be considered in terms of the usefulness of open and closed questions.  Rosenshine (2012) claims that question and discussion are important for pupils to justify their thoughts and to resolve misconceptions.</w:t>
      </w:r>
    </w:p>
    <w:p w14:paraId="30F0C30A"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Hardman et al. (2003) in their detailed research found that closed questions were the most frequently asked questions but that only 8% of teachers asked additional follow on questions while just 20% asked additional probing questions. In addition, 80% of the pupil’s responses were less than three words long which questioning the value of the linguistic and cognitive demands placed on the pupil. Pupils were mainly expected to be passive and recall learning. </w:t>
      </w:r>
    </w:p>
    <w:p w14:paraId="1F771D4B"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That is not to say all closed should not be used at all. Wiliam (2005) suggests they can be effective in determining the progress pupils are making, and if need be the teacher can then make adjustments to the lesson. In addition, that the use of closed questions is also effective when dealing with specific misconception. </w:t>
      </w:r>
    </w:p>
    <w:p w14:paraId="37AB903D" w14:textId="77777777" w:rsidR="00E10785" w:rsidRPr="00E10785" w:rsidRDefault="00E10785" w:rsidP="00E10785">
      <w:pPr>
        <w:spacing w:line="360" w:lineRule="auto"/>
        <w:rPr>
          <w:rFonts w:cstheme="minorHAnsi"/>
          <w:color w:val="000000" w:themeColor="text1"/>
          <w:sz w:val="24"/>
          <w:szCs w:val="24"/>
        </w:rPr>
      </w:pPr>
      <w:proofErr w:type="gramStart"/>
      <w:r w:rsidRPr="00E10785">
        <w:rPr>
          <w:rFonts w:cstheme="minorHAnsi"/>
          <w:color w:val="000000" w:themeColor="text1"/>
          <w:sz w:val="24"/>
          <w:szCs w:val="24"/>
        </w:rPr>
        <w:lastRenderedPageBreak/>
        <w:t>Overall</w:t>
      </w:r>
      <w:proofErr w:type="gramEnd"/>
      <w:r w:rsidRPr="00E10785">
        <w:rPr>
          <w:rFonts w:cstheme="minorHAnsi"/>
          <w:color w:val="000000" w:themeColor="text1"/>
          <w:sz w:val="24"/>
          <w:szCs w:val="24"/>
        </w:rPr>
        <w:t xml:space="preserve"> however, Wiliam (2001 or 1998) claims that interaction in the classroom is essential to develop pupils understanding of new facts. He claims that developing a culture of rich questioning and deep thinking in lessons where pupils can learn from discussions with teachers and with their peers is vital.</w:t>
      </w:r>
    </w:p>
    <w:p w14:paraId="4BC94904"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Hardman et al. (2003) findings however suggest that this is not what is happening in the classroom. To make such a statement however, would require research on a much larger scale than that of one study. In addition, the research was conducted in a primary setting which may not provide a direct comparison to that at secondary level. </w:t>
      </w:r>
    </w:p>
    <w:p w14:paraId="04030050" w14:textId="77777777"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The successful futures (2015) document aims to reform the education system in Wales but its success is reliant on the successful implementation of what it outlines as good teaching and learning in the classroom. These pedological principle have been referred to throughout the review and how they link to specific areas considered. However, one of the biggest concerns outlined by Priestley (2018) in the success of this is that of teacher autonomy who suggests the implementation of these reforms may cause a problem for teachers who are not used to having the autonomy they now have. To successfully implement these reforms, it may be essential to its success for teachers currently teaching in the education system to have essential training to give the implementation of the reform the best chance to succeed.  </w:t>
      </w:r>
    </w:p>
    <w:p w14:paraId="022FB916" w14:textId="77777777" w:rsidR="00E10785" w:rsidRPr="00E10785" w:rsidRDefault="00E10785" w:rsidP="00E10785">
      <w:pPr>
        <w:spacing w:after="420"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In conclusion, the research undertaken for the review will play an important role in future considerations when planning teaching and learning. </w:t>
      </w:r>
    </w:p>
    <w:p w14:paraId="022E1BB7" w14:textId="77777777" w:rsidR="00E10785" w:rsidRDefault="00E10785" w:rsidP="00E10785">
      <w:pPr>
        <w:spacing w:line="360" w:lineRule="auto"/>
        <w:rPr>
          <w:rFonts w:cstheme="minorHAnsi"/>
          <w:sz w:val="24"/>
          <w:szCs w:val="24"/>
          <w:u w:val="single"/>
        </w:rPr>
      </w:pPr>
    </w:p>
    <w:p w14:paraId="279D25EB" w14:textId="67FA236E" w:rsidR="00E10785" w:rsidRPr="00E10785" w:rsidRDefault="00E10785" w:rsidP="00E10785">
      <w:pPr>
        <w:spacing w:line="360" w:lineRule="auto"/>
        <w:rPr>
          <w:rFonts w:cstheme="minorHAnsi"/>
          <w:sz w:val="28"/>
          <w:szCs w:val="28"/>
          <w:u w:val="single"/>
        </w:rPr>
      </w:pPr>
      <w:r w:rsidRPr="00E10785">
        <w:rPr>
          <w:rFonts w:cstheme="minorHAnsi"/>
          <w:sz w:val="28"/>
          <w:szCs w:val="28"/>
          <w:u w:val="single"/>
        </w:rPr>
        <w:t>Analysis</w:t>
      </w:r>
    </w:p>
    <w:p w14:paraId="038B3D8E"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The main part of the lesson required pupils to watch a demonstration, make observations and use critical thinking, all of which require metacognition skills and opportunities for these to be developed. </w:t>
      </w:r>
    </w:p>
    <w:p w14:paraId="0FC52723"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The majority of the literature studied for this review largely supports the benefits of using demonstrations in the science classroom (Boher, 2001; Daluba, 2013; Green, 2019) and as </w:t>
      </w:r>
      <w:r w:rsidRPr="00E10785">
        <w:rPr>
          <w:rFonts w:cstheme="minorHAnsi"/>
          <w:color w:val="000000" w:themeColor="text1"/>
          <w:sz w:val="24"/>
          <w:szCs w:val="24"/>
        </w:rPr>
        <w:lastRenderedPageBreak/>
        <w:t>Kaiser, (2018) states this is a good place to start when learning about elements and compounds a demonstration lesson was chosen.</w:t>
      </w:r>
    </w:p>
    <w:p w14:paraId="197B262F" w14:textId="77777777" w:rsidR="00E10785" w:rsidRPr="00E10785" w:rsidRDefault="00E10785" w:rsidP="00E10785">
      <w:pPr>
        <w:shd w:val="clear" w:color="auto" w:fill="FFFFFF"/>
        <w:spacing w:after="420" w:line="360" w:lineRule="auto"/>
        <w:rPr>
          <w:rFonts w:eastAsia="Times New Roman" w:cstheme="minorHAnsi"/>
          <w:sz w:val="24"/>
          <w:szCs w:val="24"/>
          <w:lang w:eastAsia="en-GB"/>
        </w:rPr>
      </w:pPr>
      <w:r w:rsidRPr="00E10785">
        <w:rPr>
          <w:rFonts w:eastAsia="Times New Roman" w:cstheme="minorHAnsi"/>
          <w:sz w:val="24"/>
          <w:szCs w:val="24"/>
          <w:lang w:eastAsia="en-GB"/>
        </w:rPr>
        <w:t>The Royal Society of Chemistry (2016) and CLEAPS (2018) outline how to perform the also reaction between iron and sufur to form iron sulfide and the demonstration was conducted in line with CLEAPS (2018) guidance. They also state it is possible for pupils to make the iron sulfide themselves on a smaller scale, however a demonstration lesson was chosen as it was felt there would be no added benefit (for the purpose of the learning outcomes) to the pupils completing the experiment themselves, particularly when considering the increased risk of sufur vapour escaping and igniting to form toxic sulfur dioxide. It was considered vital however, to the pupils basic understanding that they had the opportunity to observe this demonstration as part of the foundation of their understanding in this area.</w:t>
      </w:r>
    </w:p>
    <w:p w14:paraId="2474A2F5" w14:textId="77777777" w:rsidR="00E10785" w:rsidRPr="00E10785" w:rsidRDefault="00E10785" w:rsidP="00E10785">
      <w:pPr>
        <w:shd w:val="clear" w:color="auto" w:fill="FFFFFF"/>
        <w:spacing w:after="420" w:line="360" w:lineRule="auto"/>
        <w:rPr>
          <w:rFonts w:eastAsia="Times New Roman" w:cstheme="minorHAnsi"/>
          <w:sz w:val="24"/>
          <w:szCs w:val="24"/>
          <w:lang w:eastAsia="en-GB"/>
        </w:rPr>
      </w:pPr>
      <w:r w:rsidRPr="00E10785">
        <w:rPr>
          <w:rFonts w:eastAsia="Times New Roman" w:cstheme="minorHAnsi"/>
          <w:color w:val="000000" w:themeColor="text1"/>
          <w:sz w:val="24"/>
          <w:szCs w:val="24"/>
          <w:lang w:eastAsia="en-GB"/>
        </w:rPr>
        <w:t xml:space="preserve">Some </w:t>
      </w:r>
      <w:r w:rsidRPr="00E10785">
        <w:rPr>
          <w:rFonts w:eastAsia="Times New Roman" w:cstheme="minorHAnsi"/>
          <w:sz w:val="24"/>
          <w:szCs w:val="24"/>
          <w:lang w:eastAsia="en-GB"/>
        </w:rPr>
        <w:t>of the downfalls to the demonstration can be ineffective teacher questioning and the pupils losing concentration</w:t>
      </w:r>
      <w:bookmarkStart w:id="4" w:name="_Hlk40172400"/>
      <w:r w:rsidRPr="00E10785">
        <w:rPr>
          <w:rFonts w:eastAsia="Times New Roman" w:cstheme="minorHAnsi"/>
          <w:color w:val="000000" w:themeColor="text1"/>
          <w:sz w:val="24"/>
          <w:szCs w:val="24"/>
          <w:lang w:eastAsia="en-GB"/>
        </w:rPr>
        <w:t xml:space="preserve"> Sever et al. (2009)</w:t>
      </w:r>
      <w:bookmarkEnd w:id="4"/>
      <w:r w:rsidRPr="00E10785">
        <w:rPr>
          <w:rFonts w:eastAsia="Times New Roman" w:cstheme="minorHAnsi"/>
          <w:sz w:val="24"/>
          <w:szCs w:val="24"/>
          <w:lang w:eastAsia="en-GB"/>
        </w:rPr>
        <w:t>. When considering Williams (2005) strategies on effective questioning and</w:t>
      </w:r>
      <w:r w:rsidRPr="00E10785">
        <w:rPr>
          <w:rFonts w:eastAsia="Times New Roman" w:cstheme="minorHAnsi"/>
          <w:color w:val="000000" w:themeColor="text1"/>
          <w:sz w:val="24"/>
          <w:szCs w:val="24"/>
          <w:lang w:eastAsia="en-GB"/>
        </w:rPr>
        <w:t xml:space="preserve"> Hardman et al. (2003) </w:t>
      </w:r>
      <w:r w:rsidRPr="00E10785">
        <w:rPr>
          <w:rFonts w:eastAsia="Times New Roman" w:cstheme="minorHAnsi"/>
          <w:sz w:val="24"/>
          <w:szCs w:val="24"/>
          <w:lang w:eastAsia="en-GB"/>
        </w:rPr>
        <w:t xml:space="preserve">research, having many in-depth exchanges with pupils during a demonstration where the pupils are stood, trying to maintain a position where they can see whilst then finding desk space to record results may not be ideal. Questioning is still absolutely essential, however losing the pace of the lesson can affect engagement, motivation and the excitement for the demonstration. There is clearly a fine balance between the two in demonstration work. </w:t>
      </w:r>
    </w:p>
    <w:p w14:paraId="299C483A" w14:textId="6C4EC7DF" w:rsidR="00E10785" w:rsidRPr="00E10785" w:rsidRDefault="00E10785" w:rsidP="00E10785">
      <w:pPr>
        <w:shd w:val="clear" w:color="auto" w:fill="FFFFFF"/>
        <w:spacing w:after="420" w:line="360" w:lineRule="auto"/>
        <w:rPr>
          <w:rFonts w:eastAsia="Times New Roman" w:cstheme="minorHAnsi"/>
          <w:sz w:val="24"/>
          <w:szCs w:val="24"/>
          <w:lang w:eastAsia="en-GB"/>
        </w:rPr>
      </w:pPr>
      <w:r w:rsidRPr="00E10785">
        <w:rPr>
          <w:rFonts w:eastAsia="Times New Roman" w:cstheme="minorHAnsi"/>
          <w:sz w:val="24"/>
          <w:szCs w:val="24"/>
          <w:lang w:eastAsia="en-GB"/>
        </w:rPr>
        <w:t>Therefore, on reflection the more in-depth questioning for simple recall of properties may not be necessary. The longer exchanges between the pupil and teacher and between peers could be reserved for when the detail is needed. This could be to compare properties of the compound and their elements, when linking to the sub-microscopic and when asking pupils to apply their understanding. This would also be a good opportunity for peers and teacher to scaffold and model metacognitive skills as highlighted by Ka</w:t>
      </w:r>
      <w:r>
        <w:rPr>
          <w:rFonts w:eastAsia="Times New Roman" w:cstheme="minorHAnsi"/>
          <w:sz w:val="24"/>
          <w:szCs w:val="24"/>
          <w:lang w:eastAsia="en-GB"/>
        </w:rPr>
        <w:t>is</w:t>
      </w:r>
      <w:r w:rsidRPr="00E10785">
        <w:rPr>
          <w:rFonts w:eastAsia="Times New Roman" w:cstheme="minorHAnsi"/>
          <w:sz w:val="24"/>
          <w:szCs w:val="24"/>
          <w:lang w:eastAsia="en-GB"/>
        </w:rPr>
        <w:t>er (2018).</w:t>
      </w:r>
    </w:p>
    <w:p w14:paraId="6B8BADE3" w14:textId="77777777" w:rsidR="00E10785" w:rsidRPr="00E10785" w:rsidRDefault="00E10785" w:rsidP="00E10785">
      <w:pPr>
        <w:spacing w:line="360" w:lineRule="auto"/>
        <w:rPr>
          <w:rFonts w:cstheme="minorHAnsi"/>
          <w:sz w:val="24"/>
          <w:szCs w:val="24"/>
        </w:rPr>
      </w:pPr>
      <w:r w:rsidRPr="00E10785">
        <w:rPr>
          <w:rFonts w:cstheme="minorHAnsi"/>
          <w:color w:val="000000" w:themeColor="text1"/>
          <w:sz w:val="24"/>
          <w:szCs w:val="24"/>
        </w:rPr>
        <w:t>With modern technology science teachers have the option to avoid the demonstration and use video clips. It was interesting to note that in his research Sever et al. (2009) found that</w:t>
      </w:r>
      <w:r w:rsidRPr="00E10785">
        <w:rPr>
          <w:rFonts w:cstheme="minorHAnsi"/>
          <w:sz w:val="24"/>
          <w:szCs w:val="24"/>
        </w:rPr>
        <w:t xml:space="preserve"> video-based demonstrations were just as effective as teacher demonstrations, although as </w:t>
      </w:r>
      <w:r w:rsidRPr="00E10785">
        <w:rPr>
          <w:rFonts w:cstheme="minorHAnsi"/>
          <w:sz w:val="24"/>
          <w:szCs w:val="24"/>
        </w:rPr>
        <w:lastRenderedPageBreak/>
        <w:t xml:space="preserve">the participants in this study were adults it is not possible to make direct comparisons. The video clip was decided against for the microteach in favour of the teacher demonstration for the following reasons. It can be argued that younger pupils need more guidance in order to follow what is happening, in addition questioning and interacting with the pupils to challenge and monitor understanding would be more difficult without stopping and starting the video interrupting the flow and pace of the lesson. It can also be argued that seeing the substances in real life gives an enhanced visual and sensory experience. Video however could have its benefits in terms of a back-up for an unsuccessful demonstration or as a replay to recap fast reactions. </w:t>
      </w:r>
    </w:p>
    <w:p w14:paraId="689ACEFB" w14:textId="77777777" w:rsidR="00E10785" w:rsidRPr="00E10785" w:rsidRDefault="00E10785" w:rsidP="00E10785">
      <w:pPr>
        <w:spacing w:line="360" w:lineRule="auto"/>
        <w:rPr>
          <w:rFonts w:cstheme="minorHAnsi"/>
          <w:sz w:val="24"/>
          <w:szCs w:val="24"/>
        </w:rPr>
      </w:pPr>
      <w:r w:rsidRPr="00E10785">
        <w:rPr>
          <w:rFonts w:cstheme="minorHAnsi"/>
          <w:sz w:val="24"/>
          <w:szCs w:val="24"/>
        </w:rPr>
        <w:t xml:space="preserve">In conclusion, it was considered vital for the pupils to see the demonstration at the macroscopic level. It would be interesting to further explore the use of STEM resources for the sub-microscopic by using </w:t>
      </w:r>
      <w:r w:rsidRPr="00E10785">
        <w:rPr>
          <w:rFonts w:cstheme="minorHAnsi"/>
          <w:color w:val="000000" w:themeColor="text1"/>
          <w:sz w:val="24"/>
          <w:szCs w:val="24"/>
        </w:rPr>
        <w:t xml:space="preserve">computer software to show </w:t>
      </w:r>
      <w:r w:rsidRPr="00E10785">
        <w:rPr>
          <w:rFonts w:cstheme="minorHAnsi"/>
          <w:sz w:val="24"/>
          <w:szCs w:val="24"/>
        </w:rPr>
        <w:t xml:space="preserve">the changing configuration of atoms as a compound is being made. </w:t>
      </w:r>
    </w:p>
    <w:p w14:paraId="2E1878A7" w14:textId="3DE9EC69" w:rsidR="00E10785" w:rsidRDefault="00E10785" w:rsidP="00E10785">
      <w:pPr>
        <w:spacing w:line="360" w:lineRule="auto"/>
        <w:rPr>
          <w:rFonts w:cstheme="minorHAnsi"/>
          <w:sz w:val="24"/>
          <w:szCs w:val="24"/>
          <w:u w:val="single"/>
        </w:rPr>
      </w:pPr>
    </w:p>
    <w:p w14:paraId="521F4313" w14:textId="77777777" w:rsidR="00E10785" w:rsidRPr="00E10785" w:rsidRDefault="00E10785" w:rsidP="00E10785">
      <w:pPr>
        <w:spacing w:line="360" w:lineRule="auto"/>
        <w:rPr>
          <w:rFonts w:cstheme="minorHAnsi"/>
          <w:sz w:val="24"/>
          <w:szCs w:val="24"/>
          <w:u w:val="single"/>
        </w:rPr>
      </w:pPr>
    </w:p>
    <w:p w14:paraId="398F0F46" w14:textId="76001D8E" w:rsidR="00E10785" w:rsidRPr="00E10785" w:rsidRDefault="00E10785" w:rsidP="00E10785">
      <w:pPr>
        <w:spacing w:line="360" w:lineRule="auto"/>
        <w:rPr>
          <w:rFonts w:cstheme="minorHAnsi"/>
          <w:sz w:val="28"/>
          <w:szCs w:val="28"/>
          <w:u w:val="single"/>
        </w:rPr>
      </w:pPr>
      <w:r w:rsidRPr="00E10785">
        <w:rPr>
          <w:rFonts w:cstheme="minorHAnsi"/>
          <w:sz w:val="28"/>
          <w:szCs w:val="28"/>
          <w:u w:val="single"/>
        </w:rPr>
        <w:t>Evaluation</w:t>
      </w:r>
    </w:p>
    <w:p w14:paraId="41504E73"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After considering research evidence a number of revisions could be made to the lesson undertaken. Firstly, the lesson was too long and tried to incorporate too much information when considering the objective of the lesson and the misconception it was designed to address. </w:t>
      </w:r>
    </w:p>
    <w:p w14:paraId="40DE68FF"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The reasoning behind adding the sub-microscopic learning after the demonstration was in response to Hofgartner (2019) thoughts on linking the macroscopic to sub-microscopic focusing on two aspects of the Johnstone Triangle during demonstration work. </w:t>
      </w:r>
    </w:p>
    <w:p w14:paraId="2F6EC299"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It was thought that it would be important to make this link at the same time as observing properties at the macroscopic level, however on reflection (considering time constraints of the microteach) this should have been done in a subsequent lesson. Future lessons could have involved activating prior knowledge of the learning that had taken place at the macroscopic level and could then have incorporated modelling work on elements and </w:t>
      </w:r>
      <w:r w:rsidRPr="00E10785">
        <w:rPr>
          <w:rFonts w:cstheme="minorHAnsi"/>
          <w:color w:val="000000" w:themeColor="text1"/>
          <w:sz w:val="24"/>
          <w:szCs w:val="24"/>
        </w:rPr>
        <w:lastRenderedPageBreak/>
        <w:t xml:space="preserve">compounds which could then lead to word and symbol equations to link all three areas of Johnstone triangle.  </w:t>
      </w:r>
    </w:p>
    <w:p w14:paraId="472C37C1"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Secondly, instead of trying to make the macroscopic/sub-microscopic link during the microteach it may have been more beneficial to further demonstrate that the difference in properties between the elements iron and sulfur and the properties of iron sulfide. This could have been done by adding hydrochloric acid to each substance so that the pupils can observe that iron sulfide produces the gas hydrogen sulfide which reacts with lead nitrate to form shiny lead sulfide, and with the zinc sulfate to form solid zinc sulfide and that it decolours the potassium manganate. The mixture would demonstrate no change to the same substances as only hydrogen gas is produced, this demonstrates the differences in their properties in that a different gas is produced in the reaction with hydrochloric acid (CLEAPS, n.d.).</w:t>
      </w:r>
    </w:p>
    <w:p w14:paraId="0663CE98"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Thirdly, Willingham (2009, cited in Hatti, 2012) claims that there are better places in the lesson to use the hook other than the start, possibly at the end of the lesson to consolidate learning. He also claims that connecting the hook and the point its designed to make, should be the main idea from the lesson. In contrast to this a hook was used at the start of the lesson however, in line with his ideas it was revisited at the end of the lesson whereby pupils transferred knowledge to connect ideas from the lesson. It is not clear however, if this would have been effective as a starter for this particular topic or if a starter designed to recall information in a more traditional way would have been more effective. This would be an area of exploration in future lessons.</w:t>
      </w:r>
    </w:p>
    <w:p w14:paraId="21118259" w14:textId="1295B18A" w:rsid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With more time available during the demonstration as a result of not including additional tasks more time could have been focused on developing the </w:t>
      </w:r>
      <w:r w:rsidRPr="00E10785">
        <w:rPr>
          <w:rFonts w:cstheme="minorHAnsi"/>
          <w:color w:val="000000" w:themeColor="text1"/>
          <w:sz w:val="24"/>
          <w:szCs w:val="24"/>
        </w:rPr>
        <w:t>pupil’s</w:t>
      </w:r>
      <w:r w:rsidRPr="00E10785">
        <w:rPr>
          <w:rFonts w:cstheme="minorHAnsi"/>
          <w:color w:val="000000" w:themeColor="text1"/>
          <w:sz w:val="24"/>
          <w:szCs w:val="24"/>
        </w:rPr>
        <w:t xml:space="preserve"> metacognition skills of monitoring and evaluating their learning as outlined by the Education Endowment Foundation (n.d.) in their guidance report. These are the skills that teachers sometimes assume pupils already have. Pupils would have been aware of the challenge (already outlined at the start of the lesson) and could have used these skills to monitor and self-regulate to improve written work. It would be interesting to explore these further as the research undertaken for this study suggests they have a substantial impact on success rates particularly for the less able pupils White and </w:t>
      </w:r>
      <w:r w:rsidRPr="00E10785">
        <w:rPr>
          <w:rFonts w:cstheme="minorHAnsi"/>
          <w:color w:val="000000" w:themeColor="text1"/>
          <w:sz w:val="24"/>
          <w:szCs w:val="24"/>
          <w:shd w:val="clear" w:color="auto" w:fill="FFFFFF"/>
        </w:rPr>
        <w:t>Frederiksen (1998).</w:t>
      </w:r>
    </w:p>
    <w:p w14:paraId="56FD4885" w14:textId="44D7ACEB" w:rsidR="00E10785" w:rsidRPr="00E10785" w:rsidRDefault="00E10785" w:rsidP="00E10785">
      <w:pPr>
        <w:spacing w:line="360" w:lineRule="auto"/>
        <w:rPr>
          <w:rFonts w:cstheme="minorHAnsi"/>
          <w:color w:val="000000" w:themeColor="text1"/>
          <w:sz w:val="28"/>
          <w:szCs w:val="28"/>
        </w:rPr>
      </w:pPr>
      <w:r w:rsidRPr="00E10785">
        <w:rPr>
          <w:rFonts w:cstheme="minorHAnsi"/>
          <w:sz w:val="28"/>
          <w:szCs w:val="28"/>
          <w:u w:val="single"/>
        </w:rPr>
        <w:lastRenderedPageBreak/>
        <w:t>Conclusion</w:t>
      </w:r>
    </w:p>
    <w:p w14:paraId="5E51A053" w14:textId="2CE67AEF" w:rsidR="00E10785" w:rsidRPr="00E10785" w:rsidRDefault="00E10785" w:rsidP="00E10785">
      <w:pPr>
        <w:spacing w:line="360" w:lineRule="auto"/>
        <w:rPr>
          <w:rFonts w:cstheme="minorHAnsi"/>
          <w:sz w:val="24"/>
          <w:szCs w:val="24"/>
        </w:rPr>
      </w:pPr>
      <w:r w:rsidRPr="00E10785">
        <w:rPr>
          <w:rFonts w:cstheme="minorHAnsi"/>
          <w:sz w:val="24"/>
          <w:szCs w:val="24"/>
        </w:rPr>
        <w:t>In conclusion, it is essential to pupils future understanding of more complex topics in science that misconceptions are identified and rectified (</w:t>
      </w:r>
      <w:r>
        <w:rPr>
          <w:rFonts w:cstheme="minorHAnsi"/>
          <w:sz w:val="24"/>
          <w:szCs w:val="24"/>
        </w:rPr>
        <w:t>Kaiser, 2018</w:t>
      </w:r>
      <w:proofErr w:type="gramStart"/>
      <w:r w:rsidRPr="00E10785">
        <w:rPr>
          <w:rFonts w:cstheme="minorHAnsi"/>
          <w:sz w:val="24"/>
          <w:szCs w:val="24"/>
        </w:rPr>
        <w:t>) .</w:t>
      </w:r>
      <w:proofErr w:type="gramEnd"/>
      <w:r w:rsidRPr="00E10785">
        <w:rPr>
          <w:rFonts w:cstheme="minorHAnsi"/>
          <w:sz w:val="24"/>
          <w:szCs w:val="24"/>
        </w:rPr>
        <w:t xml:space="preserve"> There are general misconceptions in science which it is important for teachers to be aware of which can be pre- planned for, however, it is also important for teachers to use appropriate assessment for learning strategies to ensure misconceptions that are not common are identified during the lesson whereby the pupil can be heled to rebuild and internalise thinking to address these. The role that metacognition plays in lessons has become apparent through this research and will inform my teaching and learning outcomes on a regular basis as a result of this research and will be a future area of interest given the research that suggests the benefits to pupils in school and their adult life.  </w:t>
      </w:r>
    </w:p>
    <w:p w14:paraId="7C807574" w14:textId="77777777" w:rsidR="00E10785" w:rsidRPr="00E10785" w:rsidRDefault="00E10785" w:rsidP="00E10785">
      <w:pPr>
        <w:spacing w:line="360" w:lineRule="auto"/>
        <w:rPr>
          <w:rFonts w:cstheme="minorHAnsi"/>
          <w:sz w:val="24"/>
          <w:szCs w:val="24"/>
        </w:rPr>
      </w:pPr>
    </w:p>
    <w:p w14:paraId="6726D328" w14:textId="169E31F9" w:rsidR="00E10785" w:rsidRDefault="00E10785" w:rsidP="00E10785">
      <w:pPr>
        <w:spacing w:line="360" w:lineRule="auto"/>
        <w:rPr>
          <w:rFonts w:cstheme="minorHAnsi"/>
          <w:sz w:val="24"/>
          <w:szCs w:val="24"/>
        </w:rPr>
      </w:pPr>
    </w:p>
    <w:p w14:paraId="4DEFC984" w14:textId="03129F4E" w:rsidR="00E10785" w:rsidRDefault="00E10785" w:rsidP="00E10785">
      <w:pPr>
        <w:spacing w:line="360" w:lineRule="auto"/>
        <w:rPr>
          <w:rFonts w:cstheme="minorHAnsi"/>
          <w:sz w:val="24"/>
          <w:szCs w:val="24"/>
        </w:rPr>
      </w:pPr>
    </w:p>
    <w:p w14:paraId="7C761859" w14:textId="59910432" w:rsidR="00E10785" w:rsidRDefault="00E10785" w:rsidP="00E10785">
      <w:pPr>
        <w:spacing w:line="360" w:lineRule="auto"/>
        <w:rPr>
          <w:rFonts w:cstheme="minorHAnsi"/>
          <w:sz w:val="24"/>
          <w:szCs w:val="24"/>
        </w:rPr>
      </w:pPr>
    </w:p>
    <w:p w14:paraId="2B5AD84B" w14:textId="57287ED3" w:rsidR="00E10785" w:rsidRDefault="00E10785" w:rsidP="00E10785">
      <w:pPr>
        <w:spacing w:line="360" w:lineRule="auto"/>
        <w:rPr>
          <w:rFonts w:cstheme="minorHAnsi"/>
          <w:sz w:val="24"/>
          <w:szCs w:val="24"/>
        </w:rPr>
      </w:pPr>
    </w:p>
    <w:p w14:paraId="47964CBA" w14:textId="6C0A60DF" w:rsidR="00E10785" w:rsidRDefault="00E10785" w:rsidP="00E10785">
      <w:pPr>
        <w:spacing w:line="360" w:lineRule="auto"/>
        <w:rPr>
          <w:rFonts w:cstheme="minorHAnsi"/>
          <w:sz w:val="24"/>
          <w:szCs w:val="24"/>
        </w:rPr>
      </w:pPr>
    </w:p>
    <w:p w14:paraId="65333B07" w14:textId="796C6AA9" w:rsidR="00E10785" w:rsidRDefault="00E10785" w:rsidP="00E10785">
      <w:pPr>
        <w:spacing w:line="360" w:lineRule="auto"/>
        <w:rPr>
          <w:rFonts w:cstheme="minorHAnsi"/>
          <w:sz w:val="24"/>
          <w:szCs w:val="24"/>
        </w:rPr>
      </w:pPr>
    </w:p>
    <w:p w14:paraId="4F44BD8B" w14:textId="1B2869EB" w:rsidR="00E10785" w:rsidRDefault="00E10785" w:rsidP="00E10785">
      <w:pPr>
        <w:spacing w:line="360" w:lineRule="auto"/>
        <w:rPr>
          <w:rFonts w:cstheme="minorHAnsi"/>
          <w:sz w:val="24"/>
          <w:szCs w:val="24"/>
        </w:rPr>
      </w:pPr>
    </w:p>
    <w:p w14:paraId="78742FD7" w14:textId="1C5C3249" w:rsidR="00E10785" w:rsidRDefault="00E10785" w:rsidP="00E10785">
      <w:pPr>
        <w:spacing w:line="360" w:lineRule="auto"/>
        <w:rPr>
          <w:rFonts w:cstheme="minorHAnsi"/>
          <w:sz w:val="24"/>
          <w:szCs w:val="24"/>
        </w:rPr>
      </w:pPr>
    </w:p>
    <w:p w14:paraId="1801D2A5" w14:textId="18FAB94B" w:rsidR="00E10785" w:rsidRDefault="00E10785" w:rsidP="00E10785">
      <w:pPr>
        <w:spacing w:line="360" w:lineRule="auto"/>
        <w:rPr>
          <w:rFonts w:cstheme="minorHAnsi"/>
          <w:sz w:val="24"/>
          <w:szCs w:val="24"/>
        </w:rPr>
      </w:pPr>
    </w:p>
    <w:p w14:paraId="65A3324F" w14:textId="40CDE627" w:rsidR="00E10785" w:rsidRDefault="00E10785" w:rsidP="00E10785">
      <w:pPr>
        <w:spacing w:line="360" w:lineRule="auto"/>
        <w:rPr>
          <w:rFonts w:cstheme="minorHAnsi"/>
          <w:sz w:val="24"/>
          <w:szCs w:val="24"/>
        </w:rPr>
      </w:pPr>
    </w:p>
    <w:p w14:paraId="36033DC3" w14:textId="35652247" w:rsidR="00E10785" w:rsidRDefault="00E10785" w:rsidP="00E10785">
      <w:pPr>
        <w:spacing w:line="360" w:lineRule="auto"/>
        <w:rPr>
          <w:rFonts w:cstheme="minorHAnsi"/>
          <w:sz w:val="24"/>
          <w:szCs w:val="24"/>
        </w:rPr>
      </w:pPr>
    </w:p>
    <w:p w14:paraId="03E0DFBA" w14:textId="64F3A58E" w:rsidR="00E10785" w:rsidRDefault="00E10785" w:rsidP="00E10785">
      <w:pPr>
        <w:spacing w:line="360" w:lineRule="auto"/>
        <w:rPr>
          <w:rFonts w:cstheme="minorHAnsi"/>
          <w:sz w:val="24"/>
          <w:szCs w:val="24"/>
        </w:rPr>
      </w:pPr>
    </w:p>
    <w:p w14:paraId="72232142" w14:textId="48BFD7AA" w:rsidR="00E10785" w:rsidRDefault="00E10785" w:rsidP="00E10785">
      <w:pPr>
        <w:spacing w:line="360" w:lineRule="auto"/>
        <w:rPr>
          <w:rFonts w:cstheme="minorHAnsi"/>
          <w:sz w:val="24"/>
          <w:szCs w:val="24"/>
        </w:rPr>
      </w:pPr>
    </w:p>
    <w:p w14:paraId="02C163D0" w14:textId="501EC7E0" w:rsidR="00E10785" w:rsidRDefault="00E10785" w:rsidP="00E10785">
      <w:pPr>
        <w:spacing w:line="360" w:lineRule="auto"/>
        <w:rPr>
          <w:rFonts w:cstheme="minorHAnsi"/>
          <w:sz w:val="24"/>
          <w:szCs w:val="24"/>
        </w:rPr>
      </w:pPr>
    </w:p>
    <w:p w14:paraId="3F1FC041" w14:textId="77777777" w:rsidR="00E10785" w:rsidRPr="00E10785" w:rsidRDefault="00E10785" w:rsidP="00E10785">
      <w:pPr>
        <w:spacing w:line="360" w:lineRule="auto"/>
        <w:rPr>
          <w:rFonts w:cstheme="minorHAnsi"/>
          <w:color w:val="000000" w:themeColor="text1"/>
          <w:sz w:val="28"/>
          <w:szCs w:val="28"/>
          <w:u w:val="single"/>
        </w:rPr>
      </w:pPr>
      <w:r w:rsidRPr="00E10785">
        <w:rPr>
          <w:rFonts w:cstheme="minorHAnsi"/>
          <w:color w:val="000000" w:themeColor="text1"/>
          <w:sz w:val="28"/>
          <w:szCs w:val="28"/>
          <w:u w:val="single"/>
        </w:rPr>
        <w:lastRenderedPageBreak/>
        <w:t>References</w:t>
      </w:r>
    </w:p>
    <w:p w14:paraId="401F5548" w14:textId="77777777" w:rsidR="00E10785" w:rsidRPr="00E10785" w:rsidRDefault="00E10785" w:rsidP="00E10785">
      <w:pPr>
        <w:tabs>
          <w:tab w:val="left" w:pos="5295"/>
        </w:tabs>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Barke, H.D., Hazari, A. and Yitbarek, S. (2008) </w:t>
      </w:r>
      <w:r w:rsidRPr="00E10785">
        <w:rPr>
          <w:rFonts w:cstheme="minorHAnsi"/>
          <w:i/>
          <w:iCs/>
          <w:color w:val="000000" w:themeColor="text1"/>
          <w:sz w:val="24"/>
          <w:szCs w:val="24"/>
          <w:shd w:val="clear" w:color="auto" w:fill="FFFFFF"/>
        </w:rPr>
        <w:t>Misconceptions in chemistry: Addressing perceptions in chemical education</w:t>
      </w:r>
      <w:r w:rsidRPr="00E10785">
        <w:rPr>
          <w:rFonts w:cstheme="minorHAnsi"/>
          <w:color w:val="000000" w:themeColor="text1"/>
          <w:sz w:val="24"/>
          <w:szCs w:val="24"/>
          <w:shd w:val="clear" w:color="auto" w:fill="FFFFFF"/>
        </w:rPr>
        <w:t>. Germany: Springer.</w:t>
      </w:r>
    </w:p>
    <w:p w14:paraId="0D177291" w14:textId="77777777" w:rsidR="00E10785" w:rsidRPr="00E10785" w:rsidRDefault="00E10785" w:rsidP="00E10785">
      <w:pPr>
        <w:spacing w:line="360" w:lineRule="auto"/>
        <w:rPr>
          <w:rFonts w:cstheme="minorHAnsi"/>
          <w:sz w:val="24"/>
          <w:szCs w:val="24"/>
          <w:shd w:val="clear" w:color="auto" w:fill="FFFFFF"/>
        </w:rPr>
      </w:pPr>
      <w:r w:rsidRPr="00E10785">
        <w:rPr>
          <w:rFonts w:cstheme="minorHAnsi"/>
          <w:sz w:val="24"/>
          <w:szCs w:val="24"/>
          <w:shd w:val="clear" w:color="auto" w:fill="FFFFFF"/>
        </w:rPr>
        <w:t xml:space="preserve">British Educational Research Association (2018) </w:t>
      </w:r>
      <w:r w:rsidRPr="00E10785">
        <w:rPr>
          <w:rFonts w:cstheme="minorHAnsi"/>
          <w:i/>
          <w:iCs/>
          <w:sz w:val="24"/>
          <w:szCs w:val="24"/>
          <w:shd w:val="clear" w:color="auto" w:fill="FFFFFF"/>
        </w:rPr>
        <w:t>Ethical Guidelines for Educational Research.</w:t>
      </w:r>
      <w:r w:rsidRPr="00E10785">
        <w:rPr>
          <w:rFonts w:cstheme="minorHAnsi"/>
          <w:sz w:val="24"/>
          <w:szCs w:val="24"/>
          <w:shd w:val="clear" w:color="auto" w:fill="FFFFFF"/>
        </w:rPr>
        <w:t xml:space="preserve"> Available at: </w:t>
      </w:r>
      <w:hyperlink r:id="rId6" w:history="1">
        <w:r w:rsidRPr="00E10785">
          <w:rPr>
            <w:rFonts w:cstheme="minorHAnsi"/>
            <w:sz w:val="24"/>
            <w:szCs w:val="24"/>
          </w:rPr>
          <w:t>file:///C:/Users/James/Downloads/BERA-Ethical-Guidelines-for-Educational-Research_4thEdn_2018.pdf</w:t>
        </w:r>
      </w:hyperlink>
      <w:r w:rsidRPr="00E10785">
        <w:rPr>
          <w:rFonts w:cstheme="minorHAnsi"/>
          <w:sz w:val="24"/>
          <w:szCs w:val="24"/>
        </w:rPr>
        <w:t xml:space="preserve"> (Accessed: 12 December 2019).</w:t>
      </w:r>
    </w:p>
    <w:p w14:paraId="5792DC1F"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Black, P. and Wiliam, D. (1998) ‘Assessment and classroom learning’, </w:t>
      </w:r>
      <w:r w:rsidRPr="00E10785">
        <w:rPr>
          <w:rFonts w:cstheme="minorHAnsi"/>
          <w:i/>
          <w:iCs/>
          <w:color w:val="000000" w:themeColor="text1"/>
          <w:sz w:val="24"/>
          <w:szCs w:val="24"/>
          <w:shd w:val="clear" w:color="auto" w:fill="FFFFFF"/>
        </w:rPr>
        <w:t>Assessment in Education: principles, policy &amp; practice</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5</w:t>
      </w:r>
      <w:r w:rsidRPr="00E10785">
        <w:rPr>
          <w:rFonts w:cstheme="minorHAnsi"/>
          <w:color w:val="000000" w:themeColor="text1"/>
          <w:sz w:val="24"/>
          <w:szCs w:val="24"/>
          <w:shd w:val="clear" w:color="auto" w:fill="FFFFFF"/>
        </w:rPr>
        <w:t>(1), pp.7-74.</w:t>
      </w:r>
      <w:r w:rsidRPr="00E10785">
        <w:rPr>
          <w:rFonts w:cstheme="minorHAnsi"/>
          <w:color w:val="000000" w:themeColor="text1"/>
          <w:sz w:val="24"/>
          <w:szCs w:val="24"/>
        </w:rPr>
        <w:t xml:space="preserve"> DOI: 10.1080/0969595980050102 </w:t>
      </w:r>
    </w:p>
    <w:p w14:paraId="38137AFD" w14:textId="77777777" w:rsidR="00E10785" w:rsidRPr="00E10785" w:rsidRDefault="00E10785" w:rsidP="00E10785">
      <w:pPr>
        <w:tabs>
          <w:tab w:val="left" w:pos="5295"/>
        </w:tabs>
        <w:spacing w:before="240"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Black, P. and Wiliam, D. (2001) ‘Inside the black box: Raising standards through classroom assessment’, </w:t>
      </w:r>
      <w:r w:rsidRPr="00E10785">
        <w:rPr>
          <w:rFonts w:cstheme="minorHAnsi"/>
          <w:i/>
          <w:iCs/>
          <w:color w:val="000000" w:themeColor="text1"/>
          <w:sz w:val="24"/>
          <w:szCs w:val="24"/>
          <w:shd w:val="clear" w:color="auto" w:fill="FFFFFF"/>
        </w:rPr>
        <w:t>Northumberland LEA</w:t>
      </w:r>
      <w:r w:rsidRPr="00E10785">
        <w:rPr>
          <w:rFonts w:cstheme="minorHAnsi"/>
          <w:color w:val="000000" w:themeColor="text1"/>
          <w:sz w:val="24"/>
          <w:szCs w:val="24"/>
          <w:shd w:val="clear" w:color="auto" w:fill="FFFFFF"/>
        </w:rPr>
        <w:t>, pp1-16. Available at:</w:t>
      </w:r>
      <w:hyperlink r:id="rId7" w:history="1">
        <w:r w:rsidRPr="00E10785">
          <w:rPr>
            <w:rFonts w:cstheme="minorHAnsi"/>
            <w:color w:val="000000" w:themeColor="text1"/>
            <w:sz w:val="24"/>
            <w:szCs w:val="24"/>
          </w:rPr>
          <w:t>http://www.wyoaac.org/Lit/Inside%20the%20Black%20Box%20-%20Black.pdf</w:t>
        </w:r>
      </w:hyperlink>
      <w:r w:rsidRPr="00E10785">
        <w:rPr>
          <w:rFonts w:cstheme="minorHAnsi"/>
          <w:color w:val="000000" w:themeColor="text1"/>
          <w:sz w:val="24"/>
          <w:szCs w:val="24"/>
        </w:rPr>
        <w:t xml:space="preserve"> (Accessed 10 May 2020).</w:t>
      </w:r>
    </w:p>
    <w:p w14:paraId="5E61FAB3"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Bodner, G.M. (2001) ‘Why Lecture Demonstrations Are ‘Exocharmic’ For Both Students </w:t>
      </w:r>
      <w:proofErr w:type="gramStart"/>
      <w:r w:rsidRPr="00E10785">
        <w:rPr>
          <w:rFonts w:cstheme="minorHAnsi"/>
          <w:color w:val="000000" w:themeColor="text1"/>
          <w:sz w:val="24"/>
          <w:szCs w:val="24"/>
        </w:rPr>
        <w:t>And</w:t>
      </w:r>
      <w:proofErr w:type="gramEnd"/>
      <w:r w:rsidRPr="00E10785">
        <w:rPr>
          <w:rFonts w:cstheme="minorHAnsi"/>
          <w:color w:val="000000" w:themeColor="text1"/>
          <w:sz w:val="24"/>
          <w:szCs w:val="24"/>
        </w:rPr>
        <w:t xml:space="preserve"> Their Instructors’, </w:t>
      </w:r>
      <w:r w:rsidRPr="00E10785">
        <w:rPr>
          <w:rFonts w:cstheme="minorHAnsi"/>
          <w:i/>
          <w:iCs/>
          <w:color w:val="000000" w:themeColor="text1"/>
          <w:sz w:val="24"/>
          <w:szCs w:val="24"/>
          <w:shd w:val="clear" w:color="auto" w:fill="FFFFFF"/>
        </w:rPr>
        <w:t>University Chemistry Education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5</w:t>
      </w:r>
      <w:r w:rsidRPr="00E10785">
        <w:rPr>
          <w:rFonts w:cstheme="minorHAnsi"/>
          <w:color w:val="000000" w:themeColor="text1"/>
          <w:sz w:val="24"/>
          <w:szCs w:val="24"/>
          <w:shd w:val="clear" w:color="auto" w:fill="FFFFFF"/>
        </w:rPr>
        <w:t>(1), pp.31-35. Available at:</w:t>
      </w:r>
      <w:r w:rsidRPr="00E10785">
        <w:rPr>
          <w:rFonts w:cstheme="minorHAnsi"/>
          <w:color w:val="000000" w:themeColor="text1"/>
          <w:sz w:val="24"/>
          <w:szCs w:val="24"/>
        </w:rPr>
        <w:t xml:space="preserve"> </w:t>
      </w:r>
      <w:hyperlink r:id="rId8" w:history="1">
        <w:r w:rsidRPr="00E10785">
          <w:rPr>
            <w:rFonts w:cstheme="minorHAnsi"/>
            <w:color w:val="000000" w:themeColor="text1"/>
            <w:sz w:val="24"/>
            <w:szCs w:val="24"/>
          </w:rPr>
          <w:t>https://staff.science.uva.nl/e.joling/vakdidactiek/documenten/Bodner2001UCEd.pdf</w:t>
        </w:r>
      </w:hyperlink>
      <w:r w:rsidRPr="00E10785">
        <w:rPr>
          <w:rFonts w:cstheme="minorHAnsi"/>
          <w:color w:val="000000" w:themeColor="text1"/>
          <w:sz w:val="24"/>
          <w:szCs w:val="24"/>
        </w:rPr>
        <w:t xml:space="preserve"> (Accessed: 7 May 2020).</w:t>
      </w:r>
    </w:p>
    <w:p w14:paraId="6FDB871B"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Cakir, M. (2008) ‘Constructivist approaches to learning in science and their implications for science pedagogy:  A literature review’, </w:t>
      </w:r>
      <w:r w:rsidRPr="00E10785">
        <w:rPr>
          <w:rFonts w:cstheme="minorHAnsi"/>
          <w:i/>
          <w:iCs/>
          <w:color w:val="000000" w:themeColor="text1"/>
          <w:sz w:val="24"/>
          <w:szCs w:val="24"/>
        </w:rPr>
        <w:t>International Journal of Environmental &amp; Science Education, 3</w:t>
      </w:r>
      <w:r w:rsidRPr="00E10785">
        <w:rPr>
          <w:rFonts w:cstheme="minorHAnsi"/>
          <w:color w:val="000000" w:themeColor="text1"/>
          <w:sz w:val="24"/>
          <w:szCs w:val="24"/>
        </w:rPr>
        <w:t xml:space="preserve">(4), pp. 193-206. Available at: </w:t>
      </w:r>
      <w:hyperlink r:id="rId9" w:history="1">
        <w:r w:rsidRPr="00E10785">
          <w:rPr>
            <w:rFonts w:cstheme="minorHAnsi"/>
            <w:color w:val="000000" w:themeColor="text1"/>
            <w:sz w:val="24"/>
            <w:szCs w:val="24"/>
          </w:rPr>
          <w:t>https://files.eric.ed.gov/fulltext/EJ894860.pdf</w:t>
        </w:r>
      </w:hyperlink>
      <w:r w:rsidRPr="00E10785">
        <w:rPr>
          <w:rFonts w:cstheme="minorHAnsi"/>
          <w:color w:val="000000" w:themeColor="text1"/>
          <w:sz w:val="24"/>
          <w:szCs w:val="24"/>
        </w:rPr>
        <w:t xml:space="preserve"> (Accessed: 6 May 2020).</w:t>
      </w:r>
    </w:p>
    <w:p w14:paraId="53DB0E18"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Clark, I. (2012) ‘Formative assessment: Assessment is for self-regulated learning’, </w:t>
      </w:r>
      <w:r w:rsidRPr="00E10785">
        <w:rPr>
          <w:rFonts w:cstheme="minorHAnsi"/>
          <w:i/>
          <w:iCs/>
          <w:color w:val="000000" w:themeColor="text1"/>
          <w:sz w:val="24"/>
          <w:szCs w:val="24"/>
          <w:shd w:val="clear" w:color="auto" w:fill="FFFFFF"/>
        </w:rPr>
        <w:t>Educational Psychology Review</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24</w:t>
      </w:r>
      <w:r w:rsidRPr="00E10785">
        <w:rPr>
          <w:rFonts w:cstheme="minorHAnsi"/>
          <w:color w:val="000000" w:themeColor="text1"/>
          <w:sz w:val="24"/>
          <w:szCs w:val="24"/>
          <w:shd w:val="clear" w:color="auto" w:fill="FFFFFF"/>
        </w:rPr>
        <w:t>(2), pp.205-249.</w:t>
      </w:r>
      <w:r w:rsidRPr="00E10785">
        <w:rPr>
          <w:rFonts w:cstheme="minorHAnsi"/>
          <w:color w:val="000000" w:themeColor="text1"/>
          <w:sz w:val="24"/>
          <w:szCs w:val="24"/>
        </w:rPr>
        <w:t xml:space="preserve"> DOI </w:t>
      </w:r>
      <w:r w:rsidRPr="00E10785">
        <w:rPr>
          <w:rFonts w:cstheme="minorHAnsi"/>
          <w:sz w:val="24"/>
          <w:szCs w:val="24"/>
        </w:rPr>
        <w:t>10.1007/s10648-011-9191-6</w:t>
      </w:r>
    </w:p>
    <w:p w14:paraId="15B88F28"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CLEAPS (2018) Safer chemicals safer reactions. Available at: </w:t>
      </w:r>
      <w:hyperlink r:id="rId10" w:history="1">
        <w:r w:rsidRPr="00E10785">
          <w:rPr>
            <w:rFonts w:cstheme="minorHAnsi"/>
            <w:color w:val="000000" w:themeColor="text1"/>
            <w:sz w:val="24"/>
            <w:szCs w:val="24"/>
          </w:rPr>
          <w:t>http://science.cleapss.org.uk/Resource/L195-Safer-chemicals-safer-reactions.pdf</w:t>
        </w:r>
      </w:hyperlink>
      <w:r w:rsidRPr="00E10785">
        <w:rPr>
          <w:rFonts w:cstheme="minorHAnsi"/>
          <w:color w:val="000000" w:themeColor="text1"/>
          <w:sz w:val="24"/>
          <w:szCs w:val="24"/>
        </w:rPr>
        <w:t xml:space="preserve"> (Accessed: 11 May 2020).</w:t>
      </w:r>
    </w:p>
    <w:p w14:paraId="64589C3D"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lastRenderedPageBreak/>
        <w:t xml:space="preserve">CLEAPS (n.d.) Supporting practical science and technology in schools and colleges. Available at: </w:t>
      </w:r>
      <w:hyperlink r:id="rId11" w:history="1">
        <w:r w:rsidRPr="00E10785">
          <w:rPr>
            <w:rFonts w:cstheme="minorHAnsi"/>
            <w:color w:val="000000" w:themeColor="text1"/>
            <w:sz w:val="24"/>
            <w:szCs w:val="24"/>
          </w:rPr>
          <w:t>http://science.cleapss.org.uk/Resource-Info/Iron-Sulphur-Reaction.aspx</w:t>
        </w:r>
      </w:hyperlink>
      <w:r w:rsidRPr="00E10785">
        <w:rPr>
          <w:rFonts w:cstheme="minorHAnsi"/>
          <w:color w:val="000000" w:themeColor="text1"/>
          <w:sz w:val="24"/>
          <w:szCs w:val="24"/>
        </w:rPr>
        <w:t xml:space="preserve"> (Accessed: 10 May 2020).</w:t>
      </w:r>
    </w:p>
    <w:p w14:paraId="366EBE88"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Daluba, N.E. (2013) ‘Effect of Demonstration Method of Teaching on Students' Achievement in Agricultural Science’, </w:t>
      </w:r>
      <w:r w:rsidRPr="00E10785">
        <w:rPr>
          <w:rFonts w:cstheme="minorHAnsi"/>
          <w:i/>
          <w:iCs/>
          <w:color w:val="000000" w:themeColor="text1"/>
          <w:sz w:val="24"/>
          <w:szCs w:val="24"/>
          <w:shd w:val="clear" w:color="auto" w:fill="FFFFFF"/>
        </w:rPr>
        <w:t>World Journal of Education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3</w:t>
      </w:r>
      <w:r w:rsidRPr="00E10785">
        <w:rPr>
          <w:rFonts w:cstheme="minorHAnsi"/>
          <w:color w:val="000000" w:themeColor="text1"/>
          <w:sz w:val="24"/>
          <w:szCs w:val="24"/>
          <w:shd w:val="clear" w:color="auto" w:fill="FFFFFF"/>
        </w:rPr>
        <w:t xml:space="preserve">(6), pp.1-7. Available at: </w:t>
      </w:r>
      <w:hyperlink r:id="rId12" w:history="1">
        <w:r w:rsidRPr="00E10785">
          <w:rPr>
            <w:rFonts w:cstheme="minorHAnsi"/>
            <w:color w:val="000000" w:themeColor="text1"/>
            <w:sz w:val="24"/>
            <w:szCs w:val="24"/>
          </w:rPr>
          <w:t>https://files.eric.ed.gov/fulltext/EJ1158626.pdf</w:t>
        </w:r>
      </w:hyperlink>
      <w:r w:rsidRPr="00E10785">
        <w:rPr>
          <w:rFonts w:cstheme="minorHAnsi"/>
          <w:color w:val="000000" w:themeColor="text1"/>
          <w:sz w:val="24"/>
          <w:szCs w:val="24"/>
        </w:rPr>
        <w:t xml:space="preserve"> (Accessed: 5 May 2020).</w:t>
      </w:r>
    </w:p>
    <w:p w14:paraId="5190303C"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Donaldson, D., Hayward, L. and Priestley, M. (2018) New ‘Curriculum Special’ Podcast [blog]. 19 June. Available at:</w:t>
      </w:r>
      <w:r w:rsidRPr="00E10785">
        <w:rPr>
          <w:rFonts w:cstheme="minorHAnsi"/>
          <w:color w:val="000000" w:themeColor="text1"/>
          <w:sz w:val="24"/>
          <w:szCs w:val="24"/>
        </w:rPr>
        <w:t xml:space="preserve"> </w:t>
      </w:r>
      <w:hyperlink r:id="rId13" w:history="1">
        <w:r w:rsidRPr="00E10785">
          <w:rPr>
            <w:rFonts w:cstheme="minorHAnsi"/>
            <w:color w:val="000000" w:themeColor="text1"/>
            <w:sz w:val="24"/>
            <w:szCs w:val="24"/>
          </w:rPr>
          <w:t>https://curriculumforwales.gov.wales/2018/06/19/new-curriculum-special-podcast/</w:t>
        </w:r>
      </w:hyperlink>
      <w:r w:rsidRPr="00E10785">
        <w:rPr>
          <w:rFonts w:cstheme="minorHAnsi"/>
          <w:color w:val="000000" w:themeColor="text1"/>
          <w:sz w:val="24"/>
          <w:szCs w:val="24"/>
        </w:rPr>
        <w:t xml:space="preserve"> (Accessed: 9 May 2020).</w:t>
      </w:r>
    </w:p>
    <w:p w14:paraId="23975CEB"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Dunn, K.E. and Mulvenon, S.W. (2009) ‘A critical review of research on formative assessments: The limited scientific evidence of the impact of formative assessments in education’, </w:t>
      </w:r>
      <w:r w:rsidRPr="00E10785">
        <w:rPr>
          <w:rFonts w:cstheme="minorHAnsi"/>
          <w:i/>
          <w:iCs/>
          <w:color w:val="000000" w:themeColor="text1"/>
          <w:sz w:val="24"/>
          <w:szCs w:val="24"/>
          <w:shd w:val="clear" w:color="auto" w:fill="FFFFFF"/>
        </w:rPr>
        <w:t>Practical Assessment, Research, and Evaluation</w:t>
      </w:r>
      <w:r w:rsidRPr="00E10785">
        <w:rPr>
          <w:rFonts w:cstheme="minorHAnsi"/>
          <w:color w:val="000000" w:themeColor="text1"/>
          <w:sz w:val="24"/>
          <w:szCs w:val="24"/>
          <w:shd w:val="clear" w:color="auto" w:fill="FFFFFF"/>
        </w:rPr>
        <w:t xml:space="preserve">, 14(1), pp. 1-12. Available at: </w:t>
      </w:r>
      <w:hyperlink r:id="rId14" w:history="1">
        <w:r w:rsidRPr="00E10785">
          <w:rPr>
            <w:rFonts w:cstheme="minorHAnsi"/>
            <w:color w:val="000000" w:themeColor="text1"/>
            <w:sz w:val="24"/>
            <w:szCs w:val="24"/>
            <w:u w:val="single"/>
          </w:rPr>
          <w:t>https://scholarworks.umass.edu/cgi/viewcontent.cgi?article=1213&amp;context=pare</w:t>
        </w:r>
      </w:hyperlink>
      <w:r w:rsidRPr="00E10785">
        <w:rPr>
          <w:rFonts w:cstheme="minorHAnsi"/>
          <w:color w:val="000000" w:themeColor="text1"/>
          <w:sz w:val="24"/>
          <w:szCs w:val="24"/>
        </w:rPr>
        <w:t xml:space="preserve"> (Accessed: May 7 2020).</w:t>
      </w:r>
    </w:p>
    <w:p w14:paraId="00D4652A"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Educational Endowment Foundation (n.d.) </w:t>
      </w:r>
      <w:r w:rsidRPr="00E10785">
        <w:rPr>
          <w:rFonts w:cstheme="minorHAnsi"/>
          <w:i/>
          <w:iCs/>
          <w:color w:val="000000" w:themeColor="text1"/>
          <w:sz w:val="24"/>
          <w:szCs w:val="24"/>
        </w:rPr>
        <w:t>Improving Secondary Science Guidance Report</w:t>
      </w:r>
      <w:r w:rsidRPr="00E10785">
        <w:rPr>
          <w:rFonts w:cstheme="minorHAnsi"/>
          <w:color w:val="000000" w:themeColor="text1"/>
          <w:sz w:val="24"/>
          <w:szCs w:val="24"/>
        </w:rPr>
        <w:t xml:space="preserve">. Available at: </w:t>
      </w:r>
      <w:hyperlink r:id="rId15" w:history="1">
        <w:r w:rsidRPr="00E10785">
          <w:rPr>
            <w:rFonts w:cstheme="minorHAnsi"/>
            <w:color w:val="000000" w:themeColor="text1"/>
            <w:sz w:val="24"/>
            <w:szCs w:val="24"/>
          </w:rPr>
          <w:t>https://educationendowmentfoundation.org.uk/public/files/Publications/Science/EEF_improving_secondary_science.pdf</w:t>
        </w:r>
      </w:hyperlink>
      <w:r w:rsidRPr="00E10785">
        <w:rPr>
          <w:rFonts w:cstheme="minorHAnsi"/>
          <w:color w:val="000000" w:themeColor="text1"/>
          <w:sz w:val="24"/>
          <w:szCs w:val="24"/>
        </w:rPr>
        <w:t xml:space="preserve">  (Accessed: 6 May 2020).</w:t>
      </w:r>
    </w:p>
    <w:p w14:paraId="6F399BCD"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Educational Endowment Foundation (n.d.) </w:t>
      </w:r>
      <w:r w:rsidRPr="00E10785">
        <w:rPr>
          <w:rFonts w:cstheme="minorHAnsi"/>
          <w:i/>
          <w:iCs/>
          <w:color w:val="000000" w:themeColor="text1"/>
          <w:sz w:val="24"/>
          <w:szCs w:val="24"/>
        </w:rPr>
        <w:t>Metacognition and self-regulated learning guidance report</w:t>
      </w:r>
      <w:r w:rsidRPr="00E10785">
        <w:rPr>
          <w:rFonts w:cstheme="minorHAnsi"/>
          <w:color w:val="000000" w:themeColor="text1"/>
          <w:sz w:val="24"/>
          <w:szCs w:val="24"/>
        </w:rPr>
        <w:t xml:space="preserve">. Available at: </w:t>
      </w:r>
      <w:hyperlink r:id="rId16" w:history="1">
        <w:r w:rsidRPr="00E10785">
          <w:rPr>
            <w:rFonts w:cstheme="minorHAnsi"/>
            <w:color w:val="000000" w:themeColor="text1"/>
            <w:sz w:val="24"/>
            <w:szCs w:val="24"/>
          </w:rPr>
          <w:t>https://educationendowmentfoundation.org.uk/public/files/Publications/Science/EEF_improving_secondary_science.pdf</w:t>
        </w:r>
      </w:hyperlink>
      <w:r w:rsidRPr="00E10785">
        <w:rPr>
          <w:rFonts w:cstheme="minorHAnsi"/>
          <w:color w:val="000000" w:themeColor="text1"/>
          <w:sz w:val="24"/>
          <w:szCs w:val="24"/>
        </w:rPr>
        <w:t xml:space="preserve">  (Accessed: 11 May 2020).</w:t>
      </w:r>
    </w:p>
    <w:p w14:paraId="101AF360" w14:textId="77777777"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Fuchs, L.S. and Fuchs, D. (1986) ‘Effects of systematic formative evaluation: A meta-analysis’, </w:t>
      </w:r>
      <w:r w:rsidRPr="00E10785">
        <w:rPr>
          <w:rFonts w:cstheme="minorHAnsi"/>
          <w:i/>
          <w:iCs/>
          <w:color w:val="000000" w:themeColor="text1"/>
          <w:sz w:val="24"/>
          <w:szCs w:val="24"/>
          <w:shd w:val="clear" w:color="auto" w:fill="FFFFFF"/>
        </w:rPr>
        <w:t>The Council for Exceptional Children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53</w:t>
      </w:r>
      <w:r w:rsidRPr="00E10785">
        <w:rPr>
          <w:rFonts w:cstheme="minorHAnsi"/>
          <w:color w:val="000000" w:themeColor="text1"/>
          <w:sz w:val="24"/>
          <w:szCs w:val="24"/>
          <w:shd w:val="clear" w:color="auto" w:fill="FFFFFF"/>
        </w:rPr>
        <w:t xml:space="preserve">(3), pp.199-208. Available at: </w:t>
      </w:r>
      <w:hyperlink r:id="rId17" w:history="1">
        <w:r w:rsidRPr="00E10785">
          <w:rPr>
            <w:rFonts w:cstheme="minorHAnsi"/>
            <w:color w:val="000000" w:themeColor="text1"/>
            <w:sz w:val="24"/>
            <w:szCs w:val="24"/>
          </w:rPr>
          <w:t>http://infovisualization.pbworks.com/w/file/fetch/93947669/Fuchs%20Feedback%20Article.pdf</w:t>
        </w:r>
      </w:hyperlink>
      <w:r w:rsidRPr="00E10785">
        <w:rPr>
          <w:rFonts w:cstheme="minorHAnsi"/>
          <w:color w:val="000000" w:themeColor="text1"/>
          <w:sz w:val="24"/>
          <w:szCs w:val="24"/>
        </w:rPr>
        <w:t xml:space="preserve"> (Accessed: 2 May 2020).</w:t>
      </w:r>
    </w:p>
    <w:p w14:paraId="74F7581A"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Hardman, F., Smith, F. and Wall, K. (2003) 'Interactive Whole Class Teaching in the National Literacy Strategy’, </w:t>
      </w:r>
      <w:r w:rsidRPr="00E10785">
        <w:rPr>
          <w:rFonts w:cstheme="minorHAnsi"/>
          <w:i/>
          <w:iCs/>
          <w:color w:val="000000" w:themeColor="text1"/>
          <w:sz w:val="24"/>
          <w:szCs w:val="24"/>
          <w:shd w:val="clear" w:color="auto" w:fill="FFFFFF"/>
        </w:rPr>
        <w:t>Cambridge Journal of Education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33</w:t>
      </w:r>
      <w:r w:rsidRPr="00E10785">
        <w:rPr>
          <w:rFonts w:cstheme="minorHAnsi"/>
          <w:color w:val="000000" w:themeColor="text1"/>
          <w:sz w:val="24"/>
          <w:szCs w:val="24"/>
          <w:shd w:val="clear" w:color="auto" w:fill="FFFFFF"/>
        </w:rPr>
        <w:t xml:space="preserve">(2), pp.197-215. Available at: </w:t>
      </w:r>
      <w:hyperlink r:id="rId18" w:history="1">
        <w:r w:rsidRPr="00E10785">
          <w:rPr>
            <w:rFonts w:cstheme="minorHAnsi"/>
            <w:color w:val="000000" w:themeColor="text1"/>
            <w:sz w:val="24"/>
            <w:szCs w:val="24"/>
          </w:rPr>
          <w:t>http://www.leeds.ac.uk/educol/documents/00003267.htm</w:t>
        </w:r>
      </w:hyperlink>
      <w:r w:rsidRPr="00E10785">
        <w:rPr>
          <w:rFonts w:cstheme="minorHAnsi"/>
          <w:color w:val="000000" w:themeColor="text1"/>
          <w:sz w:val="24"/>
          <w:szCs w:val="24"/>
          <w:u w:val="single"/>
        </w:rPr>
        <w:t xml:space="preserve"> </w:t>
      </w:r>
      <w:r w:rsidRPr="00E10785">
        <w:rPr>
          <w:rFonts w:cstheme="minorHAnsi"/>
          <w:color w:val="000000" w:themeColor="text1"/>
          <w:sz w:val="24"/>
          <w:szCs w:val="24"/>
        </w:rPr>
        <w:t>(Accessed: 7 May 2020).</w:t>
      </w:r>
    </w:p>
    <w:p w14:paraId="4FFBE06B"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lastRenderedPageBreak/>
        <w:t>Hattie, J. (2012) </w:t>
      </w:r>
      <w:r w:rsidRPr="00E10785">
        <w:rPr>
          <w:rFonts w:cstheme="minorHAnsi"/>
          <w:i/>
          <w:iCs/>
          <w:color w:val="000000" w:themeColor="text1"/>
          <w:sz w:val="24"/>
          <w:szCs w:val="24"/>
          <w:shd w:val="clear" w:color="auto" w:fill="FFFFFF"/>
        </w:rPr>
        <w:t>Visible learning for teachers: Maximizing impact on learning</w:t>
      </w:r>
      <w:r w:rsidRPr="00E10785">
        <w:rPr>
          <w:rFonts w:cstheme="minorHAnsi"/>
          <w:color w:val="000000" w:themeColor="text1"/>
          <w:sz w:val="24"/>
          <w:szCs w:val="24"/>
          <w:shd w:val="clear" w:color="auto" w:fill="FFFFFF"/>
        </w:rPr>
        <w:t xml:space="preserve">. New York: Routledge. </w:t>
      </w:r>
    </w:p>
    <w:p w14:paraId="0CDD5632"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Longfield, J. (2009) ‘Discrepant teaching events:  Using an inquiry stance to address students’ misconceptions’, </w:t>
      </w:r>
      <w:r w:rsidRPr="00E10785">
        <w:rPr>
          <w:rFonts w:cstheme="minorHAnsi"/>
          <w:i/>
          <w:iCs/>
          <w:color w:val="000000" w:themeColor="text1"/>
          <w:sz w:val="24"/>
          <w:szCs w:val="24"/>
        </w:rPr>
        <w:t>International Journal of Teaching and Learning in Higher Education, 21</w:t>
      </w:r>
      <w:r w:rsidRPr="00E10785">
        <w:rPr>
          <w:rFonts w:cstheme="minorHAnsi"/>
          <w:color w:val="000000" w:themeColor="text1"/>
          <w:sz w:val="24"/>
          <w:szCs w:val="24"/>
        </w:rPr>
        <w:t xml:space="preserve">(2), pp. 266-271. Available at: </w:t>
      </w:r>
      <w:hyperlink r:id="rId19" w:history="1">
        <w:r w:rsidRPr="00E10785">
          <w:rPr>
            <w:rFonts w:cstheme="minorHAnsi"/>
            <w:color w:val="000000" w:themeColor="text1"/>
            <w:sz w:val="24"/>
            <w:szCs w:val="24"/>
          </w:rPr>
          <w:t>https://digitalcommons.georgiasouthern.edu/cgi/viewcontent.cgi?article=1000&amp;context=ct2-facpubs</w:t>
        </w:r>
      </w:hyperlink>
      <w:r w:rsidRPr="00E10785">
        <w:rPr>
          <w:rFonts w:cstheme="minorHAnsi"/>
          <w:color w:val="000000" w:themeColor="text1"/>
          <w:sz w:val="24"/>
          <w:szCs w:val="24"/>
        </w:rPr>
        <w:t xml:space="preserve"> (Accessed: 1 May 2020).</w:t>
      </w:r>
    </w:p>
    <w:p w14:paraId="2240702B" w14:textId="77777777"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 xml:space="preserve">National Research Council. (1997) </w:t>
      </w:r>
      <w:r w:rsidRPr="00E10785">
        <w:rPr>
          <w:rFonts w:cstheme="minorHAnsi"/>
          <w:i/>
          <w:iCs/>
          <w:color w:val="000000" w:themeColor="text1"/>
          <w:sz w:val="24"/>
          <w:szCs w:val="24"/>
          <w:shd w:val="clear" w:color="auto" w:fill="FFFFFF"/>
        </w:rPr>
        <w:t>Science teaching reconsidered: A handbook</w:t>
      </w:r>
      <w:r w:rsidRPr="00E10785">
        <w:rPr>
          <w:rFonts w:cstheme="minorHAnsi"/>
          <w:color w:val="000000" w:themeColor="text1"/>
          <w:sz w:val="24"/>
          <w:szCs w:val="24"/>
          <w:shd w:val="clear" w:color="auto" w:fill="FFFFFF"/>
        </w:rPr>
        <w:t xml:space="preserve">. Washington, D.C: National Academies Press. </w:t>
      </w:r>
    </w:p>
    <w:p w14:paraId="1D1BD759"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Rodriguez, M. C. (2004) ‘The role of classroom assessment in student performance on TIMSS’, </w:t>
      </w:r>
      <w:r w:rsidRPr="00E10785">
        <w:rPr>
          <w:rFonts w:cstheme="minorHAnsi"/>
          <w:i/>
          <w:iCs/>
          <w:color w:val="000000" w:themeColor="text1"/>
          <w:sz w:val="24"/>
          <w:szCs w:val="24"/>
        </w:rPr>
        <w:t>Applied Measurement in Education</w:t>
      </w:r>
      <w:r w:rsidRPr="00E10785">
        <w:rPr>
          <w:rFonts w:cstheme="minorHAnsi"/>
          <w:color w:val="000000" w:themeColor="text1"/>
          <w:sz w:val="24"/>
          <w:szCs w:val="24"/>
        </w:rPr>
        <w:t xml:space="preserve">, 17, pp. 1-24. Available at: </w:t>
      </w:r>
      <w:hyperlink r:id="rId20" w:history="1">
        <w:r w:rsidRPr="00E10785">
          <w:rPr>
            <w:rFonts w:cstheme="minorHAnsi"/>
            <w:color w:val="000000" w:themeColor="text1"/>
            <w:sz w:val="24"/>
            <w:szCs w:val="24"/>
          </w:rPr>
          <w:t>http://edmeasurement.net/8268/Rodriguez-2004-TIMSS-classroom-assessment.pdf</w:t>
        </w:r>
      </w:hyperlink>
      <w:r w:rsidRPr="00E10785">
        <w:rPr>
          <w:rFonts w:cstheme="minorHAnsi"/>
          <w:color w:val="000000" w:themeColor="text1"/>
          <w:sz w:val="24"/>
          <w:szCs w:val="24"/>
        </w:rPr>
        <w:t xml:space="preserve"> (Accessed: 3 May 2020).</w:t>
      </w:r>
    </w:p>
    <w:p w14:paraId="50212DE0" w14:textId="77777777" w:rsidR="00E10785" w:rsidRPr="00E10785" w:rsidRDefault="00E10785" w:rsidP="00E10785">
      <w:pPr>
        <w:tabs>
          <w:tab w:val="left" w:pos="5295"/>
        </w:tabs>
        <w:spacing w:line="360" w:lineRule="auto"/>
        <w:rPr>
          <w:rFonts w:cstheme="minorHAnsi"/>
          <w:i/>
          <w:iCs/>
          <w:color w:val="000000" w:themeColor="text1"/>
          <w:sz w:val="24"/>
          <w:szCs w:val="24"/>
        </w:rPr>
      </w:pPr>
      <w:r w:rsidRPr="00E10785">
        <w:rPr>
          <w:rFonts w:cstheme="minorHAnsi"/>
          <w:color w:val="000000" w:themeColor="text1"/>
          <w:sz w:val="24"/>
          <w:szCs w:val="24"/>
        </w:rPr>
        <w:t>Rosenshine, B. (2012) ‘Principles of Instruction Research-Based Strategies That All Teachers Should Know’</w:t>
      </w:r>
      <w:r w:rsidRPr="00E10785">
        <w:rPr>
          <w:rFonts w:cstheme="minorHAnsi"/>
          <w:i/>
          <w:iCs/>
          <w:color w:val="000000" w:themeColor="text1"/>
          <w:sz w:val="24"/>
          <w:szCs w:val="24"/>
        </w:rPr>
        <w:t xml:space="preserve">, </w:t>
      </w:r>
      <w:r w:rsidRPr="00E10785">
        <w:rPr>
          <w:rFonts w:cstheme="minorHAnsi"/>
          <w:i/>
          <w:iCs/>
          <w:color w:val="000000" w:themeColor="text1"/>
          <w:sz w:val="24"/>
          <w:szCs w:val="24"/>
          <w:shd w:val="clear" w:color="auto" w:fill="FFFFFF"/>
        </w:rPr>
        <w:t>The Education Digest</w:t>
      </w:r>
      <w:r w:rsidRPr="00E10785">
        <w:rPr>
          <w:rFonts w:cstheme="minorHAnsi"/>
          <w:color w:val="000000" w:themeColor="text1"/>
          <w:sz w:val="24"/>
          <w:szCs w:val="24"/>
        </w:rPr>
        <w:t xml:space="preserve">, 78(3), pp. 30-40. Available at: </w:t>
      </w:r>
      <w:hyperlink r:id="rId21" w:history="1">
        <w:r w:rsidRPr="00E10785">
          <w:rPr>
            <w:rFonts w:cstheme="minorHAnsi"/>
            <w:color w:val="000000" w:themeColor="text1"/>
            <w:sz w:val="24"/>
            <w:szCs w:val="24"/>
          </w:rPr>
          <w:t>file:///C:/Users/James/Downloads/PRINCIPLES_of_Instruction_Res.pdf</w:t>
        </w:r>
      </w:hyperlink>
      <w:r w:rsidRPr="00E10785">
        <w:rPr>
          <w:rFonts w:cstheme="minorHAnsi"/>
          <w:color w:val="000000" w:themeColor="text1"/>
          <w:sz w:val="24"/>
          <w:szCs w:val="24"/>
        </w:rPr>
        <w:t xml:space="preserve"> (Accessed: 7 May 2020).</w:t>
      </w:r>
    </w:p>
    <w:p w14:paraId="23E9BB3A"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Royal Society of Chemistry (2019) </w:t>
      </w:r>
      <w:r w:rsidRPr="00E10785">
        <w:rPr>
          <w:rFonts w:cstheme="minorHAnsi"/>
          <w:i/>
          <w:iCs/>
          <w:color w:val="000000" w:themeColor="text1"/>
          <w:sz w:val="24"/>
          <w:szCs w:val="24"/>
        </w:rPr>
        <w:t xml:space="preserve">Develop deeper understanding with models </w:t>
      </w:r>
      <w:r w:rsidRPr="00E10785">
        <w:rPr>
          <w:rFonts w:cstheme="minorHAnsi"/>
          <w:color w:val="000000" w:themeColor="text1"/>
          <w:sz w:val="24"/>
          <w:szCs w:val="24"/>
        </w:rPr>
        <w:t xml:space="preserve">[article]. Available at: </w:t>
      </w:r>
      <w:hyperlink r:id="rId22" w:history="1">
        <w:r w:rsidRPr="00E10785">
          <w:rPr>
            <w:rFonts w:cstheme="minorHAnsi"/>
            <w:color w:val="000000" w:themeColor="text1"/>
            <w:sz w:val="24"/>
            <w:szCs w:val="24"/>
          </w:rPr>
          <w:t>https://edu.rsc.org/feature/develop-deeper-understanding-with-models/3010519.article</w:t>
        </w:r>
      </w:hyperlink>
      <w:r w:rsidRPr="00E10785">
        <w:rPr>
          <w:rFonts w:cstheme="minorHAnsi"/>
          <w:color w:val="000000" w:themeColor="text1"/>
          <w:sz w:val="24"/>
          <w:szCs w:val="24"/>
        </w:rPr>
        <w:t xml:space="preserve"> (Accessed: 2 May 2020).</w:t>
      </w:r>
    </w:p>
    <w:p w14:paraId="58C0532C"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rPr>
        <w:t xml:space="preserve">Royal Society of Chemistry (2019) </w:t>
      </w:r>
      <w:r w:rsidRPr="00E10785">
        <w:rPr>
          <w:rFonts w:cstheme="minorHAnsi"/>
          <w:i/>
          <w:iCs/>
          <w:color w:val="000000" w:themeColor="text1"/>
          <w:sz w:val="24"/>
          <w:szCs w:val="24"/>
        </w:rPr>
        <w:t xml:space="preserve">How to teach elements and compounds </w:t>
      </w:r>
      <w:r w:rsidRPr="00E10785">
        <w:rPr>
          <w:rFonts w:cstheme="minorHAnsi"/>
          <w:color w:val="000000" w:themeColor="text1"/>
          <w:sz w:val="24"/>
          <w:szCs w:val="24"/>
        </w:rPr>
        <w:t xml:space="preserve">[article]. Available at: </w:t>
      </w:r>
      <w:hyperlink r:id="rId23" w:history="1">
        <w:r w:rsidRPr="00E10785">
          <w:rPr>
            <w:rFonts w:cstheme="minorHAnsi"/>
            <w:color w:val="000000" w:themeColor="text1"/>
            <w:sz w:val="24"/>
            <w:szCs w:val="24"/>
          </w:rPr>
          <w:t>https://edu.rsc.org/cpd/elements-and-compounds/3009350.article</w:t>
        </w:r>
      </w:hyperlink>
      <w:r w:rsidRPr="00E10785">
        <w:rPr>
          <w:rFonts w:cstheme="minorHAnsi"/>
          <w:color w:val="000000" w:themeColor="text1"/>
          <w:sz w:val="24"/>
          <w:szCs w:val="24"/>
        </w:rPr>
        <w:t xml:space="preserve"> (Accessed: 2 May 2020).</w:t>
      </w:r>
    </w:p>
    <w:p w14:paraId="6543942D"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Royal Society of Chemistry (2019) </w:t>
      </w:r>
      <w:r w:rsidRPr="00E10785">
        <w:rPr>
          <w:rFonts w:cstheme="minorHAnsi"/>
          <w:i/>
          <w:iCs/>
          <w:color w:val="000000" w:themeColor="text1"/>
          <w:sz w:val="24"/>
          <w:szCs w:val="24"/>
        </w:rPr>
        <w:t xml:space="preserve">Iron and Sulfur Reaction </w:t>
      </w:r>
      <w:r w:rsidRPr="00E10785">
        <w:rPr>
          <w:rFonts w:cstheme="minorHAnsi"/>
          <w:color w:val="000000" w:themeColor="text1"/>
          <w:sz w:val="24"/>
          <w:szCs w:val="24"/>
        </w:rPr>
        <w:t xml:space="preserve">[article]. Available at: </w:t>
      </w:r>
      <w:hyperlink r:id="rId24" w:history="1">
        <w:r w:rsidRPr="00E10785">
          <w:rPr>
            <w:rFonts w:cstheme="minorHAnsi"/>
            <w:color w:val="000000" w:themeColor="text1"/>
            <w:sz w:val="24"/>
            <w:szCs w:val="24"/>
          </w:rPr>
          <w:t>https://edu.rsc.org/resources/iron-and-sulfur-reaction/713.article</w:t>
        </w:r>
      </w:hyperlink>
      <w:r w:rsidRPr="00E10785">
        <w:rPr>
          <w:rFonts w:cstheme="minorHAnsi"/>
          <w:color w:val="000000" w:themeColor="text1"/>
          <w:sz w:val="24"/>
          <w:szCs w:val="24"/>
        </w:rPr>
        <w:t xml:space="preserve"> (Accessed: 11 May 2020).</w:t>
      </w:r>
    </w:p>
    <w:p w14:paraId="6C987057"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Royal Society of Chemistry (2019) </w:t>
      </w:r>
      <w:r w:rsidRPr="00E10785">
        <w:rPr>
          <w:rFonts w:cstheme="minorHAnsi"/>
          <w:i/>
          <w:iCs/>
          <w:color w:val="000000" w:themeColor="text1"/>
          <w:sz w:val="24"/>
          <w:szCs w:val="24"/>
        </w:rPr>
        <w:t xml:space="preserve">Take different approaches to build understanding </w:t>
      </w:r>
      <w:r w:rsidRPr="00E10785">
        <w:rPr>
          <w:rFonts w:cstheme="minorHAnsi"/>
          <w:color w:val="000000" w:themeColor="text1"/>
          <w:sz w:val="24"/>
          <w:szCs w:val="24"/>
        </w:rPr>
        <w:t xml:space="preserve">[article]. Available at: </w:t>
      </w:r>
      <w:hyperlink r:id="rId25" w:history="1">
        <w:r w:rsidRPr="00E10785">
          <w:rPr>
            <w:rFonts w:cstheme="minorHAnsi"/>
            <w:color w:val="000000" w:themeColor="text1"/>
            <w:sz w:val="24"/>
            <w:szCs w:val="24"/>
          </w:rPr>
          <w:t>https://edu.rsc.org/feature/different-approaches-build-understanding/3010710.article</w:t>
        </w:r>
      </w:hyperlink>
      <w:r w:rsidRPr="00E10785">
        <w:rPr>
          <w:rFonts w:cstheme="minorHAnsi"/>
          <w:color w:val="000000" w:themeColor="text1"/>
          <w:sz w:val="24"/>
          <w:szCs w:val="24"/>
        </w:rPr>
        <w:t xml:space="preserve"> (Accessed: 2 May 2020).</w:t>
      </w:r>
    </w:p>
    <w:p w14:paraId="2F1AAC52" w14:textId="77777777"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lastRenderedPageBreak/>
        <w:t>Sadler, D.R. (1998) ‘Formative assessment: Revisiting the territory’, </w:t>
      </w:r>
      <w:r w:rsidRPr="00E10785">
        <w:rPr>
          <w:rFonts w:cstheme="minorHAnsi"/>
          <w:i/>
          <w:iCs/>
          <w:color w:val="000000" w:themeColor="text1"/>
          <w:sz w:val="24"/>
          <w:szCs w:val="24"/>
          <w:shd w:val="clear" w:color="auto" w:fill="FFFFFF"/>
        </w:rPr>
        <w:t>Assessment in education: principles, policy &amp; practice</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5</w:t>
      </w:r>
      <w:r w:rsidRPr="00E10785">
        <w:rPr>
          <w:rFonts w:cstheme="minorHAnsi"/>
          <w:color w:val="000000" w:themeColor="text1"/>
          <w:sz w:val="24"/>
          <w:szCs w:val="24"/>
          <w:shd w:val="clear" w:color="auto" w:fill="FFFFFF"/>
        </w:rPr>
        <w:t>(1), pp.77-84. Available at:</w:t>
      </w:r>
      <w:r w:rsidRPr="00E10785">
        <w:rPr>
          <w:rFonts w:cstheme="minorHAnsi"/>
          <w:color w:val="000000" w:themeColor="text1"/>
          <w:sz w:val="24"/>
          <w:szCs w:val="24"/>
        </w:rPr>
        <w:t xml:space="preserve"> </w:t>
      </w:r>
      <w:hyperlink r:id="rId26" w:history="1">
        <w:r w:rsidRPr="00E10785">
          <w:rPr>
            <w:rFonts w:cstheme="minorHAnsi"/>
            <w:color w:val="000000" w:themeColor="text1"/>
            <w:sz w:val="24"/>
            <w:szCs w:val="24"/>
          </w:rPr>
          <w:t>http://dropoutrates.teachade.com/resources/support/5035b24fecda6.pdf</w:t>
        </w:r>
      </w:hyperlink>
      <w:r w:rsidRPr="00E10785">
        <w:rPr>
          <w:rFonts w:cstheme="minorHAnsi"/>
          <w:color w:val="000000" w:themeColor="text1"/>
          <w:sz w:val="24"/>
          <w:szCs w:val="24"/>
        </w:rPr>
        <w:t xml:space="preserve"> (Accessed: 7 May 2020).</w:t>
      </w:r>
    </w:p>
    <w:p w14:paraId="2D51A33A" w14:textId="77777777" w:rsidR="00E10785" w:rsidRPr="00E10785" w:rsidRDefault="00E10785" w:rsidP="00E10785">
      <w:pPr>
        <w:tabs>
          <w:tab w:val="left" w:pos="5295"/>
        </w:tabs>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Sever, S., Yurumezoglu, K. and Oguz-Unver, A. (2010) ‘Comparison teaching strategies of videotaped and demonstration experiments in inquiry-based science education’, </w:t>
      </w:r>
      <w:r w:rsidRPr="00E10785">
        <w:rPr>
          <w:rFonts w:cstheme="minorHAnsi"/>
          <w:i/>
          <w:iCs/>
          <w:color w:val="000000" w:themeColor="text1"/>
          <w:sz w:val="24"/>
          <w:szCs w:val="24"/>
          <w:shd w:val="clear" w:color="auto" w:fill="FFFFFF"/>
        </w:rPr>
        <w:t>Procedia-Social and Behavioral Sciences</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2</w:t>
      </w:r>
      <w:r w:rsidRPr="00E10785">
        <w:rPr>
          <w:rFonts w:cstheme="minorHAnsi"/>
          <w:color w:val="000000" w:themeColor="text1"/>
          <w:sz w:val="24"/>
          <w:szCs w:val="24"/>
          <w:shd w:val="clear" w:color="auto" w:fill="FFFFFF"/>
        </w:rPr>
        <w:t xml:space="preserve">(2), pp.5619-5624.Available at: </w:t>
      </w:r>
      <w:hyperlink r:id="rId27" w:history="1">
        <w:r w:rsidRPr="00E10785">
          <w:rPr>
            <w:rFonts w:cstheme="minorHAnsi"/>
            <w:color w:val="000000" w:themeColor="text1"/>
            <w:sz w:val="24"/>
            <w:szCs w:val="24"/>
          </w:rPr>
          <w:t>https://reader.elsevier.com/reader/sd/pii/S1877042810009560?token=8CAACBE8215EA5F01A7CBBE5A8E112208BC3AB4C2A06679A51F68DAB7CB41623F5C5E676B8A8575F85464D42D96C39F9</w:t>
        </w:r>
      </w:hyperlink>
      <w:r w:rsidRPr="00E10785">
        <w:rPr>
          <w:rFonts w:cstheme="minorHAnsi"/>
          <w:color w:val="000000" w:themeColor="text1"/>
          <w:sz w:val="24"/>
          <w:szCs w:val="24"/>
        </w:rPr>
        <w:t xml:space="preserve"> (Accessed: 3 May 2020).</w:t>
      </w:r>
    </w:p>
    <w:p w14:paraId="2FEFAEF4" w14:textId="77777777" w:rsidR="00E10785" w:rsidRPr="00E10785" w:rsidRDefault="00E10785" w:rsidP="00E10785">
      <w:pPr>
        <w:spacing w:line="360" w:lineRule="auto"/>
        <w:rPr>
          <w:rFonts w:cstheme="minorHAnsi"/>
          <w:color w:val="000000" w:themeColor="text1"/>
          <w:sz w:val="24"/>
          <w:szCs w:val="24"/>
          <w:u w:val="single"/>
        </w:rPr>
      </w:pPr>
      <w:r w:rsidRPr="00E10785">
        <w:rPr>
          <w:rFonts w:cstheme="minorHAnsi"/>
          <w:color w:val="000000" w:themeColor="text1"/>
          <w:sz w:val="24"/>
          <w:szCs w:val="24"/>
          <w:shd w:val="clear" w:color="auto" w:fill="FFFFFF"/>
        </w:rPr>
        <w:t>Tanner, K.D. (2012) ‘Promoting student metacognition’, </w:t>
      </w:r>
      <w:r w:rsidRPr="00E10785">
        <w:rPr>
          <w:rFonts w:cstheme="minorHAnsi"/>
          <w:i/>
          <w:iCs/>
          <w:color w:val="000000" w:themeColor="text1"/>
          <w:sz w:val="24"/>
          <w:szCs w:val="24"/>
          <w:shd w:val="clear" w:color="auto" w:fill="FFFFFF"/>
        </w:rPr>
        <w:t>CBE—Life Sciences Education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11</w:t>
      </w:r>
      <w:r w:rsidRPr="00E10785">
        <w:rPr>
          <w:rFonts w:cstheme="minorHAnsi"/>
          <w:color w:val="000000" w:themeColor="text1"/>
          <w:sz w:val="24"/>
          <w:szCs w:val="24"/>
          <w:shd w:val="clear" w:color="auto" w:fill="FFFFFF"/>
        </w:rPr>
        <w:t>(2), pp.113-120.</w:t>
      </w:r>
      <w:r w:rsidRPr="00E10785">
        <w:rPr>
          <w:rFonts w:cstheme="minorHAnsi"/>
          <w:color w:val="000000" w:themeColor="text1"/>
          <w:sz w:val="24"/>
          <w:szCs w:val="24"/>
        </w:rPr>
        <w:t xml:space="preserve"> Available at: </w:t>
      </w:r>
      <w:hyperlink r:id="rId28" w:history="1">
        <w:r w:rsidRPr="00E10785">
          <w:rPr>
            <w:rFonts w:cstheme="minorHAnsi"/>
            <w:color w:val="000000" w:themeColor="text1"/>
            <w:sz w:val="24"/>
            <w:szCs w:val="24"/>
          </w:rPr>
          <w:t>https://www.lifescied.org/doi/pdf/10.1187/cbe.12-03-0033</w:t>
        </w:r>
      </w:hyperlink>
      <w:r w:rsidRPr="00E10785">
        <w:rPr>
          <w:rFonts w:cstheme="minorHAnsi"/>
          <w:color w:val="000000" w:themeColor="text1"/>
          <w:sz w:val="24"/>
          <w:szCs w:val="24"/>
        </w:rPr>
        <w:t xml:space="preserve"> (Accessed 9 May 2020).</w:t>
      </w:r>
    </w:p>
    <w:p w14:paraId="19179A0A" w14:textId="77777777" w:rsidR="00E10785" w:rsidRPr="00E10785" w:rsidRDefault="00E10785" w:rsidP="00E10785">
      <w:pPr>
        <w:tabs>
          <w:tab w:val="left" w:pos="5295"/>
        </w:tabs>
        <w:spacing w:line="360" w:lineRule="auto"/>
        <w:rPr>
          <w:rFonts w:cstheme="minorHAnsi"/>
          <w:color w:val="000000" w:themeColor="text1"/>
          <w:sz w:val="24"/>
          <w:szCs w:val="24"/>
        </w:rPr>
      </w:pPr>
      <w:r w:rsidRPr="00E10785">
        <w:rPr>
          <w:rFonts w:cstheme="minorHAnsi"/>
          <w:color w:val="000000" w:themeColor="text1"/>
          <w:sz w:val="24"/>
          <w:szCs w:val="24"/>
        </w:rPr>
        <w:t xml:space="preserve">Welsh Government (2015) </w:t>
      </w:r>
      <w:r w:rsidRPr="00E10785">
        <w:rPr>
          <w:rFonts w:cstheme="minorHAnsi"/>
          <w:i/>
          <w:iCs/>
          <w:color w:val="000000" w:themeColor="text1"/>
          <w:sz w:val="24"/>
          <w:szCs w:val="24"/>
        </w:rPr>
        <w:t xml:space="preserve">Successful Futures. </w:t>
      </w:r>
      <w:r w:rsidRPr="00E10785">
        <w:rPr>
          <w:rFonts w:cstheme="minorHAnsi"/>
          <w:color w:val="000000" w:themeColor="text1"/>
          <w:sz w:val="24"/>
          <w:szCs w:val="24"/>
        </w:rPr>
        <w:t xml:space="preserve">Available at: </w:t>
      </w:r>
      <w:hyperlink r:id="rId29" w:history="1">
        <w:r w:rsidRPr="00E10785">
          <w:rPr>
            <w:rFonts w:cstheme="minorHAnsi"/>
            <w:color w:val="000000" w:themeColor="text1"/>
            <w:sz w:val="24"/>
            <w:szCs w:val="24"/>
          </w:rPr>
          <w:t>https://gov.wales/sites/default/files/publications/2018-03/successful-futures.pdf</w:t>
        </w:r>
      </w:hyperlink>
      <w:r w:rsidRPr="00E10785">
        <w:rPr>
          <w:rFonts w:cstheme="minorHAnsi"/>
          <w:color w:val="000000" w:themeColor="text1"/>
          <w:sz w:val="24"/>
          <w:szCs w:val="24"/>
        </w:rPr>
        <w:t xml:space="preserve"> (Accessed: 1 May 2020).</w:t>
      </w:r>
    </w:p>
    <w:p w14:paraId="397D2B7A" w14:textId="77777777" w:rsidR="00E10785" w:rsidRPr="00E10785" w:rsidRDefault="00E10785" w:rsidP="00E10785">
      <w:pPr>
        <w:spacing w:line="360" w:lineRule="auto"/>
        <w:rPr>
          <w:rFonts w:cstheme="minorHAnsi"/>
          <w:color w:val="000000" w:themeColor="text1"/>
          <w:sz w:val="24"/>
          <w:szCs w:val="24"/>
        </w:rPr>
      </w:pPr>
      <w:r w:rsidRPr="00E10785">
        <w:rPr>
          <w:rFonts w:cstheme="minorHAnsi"/>
          <w:color w:val="000000" w:themeColor="text1"/>
          <w:sz w:val="24"/>
          <w:szCs w:val="24"/>
          <w:shd w:val="clear" w:color="auto" w:fill="FFFFFF"/>
        </w:rPr>
        <w:t>White, B.Y. and Frederiksen, J.R. (1998) ‘Inquiry, modelling, and metacognition: Making science accessible to all students’, </w:t>
      </w:r>
      <w:r w:rsidRPr="00E10785">
        <w:rPr>
          <w:rFonts w:cstheme="minorHAnsi"/>
          <w:i/>
          <w:iCs/>
          <w:color w:val="000000" w:themeColor="text1"/>
          <w:sz w:val="24"/>
          <w:szCs w:val="24"/>
          <w:shd w:val="clear" w:color="auto" w:fill="FFFFFF"/>
        </w:rPr>
        <w:t>Cognition and instruction</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16</w:t>
      </w:r>
      <w:r w:rsidRPr="00E10785">
        <w:rPr>
          <w:rFonts w:cstheme="minorHAnsi"/>
          <w:color w:val="000000" w:themeColor="text1"/>
          <w:sz w:val="24"/>
          <w:szCs w:val="24"/>
          <w:shd w:val="clear" w:color="auto" w:fill="FFFFFF"/>
        </w:rPr>
        <w:t>(1), pp.3-118. Available at:</w:t>
      </w:r>
      <w:r w:rsidRPr="00E10785">
        <w:rPr>
          <w:rFonts w:cstheme="minorHAnsi"/>
          <w:color w:val="000000" w:themeColor="text1"/>
          <w:sz w:val="24"/>
          <w:szCs w:val="24"/>
        </w:rPr>
        <w:t xml:space="preserve"> </w:t>
      </w:r>
      <w:hyperlink r:id="rId30" w:history="1">
        <w:r w:rsidRPr="00E10785">
          <w:rPr>
            <w:rFonts w:cstheme="minorHAnsi"/>
            <w:color w:val="000000" w:themeColor="text1"/>
            <w:sz w:val="24"/>
            <w:szCs w:val="24"/>
          </w:rPr>
          <w:t>https://citeseerx.ist.psu.edu/viewdoc/download?doi=10.1.1.460.5895&amp;rep=rep1&amp;type=pdf</w:t>
        </w:r>
      </w:hyperlink>
      <w:r w:rsidRPr="00E10785">
        <w:rPr>
          <w:rFonts w:cstheme="minorHAnsi"/>
          <w:color w:val="000000" w:themeColor="text1"/>
          <w:sz w:val="24"/>
          <w:szCs w:val="24"/>
        </w:rPr>
        <w:t xml:space="preserve"> (Accessed: 2 May 2020).</w:t>
      </w:r>
    </w:p>
    <w:p w14:paraId="11F9C9DB" w14:textId="77777777"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Wiliam, D. (2005) ‘Keeping learning on track: Formative assessment and the regulation of learning’, </w:t>
      </w:r>
      <w:r w:rsidRPr="00E10785">
        <w:rPr>
          <w:rFonts w:cstheme="minorHAnsi"/>
          <w:i/>
          <w:iCs/>
          <w:color w:val="000000" w:themeColor="text1"/>
          <w:sz w:val="24"/>
          <w:szCs w:val="24"/>
          <w:shd w:val="clear" w:color="auto" w:fill="FFFFFF"/>
        </w:rPr>
        <w:t>Review process</w:t>
      </w:r>
      <w:r w:rsidRPr="00E10785">
        <w:rPr>
          <w:rFonts w:cstheme="minorHAnsi"/>
          <w:color w:val="000000" w:themeColor="text1"/>
          <w:sz w:val="24"/>
          <w:szCs w:val="24"/>
          <w:shd w:val="clear" w:color="auto" w:fill="FFFFFF"/>
        </w:rPr>
        <w:t>, p.20.</w:t>
      </w:r>
      <w:r w:rsidRPr="00E10785">
        <w:rPr>
          <w:rFonts w:cstheme="minorHAnsi"/>
          <w:sz w:val="24"/>
          <w:szCs w:val="24"/>
        </w:rPr>
        <w:t xml:space="preserve"> Available at: </w:t>
      </w:r>
      <w:hyperlink r:id="rId31" w:history="1">
        <w:r w:rsidRPr="00E10785">
          <w:rPr>
            <w:rFonts w:cstheme="minorHAnsi"/>
            <w:color w:val="000000" w:themeColor="text1"/>
            <w:sz w:val="24"/>
            <w:szCs w:val="24"/>
          </w:rPr>
          <w:t>file:///C:/Users/James/Downloads/mm-vital.pdf</w:t>
        </w:r>
      </w:hyperlink>
      <w:r w:rsidRPr="00E10785">
        <w:rPr>
          <w:rFonts w:cstheme="minorHAnsi"/>
          <w:color w:val="000000" w:themeColor="text1"/>
          <w:sz w:val="24"/>
          <w:szCs w:val="24"/>
        </w:rPr>
        <w:t xml:space="preserve"> (Accessed: 6 May 2020).</w:t>
      </w:r>
    </w:p>
    <w:p w14:paraId="36C18491" w14:textId="77777777" w:rsidR="00E10785" w:rsidRPr="00E10785" w:rsidRDefault="00E10785" w:rsidP="00E10785">
      <w:pPr>
        <w:spacing w:line="360" w:lineRule="auto"/>
        <w:rPr>
          <w:rFonts w:cstheme="minorHAnsi"/>
          <w:color w:val="000000" w:themeColor="text1"/>
          <w:sz w:val="24"/>
          <w:szCs w:val="24"/>
          <w:shd w:val="clear" w:color="auto" w:fill="FFFFFF"/>
        </w:rPr>
      </w:pPr>
      <w:r w:rsidRPr="00E10785">
        <w:rPr>
          <w:rFonts w:cstheme="minorHAnsi"/>
          <w:color w:val="000000" w:themeColor="text1"/>
          <w:sz w:val="24"/>
          <w:szCs w:val="24"/>
          <w:shd w:val="clear" w:color="auto" w:fill="FFFFFF"/>
        </w:rPr>
        <w:t>Wilson, N.S. and Bai, H. (2010) ‘The relationships and impact of teachers’ metacognitive knowledge and pedagogical understandings of metacognition’, </w:t>
      </w:r>
      <w:r w:rsidRPr="00E10785">
        <w:rPr>
          <w:rFonts w:cstheme="minorHAnsi"/>
          <w:i/>
          <w:iCs/>
          <w:color w:val="000000" w:themeColor="text1"/>
          <w:sz w:val="24"/>
          <w:szCs w:val="24"/>
          <w:shd w:val="clear" w:color="auto" w:fill="FFFFFF"/>
        </w:rPr>
        <w:t>Metacognition and Learning</w:t>
      </w:r>
      <w:r w:rsidRPr="00E10785">
        <w:rPr>
          <w:rFonts w:cstheme="minorHAnsi"/>
          <w:color w:val="000000" w:themeColor="text1"/>
          <w:sz w:val="24"/>
          <w:szCs w:val="24"/>
          <w:shd w:val="clear" w:color="auto" w:fill="FFFFFF"/>
        </w:rPr>
        <w:t>, </w:t>
      </w:r>
      <w:r w:rsidRPr="00E10785">
        <w:rPr>
          <w:rFonts w:cstheme="minorHAnsi"/>
          <w:i/>
          <w:iCs/>
          <w:color w:val="000000" w:themeColor="text1"/>
          <w:sz w:val="24"/>
          <w:szCs w:val="24"/>
          <w:shd w:val="clear" w:color="auto" w:fill="FFFFFF"/>
        </w:rPr>
        <w:t>5</w:t>
      </w:r>
      <w:r w:rsidRPr="00E10785">
        <w:rPr>
          <w:rFonts w:cstheme="minorHAnsi"/>
          <w:color w:val="000000" w:themeColor="text1"/>
          <w:sz w:val="24"/>
          <w:szCs w:val="24"/>
          <w:shd w:val="clear" w:color="auto" w:fill="FFFFFF"/>
        </w:rPr>
        <w:t xml:space="preserve">(3), pp.269-288. </w:t>
      </w:r>
      <w:r w:rsidRPr="00E10785">
        <w:rPr>
          <w:rFonts w:cstheme="minorHAnsi"/>
          <w:color w:val="000000" w:themeColor="text1"/>
          <w:sz w:val="24"/>
          <w:szCs w:val="24"/>
        </w:rPr>
        <w:t>DOI 10.1007/s11409-010-9062-4</w:t>
      </w:r>
    </w:p>
    <w:p w14:paraId="47E6C7C0" w14:textId="7B89E664" w:rsidR="00E10785" w:rsidRDefault="00E10785" w:rsidP="00E10785">
      <w:pPr>
        <w:spacing w:line="360" w:lineRule="auto"/>
        <w:rPr>
          <w:rFonts w:cstheme="minorHAnsi"/>
          <w:sz w:val="24"/>
          <w:szCs w:val="24"/>
        </w:rPr>
      </w:pPr>
    </w:p>
    <w:p w14:paraId="74587BC4" w14:textId="01910EB6" w:rsidR="00E10785" w:rsidRDefault="00E10785" w:rsidP="00E10785">
      <w:pPr>
        <w:spacing w:line="360" w:lineRule="auto"/>
        <w:rPr>
          <w:rFonts w:cstheme="minorHAnsi"/>
          <w:sz w:val="24"/>
          <w:szCs w:val="24"/>
        </w:rPr>
      </w:pPr>
    </w:p>
    <w:p w14:paraId="34EDFD03" w14:textId="29102BF7" w:rsidR="00E10785" w:rsidRDefault="00E10785" w:rsidP="00E10785">
      <w:pPr>
        <w:spacing w:line="360" w:lineRule="auto"/>
        <w:rPr>
          <w:rFonts w:cstheme="minorHAnsi"/>
          <w:sz w:val="24"/>
          <w:szCs w:val="24"/>
        </w:rPr>
      </w:pPr>
    </w:p>
    <w:p w14:paraId="6C7379D5" w14:textId="2515D36F" w:rsidR="00E10785" w:rsidRDefault="00E10785" w:rsidP="00E10785">
      <w:pPr>
        <w:spacing w:line="360" w:lineRule="auto"/>
        <w:rPr>
          <w:rFonts w:cstheme="minorHAnsi"/>
          <w:sz w:val="24"/>
          <w:szCs w:val="24"/>
        </w:rPr>
      </w:pPr>
    </w:p>
    <w:p w14:paraId="515D0C89" w14:textId="77777777" w:rsidR="00E10785" w:rsidRPr="00E10785" w:rsidRDefault="00E10785" w:rsidP="00E10785">
      <w:pPr>
        <w:spacing w:line="360" w:lineRule="auto"/>
        <w:rPr>
          <w:rFonts w:cstheme="minorHAnsi"/>
          <w:sz w:val="24"/>
          <w:szCs w:val="24"/>
        </w:rPr>
      </w:pPr>
    </w:p>
    <w:p w14:paraId="5ADB7039" w14:textId="77777777" w:rsidR="00E10785" w:rsidRDefault="00E10785">
      <w:pPr>
        <w:rPr>
          <w:u w:val="single"/>
        </w:rPr>
      </w:pPr>
    </w:p>
    <w:p w14:paraId="2A90DA88" w14:textId="121C6036" w:rsidR="00E10785" w:rsidRDefault="00E10785">
      <w:pPr>
        <w:rPr>
          <w:u w:val="single"/>
        </w:rPr>
      </w:pPr>
    </w:p>
    <w:p w14:paraId="65A3B20F" w14:textId="77777777" w:rsidR="00E10785" w:rsidRPr="00E10785" w:rsidRDefault="00E10785">
      <w:pPr>
        <w:rPr>
          <w:u w:val="single"/>
        </w:rPr>
      </w:pPr>
    </w:p>
    <w:sectPr w:rsidR="00E10785" w:rsidRPr="00E107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785"/>
    <w:rsid w:val="00090480"/>
    <w:rsid w:val="00E10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99CA5"/>
  <w15:chartTrackingRefBased/>
  <w15:docId w15:val="{0FAADE53-0A02-46D1-8DFB-04FE1CE70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07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ff.science.uva.nl/e.joling/vakdidactiek/documenten/Bodner2001UCEd.pdf" TargetMode="External"/><Relationship Id="rId13" Type="http://schemas.openxmlformats.org/officeDocument/2006/relationships/hyperlink" Target="https://curriculumforwales.gov.wales/2018/06/19/new-curriculum-special-podcast/" TargetMode="External"/><Relationship Id="rId18" Type="http://schemas.openxmlformats.org/officeDocument/2006/relationships/hyperlink" Target="http://www.leeds.ac.uk/educol/documents/00003267.htm" TargetMode="External"/><Relationship Id="rId26" Type="http://schemas.openxmlformats.org/officeDocument/2006/relationships/hyperlink" Target="http://dropoutrates.teachade.com/resources/support/5035b24fecda6.pdf" TargetMode="External"/><Relationship Id="rId3" Type="http://schemas.openxmlformats.org/officeDocument/2006/relationships/webSettings" Target="webSettings.xml"/><Relationship Id="rId21" Type="http://schemas.openxmlformats.org/officeDocument/2006/relationships/hyperlink" Target="file:///C:\Users\James\Downloads\PRINCIPLES_of_Instruction_Res.pdf" TargetMode="External"/><Relationship Id="rId7" Type="http://schemas.openxmlformats.org/officeDocument/2006/relationships/hyperlink" Target="http://www.wyoaac.org/Lit/Inside%20the%20Black%20Box%20-%20Black.pdf" TargetMode="External"/><Relationship Id="rId12" Type="http://schemas.openxmlformats.org/officeDocument/2006/relationships/hyperlink" Target="https://files.eric.ed.gov/fulltext/EJ1158626.pdf" TargetMode="External"/><Relationship Id="rId17" Type="http://schemas.openxmlformats.org/officeDocument/2006/relationships/hyperlink" Target="http://infovisualization.pbworks.com/w/file/fetch/93947669/Fuchs%20Feedback%20Article.pdf" TargetMode="External"/><Relationship Id="rId25" Type="http://schemas.openxmlformats.org/officeDocument/2006/relationships/hyperlink" Target="https://edu.rsc.org/feature/different-approaches-build-understanding/3010710.article"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educationendowmentfoundation.org.uk/public/files/Publications/Science/EEF_improving_secondary_science.pdf" TargetMode="External"/><Relationship Id="rId20" Type="http://schemas.openxmlformats.org/officeDocument/2006/relationships/hyperlink" Target="http://edmeasurement.net/8268/Rodriguez-2004-TIMSS-classroom-assessment.pdf" TargetMode="External"/><Relationship Id="rId29" Type="http://schemas.openxmlformats.org/officeDocument/2006/relationships/hyperlink" Target="https://gov.wales/sites/default/files/publications/2018-03/successful-futures.pdf" TargetMode="External"/><Relationship Id="rId1" Type="http://schemas.openxmlformats.org/officeDocument/2006/relationships/styles" Target="styles.xml"/><Relationship Id="rId6" Type="http://schemas.openxmlformats.org/officeDocument/2006/relationships/hyperlink" Target="file:///C:/Users/James/Downloads/BERA-Ethical-Guidelines-for-Educational-Research_4thEdn_2018.pdf" TargetMode="External"/><Relationship Id="rId11" Type="http://schemas.openxmlformats.org/officeDocument/2006/relationships/hyperlink" Target="http://science.cleapss.org.uk/Resource-Info/Iron-Sulphur-Reaction.aspx" TargetMode="External"/><Relationship Id="rId24" Type="http://schemas.openxmlformats.org/officeDocument/2006/relationships/hyperlink" Target="https://edu.rsc.org/resources/iron-and-sulfur-reaction/713.article" TargetMode="External"/><Relationship Id="rId32" Type="http://schemas.openxmlformats.org/officeDocument/2006/relationships/fontTable" Target="fontTable.xml"/><Relationship Id="rId5" Type="http://schemas.openxmlformats.org/officeDocument/2006/relationships/hyperlink" Target="https://edu.rsc.org/niki-kaiser/5452.bio" TargetMode="External"/><Relationship Id="rId15" Type="http://schemas.openxmlformats.org/officeDocument/2006/relationships/hyperlink" Target="https://educationendowmentfoundation.org.uk/public/files/Publications/Science/EEF_improving_secondary_science.pdf" TargetMode="External"/><Relationship Id="rId23" Type="http://schemas.openxmlformats.org/officeDocument/2006/relationships/hyperlink" Target="https://edu.rsc.org/cpd/elements-and-compounds/3009350.article" TargetMode="External"/><Relationship Id="rId28" Type="http://schemas.openxmlformats.org/officeDocument/2006/relationships/hyperlink" Target="https://www.lifescied.org/doi/pdf/10.1187/cbe.12-03-0033" TargetMode="External"/><Relationship Id="rId10" Type="http://schemas.openxmlformats.org/officeDocument/2006/relationships/hyperlink" Target="http://science.cleapss.org.uk/Resource/L195-Safer-chemicals-safer-reactions.pdf" TargetMode="External"/><Relationship Id="rId19" Type="http://schemas.openxmlformats.org/officeDocument/2006/relationships/hyperlink" Target="https://digitalcommons.georgiasouthern.edu/cgi/viewcontent.cgi?article=1000&amp;context=ct2-facpubs" TargetMode="External"/><Relationship Id="rId31" Type="http://schemas.openxmlformats.org/officeDocument/2006/relationships/hyperlink" Target="file:///C:/Users/James/Downloads/mm-vital.pdf" TargetMode="External"/><Relationship Id="rId4" Type="http://schemas.openxmlformats.org/officeDocument/2006/relationships/hyperlink" Target="https://edu.rsc.org/niki-kaiser/5452.bio" TargetMode="External"/><Relationship Id="rId9" Type="http://schemas.openxmlformats.org/officeDocument/2006/relationships/hyperlink" Target="https://files.eric.ed.gov/fulltext/EJ894860.pdf" TargetMode="External"/><Relationship Id="rId14" Type="http://schemas.openxmlformats.org/officeDocument/2006/relationships/hyperlink" Target="https://scholarworks.umass.edu/cgi/viewcontent.cgi?article=1213&amp;context=pare" TargetMode="External"/><Relationship Id="rId22" Type="http://schemas.openxmlformats.org/officeDocument/2006/relationships/hyperlink" Target="https://edu.rsc.org/feature/develop-deeper-understanding-with-models/3010519.article" TargetMode="External"/><Relationship Id="rId27" Type="http://schemas.openxmlformats.org/officeDocument/2006/relationships/hyperlink" Target="https://reader.elsevier.com/reader/sd/pii/S1877042810009560?token=8CAACBE8215EA5F01A7CBBE5A8E112208BC3AB4C2A06679A51F68DAB7CB41623F5C5E676B8A8575F85464D42D96C39F9" TargetMode="External"/><Relationship Id="rId30" Type="http://schemas.openxmlformats.org/officeDocument/2006/relationships/hyperlink" Target="https://citeseerx.ist.psu.edu/viewdoc/download?doi=10.1.1.460.5895&amp;rep=rep1&amp;ty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4609</Words>
  <Characters>26275</Characters>
  <Application>Microsoft Office Word</Application>
  <DocSecurity>0</DocSecurity>
  <Lines>218</Lines>
  <Paragraphs>61</Paragraphs>
  <ScaleCrop>false</ScaleCrop>
  <Company/>
  <LinksUpToDate>false</LinksUpToDate>
  <CharactersWithSpaces>30823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Pompa (Morriston Comprehensive School)</dc:creator>
  <cp:keywords/>
  <dc:description/>
  <cp:lastModifiedBy>L Pompa (Morriston Comprehensive School)</cp:lastModifiedBy>
  <cp:revision>1</cp:revision>
  <dcterms:created xsi:type="dcterms:W3CDTF">2020-05-13T14:22:00Z</dcterms:created>
  <dcterms:modified xsi:type="dcterms:W3CDTF">2020-05-13T14:32:00Z</dcterms:modified>
</cp:coreProperties>
</file>